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0DC6446">
      <w:pPr>
        <w:pStyle w:val="7"/>
        <w:spacing w:line="560" w:lineRule="exact"/>
        <w:rPr>
          <w:rFonts w:ascii="方正仿宋" w:eastAsia="仿宋_GB2312"/>
        </w:rPr>
      </w:pPr>
    </w:p>
    <w:p w14:paraId="014097E8">
      <w:pPr>
        <w:spacing w:line="560" w:lineRule="exact"/>
        <w:rPr>
          <w:rFonts w:ascii="方正仿宋"/>
        </w:rPr>
      </w:pPr>
    </w:p>
    <w:p w14:paraId="67A7BBC8">
      <w:pPr>
        <w:spacing w:line="560" w:lineRule="exact"/>
        <w:rPr>
          <w:rFonts w:ascii="方正仿宋"/>
        </w:rPr>
      </w:pPr>
    </w:p>
    <w:p w14:paraId="7C7E226E">
      <w:pPr>
        <w:spacing w:line="560" w:lineRule="exact"/>
        <w:rPr>
          <w:rFonts w:ascii="方正仿宋"/>
        </w:rPr>
      </w:pPr>
    </w:p>
    <w:p w14:paraId="0CB5129D">
      <w:pPr>
        <w:pStyle w:val="7"/>
        <w:spacing w:line="560" w:lineRule="exact"/>
        <w:rPr>
          <w:rFonts w:ascii="方正仿宋" w:eastAsia="仿宋_GB2312"/>
        </w:rPr>
      </w:pPr>
    </w:p>
    <w:p w14:paraId="63BDFB91">
      <w:pPr>
        <w:spacing w:line="560" w:lineRule="exact"/>
        <w:rPr>
          <w:rFonts w:ascii="方正仿宋"/>
        </w:rPr>
      </w:pPr>
    </w:p>
    <w:p w14:paraId="41A05E4E">
      <w:pPr>
        <w:spacing w:line="560" w:lineRule="exact"/>
        <w:rPr>
          <w:rFonts w:ascii="方正仿宋"/>
        </w:rPr>
      </w:pPr>
    </w:p>
    <w:p w14:paraId="7AAD5E20">
      <w:pPr>
        <w:spacing w:line="560" w:lineRule="exact"/>
        <w:jc w:val="center"/>
        <w:rPr>
          <w:rFonts w:ascii="方正仿宋_GBK"/>
        </w:rPr>
      </w:pPr>
      <w:r>
        <w:rPr>
          <w:rFonts w:hint="eastAsia" w:ascii="方正仿宋_GBK"/>
        </w:rPr>
        <w:t>奉节府发〔2022〕22号</w:t>
      </w:r>
    </w:p>
    <w:p w14:paraId="6F0C6A25">
      <w:pPr>
        <w:snapToGrid w:val="0"/>
        <w:spacing w:line="500" w:lineRule="exact"/>
        <w:rPr>
          <w:rFonts w:ascii="方正小标宋_GBK" w:eastAsia="方正小标宋_GBK"/>
          <w:color w:val="000000"/>
          <w:kern w:val="0"/>
          <w:sz w:val="44"/>
        </w:rPr>
      </w:pPr>
    </w:p>
    <w:p w14:paraId="45706DB3">
      <w:pPr>
        <w:snapToGrid w:val="0"/>
        <w:spacing w:line="500" w:lineRule="exact"/>
        <w:rPr>
          <w:rFonts w:ascii="方正小标宋_GBK" w:eastAsia="方正小标宋_GBK"/>
          <w:color w:val="000000"/>
          <w:kern w:val="0"/>
          <w:sz w:val="44"/>
        </w:rPr>
      </w:pPr>
    </w:p>
    <w:p w14:paraId="749983B3">
      <w:pPr>
        <w:spacing w:line="594" w:lineRule="exact"/>
        <w:jc w:val="center"/>
        <w:rPr>
          <w:rFonts w:ascii="方正小标宋_GBK" w:hAnsi="方正小标宋_GBK" w:eastAsia="方正小标宋_GBK"/>
          <w:sz w:val="44"/>
          <w:szCs w:val="44"/>
        </w:rPr>
      </w:pPr>
      <w:r>
        <w:rPr>
          <w:rFonts w:hint="eastAsia" w:ascii="方正小标宋_GBK" w:hAnsi="方正小标宋_GBK" w:eastAsia="方正小标宋_GBK" w:cs="方正小标宋_GBK"/>
          <w:sz w:val="44"/>
          <w:szCs w:val="44"/>
        </w:rPr>
        <w:t>奉节县人民政府</w:t>
      </w:r>
    </w:p>
    <w:p w14:paraId="1DF723BA">
      <w:pPr>
        <w:spacing w:line="594" w:lineRule="exact"/>
        <w:jc w:val="center"/>
        <w:rPr>
          <w:rFonts w:ascii="方正小标宋_GBK" w:hAnsi="方正小标宋_GBK" w:eastAsia="方正小标宋_GBK"/>
          <w:sz w:val="44"/>
          <w:szCs w:val="44"/>
        </w:rPr>
      </w:pPr>
      <w:r>
        <w:rPr>
          <w:rFonts w:hint="eastAsia" w:ascii="方正小标宋_GBK" w:hAnsi="方正小标宋_GBK" w:eastAsia="方正小标宋_GBK" w:cs="方正小标宋_GBK"/>
          <w:sz w:val="44"/>
          <w:szCs w:val="44"/>
        </w:rPr>
        <w:t>关于印发奉节县卫生健康事业发展</w:t>
      </w:r>
    </w:p>
    <w:p w14:paraId="70B67E4A">
      <w:pPr>
        <w:spacing w:line="594" w:lineRule="exact"/>
        <w:jc w:val="center"/>
        <w:rPr>
          <w:rFonts w:ascii="方正小标宋_GBK" w:hAnsi="方正小标宋_GBK" w:eastAsia="方正小标宋_GBK"/>
          <w:sz w:val="44"/>
          <w:szCs w:val="44"/>
        </w:rPr>
      </w:pPr>
      <w:r>
        <w:rPr>
          <w:rFonts w:hint="eastAsia" w:ascii="方正小标宋_GBK" w:hAnsi="方正小标宋_GBK" w:eastAsia="方正小标宋_GBK" w:cs="方正小标宋_GBK"/>
          <w:sz w:val="44"/>
          <w:szCs w:val="44"/>
        </w:rPr>
        <w:t>“十四五”规划的通知</w:t>
      </w:r>
    </w:p>
    <w:p w14:paraId="203A66D6">
      <w:pPr>
        <w:spacing w:line="520" w:lineRule="exact"/>
        <w:rPr>
          <w:rFonts w:ascii="方正仿宋_GBK" w:hAnsi="方正小标宋_GBK"/>
          <w:sz w:val="44"/>
          <w:szCs w:val="44"/>
        </w:rPr>
      </w:pPr>
    </w:p>
    <w:p w14:paraId="544A7C6C">
      <w:pPr>
        <w:spacing w:line="520" w:lineRule="exact"/>
      </w:pPr>
      <w:r>
        <w:t>各乡镇人民政府、街道办事处，县政府各部门，有关单位：</w:t>
      </w:r>
    </w:p>
    <w:p w14:paraId="46E7C9F5">
      <w:pPr>
        <w:spacing w:line="520" w:lineRule="exact"/>
        <w:ind w:firstLine="640" w:firstLineChars="200"/>
      </w:pPr>
      <w:r>
        <w:t>《</w:t>
      </w:r>
      <w:bookmarkStart w:id="67" w:name="_GoBack"/>
      <w:r>
        <w:t>奉节县卫生健康事业发展“十四五”规划</w:t>
      </w:r>
      <w:bookmarkEnd w:id="67"/>
      <w:r>
        <w:t>》已经第十八届县政府第7次常务会议审议通过，现印发给你们，请结合实际认真贯彻执行。</w:t>
      </w:r>
    </w:p>
    <w:p w14:paraId="54DC4FD7">
      <w:pPr>
        <w:pStyle w:val="13"/>
        <w:shd w:val="clear" w:color="auto" w:fill="FFFFFF"/>
        <w:adjustRightInd w:val="0"/>
        <w:snapToGrid w:val="0"/>
        <w:spacing w:before="0" w:beforeAutospacing="0" w:after="0" w:afterAutospacing="0" w:line="600" w:lineRule="exact"/>
        <w:ind w:firstLine="5404" w:firstLineChars="1689"/>
        <w:jc w:val="both"/>
        <w:rPr>
          <w:rFonts w:ascii="Times New Roman" w:hAnsi="Times New Roman" w:eastAsia="方正仿宋_GBK" w:cs="Times New Roman"/>
          <w:sz w:val="32"/>
          <w:szCs w:val="32"/>
        </w:rPr>
      </w:pPr>
    </w:p>
    <w:p w14:paraId="2A1ACBED">
      <w:pPr>
        <w:pStyle w:val="13"/>
        <w:shd w:val="clear" w:color="auto" w:fill="FFFFFF"/>
        <w:adjustRightInd w:val="0"/>
        <w:snapToGrid w:val="0"/>
        <w:spacing w:before="0" w:beforeAutospacing="0" w:after="0" w:afterAutospacing="0" w:line="600" w:lineRule="exact"/>
        <w:ind w:firstLine="5404" w:firstLineChars="1689"/>
        <w:jc w:val="both"/>
        <w:rPr>
          <w:rFonts w:ascii="Times New Roman" w:hAnsi="Times New Roman" w:eastAsia="方正仿宋_GBK" w:cs="Times New Roman"/>
          <w:sz w:val="32"/>
          <w:szCs w:val="32"/>
        </w:rPr>
      </w:pPr>
    </w:p>
    <w:p w14:paraId="36C60ED9">
      <w:pPr>
        <w:pStyle w:val="13"/>
        <w:shd w:val="clear" w:color="auto" w:fill="FFFFFF"/>
        <w:adjustRightInd w:val="0"/>
        <w:snapToGrid w:val="0"/>
        <w:spacing w:before="0" w:beforeAutospacing="0" w:after="0" w:afterAutospacing="0" w:line="500" w:lineRule="exact"/>
        <w:ind w:firstLine="5401" w:firstLineChars="1688"/>
        <w:rPr>
          <w:rFonts w:ascii="Times New Roman" w:hAnsi="Times New Roman" w:eastAsia="方正仿宋_GBK" w:cs="Times New Roman"/>
          <w:sz w:val="32"/>
          <w:szCs w:val="32"/>
        </w:rPr>
      </w:pPr>
      <w:r>
        <w:rPr>
          <w:rFonts w:ascii="Times New Roman" w:hAnsi="Times New Roman" w:eastAsia="方正仿宋_GBK" w:cs="Times New Roman"/>
          <w:sz w:val="32"/>
          <w:szCs w:val="32"/>
        </w:rPr>
        <w:t>奉节县人民政府</w:t>
      </w:r>
    </w:p>
    <w:p w14:paraId="03036202">
      <w:pPr>
        <w:pStyle w:val="13"/>
        <w:shd w:val="clear" w:color="auto" w:fill="FFFFFF"/>
        <w:adjustRightInd w:val="0"/>
        <w:snapToGrid w:val="0"/>
        <w:spacing w:before="0" w:beforeAutospacing="0" w:after="0" w:afterAutospacing="0" w:line="500" w:lineRule="exact"/>
        <w:ind w:firstLine="5360" w:firstLineChars="1675"/>
        <w:rPr>
          <w:rFonts w:ascii="Times New Roman" w:hAnsi="Times New Roman" w:eastAsia="方正仿宋_GBK" w:cs="Times New Roman"/>
          <w:sz w:val="32"/>
          <w:szCs w:val="32"/>
        </w:rPr>
      </w:pPr>
      <w:r>
        <w:rPr>
          <w:rFonts w:ascii="Times New Roman" w:hAnsi="Times New Roman" w:eastAsia="方正仿宋_GBK" w:cs="Times New Roman"/>
          <w:sz w:val="32"/>
          <w:szCs w:val="32"/>
        </w:rPr>
        <w:t>2022年</w:t>
      </w:r>
      <w:r>
        <w:rPr>
          <w:rFonts w:hint="eastAsia" w:ascii="Times New Roman" w:hAnsi="Times New Roman" w:eastAsia="方正仿宋_GBK" w:cs="Times New Roman"/>
          <w:sz w:val="32"/>
          <w:szCs w:val="32"/>
        </w:rPr>
        <w:t>4</w:t>
      </w:r>
      <w:r>
        <w:rPr>
          <w:rFonts w:ascii="Times New Roman" w:hAnsi="Times New Roman" w:eastAsia="方正仿宋_GBK" w:cs="Times New Roman"/>
          <w:sz w:val="32"/>
          <w:szCs w:val="32"/>
        </w:rPr>
        <w:t>月</w:t>
      </w:r>
      <w:r>
        <w:rPr>
          <w:rFonts w:hint="eastAsia" w:ascii="Times New Roman" w:hAnsi="Times New Roman" w:eastAsia="方正仿宋_GBK" w:cs="Times New Roman"/>
          <w:sz w:val="32"/>
          <w:szCs w:val="32"/>
        </w:rPr>
        <w:t>2</w:t>
      </w:r>
      <w:r>
        <w:rPr>
          <w:rFonts w:ascii="Times New Roman" w:hAnsi="Times New Roman" w:eastAsia="方正仿宋_GBK" w:cs="Times New Roman"/>
          <w:sz w:val="32"/>
          <w:szCs w:val="32"/>
        </w:rPr>
        <w:t>日</w:t>
      </w:r>
    </w:p>
    <w:p w14:paraId="06F120EE">
      <w:pPr>
        <w:tabs>
          <w:tab w:val="left" w:pos="3070"/>
        </w:tabs>
        <w:spacing w:line="600" w:lineRule="exact"/>
        <w:ind w:firstLine="640" w:firstLineChars="200"/>
        <w:jc w:val="left"/>
        <w:sectPr>
          <w:headerReference r:id="rId3" w:type="default"/>
          <w:footerReference r:id="rId4" w:type="default"/>
          <w:pgSz w:w="11906" w:h="16838"/>
          <w:pgMar w:top="2098" w:right="1474" w:bottom="1985" w:left="1588" w:header="1418" w:footer="1304" w:gutter="0"/>
          <w:pgNumType w:fmt="numberInDash"/>
          <w:cols w:space="720" w:num="1"/>
          <w:docGrid w:type="linesAndChars" w:linePitch="318" w:charSpace="0"/>
        </w:sectPr>
      </w:pPr>
      <w:r>
        <w:t>（此件公开发布）</w:t>
      </w:r>
    </w:p>
    <w:p w14:paraId="5F84EC1A">
      <w:pPr>
        <w:tabs>
          <w:tab w:val="left" w:pos="3070"/>
        </w:tabs>
        <w:spacing w:line="600" w:lineRule="exact"/>
        <w:jc w:val="left"/>
        <w:rPr>
          <w:rFonts w:ascii="方正仿宋_GBK"/>
        </w:rPr>
      </w:pPr>
    </w:p>
    <w:p w14:paraId="0698E500">
      <w:pPr>
        <w:spacing w:line="360" w:lineRule="auto"/>
        <w:jc w:val="center"/>
        <w:rPr>
          <w:rFonts w:eastAsia="方正小标宋_GBK"/>
          <w:sz w:val="48"/>
          <w:szCs w:val="48"/>
        </w:rPr>
      </w:pPr>
    </w:p>
    <w:p w14:paraId="6FCCACB4">
      <w:pPr>
        <w:spacing w:line="360" w:lineRule="auto"/>
        <w:jc w:val="center"/>
        <w:rPr>
          <w:rFonts w:eastAsia="方正小标宋_GBK"/>
          <w:sz w:val="48"/>
          <w:szCs w:val="48"/>
        </w:rPr>
      </w:pPr>
    </w:p>
    <w:p w14:paraId="509351D0">
      <w:pPr>
        <w:spacing w:line="360" w:lineRule="auto"/>
        <w:jc w:val="center"/>
        <w:rPr>
          <w:rFonts w:eastAsia="方正小标宋_GBK"/>
          <w:sz w:val="48"/>
          <w:szCs w:val="48"/>
        </w:rPr>
      </w:pPr>
      <w:r>
        <w:rPr>
          <w:rFonts w:hint="eastAsia" w:eastAsia="方正小标宋_GBK" w:cs="方正小标宋_GBK"/>
          <w:sz w:val="48"/>
          <w:szCs w:val="48"/>
        </w:rPr>
        <w:t>奉节县卫生健康事业发展</w:t>
      </w:r>
    </w:p>
    <w:p w14:paraId="010CDD3C">
      <w:pPr>
        <w:spacing w:line="360" w:lineRule="auto"/>
        <w:jc w:val="center"/>
        <w:rPr>
          <w:rFonts w:eastAsia="方正小标宋_GBK"/>
          <w:sz w:val="48"/>
          <w:szCs w:val="48"/>
        </w:rPr>
      </w:pPr>
      <w:r>
        <w:rPr>
          <w:rFonts w:eastAsia="方正小标宋_GBK"/>
          <w:sz w:val="48"/>
          <w:szCs w:val="48"/>
        </w:rPr>
        <w:t>“</w:t>
      </w:r>
      <w:r>
        <w:rPr>
          <w:rFonts w:hint="eastAsia" w:eastAsia="方正小标宋_GBK" w:cs="方正小标宋_GBK"/>
          <w:sz w:val="48"/>
          <w:szCs w:val="48"/>
        </w:rPr>
        <w:t>十四五</w:t>
      </w:r>
      <w:r>
        <w:rPr>
          <w:rFonts w:eastAsia="方正小标宋_GBK"/>
          <w:sz w:val="48"/>
          <w:szCs w:val="48"/>
        </w:rPr>
        <w:t>”</w:t>
      </w:r>
      <w:r>
        <w:rPr>
          <w:rFonts w:hint="eastAsia" w:eastAsia="方正小标宋_GBK" w:cs="方正小标宋_GBK"/>
          <w:sz w:val="48"/>
          <w:szCs w:val="48"/>
        </w:rPr>
        <w:t>规划</w:t>
      </w:r>
    </w:p>
    <w:p w14:paraId="7338AC30">
      <w:pPr>
        <w:pStyle w:val="14"/>
        <w:outlineLvl w:val="9"/>
        <w:rPr>
          <w:rFonts w:ascii="Times New Roman" w:hAnsi="Times New Roman" w:eastAsia="方正小标宋_GBK" w:cs="Times New Roman"/>
          <w:sz w:val="44"/>
          <w:szCs w:val="44"/>
        </w:rPr>
      </w:pPr>
    </w:p>
    <w:p w14:paraId="45971192">
      <w:pPr>
        <w:rPr>
          <w:rFonts w:eastAsia="方正小标宋_GBK"/>
          <w:sz w:val="44"/>
          <w:szCs w:val="44"/>
        </w:rPr>
      </w:pPr>
    </w:p>
    <w:p w14:paraId="22A98F8D">
      <w:pPr>
        <w:pStyle w:val="14"/>
        <w:outlineLvl w:val="9"/>
        <w:rPr>
          <w:rFonts w:ascii="Times New Roman" w:hAnsi="Times New Roman" w:eastAsia="方正小标宋_GBK" w:cs="Times New Roman"/>
          <w:sz w:val="44"/>
          <w:szCs w:val="44"/>
        </w:rPr>
      </w:pPr>
    </w:p>
    <w:p w14:paraId="7FAE88F2">
      <w:pPr>
        <w:rPr>
          <w:rFonts w:eastAsia="方正小标宋_GBK"/>
          <w:sz w:val="44"/>
          <w:szCs w:val="44"/>
        </w:rPr>
      </w:pPr>
    </w:p>
    <w:p w14:paraId="73D710FF">
      <w:pPr>
        <w:pStyle w:val="14"/>
        <w:outlineLvl w:val="9"/>
        <w:rPr>
          <w:rFonts w:ascii="Times New Roman" w:hAnsi="Times New Roman" w:eastAsia="方正小标宋_GBK" w:cs="Times New Roman"/>
          <w:sz w:val="44"/>
          <w:szCs w:val="44"/>
        </w:rPr>
      </w:pPr>
    </w:p>
    <w:p w14:paraId="4A3C1DB2">
      <w:pPr>
        <w:rPr>
          <w:rFonts w:eastAsia="方正小标宋_GBK"/>
          <w:sz w:val="44"/>
          <w:szCs w:val="44"/>
        </w:rPr>
      </w:pPr>
    </w:p>
    <w:p w14:paraId="4398939E">
      <w:pPr>
        <w:jc w:val="center"/>
        <w:rPr>
          <w:rFonts w:eastAsia="方正黑体_GBK"/>
          <w:sz w:val="36"/>
          <w:szCs w:val="36"/>
        </w:rPr>
      </w:pPr>
    </w:p>
    <w:p w14:paraId="4CCD941E">
      <w:pPr>
        <w:jc w:val="center"/>
        <w:rPr>
          <w:rFonts w:eastAsia="方正黑体_GBK"/>
          <w:sz w:val="36"/>
          <w:szCs w:val="36"/>
        </w:rPr>
      </w:pPr>
    </w:p>
    <w:p w14:paraId="6A400D45">
      <w:pPr>
        <w:pStyle w:val="2"/>
        <w:rPr>
          <w:rFonts w:cs="Times New Roman"/>
          <w:color w:val="auto"/>
        </w:rPr>
      </w:pPr>
    </w:p>
    <w:p w14:paraId="52893DC2"/>
    <w:p w14:paraId="74342159">
      <w:pPr>
        <w:pStyle w:val="2"/>
        <w:rPr>
          <w:rFonts w:cs="Times New Roman"/>
          <w:color w:val="auto"/>
        </w:rPr>
      </w:pPr>
    </w:p>
    <w:p w14:paraId="13F56B63"/>
    <w:p w14:paraId="34876840">
      <w:pPr>
        <w:pStyle w:val="2"/>
        <w:rPr>
          <w:rFonts w:cs="Times New Roman"/>
        </w:rPr>
      </w:pPr>
    </w:p>
    <w:p w14:paraId="2F9C630E">
      <w:pPr>
        <w:jc w:val="center"/>
      </w:pPr>
      <w:r>
        <w:rPr>
          <w:rFonts w:hint="eastAsia" w:cs="方正仿宋_GBK"/>
        </w:rPr>
        <w:t>奉节县人民政府</w:t>
      </w:r>
    </w:p>
    <w:p w14:paraId="3AF91C13">
      <w:pPr>
        <w:jc w:val="center"/>
        <w:sectPr>
          <w:pgSz w:w="11906" w:h="16838"/>
          <w:pgMar w:top="2098" w:right="1474" w:bottom="1985" w:left="1588" w:header="1418" w:footer="1304" w:gutter="0"/>
          <w:pgNumType w:fmt="numberInDash"/>
          <w:cols w:space="720" w:num="1"/>
          <w:titlePg/>
          <w:docGrid w:type="linesAndChars" w:linePitch="318" w:charSpace="0"/>
        </w:sectPr>
      </w:pPr>
      <w:r>
        <w:t>2022</w:t>
      </w:r>
      <w:r>
        <w:rPr>
          <w:rFonts w:hint="eastAsia" w:cs="方正仿宋_GBK"/>
        </w:rPr>
        <w:t>年</w:t>
      </w:r>
      <w:r>
        <w:t>3</w:t>
      </w:r>
      <w:r>
        <w:rPr>
          <w:rFonts w:hint="eastAsia" w:cs="方正仿宋_GBK"/>
        </w:rPr>
        <w:t>月</w:t>
      </w:r>
    </w:p>
    <w:p w14:paraId="535668FC">
      <w:pPr>
        <w:jc w:val="center"/>
        <w:rPr>
          <w:rFonts w:eastAsia="方正小标宋_GBK"/>
          <w:sz w:val="44"/>
          <w:szCs w:val="44"/>
        </w:rPr>
      </w:pPr>
      <w:r>
        <w:rPr>
          <w:rFonts w:hint="eastAsia" w:hAnsi="方正小标宋_GBK" w:eastAsia="方正小标宋_GBK" w:cs="方正小标宋_GBK"/>
          <w:sz w:val="44"/>
          <w:szCs w:val="44"/>
        </w:rPr>
        <w:t>目</w:t>
      </w:r>
      <w:r>
        <w:rPr>
          <w:rFonts w:eastAsia="方正小标宋_GBK"/>
          <w:sz w:val="44"/>
          <w:szCs w:val="44"/>
        </w:rPr>
        <w:t xml:space="preserve">  </w:t>
      </w:r>
      <w:r>
        <w:rPr>
          <w:rFonts w:hint="eastAsia" w:hAnsi="方正小标宋_GBK" w:eastAsia="方正小标宋_GBK" w:cs="方正小标宋_GBK"/>
          <w:sz w:val="44"/>
          <w:szCs w:val="44"/>
        </w:rPr>
        <w:t>录</w:t>
      </w:r>
    </w:p>
    <w:p w14:paraId="1E73D640">
      <w:pPr>
        <w:pStyle w:val="11"/>
        <w:tabs>
          <w:tab w:val="right" w:leader="dot" w:pos="8844"/>
        </w:tabs>
        <w:rPr>
          <w:rFonts w:eastAsia="方正黑体_GBK"/>
        </w:rPr>
      </w:pPr>
      <w:r>
        <w:rPr>
          <w:rFonts w:hint="eastAsia" w:eastAsia="方正小标宋_GBK" w:cs="方正小标宋_GBK"/>
          <w:sz w:val="44"/>
          <w:szCs w:val="44"/>
        </w:rPr>
        <w:t>　</w:t>
      </w:r>
      <w:r>
        <w:rPr>
          <w:rFonts w:eastAsia="方正小标宋_GBK"/>
          <w:sz w:val="44"/>
          <w:szCs w:val="44"/>
        </w:rPr>
        <w:t xml:space="preserve"> </w:t>
      </w:r>
      <w:r>
        <w:rPr>
          <w:rFonts w:eastAsia="方正小标宋_GBK"/>
          <w:sz w:val="44"/>
          <w:szCs w:val="44"/>
        </w:rPr>
        <w:fldChar w:fldCharType="begin"/>
      </w:r>
      <w:r>
        <w:rPr>
          <w:rFonts w:eastAsia="方正小标宋_GBK"/>
          <w:sz w:val="44"/>
          <w:szCs w:val="44"/>
        </w:rPr>
        <w:instrText xml:space="preserve">TOC \o "1-2" \h \u </w:instrText>
      </w:r>
      <w:r>
        <w:rPr>
          <w:rFonts w:eastAsia="方正小标宋_GBK"/>
          <w:sz w:val="44"/>
          <w:szCs w:val="44"/>
        </w:rPr>
        <w:fldChar w:fldCharType="separate"/>
      </w:r>
      <w:r>
        <w:fldChar w:fldCharType="begin"/>
      </w:r>
      <w:r>
        <w:instrText xml:space="preserve"> HYPERLINK \l "_Toc27425" </w:instrText>
      </w:r>
      <w:r>
        <w:fldChar w:fldCharType="separate"/>
      </w:r>
      <w:r>
        <w:rPr>
          <w:rFonts w:hint="eastAsia" w:hAnsi="方正黑体_GBK" w:eastAsia="方正黑体_GBK" w:cs="方正黑体_GBK"/>
        </w:rPr>
        <w:t>一、规划背景</w:t>
      </w:r>
      <w:r>
        <w:rPr>
          <w:rFonts w:eastAsia="方正黑体_GBK"/>
        </w:rPr>
        <w:tab/>
      </w:r>
      <w:r>
        <w:rPr>
          <w:rFonts w:eastAsia="方正黑体_GBK"/>
        </w:rPr>
        <w:fldChar w:fldCharType="begin"/>
      </w:r>
      <w:r>
        <w:rPr>
          <w:rFonts w:eastAsia="方正黑体_GBK"/>
        </w:rPr>
        <w:instrText xml:space="preserve"> PAGEREF _Toc27425 \h </w:instrText>
      </w:r>
      <w:r>
        <w:rPr>
          <w:rFonts w:eastAsia="方正黑体_GBK"/>
        </w:rPr>
        <w:fldChar w:fldCharType="separate"/>
      </w:r>
      <w:r>
        <w:rPr>
          <w:rFonts w:eastAsia="方正黑体_GBK"/>
        </w:rPr>
        <w:t>3</w:t>
      </w:r>
      <w:r>
        <w:rPr>
          <w:rFonts w:eastAsia="方正黑体_GBK"/>
        </w:rPr>
        <w:fldChar w:fldCharType="end"/>
      </w:r>
      <w:r>
        <w:rPr>
          <w:rFonts w:eastAsia="方正黑体_GBK"/>
        </w:rPr>
        <w:fldChar w:fldCharType="end"/>
      </w:r>
    </w:p>
    <w:p w14:paraId="7A8E5ADF">
      <w:pPr>
        <w:pStyle w:val="12"/>
        <w:tabs>
          <w:tab w:val="right" w:leader="dot" w:pos="8844"/>
        </w:tabs>
        <w:ind w:left="640"/>
      </w:pPr>
      <w:r>
        <w:fldChar w:fldCharType="begin"/>
      </w:r>
      <w:r>
        <w:instrText xml:space="preserve"> HYPERLINK \l "_Toc15919" </w:instrText>
      </w:r>
      <w:r>
        <w:fldChar w:fldCharType="separate"/>
      </w:r>
      <w:r>
        <w:rPr>
          <w:rFonts w:hint="eastAsia" w:cs="方正仿宋_GBK"/>
        </w:rPr>
        <w:t>（一）发展基础</w:t>
      </w:r>
      <w:r>
        <w:tab/>
      </w:r>
      <w:r>
        <w:fldChar w:fldCharType="begin"/>
      </w:r>
      <w:r>
        <w:instrText xml:space="preserve"> PAGEREF _Toc15919 \h </w:instrText>
      </w:r>
      <w:r>
        <w:fldChar w:fldCharType="separate"/>
      </w:r>
      <w:r>
        <w:t>3</w:t>
      </w:r>
      <w:r>
        <w:fldChar w:fldCharType="end"/>
      </w:r>
      <w:r>
        <w:fldChar w:fldCharType="end"/>
      </w:r>
    </w:p>
    <w:p w14:paraId="41EBF101">
      <w:pPr>
        <w:pStyle w:val="12"/>
        <w:tabs>
          <w:tab w:val="right" w:leader="dot" w:pos="8844"/>
        </w:tabs>
        <w:ind w:left="640"/>
      </w:pPr>
      <w:r>
        <w:fldChar w:fldCharType="begin"/>
      </w:r>
      <w:r>
        <w:instrText xml:space="preserve"> HYPERLINK \l "_Toc21666" </w:instrText>
      </w:r>
      <w:r>
        <w:fldChar w:fldCharType="separate"/>
      </w:r>
      <w:r>
        <w:rPr>
          <w:rFonts w:hint="eastAsia" w:cs="方正仿宋_GBK"/>
        </w:rPr>
        <w:t>（二）面临形势</w:t>
      </w:r>
      <w:r>
        <w:tab/>
      </w:r>
      <w:r>
        <w:t>6</w:t>
      </w:r>
      <w:r>
        <w:fldChar w:fldCharType="end"/>
      </w:r>
    </w:p>
    <w:p w14:paraId="15A951D4">
      <w:pPr>
        <w:pStyle w:val="11"/>
        <w:tabs>
          <w:tab w:val="right" w:leader="dot" w:pos="8844"/>
        </w:tabs>
        <w:rPr>
          <w:rFonts w:eastAsia="方正黑体_GBK"/>
        </w:rPr>
      </w:pPr>
      <w:r>
        <w:rPr>
          <w:rFonts w:hint="eastAsia" w:cs="方正仿宋_GBK"/>
        </w:rPr>
        <w:t>　　</w:t>
      </w:r>
      <w:r>
        <w:fldChar w:fldCharType="begin"/>
      </w:r>
      <w:r>
        <w:instrText xml:space="preserve"> HYPERLINK \l "_Toc4388" </w:instrText>
      </w:r>
      <w:r>
        <w:fldChar w:fldCharType="separate"/>
      </w:r>
      <w:r>
        <w:rPr>
          <w:rFonts w:hint="eastAsia" w:hAnsi="方正黑体_GBK" w:eastAsia="方正黑体_GBK" w:cs="方正黑体_GBK"/>
        </w:rPr>
        <w:t>二、总体思路</w:t>
      </w:r>
      <w:r>
        <w:rPr>
          <w:rFonts w:eastAsia="方正黑体_GBK"/>
        </w:rPr>
        <w:tab/>
      </w:r>
      <w:r>
        <w:rPr>
          <w:rFonts w:eastAsia="方正黑体_GBK"/>
        </w:rPr>
        <w:fldChar w:fldCharType="begin"/>
      </w:r>
      <w:r>
        <w:rPr>
          <w:rFonts w:eastAsia="方正黑体_GBK"/>
        </w:rPr>
        <w:instrText xml:space="preserve"> PAGEREF _Toc4388 \h </w:instrText>
      </w:r>
      <w:r>
        <w:rPr>
          <w:rFonts w:eastAsia="方正黑体_GBK"/>
        </w:rPr>
        <w:fldChar w:fldCharType="separate"/>
      </w:r>
      <w:r>
        <w:rPr>
          <w:rFonts w:eastAsia="方正黑体_GBK"/>
        </w:rPr>
        <w:t>8</w:t>
      </w:r>
      <w:r>
        <w:rPr>
          <w:rFonts w:eastAsia="方正黑体_GBK"/>
        </w:rPr>
        <w:fldChar w:fldCharType="end"/>
      </w:r>
      <w:r>
        <w:rPr>
          <w:rFonts w:eastAsia="方正黑体_GBK"/>
        </w:rPr>
        <w:fldChar w:fldCharType="end"/>
      </w:r>
    </w:p>
    <w:p w14:paraId="32BEE7EF">
      <w:pPr>
        <w:pStyle w:val="12"/>
        <w:tabs>
          <w:tab w:val="right" w:leader="dot" w:pos="8844"/>
        </w:tabs>
        <w:ind w:left="640"/>
      </w:pPr>
      <w:r>
        <w:fldChar w:fldCharType="begin"/>
      </w:r>
      <w:r>
        <w:instrText xml:space="preserve"> HYPERLINK \l "_Toc4090" </w:instrText>
      </w:r>
      <w:r>
        <w:fldChar w:fldCharType="separate"/>
      </w:r>
      <w:r>
        <w:rPr>
          <w:rFonts w:hint="eastAsia" w:cs="方正仿宋_GBK"/>
        </w:rPr>
        <w:t>（一）指导思想</w:t>
      </w:r>
      <w:r>
        <w:tab/>
      </w:r>
      <w:r>
        <w:t>9</w:t>
      </w:r>
      <w:r>
        <w:fldChar w:fldCharType="end"/>
      </w:r>
    </w:p>
    <w:p w14:paraId="0996617D">
      <w:pPr>
        <w:pStyle w:val="12"/>
        <w:tabs>
          <w:tab w:val="right" w:leader="dot" w:pos="8844"/>
        </w:tabs>
        <w:ind w:left="640"/>
      </w:pPr>
      <w:r>
        <w:fldChar w:fldCharType="begin"/>
      </w:r>
      <w:r>
        <w:instrText xml:space="preserve"> HYPERLINK \l "_Toc6807" </w:instrText>
      </w:r>
      <w:r>
        <w:fldChar w:fldCharType="separate"/>
      </w:r>
      <w:r>
        <w:rPr>
          <w:rFonts w:hint="eastAsia" w:cs="方正仿宋_GBK"/>
        </w:rPr>
        <w:t>（二）基本原则</w:t>
      </w:r>
      <w:r>
        <w:tab/>
      </w:r>
      <w:r>
        <w:fldChar w:fldCharType="begin"/>
      </w:r>
      <w:r>
        <w:instrText xml:space="preserve"> PAGEREF _Toc6807 \h </w:instrText>
      </w:r>
      <w:r>
        <w:fldChar w:fldCharType="separate"/>
      </w:r>
      <w:r>
        <w:t>9</w:t>
      </w:r>
      <w:r>
        <w:fldChar w:fldCharType="end"/>
      </w:r>
      <w:r>
        <w:fldChar w:fldCharType="end"/>
      </w:r>
    </w:p>
    <w:p w14:paraId="299B9CEE">
      <w:pPr>
        <w:pStyle w:val="12"/>
        <w:tabs>
          <w:tab w:val="right" w:leader="dot" w:pos="8844"/>
        </w:tabs>
        <w:ind w:left="640"/>
      </w:pPr>
      <w:r>
        <w:fldChar w:fldCharType="begin"/>
      </w:r>
      <w:r>
        <w:instrText xml:space="preserve"> HYPERLINK \l "_Toc14549" </w:instrText>
      </w:r>
      <w:r>
        <w:fldChar w:fldCharType="separate"/>
      </w:r>
      <w:r>
        <w:rPr>
          <w:rFonts w:hint="eastAsia" w:cs="方正仿宋_GBK"/>
        </w:rPr>
        <w:t>（三）发展目标</w:t>
      </w:r>
      <w:r>
        <w:tab/>
      </w:r>
      <w:r>
        <w:fldChar w:fldCharType="begin"/>
      </w:r>
      <w:r>
        <w:instrText xml:space="preserve"> PAGEREF _Toc14549 \h </w:instrText>
      </w:r>
      <w:r>
        <w:fldChar w:fldCharType="separate"/>
      </w:r>
      <w:r>
        <w:t>10</w:t>
      </w:r>
      <w:r>
        <w:fldChar w:fldCharType="end"/>
      </w:r>
      <w:r>
        <w:fldChar w:fldCharType="end"/>
      </w:r>
    </w:p>
    <w:p w14:paraId="4671916C">
      <w:pPr>
        <w:pStyle w:val="11"/>
        <w:tabs>
          <w:tab w:val="right" w:leader="dot" w:pos="8844"/>
        </w:tabs>
        <w:rPr>
          <w:rFonts w:eastAsia="方正黑体_GBK"/>
        </w:rPr>
      </w:pPr>
      <w:r>
        <w:rPr>
          <w:rFonts w:hint="eastAsia" w:cs="方正仿宋_GBK"/>
        </w:rPr>
        <w:t>　　</w:t>
      </w:r>
      <w:r>
        <w:fldChar w:fldCharType="begin"/>
      </w:r>
      <w:r>
        <w:instrText xml:space="preserve"> HYPERLINK \l "_Toc27019" </w:instrText>
      </w:r>
      <w:r>
        <w:fldChar w:fldCharType="separate"/>
      </w:r>
      <w:r>
        <w:rPr>
          <w:rFonts w:hint="eastAsia" w:hAnsi="方正黑体_GBK" w:eastAsia="方正黑体_GBK" w:cs="方正黑体_GBK"/>
        </w:rPr>
        <w:t>三、主要任务</w:t>
      </w:r>
      <w:r>
        <w:rPr>
          <w:rFonts w:eastAsia="方正黑体_GBK"/>
        </w:rPr>
        <w:tab/>
      </w:r>
      <w:r>
        <w:rPr>
          <w:rFonts w:eastAsia="方正黑体_GBK"/>
        </w:rPr>
        <w:t>13</w:t>
      </w:r>
    </w:p>
    <w:p w14:paraId="67B63DB2">
      <w:pPr>
        <w:pStyle w:val="11"/>
        <w:tabs>
          <w:tab w:val="right" w:leader="dot" w:pos="8844"/>
        </w:tabs>
      </w:pPr>
      <w:r>
        <w:rPr>
          <w:rFonts w:hint="eastAsia" w:cs="方正仿宋_GBK"/>
        </w:rPr>
        <w:t>　　（一）保障公共卫生安全，构建强大公共卫生体系</w:t>
      </w:r>
      <w:r>
        <w:tab/>
      </w:r>
      <w:r>
        <w:t>1</w:t>
      </w:r>
      <w:r>
        <w:fldChar w:fldCharType="end"/>
      </w:r>
      <w:r>
        <w:t>3</w:t>
      </w:r>
    </w:p>
    <w:p w14:paraId="24A4379D">
      <w:pPr>
        <w:pStyle w:val="12"/>
        <w:tabs>
          <w:tab w:val="right" w:leader="dot" w:pos="8844"/>
        </w:tabs>
        <w:ind w:left="640"/>
      </w:pPr>
      <w:r>
        <w:fldChar w:fldCharType="begin"/>
      </w:r>
      <w:r>
        <w:instrText xml:space="preserve"> HYPERLINK \l "_Toc2051" </w:instrText>
      </w:r>
      <w:r>
        <w:fldChar w:fldCharType="separate"/>
      </w:r>
      <w:r>
        <w:rPr>
          <w:rFonts w:hint="eastAsia" w:cs="方正仿宋_GBK"/>
        </w:rPr>
        <w:t>（二）统筹资源配置，推动医疗服务高质量发展</w:t>
      </w:r>
      <w:r>
        <w:tab/>
      </w:r>
      <w:r>
        <w:fldChar w:fldCharType="begin"/>
      </w:r>
      <w:r>
        <w:instrText xml:space="preserve"> PAGEREF _Toc2051 \h </w:instrText>
      </w:r>
      <w:r>
        <w:fldChar w:fldCharType="separate"/>
      </w:r>
      <w:r>
        <w:t>15</w:t>
      </w:r>
      <w:r>
        <w:fldChar w:fldCharType="end"/>
      </w:r>
      <w:r>
        <w:fldChar w:fldCharType="end"/>
      </w:r>
    </w:p>
    <w:p w14:paraId="51ECC287">
      <w:pPr>
        <w:pStyle w:val="12"/>
        <w:tabs>
          <w:tab w:val="right" w:leader="dot" w:pos="8844"/>
        </w:tabs>
        <w:ind w:left="640"/>
      </w:pPr>
      <w:r>
        <w:fldChar w:fldCharType="begin"/>
      </w:r>
      <w:r>
        <w:instrText xml:space="preserve"> HYPERLINK \l "_Toc9074" </w:instrText>
      </w:r>
      <w:r>
        <w:fldChar w:fldCharType="separate"/>
      </w:r>
      <w:r>
        <w:rPr>
          <w:rFonts w:hint="eastAsia" w:cs="方正仿宋_GBK"/>
        </w:rPr>
        <w:t>（三）全方位促进健康，深入实施健康中国奉节行动</w:t>
      </w:r>
      <w:r>
        <w:tab/>
      </w:r>
      <w:r>
        <w:fldChar w:fldCharType="begin"/>
      </w:r>
      <w:r>
        <w:instrText xml:space="preserve"> PAGEREF _Toc9074 \h </w:instrText>
      </w:r>
      <w:r>
        <w:fldChar w:fldCharType="separate"/>
      </w:r>
      <w:r>
        <w:t>19</w:t>
      </w:r>
      <w:r>
        <w:fldChar w:fldCharType="end"/>
      </w:r>
      <w:r>
        <w:fldChar w:fldCharType="end"/>
      </w:r>
    </w:p>
    <w:p w14:paraId="77E78E5A">
      <w:pPr>
        <w:pStyle w:val="12"/>
        <w:tabs>
          <w:tab w:val="right" w:leader="dot" w:pos="8844"/>
        </w:tabs>
        <w:ind w:left="640"/>
      </w:pPr>
      <w:r>
        <w:fldChar w:fldCharType="begin"/>
      </w:r>
      <w:r>
        <w:instrText xml:space="preserve"> HYPERLINK \l "_Toc17632" </w:instrText>
      </w:r>
      <w:r>
        <w:fldChar w:fldCharType="separate"/>
      </w:r>
      <w:r>
        <w:rPr>
          <w:rFonts w:hint="eastAsia" w:cs="方正仿宋_GBK"/>
        </w:rPr>
        <w:t>（四）坚持中西医并重，推进中医药事业传承创新发展</w:t>
      </w:r>
      <w:r>
        <w:tab/>
      </w:r>
      <w:r>
        <w:fldChar w:fldCharType="begin"/>
      </w:r>
      <w:r>
        <w:instrText xml:space="preserve"> PAGEREF _Toc17632 \h </w:instrText>
      </w:r>
      <w:r>
        <w:fldChar w:fldCharType="separate"/>
      </w:r>
      <w:r>
        <w:t>24</w:t>
      </w:r>
      <w:r>
        <w:fldChar w:fldCharType="end"/>
      </w:r>
      <w:r>
        <w:fldChar w:fldCharType="end"/>
      </w:r>
    </w:p>
    <w:p w14:paraId="2C8B11CB">
      <w:pPr>
        <w:pStyle w:val="12"/>
        <w:tabs>
          <w:tab w:val="right" w:leader="dot" w:pos="8844"/>
        </w:tabs>
        <w:ind w:left="640"/>
      </w:pPr>
      <w:r>
        <w:fldChar w:fldCharType="begin"/>
      </w:r>
      <w:r>
        <w:instrText xml:space="preserve"> HYPERLINK \l "_Toc28377" </w:instrText>
      </w:r>
      <w:r>
        <w:fldChar w:fldCharType="separate"/>
      </w:r>
      <w:r>
        <w:rPr>
          <w:rFonts w:hint="eastAsia" w:cs="方正仿宋_GBK"/>
        </w:rPr>
        <w:t>（五）全面深化医药卫生体制改革，释放服务新动能</w:t>
      </w:r>
      <w:r>
        <w:tab/>
      </w:r>
      <w:r>
        <w:fldChar w:fldCharType="begin"/>
      </w:r>
      <w:r>
        <w:instrText xml:space="preserve"> PAGEREF _Toc28377 \h </w:instrText>
      </w:r>
      <w:r>
        <w:fldChar w:fldCharType="separate"/>
      </w:r>
      <w:r>
        <w:t>26</w:t>
      </w:r>
      <w:r>
        <w:fldChar w:fldCharType="end"/>
      </w:r>
      <w:r>
        <w:fldChar w:fldCharType="end"/>
      </w:r>
    </w:p>
    <w:p w14:paraId="61EB13A8">
      <w:pPr>
        <w:pStyle w:val="12"/>
        <w:tabs>
          <w:tab w:val="right" w:leader="dot" w:pos="8844"/>
        </w:tabs>
        <w:ind w:left="640"/>
      </w:pPr>
      <w:r>
        <w:fldChar w:fldCharType="begin"/>
      </w:r>
      <w:r>
        <w:instrText xml:space="preserve"> HYPERLINK \l "_Toc29286" </w:instrText>
      </w:r>
      <w:r>
        <w:fldChar w:fldCharType="separate"/>
      </w:r>
      <w:r>
        <w:rPr>
          <w:rFonts w:hint="eastAsia" w:cs="方正仿宋_GBK"/>
        </w:rPr>
        <w:t>（六）优化生育政策，促进人口均衡发展</w:t>
      </w:r>
      <w:r>
        <w:tab/>
      </w:r>
      <w:r>
        <w:fldChar w:fldCharType="begin"/>
      </w:r>
      <w:r>
        <w:instrText xml:space="preserve"> PAGEREF _Toc29286 \h </w:instrText>
      </w:r>
      <w:r>
        <w:fldChar w:fldCharType="separate"/>
      </w:r>
      <w:r>
        <w:t>29</w:t>
      </w:r>
      <w:r>
        <w:fldChar w:fldCharType="end"/>
      </w:r>
      <w:r>
        <w:fldChar w:fldCharType="end"/>
      </w:r>
    </w:p>
    <w:p w14:paraId="78B0DB42">
      <w:pPr>
        <w:pStyle w:val="12"/>
        <w:tabs>
          <w:tab w:val="right" w:leader="dot" w:pos="8844"/>
        </w:tabs>
        <w:ind w:left="640"/>
      </w:pPr>
      <w:r>
        <w:fldChar w:fldCharType="begin"/>
      </w:r>
      <w:r>
        <w:instrText xml:space="preserve"> HYPERLINK \l "_Toc4349" </w:instrText>
      </w:r>
      <w:r>
        <w:fldChar w:fldCharType="separate"/>
      </w:r>
      <w:r>
        <w:rPr>
          <w:rFonts w:hint="eastAsia" w:cs="方正仿宋_GBK"/>
        </w:rPr>
        <w:t>（七）顺应产业发展趋势，促进健康服务业高质量发展</w:t>
      </w:r>
      <w:r>
        <w:tab/>
      </w:r>
      <w:r>
        <w:fldChar w:fldCharType="begin"/>
      </w:r>
      <w:r>
        <w:instrText xml:space="preserve"> PAGEREF _Toc4349 \h </w:instrText>
      </w:r>
      <w:r>
        <w:fldChar w:fldCharType="separate"/>
      </w:r>
      <w:r>
        <w:t>32</w:t>
      </w:r>
      <w:r>
        <w:fldChar w:fldCharType="end"/>
      </w:r>
      <w:r>
        <w:fldChar w:fldCharType="end"/>
      </w:r>
    </w:p>
    <w:p w14:paraId="78C9190F">
      <w:pPr>
        <w:pStyle w:val="12"/>
        <w:tabs>
          <w:tab w:val="right" w:leader="dot" w:pos="8844"/>
        </w:tabs>
        <w:ind w:left="640"/>
      </w:pPr>
      <w:r>
        <w:fldChar w:fldCharType="begin"/>
      </w:r>
      <w:r>
        <w:instrText xml:space="preserve"> HYPERLINK \l "_Toc5718" </w:instrText>
      </w:r>
      <w:r>
        <w:fldChar w:fldCharType="separate"/>
      </w:r>
      <w:r>
        <w:rPr>
          <w:rFonts w:hint="eastAsia" w:cs="方正仿宋_GBK"/>
        </w:rPr>
        <w:t>（八）强化人才队伍与信息化建设，筑牢发展支撑与保障</w:t>
      </w:r>
      <w:r>
        <w:tab/>
      </w:r>
      <w:r>
        <w:fldChar w:fldCharType="begin"/>
      </w:r>
      <w:r>
        <w:instrText xml:space="preserve"> PAGEREF _Toc5718 \h </w:instrText>
      </w:r>
      <w:r>
        <w:fldChar w:fldCharType="separate"/>
      </w:r>
      <w:r>
        <w:t>33</w:t>
      </w:r>
      <w:r>
        <w:fldChar w:fldCharType="end"/>
      </w:r>
      <w:r>
        <w:fldChar w:fldCharType="end"/>
      </w:r>
    </w:p>
    <w:p w14:paraId="655A23F9">
      <w:pPr>
        <w:pStyle w:val="11"/>
        <w:tabs>
          <w:tab w:val="right" w:leader="dot" w:pos="8844"/>
        </w:tabs>
        <w:rPr>
          <w:rFonts w:eastAsia="方正黑体_GBK"/>
        </w:rPr>
      </w:pPr>
      <w:r>
        <w:rPr>
          <w:rFonts w:hint="eastAsia" w:cs="方正仿宋_GBK"/>
        </w:rPr>
        <w:t>　　</w:t>
      </w:r>
      <w:r>
        <w:fldChar w:fldCharType="begin"/>
      </w:r>
      <w:r>
        <w:instrText xml:space="preserve"> HYPERLINK \l "_Toc21426" </w:instrText>
      </w:r>
      <w:r>
        <w:fldChar w:fldCharType="separate"/>
      </w:r>
      <w:r>
        <w:rPr>
          <w:rFonts w:hint="eastAsia" w:hAnsi="方正黑体_GBK" w:eastAsia="方正黑体_GBK" w:cs="方正黑体_GBK"/>
        </w:rPr>
        <w:t>四、保障措施</w:t>
      </w:r>
      <w:r>
        <w:rPr>
          <w:rFonts w:eastAsia="方正黑体_GBK"/>
        </w:rPr>
        <w:tab/>
      </w:r>
      <w:r>
        <w:rPr>
          <w:rFonts w:eastAsia="方正黑体_GBK"/>
        </w:rPr>
        <w:fldChar w:fldCharType="begin"/>
      </w:r>
      <w:r>
        <w:rPr>
          <w:rFonts w:eastAsia="方正黑体_GBK"/>
        </w:rPr>
        <w:instrText xml:space="preserve"> PAGEREF _Toc21426 \h </w:instrText>
      </w:r>
      <w:r>
        <w:rPr>
          <w:rFonts w:eastAsia="方正黑体_GBK"/>
        </w:rPr>
        <w:fldChar w:fldCharType="separate"/>
      </w:r>
      <w:r>
        <w:rPr>
          <w:rFonts w:eastAsia="方正黑体_GBK"/>
        </w:rPr>
        <w:t>36</w:t>
      </w:r>
      <w:r>
        <w:rPr>
          <w:rFonts w:eastAsia="方正黑体_GBK"/>
        </w:rPr>
        <w:fldChar w:fldCharType="end"/>
      </w:r>
      <w:r>
        <w:rPr>
          <w:rFonts w:eastAsia="方正黑体_GBK"/>
        </w:rPr>
        <w:fldChar w:fldCharType="end"/>
      </w:r>
    </w:p>
    <w:p w14:paraId="4C56C17A">
      <w:pPr>
        <w:pStyle w:val="12"/>
        <w:tabs>
          <w:tab w:val="right" w:leader="dot" w:pos="8844"/>
        </w:tabs>
        <w:ind w:left="640"/>
      </w:pPr>
      <w:r>
        <w:fldChar w:fldCharType="begin"/>
      </w:r>
      <w:r>
        <w:instrText xml:space="preserve"> HYPERLINK \l "_Toc16199" </w:instrText>
      </w:r>
      <w:r>
        <w:fldChar w:fldCharType="separate"/>
      </w:r>
      <w:r>
        <w:rPr>
          <w:rFonts w:hint="eastAsia" w:cs="方正仿宋_GBK"/>
        </w:rPr>
        <w:t>（一）强化组织领导</w:t>
      </w:r>
      <w:r>
        <w:tab/>
      </w:r>
      <w:r>
        <w:fldChar w:fldCharType="begin"/>
      </w:r>
      <w:r>
        <w:instrText xml:space="preserve"> PAGEREF _Toc16199 \h </w:instrText>
      </w:r>
      <w:r>
        <w:fldChar w:fldCharType="separate"/>
      </w:r>
      <w:r>
        <w:t>36</w:t>
      </w:r>
      <w:r>
        <w:fldChar w:fldCharType="end"/>
      </w:r>
      <w:r>
        <w:fldChar w:fldCharType="end"/>
      </w:r>
    </w:p>
    <w:p w14:paraId="5A9EDB90">
      <w:pPr>
        <w:pStyle w:val="12"/>
        <w:tabs>
          <w:tab w:val="right" w:leader="dot" w:pos="8844"/>
        </w:tabs>
        <w:ind w:left="640"/>
      </w:pPr>
      <w:r>
        <w:fldChar w:fldCharType="begin"/>
      </w:r>
      <w:r>
        <w:instrText xml:space="preserve"> HYPERLINK \l "_Toc11339" </w:instrText>
      </w:r>
      <w:r>
        <w:fldChar w:fldCharType="separate"/>
      </w:r>
      <w:r>
        <w:rPr>
          <w:rFonts w:hint="eastAsia" w:cs="方正仿宋_GBK"/>
        </w:rPr>
        <w:t>（二）完善配套政策</w:t>
      </w:r>
      <w:r>
        <w:tab/>
      </w:r>
      <w:r>
        <w:fldChar w:fldCharType="begin"/>
      </w:r>
      <w:r>
        <w:instrText xml:space="preserve"> PAGEREF _Toc11339 \h </w:instrText>
      </w:r>
      <w:r>
        <w:fldChar w:fldCharType="separate"/>
      </w:r>
      <w:r>
        <w:t>37</w:t>
      </w:r>
      <w:r>
        <w:fldChar w:fldCharType="end"/>
      </w:r>
      <w:r>
        <w:fldChar w:fldCharType="end"/>
      </w:r>
    </w:p>
    <w:p w14:paraId="38F48900">
      <w:pPr>
        <w:pStyle w:val="12"/>
        <w:tabs>
          <w:tab w:val="right" w:leader="dot" w:pos="8844"/>
        </w:tabs>
        <w:ind w:left="640"/>
      </w:pPr>
      <w:r>
        <w:fldChar w:fldCharType="begin"/>
      </w:r>
      <w:r>
        <w:instrText xml:space="preserve"> HYPERLINK \l "_Toc5993" </w:instrText>
      </w:r>
      <w:r>
        <w:fldChar w:fldCharType="separate"/>
      </w:r>
      <w:r>
        <w:rPr>
          <w:rFonts w:hint="eastAsia" w:cs="方正仿宋_GBK"/>
        </w:rPr>
        <w:t>（三）营造良好氛围</w:t>
      </w:r>
      <w:r>
        <w:tab/>
      </w:r>
      <w:r>
        <w:fldChar w:fldCharType="begin"/>
      </w:r>
      <w:r>
        <w:instrText xml:space="preserve"> PAGEREF _Toc5993 \h </w:instrText>
      </w:r>
      <w:r>
        <w:fldChar w:fldCharType="separate"/>
      </w:r>
      <w:r>
        <w:t>37</w:t>
      </w:r>
      <w:r>
        <w:fldChar w:fldCharType="end"/>
      </w:r>
      <w:r>
        <w:fldChar w:fldCharType="end"/>
      </w:r>
    </w:p>
    <w:p w14:paraId="483DF885">
      <w:pPr>
        <w:pStyle w:val="12"/>
        <w:tabs>
          <w:tab w:val="right" w:leader="dot" w:pos="8844"/>
        </w:tabs>
        <w:ind w:left="640"/>
      </w:pPr>
      <w:r>
        <w:fldChar w:fldCharType="begin"/>
      </w:r>
      <w:r>
        <w:instrText xml:space="preserve"> HYPERLINK \l "_Toc15165" </w:instrText>
      </w:r>
      <w:r>
        <w:fldChar w:fldCharType="separate"/>
      </w:r>
      <w:r>
        <w:rPr>
          <w:rFonts w:hint="eastAsia" w:cs="方正仿宋_GBK"/>
        </w:rPr>
        <w:t>（四）加强监测评估</w:t>
      </w:r>
      <w:r>
        <w:tab/>
      </w:r>
      <w:r>
        <w:fldChar w:fldCharType="begin"/>
      </w:r>
      <w:r>
        <w:instrText xml:space="preserve"> PAGEREF _Toc15165 \h </w:instrText>
      </w:r>
      <w:r>
        <w:fldChar w:fldCharType="separate"/>
      </w:r>
      <w:r>
        <w:t>38</w:t>
      </w:r>
      <w:r>
        <w:fldChar w:fldCharType="end"/>
      </w:r>
      <w:r>
        <w:fldChar w:fldCharType="end"/>
      </w:r>
    </w:p>
    <w:p w14:paraId="0D252FFA">
      <w:pPr>
        <w:spacing w:line="600" w:lineRule="exact"/>
        <w:jc w:val="center"/>
        <w:rPr>
          <w:rFonts w:eastAsia="方正小标宋_GBK"/>
          <w:sz w:val="44"/>
          <w:szCs w:val="44"/>
        </w:rPr>
      </w:pPr>
      <w:r>
        <w:rPr>
          <w:rFonts w:eastAsia="方正小标宋_GBK"/>
          <w:sz w:val="44"/>
          <w:szCs w:val="44"/>
        </w:rPr>
        <w:fldChar w:fldCharType="end"/>
      </w:r>
    </w:p>
    <w:p w14:paraId="3F8B7D01">
      <w:pPr>
        <w:spacing w:line="600" w:lineRule="exact"/>
        <w:jc w:val="center"/>
        <w:rPr>
          <w:rFonts w:eastAsia="方正小标宋_GBK"/>
          <w:sz w:val="44"/>
          <w:szCs w:val="44"/>
        </w:rPr>
      </w:pPr>
    </w:p>
    <w:p w14:paraId="1EC13167">
      <w:pPr>
        <w:spacing w:line="600" w:lineRule="exact"/>
        <w:jc w:val="center"/>
        <w:rPr>
          <w:rFonts w:eastAsia="方正小标宋_GBK"/>
          <w:sz w:val="44"/>
          <w:szCs w:val="44"/>
        </w:rPr>
      </w:pPr>
    </w:p>
    <w:p w14:paraId="0580C2F6">
      <w:pPr>
        <w:spacing w:line="600" w:lineRule="exact"/>
        <w:jc w:val="center"/>
        <w:rPr>
          <w:rFonts w:eastAsia="方正小标宋_GBK"/>
          <w:sz w:val="44"/>
          <w:szCs w:val="44"/>
        </w:rPr>
      </w:pPr>
    </w:p>
    <w:p w14:paraId="44B9D0A4">
      <w:pPr>
        <w:spacing w:line="600" w:lineRule="exact"/>
        <w:jc w:val="center"/>
        <w:rPr>
          <w:rFonts w:eastAsia="方正小标宋_GBK"/>
          <w:sz w:val="44"/>
          <w:szCs w:val="44"/>
        </w:rPr>
      </w:pPr>
    </w:p>
    <w:p w14:paraId="57DBBAF5">
      <w:pPr>
        <w:spacing w:line="600" w:lineRule="exact"/>
        <w:jc w:val="center"/>
        <w:rPr>
          <w:rFonts w:eastAsia="方正小标宋_GBK"/>
          <w:sz w:val="44"/>
          <w:szCs w:val="44"/>
        </w:rPr>
      </w:pPr>
    </w:p>
    <w:p w14:paraId="424A4A69">
      <w:pPr>
        <w:spacing w:line="600" w:lineRule="exact"/>
        <w:jc w:val="center"/>
        <w:rPr>
          <w:rFonts w:eastAsia="方正小标宋_GBK"/>
          <w:sz w:val="44"/>
          <w:szCs w:val="44"/>
        </w:rPr>
      </w:pPr>
    </w:p>
    <w:p w14:paraId="3587CAD5">
      <w:pPr>
        <w:spacing w:line="600" w:lineRule="exact"/>
        <w:jc w:val="center"/>
        <w:rPr>
          <w:rFonts w:eastAsia="方正小标宋_GBK"/>
          <w:sz w:val="44"/>
          <w:szCs w:val="44"/>
        </w:rPr>
      </w:pPr>
    </w:p>
    <w:p w14:paraId="0C306D79">
      <w:pPr>
        <w:spacing w:line="600" w:lineRule="exact"/>
        <w:jc w:val="center"/>
        <w:rPr>
          <w:rFonts w:eastAsia="方正小标宋_GBK"/>
          <w:sz w:val="44"/>
          <w:szCs w:val="44"/>
        </w:rPr>
      </w:pPr>
    </w:p>
    <w:p w14:paraId="2648838C">
      <w:pPr>
        <w:spacing w:line="600" w:lineRule="exact"/>
        <w:jc w:val="center"/>
        <w:rPr>
          <w:rFonts w:eastAsia="方正小标宋_GBK"/>
          <w:sz w:val="44"/>
          <w:szCs w:val="44"/>
        </w:rPr>
      </w:pPr>
    </w:p>
    <w:p w14:paraId="1DB82669">
      <w:pPr>
        <w:spacing w:line="600" w:lineRule="exact"/>
        <w:jc w:val="center"/>
        <w:rPr>
          <w:rFonts w:eastAsia="方正小标宋_GBK"/>
          <w:sz w:val="44"/>
          <w:szCs w:val="44"/>
        </w:rPr>
        <w:sectPr>
          <w:footerReference r:id="rId5" w:type="default"/>
          <w:pgSz w:w="11906" w:h="16838"/>
          <w:pgMar w:top="2098" w:right="1531" w:bottom="1985" w:left="1531" w:header="1418" w:footer="1304" w:gutter="0"/>
          <w:pgNumType w:start="1"/>
          <w:cols w:space="720" w:num="1"/>
          <w:docGrid w:type="linesAndChars" w:linePitch="318" w:charSpace="0"/>
        </w:sectPr>
      </w:pPr>
    </w:p>
    <w:p w14:paraId="3BEB26F0">
      <w:pPr>
        <w:spacing w:line="600" w:lineRule="exact"/>
        <w:jc w:val="center"/>
        <w:rPr>
          <w:rFonts w:eastAsia="方正小标宋_GBK"/>
          <w:sz w:val="44"/>
          <w:szCs w:val="44"/>
        </w:rPr>
      </w:pPr>
      <w:r>
        <w:rPr>
          <w:rFonts w:hint="eastAsia" w:hAnsi="方正小标宋_GBK" w:eastAsia="方正小标宋_GBK" w:cs="方正小标宋_GBK"/>
          <w:sz w:val="44"/>
          <w:szCs w:val="44"/>
        </w:rPr>
        <w:t>奉节县卫生健康事业发展</w:t>
      </w:r>
    </w:p>
    <w:p w14:paraId="5C9082CE">
      <w:pPr>
        <w:spacing w:line="600" w:lineRule="exact"/>
        <w:jc w:val="center"/>
        <w:rPr>
          <w:rFonts w:eastAsia="方正小标宋_GBK"/>
          <w:sz w:val="44"/>
          <w:szCs w:val="44"/>
        </w:rPr>
      </w:pPr>
      <w:r>
        <w:rPr>
          <w:rFonts w:eastAsia="方正小标宋_GBK"/>
          <w:sz w:val="44"/>
          <w:szCs w:val="44"/>
        </w:rPr>
        <w:t>“</w:t>
      </w:r>
      <w:r>
        <w:rPr>
          <w:rFonts w:hint="eastAsia" w:hAnsi="方正小标宋_GBK" w:eastAsia="方正小标宋_GBK" w:cs="方正小标宋_GBK"/>
          <w:sz w:val="44"/>
          <w:szCs w:val="44"/>
        </w:rPr>
        <w:t>十四五</w:t>
      </w:r>
      <w:r>
        <w:rPr>
          <w:rFonts w:eastAsia="方正小标宋_GBK"/>
          <w:sz w:val="44"/>
          <w:szCs w:val="44"/>
        </w:rPr>
        <w:t>”</w:t>
      </w:r>
      <w:r>
        <w:rPr>
          <w:rFonts w:hint="eastAsia" w:hAnsi="方正小标宋_GBK" w:eastAsia="方正小标宋_GBK" w:cs="方正小标宋_GBK"/>
          <w:sz w:val="44"/>
          <w:szCs w:val="44"/>
        </w:rPr>
        <w:t>规划</w:t>
      </w:r>
    </w:p>
    <w:p w14:paraId="6285B717">
      <w:pPr>
        <w:tabs>
          <w:tab w:val="left" w:pos="8640"/>
        </w:tabs>
        <w:spacing w:line="600" w:lineRule="exact"/>
        <w:jc w:val="center"/>
        <w:rPr>
          <w:kern w:val="0"/>
        </w:rPr>
      </w:pPr>
    </w:p>
    <w:p w14:paraId="728AD7F0">
      <w:pPr>
        <w:spacing w:line="600" w:lineRule="exact"/>
      </w:pPr>
      <w:r>
        <w:t xml:space="preserve">    </w:t>
      </w:r>
      <w:r>
        <w:rPr>
          <w:rFonts w:hint="eastAsia" w:cs="方正仿宋_GBK"/>
        </w:rPr>
        <w:t>为进一步推动我县卫生健康事业发展，更好满足城乡居民卫生健康服务需求，不断提高人民群众健康水平，根据《奉节县国民经济和社会发展</w:t>
      </w:r>
      <w:bookmarkStart w:id="0" w:name="_Toc23067"/>
      <w:bookmarkStart w:id="1" w:name="_Toc57270200"/>
      <w:bookmarkStart w:id="2" w:name="_Toc57455587"/>
      <w:bookmarkStart w:id="3" w:name="_Toc57242412"/>
      <w:bookmarkStart w:id="4" w:name="_Toc11208"/>
      <w:bookmarkStart w:id="5" w:name="_Toc18551"/>
      <w:bookmarkStart w:id="6" w:name="_Toc10492"/>
      <w:bookmarkStart w:id="7" w:name="_Toc57458576"/>
      <w:r>
        <w:rPr>
          <w:rFonts w:hint="eastAsia" w:cs="方正仿宋_GBK"/>
        </w:rPr>
        <w:t>第十四个五年规划</w:t>
      </w:r>
      <w:bookmarkEnd w:id="0"/>
      <w:bookmarkEnd w:id="1"/>
      <w:bookmarkEnd w:id="2"/>
      <w:bookmarkEnd w:id="3"/>
      <w:bookmarkEnd w:id="4"/>
      <w:bookmarkEnd w:id="5"/>
      <w:bookmarkEnd w:id="6"/>
      <w:bookmarkEnd w:id="7"/>
      <w:r>
        <w:rPr>
          <w:rFonts w:hint="eastAsia" w:cs="方正仿宋_GBK"/>
        </w:rPr>
        <w:t>和二〇三五年远景目标纲要》《重庆市卫生健康事业发展</w:t>
      </w:r>
      <w:r>
        <w:t>“</w:t>
      </w:r>
      <w:r>
        <w:rPr>
          <w:rFonts w:hint="eastAsia" w:cs="方正仿宋_GBK"/>
        </w:rPr>
        <w:t>十四五</w:t>
      </w:r>
      <w:r>
        <w:t>”</w:t>
      </w:r>
      <w:r>
        <w:rPr>
          <w:rFonts w:hint="eastAsia" w:cs="方正仿宋_GBK"/>
        </w:rPr>
        <w:t>规划》《健康中国重庆行动奉节实施方案》，编制本规划。本规划年限为</w:t>
      </w:r>
      <w:r>
        <w:t>2021—2025</w:t>
      </w:r>
      <w:r>
        <w:rPr>
          <w:rFonts w:hint="eastAsia" w:cs="方正仿宋_GBK"/>
        </w:rPr>
        <w:t>年。</w:t>
      </w:r>
    </w:p>
    <w:p w14:paraId="02EDD394">
      <w:pPr>
        <w:spacing w:line="600" w:lineRule="exact"/>
        <w:ind w:firstLine="640" w:firstLineChars="200"/>
        <w:rPr>
          <w:rFonts w:eastAsia="方正黑体_GBK"/>
        </w:rPr>
      </w:pPr>
      <w:bookmarkStart w:id="8" w:name="_Toc27425"/>
      <w:r>
        <w:rPr>
          <w:rFonts w:hint="eastAsia" w:eastAsia="方正黑体_GBK" w:cs="方正黑体_GBK"/>
        </w:rPr>
        <w:t>一、规划背景</w:t>
      </w:r>
      <w:bookmarkEnd w:id="8"/>
    </w:p>
    <w:p w14:paraId="1287BE63">
      <w:pPr>
        <w:spacing w:line="600" w:lineRule="exact"/>
        <w:ind w:firstLine="640" w:firstLineChars="200"/>
        <w:rPr>
          <w:rFonts w:eastAsia="方正楷体_GBK"/>
        </w:rPr>
      </w:pPr>
      <w:bookmarkStart w:id="9" w:name="_Toc15919"/>
      <w:r>
        <w:rPr>
          <w:rFonts w:hint="eastAsia" w:eastAsia="方正楷体_GBK" w:cs="方正楷体_GBK"/>
        </w:rPr>
        <w:t>（一）发展基础</w:t>
      </w:r>
      <w:bookmarkEnd w:id="9"/>
    </w:p>
    <w:p w14:paraId="7C59FD79">
      <w:pPr>
        <w:spacing w:line="600" w:lineRule="exact"/>
        <w:ind w:firstLine="640" w:firstLineChars="200"/>
      </w:pPr>
      <w:r>
        <w:t>“</w:t>
      </w:r>
      <w:r>
        <w:rPr>
          <w:rFonts w:hint="eastAsia" w:cs="方正仿宋_GBK"/>
        </w:rPr>
        <w:t>十三五</w:t>
      </w:r>
      <w:r>
        <w:t>”</w:t>
      </w:r>
      <w:r>
        <w:rPr>
          <w:rFonts w:hint="eastAsia" w:cs="方正仿宋_GBK"/>
        </w:rPr>
        <w:t>期间，我县卫生健康事业取得重大进展，卫生服务能力和水平大幅提升，对经济社会发展保障护航的作用进一步彰显，为</w:t>
      </w:r>
      <w:r>
        <w:t>“</w:t>
      </w:r>
      <w:r>
        <w:rPr>
          <w:rFonts w:hint="eastAsia" w:cs="方正仿宋_GBK"/>
        </w:rPr>
        <w:t>十四五</w:t>
      </w:r>
      <w:r>
        <w:t>”</w:t>
      </w:r>
      <w:r>
        <w:rPr>
          <w:rFonts w:hint="eastAsia" w:cs="方正仿宋_GBK"/>
        </w:rPr>
        <w:t>卫生健康事业发展奠定了良好的基础。</w:t>
      </w:r>
    </w:p>
    <w:p w14:paraId="39DC93DB">
      <w:pPr>
        <w:spacing w:line="600" w:lineRule="exact"/>
        <w:ind w:firstLine="640" w:firstLineChars="200"/>
      </w:pPr>
      <w:bookmarkStart w:id="10" w:name="_Toc421820644"/>
      <w:r>
        <w:rPr>
          <w:rFonts w:hint="eastAsia" w:cs="方正仿宋_GBK"/>
          <w:b/>
          <w:bCs/>
        </w:rPr>
        <w:t>居民健康水平显著提高。</w:t>
      </w:r>
      <w:r>
        <w:rPr>
          <w:rFonts w:hint="eastAsia" w:cs="方正仿宋_GBK"/>
        </w:rPr>
        <w:t>全县人均期望寿命从</w:t>
      </w:r>
      <w:r>
        <w:t>2015</w:t>
      </w:r>
      <w:r>
        <w:rPr>
          <w:rFonts w:hint="eastAsia" w:cs="方正仿宋_GBK"/>
        </w:rPr>
        <w:t>年的</w:t>
      </w:r>
      <w:r>
        <w:t>75.57</w:t>
      </w:r>
      <w:r>
        <w:rPr>
          <w:rFonts w:hint="eastAsia" w:cs="方正仿宋_GBK"/>
        </w:rPr>
        <w:t>岁提升到</w:t>
      </w:r>
      <w:r>
        <w:t>77.07</w:t>
      </w:r>
      <w:r>
        <w:rPr>
          <w:rFonts w:hint="eastAsia" w:cs="方正仿宋_GBK"/>
        </w:rPr>
        <w:t>岁，孕产妇死亡率由</w:t>
      </w:r>
      <w:r>
        <w:t>32.03/10</w:t>
      </w:r>
      <w:r>
        <w:rPr>
          <w:rFonts w:hint="eastAsia" w:cs="方正仿宋_GBK"/>
        </w:rPr>
        <w:t>万下降到</w:t>
      </w:r>
      <w:r>
        <w:t>15.86/10</w:t>
      </w:r>
      <w:r>
        <w:rPr>
          <w:rFonts w:hint="eastAsia" w:cs="方正仿宋_GBK"/>
        </w:rPr>
        <w:t>万，婴儿死亡率由</w:t>
      </w:r>
      <w:r>
        <w:t>5.02‰</w:t>
      </w:r>
      <w:r>
        <w:rPr>
          <w:rFonts w:hint="eastAsia" w:cs="方正仿宋_GBK"/>
        </w:rPr>
        <w:t>下降到</w:t>
      </w:r>
      <w:r>
        <w:t>3.65‰</w:t>
      </w:r>
      <w:r>
        <w:rPr>
          <w:rFonts w:hint="eastAsia" w:cs="方正仿宋_GBK"/>
        </w:rPr>
        <w:t>。</w:t>
      </w:r>
    </w:p>
    <w:p w14:paraId="05A907BA">
      <w:pPr>
        <w:spacing w:line="600" w:lineRule="exact"/>
        <w:ind w:firstLine="640" w:firstLineChars="200"/>
      </w:pPr>
      <w:r>
        <w:rPr>
          <w:rFonts w:hint="eastAsia" w:cs="方正仿宋_GBK"/>
          <w:b/>
          <w:bCs/>
        </w:rPr>
        <w:t>医疗卫生服务体系更加健全</w:t>
      </w:r>
      <w:r>
        <w:rPr>
          <w:rFonts w:hint="eastAsia" w:cs="方正仿宋_GBK"/>
        </w:rPr>
        <w:t>。全县有医疗卫生机构</w:t>
      </w:r>
      <w:r>
        <w:t>541</w:t>
      </w:r>
      <w:r>
        <w:rPr>
          <w:rFonts w:hint="eastAsia" w:cs="方正仿宋_GBK"/>
        </w:rPr>
        <w:t>个，二级医疗机构</w:t>
      </w:r>
      <w:r>
        <w:t>2</w:t>
      </w:r>
      <w:r>
        <w:rPr>
          <w:rFonts w:hint="eastAsia" w:cs="方正仿宋_GBK"/>
        </w:rPr>
        <w:t>个（县人民医院纳入国家三级医院绩效考核名单），妇幼保健机构（妇女儿童医院）</w:t>
      </w:r>
      <w:r>
        <w:t>1</w:t>
      </w:r>
      <w:r>
        <w:rPr>
          <w:rFonts w:hint="eastAsia" w:cs="方正仿宋_GBK"/>
        </w:rPr>
        <w:t>个，卫生监督机构</w:t>
      </w:r>
      <w:r>
        <w:t>1</w:t>
      </w:r>
      <w:r>
        <w:rPr>
          <w:rFonts w:hint="eastAsia" w:cs="方正仿宋_GBK"/>
        </w:rPr>
        <w:t>所，疾病预防控制中心</w:t>
      </w:r>
      <w:r>
        <w:t>1</w:t>
      </w:r>
      <w:r>
        <w:rPr>
          <w:rFonts w:hint="eastAsia" w:cs="方正仿宋_GBK"/>
        </w:rPr>
        <w:t>个，中心血站</w:t>
      </w:r>
      <w:r>
        <w:t>1</w:t>
      </w:r>
      <w:r>
        <w:rPr>
          <w:rFonts w:hint="eastAsia" w:cs="方正仿宋_GBK"/>
        </w:rPr>
        <w:t>个，卫生学校</w:t>
      </w:r>
      <w:r>
        <w:t>1</w:t>
      </w:r>
      <w:r>
        <w:rPr>
          <w:rFonts w:hint="eastAsia" w:cs="方正仿宋_GBK"/>
        </w:rPr>
        <w:t>个，乡镇卫生院</w:t>
      </w:r>
      <w:r>
        <w:t>29</w:t>
      </w:r>
      <w:r>
        <w:rPr>
          <w:rFonts w:hint="eastAsia" w:cs="方正仿宋_GBK"/>
        </w:rPr>
        <w:t>个，街道社区卫生服务中心</w:t>
      </w:r>
      <w:r>
        <w:t>4</w:t>
      </w:r>
      <w:r>
        <w:rPr>
          <w:rFonts w:hint="eastAsia" w:cs="方正仿宋_GBK"/>
        </w:rPr>
        <w:t>个，村卫生室</w:t>
      </w:r>
      <w:r>
        <w:t>330</w:t>
      </w:r>
      <w:r>
        <w:rPr>
          <w:rFonts w:hint="eastAsia" w:cs="方正仿宋_GBK"/>
        </w:rPr>
        <w:t>个。社会资本举办医院</w:t>
      </w:r>
      <w:r>
        <w:t>11</w:t>
      </w:r>
      <w:r>
        <w:rPr>
          <w:rFonts w:hint="eastAsia" w:cs="方正仿宋_GBK"/>
        </w:rPr>
        <w:t>个，个体诊所</w:t>
      </w:r>
      <w:r>
        <w:t>160</w:t>
      </w:r>
      <w:r>
        <w:rPr>
          <w:rFonts w:hint="eastAsia" w:cs="方正仿宋_GBK"/>
        </w:rPr>
        <w:t>个。</w:t>
      </w:r>
    </w:p>
    <w:p w14:paraId="62813881">
      <w:pPr>
        <w:spacing w:line="600" w:lineRule="exact"/>
        <w:ind w:firstLine="640" w:firstLineChars="200"/>
      </w:pPr>
      <w:r>
        <w:rPr>
          <w:rFonts w:hint="eastAsia" w:cs="方正仿宋_GBK"/>
          <w:b/>
          <w:bCs/>
        </w:rPr>
        <w:t>医药卫生体制改革取得突破。</w:t>
      </w:r>
      <w:r>
        <w:rPr>
          <w:rFonts w:hint="eastAsia" w:cs="方正仿宋_GBK"/>
        </w:rPr>
        <w:t>完善价格调整机制，公立医疗机构全面取消药品和医用耗材加成。医共体建设取得新成效，建成以县人民医院、县中医院为龙头的县域医共体，县级专家定期到基层带教、坐诊，促进优质医疗资源下沉。分级诊疗制度取得新进展，发挥医保的调节作用，构建起基层首诊、双向转诊、急慢分治的有序就医格局，县域内就诊率在</w:t>
      </w:r>
      <w:r>
        <w:t>90%</w:t>
      </w:r>
      <w:r>
        <w:rPr>
          <w:rFonts w:hint="eastAsia" w:cs="方正仿宋_GBK"/>
        </w:rPr>
        <w:t>以上。</w:t>
      </w:r>
    </w:p>
    <w:p w14:paraId="4FB45865">
      <w:pPr>
        <w:spacing w:line="600" w:lineRule="exact"/>
        <w:ind w:firstLine="640" w:firstLineChars="200"/>
      </w:pPr>
      <w:r>
        <w:rPr>
          <w:rFonts w:hint="eastAsia" w:cs="方正仿宋_GBK"/>
          <w:b/>
          <w:bCs/>
        </w:rPr>
        <w:t>医疗服务能力得到提高</w:t>
      </w:r>
      <w:r>
        <w:rPr>
          <w:rFonts w:hint="eastAsia" w:cs="方正仿宋_GBK"/>
        </w:rPr>
        <w:t>。卫生资源总量不断增加，结构不断优化，全县每千人口拥有床位数从</w:t>
      </w:r>
      <w:r>
        <w:t>2015</w:t>
      </w:r>
      <w:r>
        <w:rPr>
          <w:rFonts w:hint="eastAsia" w:cs="方正仿宋_GBK"/>
        </w:rPr>
        <w:t>年的</w:t>
      </w:r>
      <w:r>
        <w:t>4.0</w:t>
      </w:r>
      <w:r>
        <w:rPr>
          <w:rFonts w:hint="eastAsia" w:cs="方正仿宋_GBK"/>
        </w:rPr>
        <w:t>张提高到</w:t>
      </w:r>
      <w:r>
        <w:t>6.56</w:t>
      </w:r>
      <w:r>
        <w:rPr>
          <w:rFonts w:hint="eastAsia" w:cs="方正仿宋_GBK"/>
        </w:rPr>
        <w:t>张，每千人口拥有执业（助理）医师数从</w:t>
      </w:r>
      <w:r>
        <w:t>1.58</w:t>
      </w:r>
      <w:r>
        <w:rPr>
          <w:rFonts w:hint="eastAsia" w:cs="方正仿宋_GBK"/>
        </w:rPr>
        <w:t>人增加到</w:t>
      </w:r>
      <w:r>
        <w:t>2.27</w:t>
      </w:r>
      <w:r>
        <w:rPr>
          <w:rFonts w:hint="eastAsia" w:cs="方正仿宋_GBK"/>
        </w:rPr>
        <w:t>人，每千人口注册护士数从</w:t>
      </w:r>
      <w:r>
        <w:t>1.2</w:t>
      </w:r>
      <w:r>
        <w:rPr>
          <w:rFonts w:hint="eastAsia" w:cs="方正仿宋_GBK"/>
        </w:rPr>
        <w:t>人增加到</w:t>
      </w:r>
      <w:r>
        <w:t>3.53</w:t>
      </w:r>
      <w:r>
        <w:rPr>
          <w:rFonts w:hint="eastAsia" w:cs="方正仿宋_GBK"/>
        </w:rPr>
        <w:t>人，医护比为</w:t>
      </w:r>
      <w:r>
        <w:t>1</w:t>
      </w:r>
      <w:r>
        <w:rPr>
          <w:rFonts w:hint="eastAsia" w:cs="方正仿宋_GBK"/>
        </w:rPr>
        <w:t>：</w:t>
      </w:r>
      <w:r>
        <w:t>1.56</w:t>
      </w:r>
      <w:r>
        <w:rPr>
          <w:rFonts w:hint="eastAsia" w:cs="方正仿宋_GBK"/>
        </w:rPr>
        <w:t>；医疗技术能力不断增强，成功创建市级重点专科</w:t>
      </w:r>
      <w:r>
        <w:t>5</w:t>
      </w:r>
      <w:r>
        <w:rPr>
          <w:rFonts w:hint="eastAsia" w:cs="方正仿宋_GBK"/>
        </w:rPr>
        <w:t>个，市级特色专科</w:t>
      </w:r>
      <w:r>
        <w:t>3</w:t>
      </w:r>
      <w:r>
        <w:rPr>
          <w:rFonts w:hint="eastAsia" w:cs="方正仿宋_GBK"/>
        </w:rPr>
        <w:t>个。</w:t>
      </w:r>
    </w:p>
    <w:p w14:paraId="66F59338">
      <w:pPr>
        <w:spacing w:line="600" w:lineRule="exact"/>
        <w:ind w:firstLine="640" w:firstLineChars="200"/>
      </w:pPr>
      <w:bookmarkStart w:id="11" w:name="_Toc421820643"/>
      <w:r>
        <w:rPr>
          <w:rFonts w:hint="eastAsia" w:cs="方正仿宋_GBK"/>
          <w:b/>
          <w:bCs/>
        </w:rPr>
        <w:t>基本公共卫生</w:t>
      </w:r>
      <w:bookmarkEnd w:id="11"/>
      <w:r>
        <w:rPr>
          <w:rFonts w:hint="eastAsia" w:cs="方正仿宋_GBK"/>
          <w:b/>
          <w:bCs/>
        </w:rPr>
        <w:t>服务均等化水平显著增强。</w:t>
      </w:r>
      <w:r>
        <w:rPr>
          <w:rFonts w:hint="eastAsia" w:cs="方正仿宋_GBK"/>
        </w:rPr>
        <w:t>基本公共卫生服务人均经费补助标准提高到</w:t>
      </w:r>
      <w:r>
        <w:t>75</w:t>
      </w:r>
      <w:r>
        <w:rPr>
          <w:rFonts w:hint="eastAsia" w:cs="方正仿宋_GBK"/>
        </w:rPr>
        <w:t>元。肺结核报告发病率下降到</w:t>
      </w:r>
      <w:r>
        <w:t>88/10</w:t>
      </w:r>
      <w:r>
        <w:rPr>
          <w:rFonts w:hint="eastAsia" w:cs="方正仿宋_GBK"/>
        </w:rPr>
        <w:t>万，高血压患者规范化管理率</w:t>
      </w:r>
      <w:r>
        <w:t>67.82%</w:t>
      </w:r>
      <w:r>
        <w:rPr>
          <w:rFonts w:hint="eastAsia" w:cs="方正仿宋_GBK"/>
        </w:rPr>
        <w:t>，糖尿病患者规范化管理率</w:t>
      </w:r>
      <w:r>
        <w:t>67.53%</w:t>
      </w:r>
      <w:r>
        <w:rPr>
          <w:rFonts w:hint="eastAsia" w:cs="方正仿宋_GBK"/>
        </w:rPr>
        <w:t>，老年人健康管理率达到</w:t>
      </w:r>
      <w:r>
        <w:t>60%</w:t>
      </w:r>
      <w:r>
        <w:rPr>
          <w:rFonts w:hint="eastAsia" w:cs="方正仿宋_GBK"/>
        </w:rPr>
        <w:t>以上。爱国卫生运动深入开展，农村卫生厕所普及率达</w:t>
      </w:r>
      <w:r>
        <w:t>68.26%</w:t>
      </w:r>
      <w:r>
        <w:rPr>
          <w:rFonts w:hint="eastAsia" w:cs="方正仿宋_GBK"/>
        </w:rPr>
        <w:t>。居民健康素养水平持续提升。联防联控工作机制不断完善，成功防范和应对新冠肺炎等突发急性传染病和公共卫生事件。卫生计生综合监督执法进一步加强。</w:t>
      </w:r>
    </w:p>
    <w:bookmarkEnd w:id="10"/>
    <w:p w14:paraId="37234D32">
      <w:pPr>
        <w:spacing w:line="600" w:lineRule="exact"/>
        <w:ind w:firstLine="640" w:firstLineChars="200"/>
      </w:pPr>
      <w:bookmarkStart w:id="12" w:name="_Toc421820647"/>
      <w:r>
        <w:rPr>
          <w:rFonts w:hint="eastAsia" w:cs="方正仿宋_GBK"/>
          <w:b/>
          <w:bCs/>
        </w:rPr>
        <w:t>中医药事业</w:t>
      </w:r>
      <w:bookmarkEnd w:id="12"/>
      <w:r>
        <w:rPr>
          <w:rFonts w:hint="eastAsia" w:cs="方正仿宋_GBK"/>
          <w:b/>
          <w:bCs/>
        </w:rPr>
        <w:t>快速发展。</w:t>
      </w:r>
      <w:r>
        <w:rPr>
          <w:rFonts w:hint="eastAsia" w:cs="方正仿宋_GBK"/>
        </w:rPr>
        <w:t>中医药服务体系持续完善，全县各类中医机构</w:t>
      </w:r>
      <w:r>
        <w:t>118</w:t>
      </w:r>
      <w:r>
        <w:rPr>
          <w:rFonts w:hint="eastAsia" w:cs="方正仿宋_GBK"/>
        </w:rPr>
        <w:t>个（中医医院</w:t>
      </w:r>
      <w:r>
        <w:t>2</w:t>
      </w:r>
      <w:r>
        <w:rPr>
          <w:rFonts w:hint="eastAsia" w:cs="方正仿宋_GBK"/>
        </w:rPr>
        <w:t>个、个体中医诊所</w:t>
      </w:r>
      <w:r>
        <w:t>116</w:t>
      </w:r>
      <w:r>
        <w:rPr>
          <w:rFonts w:hint="eastAsia" w:cs="方正仿宋_GBK"/>
        </w:rPr>
        <w:t>个），</w:t>
      </w:r>
      <w:r>
        <w:rPr>
          <w:rFonts w:hint="eastAsia" w:ascii="方正仿宋_GBK" w:hAnsi="方正仿宋_GBK" w:cs="方正仿宋_GBK"/>
          <w:kern w:val="0"/>
        </w:rPr>
        <w:t>中医类别执业（助理）医师数</w:t>
      </w:r>
      <w:r>
        <w:t>310</w:t>
      </w:r>
      <w:r>
        <w:rPr>
          <w:rFonts w:hint="eastAsia" w:cs="方正仿宋_GBK"/>
        </w:rPr>
        <w:t>人，中西医结合医师</w:t>
      </w:r>
      <w:r>
        <w:t>153</w:t>
      </w:r>
      <w:r>
        <w:rPr>
          <w:rFonts w:hint="eastAsia" w:cs="方正仿宋_GBK"/>
        </w:rPr>
        <w:t>人，所有乡镇卫生院、社区卫生服务中心均可提供中医药服务，</w:t>
      </w:r>
      <w:r>
        <w:t>70%</w:t>
      </w:r>
      <w:r>
        <w:rPr>
          <w:rFonts w:hint="eastAsia" w:cs="方正仿宋_GBK"/>
        </w:rPr>
        <w:t>的村卫生室能提供中医药服务。</w:t>
      </w:r>
    </w:p>
    <w:p w14:paraId="26DEE6D5">
      <w:pPr>
        <w:spacing w:line="600" w:lineRule="exact"/>
        <w:ind w:firstLine="640" w:firstLineChars="200"/>
      </w:pPr>
      <w:r>
        <w:rPr>
          <w:rFonts w:hint="eastAsia" w:cs="方正仿宋_GBK"/>
          <w:b/>
          <w:bCs/>
        </w:rPr>
        <w:t>计划生育服务管理改革统筹推进。</w:t>
      </w:r>
      <w:r>
        <w:rPr>
          <w:rFonts w:hint="eastAsia" w:cs="方正仿宋_GBK"/>
        </w:rPr>
        <w:t>全面夯实基层基础工作，配备村级计生干部（综合服务专干）</w:t>
      </w:r>
      <w:r>
        <w:t>359</w:t>
      </w:r>
      <w:r>
        <w:rPr>
          <w:rFonts w:hint="eastAsia" w:cs="方正仿宋_GBK"/>
        </w:rPr>
        <w:t>人。实施免费孕前优生健康检查项目，出生缺陷综合防治不断推进。计划生育奖励扶助政策落实率、计划生育特殊家庭联系人覆盖率均达</w:t>
      </w:r>
      <w:r>
        <w:t>100%</w:t>
      </w:r>
      <w:r>
        <w:rPr>
          <w:rFonts w:hint="eastAsia" w:cs="方正仿宋_GBK"/>
        </w:rPr>
        <w:t>。</w:t>
      </w:r>
      <w:bookmarkStart w:id="13" w:name="_Toc421820648"/>
    </w:p>
    <w:p w14:paraId="646ED8C7">
      <w:pPr>
        <w:spacing w:line="600" w:lineRule="exact"/>
        <w:ind w:firstLine="640" w:firstLineChars="200"/>
      </w:pPr>
      <w:r>
        <w:rPr>
          <w:rFonts w:hint="eastAsia" w:cs="方正仿宋_GBK"/>
          <w:b/>
          <w:bCs/>
        </w:rPr>
        <w:t>卫生健康信息化取得新</w:t>
      </w:r>
      <w:bookmarkEnd w:id="13"/>
      <w:r>
        <w:rPr>
          <w:rFonts w:hint="eastAsia" w:cs="方正仿宋_GBK"/>
          <w:b/>
          <w:bCs/>
        </w:rPr>
        <w:t>进展。</w:t>
      </w:r>
      <w:r>
        <w:rPr>
          <w:rFonts w:hint="eastAsia" w:cs="方正仿宋_GBK"/>
        </w:rPr>
        <w:t>持续完善县级全民健康信息平台建设，依托县人民医院，建成区域影像中心、区域心电中心。加快推进</w:t>
      </w:r>
      <w:r>
        <w:t>“</w:t>
      </w:r>
      <w:r>
        <w:rPr>
          <w:rFonts w:hint="eastAsia" w:cs="方正仿宋_GBK"/>
        </w:rPr>
        <w:t>智慧医院</w:t>
      </w:r>
      <w:r>
        <w:t>”</w:t>
      </w:r>
      <w:r>
        <w:rPr>
          <w:rFonts w:hint="eastAsia" w:cs="方正仿宋_GBK"/>
        </w:rPr>
        <w:t>建设，强化医院精细化的信息化管理。</w:t>
      </w:r>
    </w:p>
    <w:p w14:paraId="0A6849BE">
      <w:pPr>
        <w:spacing w:line="600" w:lineRule="exact"/>
        <w:ind w:firstLine="640" w:firstLineChars="200"/>
      </w:pPr>
      <w:r>
        <w:rPr>
          <w:rFonts w:hint="eastAsia" w:ascii="方正仿宋_GBK" w:hAnsi="方正仿宋_GBK" w:cs="方正仿宋_GBK"/>
          <w:b/>
          <w:bCs/>
        </w:rPr>
        <w:t>健康扶贫工作完美“收官”。</w:t>
      </w:r>
      <w:bookmarkStart w:id="14" w:name="_Toc465151709"/>
      <w:bookmarkStart w:id="15" w:name="_Toc21666"/>
      <w:r>
        <w:rPr>
          <w:rFonts w:hint="eastAsia" w:ascii="方正仿宋_GBK" w:hAnsi="方正仿宋_GBK" w:cs="方正仿宋_GBK"/>
        </w:rPr>
        <w:t>全面达到医疗卫生机构“三建好”、医疗</w:t>
      </w:r>
      <w:r>
        <w:rPr>
          <w:rFonts w:hint="eastAsia" w:cs="方正仿宋_GBK"/>
        </w:rPr>
        <w:t>技术人员</w:t>
      </w:r>
      <w:r>
        <w:t>“</w:t>
      </w:r>
      <w:r>
        <w:rPr>
          <w:rFonts w:hint="eastAsia" w:cs="方正仿宋_GBK"/>
        </w:rPr>
        <w:t>三合格</w:t>
      </w:r>
      <w:r>
        <w:t>”</w:t>
      </w:r>
      <w:r>
        <w:rPr>
          <w:rFonts w:hint="eastAsia" w:cs="方正仿宋_GBK"/>
        </w:rPr>
        <w:t>、医疗服务能力</w:t>
      </w:r>
      <w:r>
        <w:t>“</w:t>
      </w:r>
      <w:r>
        <w:rPr>
          <w:rFonts w:hint="eastAsia" w:cs="方正仿宋_GBK"/>
        </w:rPr>
        <w:t>三达标</w:t>
      </w:r>
      <w:r>
        <w:t>”</w:t>
      </w:r>
      <w:r>
        <w:rPr>
          <w:rFonts w:hint="eastAsia" w:cs="方正仿宋_GBK"/>
        </w:rPr>
        <w:t>目标。</w:t>
      </w:r>
      <w:r>
        <w:rPr>
          <w:rFonts w:hint="eastAsia" w:cs="方正仿宋_GBK"/>
          <w:kern w:val="0"/>
        </w:rPr>
        <w:t>全面落实贫困人口基本医保参保及资助全覆盖及</w:t>
      </w:r>
      <w:r>
        <w:t>“</w:t>
      </w:r>
      <w:r>
        <w:rPr>
          <w:rFonts w:hint="eastAsia" w:cs="方正仿宋_GBK"/>
        </w:rPr>
        <w:t>先诊疗后付费</w:t>
      </w:r>
      <w:r>
        <w:t>”</w:t>
      </w:r>
      <w:r>
        <w:rPr>
          <w:rFonts w:hint="eastAsia" w:cs="方正仿宋_GBK"/>
          <w:kern w:val="0"/>
        </w:rPr>
        <w:t>，</w:t>
      </w:r>
      <w:r>
        <w:rPr>
          <w:rFonts w:hint="eastAsia" w:cs="方正仿宋_GBK"/>
        </w:rPr>
        <w:t>建立</w:t>
      </w:r>
      <w:r>
        <w:rPr>
          <w:rFonts w:hint="eastAsia" w:cs="方正仿宋_GBK"/>
          <w:kern w:val="0"/>
        </w:rPr>
        <w:t>四级家庭医生巡访体系</w:t>
      </w:r>
      <w:r>
        <w:rPr>
          <w:rFonts w:hint="eastAsia" w:cs="方正仿宋_GBK"/>
        </w:rPr>
        <w:t>、</w:t>
      </w:r>
      <w:r>
        <w:t>“</w:t>
      </w:r>
      <w:r>
        <w:rPr>
          <w:rFonts w:hint="eastAsia" w:cs="方正仿宋_GBK"/>
        </w:rPr>
        <w:t>六网同转一站清算</w:t>
      </w:r>
      <w:r>
        <w:t>”</w:t>
      </w:r>
      <w:r>
        <w:rPr>
          <w:rFonts w:hint="eastAsia" w:cs="方正仿宋_GBK"/>
        </w:rPr>
        <w:t>、防漏评防错退</w:t>
      </w:r>
      <w:r>
        <w:t>“353”</w:t>
      </w:r>
      <w:r>
        <w:rPr>
          <w:rFonts w:hint="eastAsia" w:cs="方正仿宋_GBK"/>
        </w:rPr>
        <w:t>工作法等创新工作机制。自</w:t>
      </w:r>
      <w:r>
        <w:t>2017</w:t>
      </w:r>
      <w:r>
        <w:rPr>
          <w:rFonts w:hint="eastAsia" w:cs="方正仿宋_GBK"/>
        </w:rPr>
        <w:t>年以来，健康扶贫基金、三峡集团（县级）等医疗救助专项资金累计救助</w:t>
      </w:r>
      <w:r>
        <w:t>14.08</w:t>
      </w:r>
      <w:r>
        <w:rPr>
          <w:rFonts w:hint="eastAsia" w:cs="方正仿宋_GBK"/>
        </w:rPr>
        <w:t>万人次</w:t>
      </w:r>
      <w:r>
        <w:t>1.39</w:t>
      </w:r>
      <w:r>
        <w:rPr>
          <w:rFonts w:hint="eastAsia" w:cs="方正仿宋_GBK"/>
        </w:rPr>
        <w:t>亿元，贫困患者平均自付比例</w:t>
      </w:r>
      <w:r>
        <w:t>8.26%</w:t>
      </w:r>
      <w:r>
        <w:rPr>
          <w:rFonts w:hint="eastAsia" w:cs="方正仿宋_GBK"/>
        </w:rPr>
        <w:t>。</w:t>
      </w:r>
      <w:r>
        <w:t>33</w:t>
      </w:r>
      <w:r>
        <w:rPr>
          <w:rFonts w:hint="eastAsia" w:cs="方正仿宋_GBK"/>
        </w:rPr>
        <w:t>种大病患者</w:t>
      </w:r>
      <w:r>
        <w:t>4355</w:t>
      </w:r>
      <w:r>
        <w:rPr>
          <w:rFonts w:hint="eastAsia" w:cs="方正仿宋_GBK"/>
        </w:rPr>
        <w:t>人实现</w:t>
      </w:r>
      <w:r>
        <w:t>100%</w:t>
      </w:r>
      <w:r>
        <w:rPr>
          <w:rFonts w:hint="eastAsia" w:cs="方正仿宋_GBK"/>
        </w:rPr>
        <w:t>的</w:t>
      </w:r>
      <w:r>
        <w:rPr>
          <w:rFonts w:hint="eastAsia" w:cs="方正仿宋_GBK"/>
          <w:kern w:val="0"/>
        </w:rPr>
        <w:t>大病专项救治。</w:t>
      </w:r>
      <w:r>
        <w:rPr>
          <w:rFonts w:hint="eastAsia" w:cs="方正仿宋_GBK"/>
        </w:rPr>
        <w:t>全面实现贫困人口基本医疗有保障，典型经验《</w:t>
      </w:r>
      <w:r>
        <w:t>“</w:t>
      </w:r>
      <w:r>
        <w:rPr>
          <w:rFonts w:hint="eastAsia" w:cs="方正仿宋_GBK"/>
        </w:rPr>
        <w:t>六味药方</w:t>
      </w:r>
      <w:r>
        <w:t>”</w:t>
      </w:r>
      <w:r>
        <w:rPr>
          <w:rFonts w:hint="eastAsia" w:cs="方正仿宋_GBK"/>
        </w:rPr>
        <w:t>祛病根拔穷根》在全市得</w:t>
      </w:r>
      <w:r>
        <w:rPr>
          <w:rFonts w:hint="eastAsia" w:ascii="方正仿宋_GBK" w:hAnsi="方正仿宋_GBK" w:cs="方正仿宋_GBK"/>
        </w:rPr>
        <w:t>到推广，县卫生健康委荣获市、县“先进集体”“先进单位”等称号。</w:t>
      </w:r>
    </w:p>
    <w:p w14:paraId="7B9B6C5E">
      <w:pPr>
        <w:spacing w:line="600" w:lineRule="exact"/>
        <w:ind w:firstLine="640" w:firstLineChars="200"/>
        <w:rPr>
          <w:rFonts w:eastAsia="方正楷体_GBK"/>
        </w:rPr>
      </w:pPr>
      <w:r>
        <w:rPr>
          <w:rFonts w:hint="eastAsia" w:eastAsia="方正楷体_GBK" w:cs="方正楷体_GBK"/>
        </w:rPr>
        <w:t>（二）面临形势</w:t>
      </w:r>
      <w:bookmarkEnd w:id="14"/>
      <w:bookmarkEnd w:id="15"/>
    </w:p>
    <w:p w14:paraId="73E63D38">
      <w:pPr>
        <w:spacing w:line="600" w:lineRule="exact"/>
        <w:rPr>
          <w:b/>
          <w:bCs/>
        </w:rPr>
      </w:pPr>
      <w:r>
        <w:rPr>
          <w:rFonts w:hint="eastAsia" w:cs="方正仿宋_GBK"/>
        </w:rPr>
        <w:t>　　</w:t>
      </w:r>
      <w:r>
        <w:rPr>
          <w:b/>
          <w:bCs/>
        </w:rPr>
        <w:t>1.</w:t>
      </w:r>
      <w:r>
        <w:rPr>
          <w:rFonts w:hint="eastAsia" w:cs="方正仿宋_GBK"/>
          <w:b/>
          <w:bCs/>
        </w:rPr>
        <w:t>社会经济发展对卫生健康事业提出了新目标、新要求。</w:t>
      </w:r>
    </w:p>
    <w:p w14:paraId="56F8ECC8">
      <w:pPr>
        <w:spacing w:line="600" w:lineRule="exact"/>
        <w:ind w:firstLine="640" w:firstLineChars="200"/>
      </w:pPr>
      <w:r>
        <w:rPr>
          <w:rFonts w:hint="eastAsia" w:cs="方正仿宋_GBK"/>
        </w:rPr>
        <w:t>社会经济发展从满足基本需求的低收入阶段提高到了满足更高层次需求的中等收入阶段，进入速度变化、结构优化、动力转换的新阶段，对加快转变卫生健康发展方式提出了迫切要求。医改处于系统配套、全面推进转变的关键阶段，医疗卫生服务供给约束与人民群众健康需求不断增长之间的矛盾依然突出，党委政府更加注重提高人民的幸福感，人们更加关注生活质量的提高，对卫生健康事业发展提出了更高要求。全面建设社会主义现代化国家对卫生健康服务提出了新目标，要在解决群众看病就医问题基础上，努力实现以人为本、未病防病、有病治病、终生管理，满足人民群众日益增长的多元健康服务需求，达到全民健康目标。</w:t>
      </w:r>
    </w:p>
    <w:p w14:paraId="218609B6">
      <w:pPr>
        <w:spacing w:line="600" w:lineRule="exact"/>
        <w:ind w:firstLine="640" w:firstLineChars="200"/>
      </w:pPr>
      <w:r>
        <w:rPr>
          <w:rFonts w:hint="eastAsia" w:cs="方正仿宋_GBK"/>
        </w:rPr>
        <w:t>国家实施三孩政策后，人口计生工作的重点将从单纯控制人口总量的增长转移到促进人口长期均衡发展、提高出生人口素质、促进家庭幸福等方面，对进一步完善生育利益导向机制、提升优生优育优教水平、做好对计生特殊家庭的帮扶和关爱提出了新的要求。</w:t>
      </w:r>
    </w:p>
    <w:p w14:paraId="6EF283BA">
      <w:pPr>
        <w:spacing w:line="600" w:lineRule="exact"/>
        <w:ind w:firstLine="640" w:firstLineChars="200"/>
        <w:rPr>
          <w:b/>
          <w:bCs/>
        </w:rPr>
      </w:pPr>
      <w:r>
        <w:rPr>
          <w:b/>
          <w:bCs/>
        </w:rPr>
        <w:t>2.</w:t>
      </w:r>
      <w:r>
        <w:rPr>
          <w:rFonts w:hint="eastAsia" w:cs="方正仿宋_GBK"/>
          <w:b/>
          <w:bCs/>
        </w:rPr>
        <w:t>全县卫生健康事业短板弱项明显，</w:t>
      </w:r>
      <w:r>
        <w:rPr>
          <w:b/>
          <w:bCs/>
        </w:rPr>
        <w:t>“</w:t>
      </w:r>
      <w:r>
        <w:rPr>
          <w:rFonts w:hint="eastAsia" w:cs="方正仿宋_GBK"/>
          <w:b/>
          <w:bCs/>
        </w:rPr>
        <w:t>大健康</w:t>
      </w:r>
      <w:r>
        <w:rPr>
          <w:b/>
          <w:bCs/>
        </w:rPr>
        <w:t>”“</w:t>
      </w:r>
      <w:r>
        <w:rPr>
          <w:rFonts w:hint="eastAsia" w:cs="方正仿宋_GBK"/>
          <w:b/>
          <w:bCs/>
        </w:rPr>
        <w:t>大卫生</w:t>
      </w:r>
      <w:r>
        <w:rPr>
          <w:b/>
          <w:bCs/>
        </w:rPr>
        <w:t>”</w:t>
      </w:r>
      <w:r>
        <w:rPr>
          <w:rFonts w:hint="eastAsia" w:cs="方正仿宋_GBK"/>
          <w:b/>
          <w:bCs/>
        </w:rPr>
        <w:t>发展格局尚未形成。</w:t>
      </w:r>
    </w:p>
    <w:p w14:paraId="06B7561C">
      <w:pPr>
        <w:spacing w:line="600" w:lineRule="exact"/>
        <w:ind w:firstLine="640" w:firstLineChars="200"/>
      </w:pPr>
      <w:r>
        <w:rPr>
          <w:rFonts w:hint="eastAsia" w:cs="方正仿宋_GBK"/>
          <w:b/>
          <w:bCs/>
        </w:rPr>
        <w:t>基础设施仍然滞后。</w:t>
      </w:r>
      <w:r>
        <w:rPr>
          <w:rFonts w:hint="eastAsia" w:cs="方正仿宋_GBK"/>
        </w:rPr>
        <w:t>公共卫生服务机构方面，疾控体系业务用房面积和实验室不达标，缺乏专门的传染病医院，二级医院发热门诊和基层机构发热诊室建设不规范。妇幼保健体系是全市妇幼保健机构业务用房面积不达标的</w:t>
      </w:r>
      <w:r>
        <w:t>10</w:t>
      </w:r>
      <w:r>
        <w:rPr>
          <w:rFonts w:hint="eastAsia" w:cs="方正仿宋_GBK"/>
        </w:rPr>
        <w:t>家单位之一，精神卫生保健机构收治能力严重不足，采供血机构不能满足《血站基本标准》规范，重庆市三峡卫生学校达不到《中等职业学校设置标准》要求。县级综合医院（含中医院）方面，现有编制床位与标准业务用房面积不匹配，与周边区县差距明显。基层医疗机构方面，新成立的夔州街道社区卫生服务中心目前没有业务用房，拟打造县域医疗次中心的重点乡镇卫生院业务用房面积不达标，部分基层医疗机构业务用房需要改扩建。</w:t>
      </w:r>
    </w:p>
    <w:p w14:paraId="29A00186">
      <w:pPr>
        <w:spacing w:line="600" w:lineRule="exact"/>
        <w:ind w:firstLine="640" w:firstLineChars="200"/>
      </w:pPr>
      <w:r>
        <w:rPr>
          <w:rFonts w:hint="eastAsia" w:cs="方正仿宋_GBK"/>
          <w:b/>
          <w:bCs/>
        </w:rPr>
        <w:t>专业技术人才紧缺</w:t>
      </w:r>
      <w:r>
        <w:rPr>
          <w:rFonts w:hint="eastAsia" w:cs="方正仿宋_GBK"/>
        </w:rPr>
        <w:t>。人员编制总量不足，全县医疗卫生机构现有编制</w:t>
      </w:r>
      <w:r>
        <w:t>2226</w:t>
      </w:r>
      <w:r>
        <w:rPr>
          <w:rFonts w:hint="eastAsia" w:cs="方正仿宋_GBK"/>
        </w:rPr>
        <w:t>人，人员设置编制与机构规范标准差距大，特别是基层卫生院编制缺口尤为明显。人才结构不合理，现有医务人员中，专业人才比例不均，高职称、本科及以上学历人员占比低，学科带头人、专业骨干数量不足，人才梯队面临</w:t>
      </w:r>
      <w:r>
        <w:t>“</w:t>
      </w:r>
      <w:r>
        <w:rPr>
          <w:rFonts w:hint="eastAsia" w:cs="方正仿宋_GBK"/>
        </w:rPr>
        <w:t>青黄不接</w:t>
      </w:r>
      <w:r>
        <w:t>”</w:t>
      </w:r>
      <w:r>
        <w:rPr>
          <w:rFonts w:hint="eastAsia" w:cs="方正仿宋_GBK"/>
        </w:rPr>
        <w:t>的局面，难以满足人民群众享受优良医疗卫生服务的需求。基层医学人才引进难、留住难。村医综合能力欠弱，乡村医生队伍人员老龄化、文化程度偏低和</w:t>
      </w:r>
      <w:r>
        <w:t>“</w:t>
      </w:r>
      <w:r>
        <w:rPr>
          <w:rFonts w:hint="eastAsia" w:cs="方正仿宋_GBK"/>
        </w:rPr>
        <w:t>后继无人</w:t>
      </w:r>
      <w:r>
        <w:t>”</w:t>
      </w:r>
      <w:r>
        <w:rPr>
          <w:rFonts w:hint="eastAsia" w:cs="方正仿宋_GBK"/>
        </w:rPr>
        <w:t>的情况严重。</w:t>
      </w:r>
      <w:r>
        <w:t xml:space="preserve"> </w:t>
      </w:r>
    </w:p>
    <w:p w14:paraId="65C5559B">
      <w:pPr>
        <w:spacing w:line="600" w:lineRule="exact"/>
        <w:ind w:firstLine="640" w:firstLineChars="200"/>
      </w:pPr>
      <w:r>
        <w:rPr>
          <w:rFonts w:hint="eastAsia" w:cs="方正仿宋_GBK"/>
          <w:b/>
          <w:bCs/>
        </w:rPr>
        <w:t>学科培育还有差距</w:t>
      </w:r>
      <w:r>
        <w:rPr>
          <w:rFonts w:hint="eastAsia" w:cs="方正仿宋_GBK"/>
        </w:rPr>
        <w:t>。截至</w:t>
      </w:r>
      <w:r>
        <w:t>2020</w:t>
      </w:r>
      <w:r>
        <w:rPr>
          <w:rFonts w:hint="eastAsia" w:cs="方正仿宋_GBK"/>
        </w:rPr>
        <w:t>年，我县创建成功市级临床重点专科</w:t>
      </w:r>
      <w:r>
        <w:t>5</w:t>
      </w:r>
      <w:r>
        <w:rPr>
          <w:rFonts w:hint="eastAsia" w:cs="方正仿宋_GBK"/>
        </w:rPr>
        <w:t>个、特色专科</w:t>
      </w:r>
      <w:r>
        <w:t>3</w:t>
      </w:r>
      <w:r>
        <w:rPr>
          <w:rFonts w:hint="eastAsia" w:cs="方正仿宋_GBK"/>
        </w:rPr>
        <w:t>个，在渝东北仅处于中游水平，重点学科集群体量仍然偏小，影响力、带动力、支撑力偏弱。</w:t>
      </w:r>
    </w:p>
    <w:p w14:paraId="7FD972ED">
      <w:pPr>
        <w:spacing w:line="600" w:lineRule="exact"/>
        <w:ind w:firstLine="640" w:firstLineChars="200"/>
      </w:pPr>
      <w:r>
        <w:rPr>
          <w:rFonts w:hint="eastAsia" w:cs="方正仿宋_GBK"/>
          <w:b/>
          <w:bCs/>
        </w:rPr>
        <w:t>服务综合实力偏弱。</w:t>
      </w:r>
      <w:r>
        <w:rPr>
          <w:rFonts w:hint="eastAsia" w:cs="方正仿宋_GBK"/>
        </w:rPr>
        <w:t>健康需求快速增长与服务供给总量不足的矛盾更加突出，体制机制创新滞后与医疗卫生事业持续发展的矛盾有待化解。目前，在医疗服务综合实力上离区域性医疗高地还有很大的差距，暂无三级医院，全县医疗服务的规模效应、学科特色、医疗口碑等方面都还极为欠缺。医疗卫生服务模式与健康管理先进理念的矛盾逐渐显现，</w:t>
      </w:r>
      <w:r>
        <w:t>“</w:t>
      </w:r>
      <w:r>
        <w:rPr>
          <w:rFonts w:hint="eastAsia" w:cs="方正仿宋_GBK"/>
        </w:rPr>
        <w:t>重治轻防</w:t>
      </w:r>
      <w:r>
        <w:t>”</w:t>
      </w:r>
      <w:r>
        <w:rPr>
          <w:rFonts w:hint="eastAsia" w:cs="方正仿宋_GBK"/>
        </w:rPr>
        <w:t>的传统医疗需求未全面转变。社会办医疗机构水平、社会信誉度需要提升，医疗行业发展活力未充分释放。</w:t>
      </w:r>
    </w:p>
    <w:p w14:paraId="2DD974C3">
      <w:pPr>
        <w:spacing w:line="600" w:lineRule="exact"/>
        <w:ind w:firstLine="640" w:firstLineChars="200"/>
        <w:rPr>
          <w:b/>
          <w:bCs/>
        </w:rPr>
      </w:pPr>
      <w:r>
        <w:rPr>
          <w:b/>
          <w:bCs/>
        </w:rPr>
        <w:t>3.</w:t>
      </w:r>
      <w:r>
        <w:rPr>
          <w:rFonts w:hint="eastAsia" w:cs="方正仿宋_GBK"/>
          <w:b/>
          <w:bCs/>
        </w:rPr>
        <w:t>积极响应新时代，卫生健康事业迎来新一轮发展机遇。</w:t>
      </w:r>
    </w:p>
    <w:p w14:paraId="139366F4">
      <w:pPr>
        <w:spacing w:line="600" w:lineRule="exact"/>
        <w:ind w:firstLine="640" w:firstLineChars="200"/>
      </w:pPr>
      <w:r>
        <w:rPr>
          <w:rFonts w:hint="eastAsia" w:cs="方正仿宋_GBK"/>
        </w:rPr>
        <w:t>《奉节县国民经济和社会发展第十四个五年规划和二〇三五年远景目标纲要》提出，努力在推进新时代西部大开发发挥支撑作用中有作为、在推进共建</w:t>
      </w:r>
      <w:r>
        <w:t>“</w:t>
      </w:r>
      <w:r>
        <w:rPr>
          <w:rFonts w:hint="eastAsia" w:cs="方正仿宋_GBK"/>
        </w:rPr>
        <w:t>一带一路</w:t>
      </w:r>
      <w:r>
        <w:t>”</w:t>
      </w:r>
      <w:r>
        <w:rPr>
          <w:rFonts w:hint="eastAsia" w:cs="方正仿宋_GBK"/>
        </w:rPr>
        <w:t>发挥带动作用中有突破、在推进长江经济带绿色发展发挥示范作用中当标杆，加快打造</w:t>
      </w:r>
      <w:r>
        <w:t>“</w:t>
      </w:r>
      <w:r>
        <w:rPr>
          <w:rFonts w:hint="eastAsia" w:cs="方正仿宋_GBK"/>
        </w:rPr>
        <w:t>好山好水好风光，有诗有橙有远方</w:t>
      </w:r>
      <w:r>
        <w:t>”</w:t>
      </w:r>
      <w:r>
        <w:rPr>
          <w:rFonts w:hint="eastAsia" w:cs="方正仿宋_GBK"/>
        </w:rPr>
        <w:t>的美丽奉节，建设形成</w:t>
      </w:r>
      <w:r>
        <w:t>“</w:t>
      </w:r>
      <w:r>
        <w:rPr>
          <w:rFonts w:hint="eastAsia" w:cs="方正仿宋_GBK"/>
        </w:rPr>
        <w:t>四区一地，美丽家园</w:t>
      </w:r>
      <w:r>
        <w:t>”</w:t>
      </w:r>
      <w:r>
        <w:rPr>
          <w:rFonts w:hint="eastAsia" w:cs="方正仿宋_GBK"/>
        </w:rPr>
        <w:t>，建设长江经济带上的绿色生态强县和区域性功能中心取得长足进展。</w:t>
      </w:r>
      <w:bookmarkStart w:id="16" w:name="_Toc465151710"/>
      <w:bookmarkStart w:id="17" w:name="_Toc4388"/>
    </w:p>
    <w:p w14:paraId="26DFE2D3">
      <w:pPr>
        <w:spacing w:line="600" w:lineRule="exact"/>
        <w:ind w:firstLine="640" w:firstLineChars="200"/>
        <w:rPr>
          <w:rFonts w:eastAsia="方正黑体_GBK"/>
        </w:rPr>
      </w:pPr>
      <w:r>
        <w:rPr>
          <w:rFonts w:hint="eastAsia" w:eastAsia="方正黑体_GBK" w:cs="方正黑体_GBK"/>
        </w:rPr>
        <w:t>二、总体思路</w:t>
      </w:r>
      <w:bookmarkEnd w:id="16"/>
      <w:bookmarkEnd w:id="17"/>
    </w:p>
    <w:p w14:paraId="00553E94">
      <w:pPr>
        <w:spacing w:line="600" w:lineRule="exact"/>
        <w:ind w:firstLine="640" w:firstLineChars="200"/>
        <w:rPr>
          <w:rFonts w:eastAsia="方正楷体_GBK"/>
        </w:rPr>
      </w:pPr>
      <w:bookmarkStart w:id="18" w:name="_Toc465151711"/>
      <w:bookmarkStart w:id="19" w:name="_Toc4090"/>
      <w:r>
        <w:rPr>
          <w:rFonts w:hint="eastAsia" w:eastAsia="方正楷体_GBK" w:cs="方正楷体_GBK"/>
        </w:rPr>
        <w:t>（一）指导思想</w:t>
      </w:r>
      <w:bookmarkEnd w:id="18"/>
      <w:bookmarkEnd w:id="19"/>
    </w:p>
    <w:p w14:paraId="55368353">
      <w:pPr>
        <w:widowControl/>
        <w:spacing w:line="600" w:lineRule="exact"/>
        <w:ind w:firstLine="640" w:firstLineChars="200"/>
        <w:rPr>
          <w:kern w:val="0"/>
        </w:rPr>
      </w:pPr>
      <w:r>
        <w:rPr>
          <w:rFonts w:hint="eastAsia" w:cs="方正仿宋_GBK"/>
          <w:kern w:val="0"/>
        </w:rPr>
        <w:t>以习近平新时代中国特色社会主义思想和</w:t>
      </w:r>
      <w:r>
        <w:rPr>
          <w:rFonts w:hint="eastAsia" w:cs="方正仿宋_GBK"/>
          <w:kern w:val="0"/>
          <w:lang w:eastAsia="zh-CN"/>
        </w:rPr>
        <w:t>党的十九大和十九届历次全会精神</w:t>
      </w:r>
      <w:r>
        <w:rPr>
          <w:rFonts w:hint="eastAsia" w:cs="方正仿宋_GBK"/>
          <w:kern w:val="0"/>
        </w:rPr>
        <w:t>为指导，全面落实习近平总书记考察重庆重要讲话精神，紧紧围绕习近平总书记对重庆提出的</w:t>
      </w:r>
      <w:r>
        <w:rPr>
          <w:kern w:val="0"/>
        </w:rPr>
        <w:t>“</w:t>
      </w:r>
      <w:r>
        <w:rPr>
          <w:rFonts w:hint="eastAsia" w:cs="方正仿宋_GBK"/>
          <w:kern w:val="0"/>
        </w:rPr>
        <w:t>两点</w:t>
      </w:r>
      <w:r>
        <w:rPr>
          <w:kern w:val="0"/>
        </w:rPr>
        <w:t>”</w:t>
      </w:r>
      <w:r>
        <w:rPr>
          <w:rFonts w:hint="eastAsia" w:cs="方正仿宋_GBK"/>
          <w:kern w:val="0"/>
        </w:rPr>
        <w:t>定位、</w:t>
      </w:r>
      <w:r>
        <w:rPr>
          <w:kern w:val="0"/>
        </w:rPr>
        <w:t>“</w:t>
      </w:r>
      <w:r>
        <w:rPr>
          <w:rFonts w:hint="eastAsia" w:cs="方正仿宋_GBK"/>
          <w:kern w:val="0"/>
        </w:rPr>
        <w:t>两地</w:t>
      </w:r>
      <w:r>
        <w:rPr>
          <w:kern w:val="0"/>
        </w:rPr>
        <w:t>”“</w:t>
      </w:r>
      <w:r>
        <w:rPr>
          <w:rFonts w:hint="eastAsia" w:cs="方正仿宋_GBK"/>
          <w:kern w:val="0"/>
        </w:rPr>
        <w:t>两高</w:t>
      </w:r>
      <w:r>
        <w:rPr>
          <w:kern w:val="0"/>
        </w:rPr>
        <w:t>”</w:t>
      </w:r>
      <w:r>
        <w:rPr>
          <w:rFonts w:hint="eastAsia" w:cs="方正仿宋_GBK"/>
          <w:kern w:val="0"/>
        </w:rPr>
        <w:t>目标、发挥</w:t>
      </w:r>
      <w:r>
        <w:rPr>
          <w:kern w:val="0"/>
        </w:rPr>
        <w:t>“</w:t>
      </w:r>
      <w:r>
        <w:rPr>
          <w:rFonts w:hint="eastAsia" w:cs="方正仿宋_GBK"/>
          <w:kern w:val="0"/>
        </w:rPr>
        <w:t>三个作用</w:t>
      </w:r>
      <w:r>
        <w:rPr>
          <w:kern w:val="0"/>
        </w:rPr>
        <w:t>”</w:t>
      </w:r>
      <w:r>
        <w:rPr>
          <w:rFonts w:hint="eastAsia" w:cs="方正仿宋_GBK"/>
          <w:kern w:val="0"/>
        </w:rPr>
        <w:t>和</w:t>
      </w:r>
      <w:r>
        <w:rPr>
          <w:rFonts w:hint="eastAsia" w:cs="方正仿宋_GBK"/>
        </w:rPr>
        <w:t>推动成渝地区双城经济圈建设等重要指示要求</w:t>
      </w:r>
      <w:r>
        <w:rPr>
          <w:rFonts w:hint="eastAsia" w:cs="方正仿宋_GBK"/>
          <w:kern w:val="0"/>
        </w:rPr>
        <w:t>，</w:t>
      </w:r>
      <w:r>
        <w:rPr>
          <w:rFonts w:hint="eastAsia" w:cs="方正仿宋_GBK"/>
        </w:rPr>
        <w:t>立足新发展阶段，完整、准确、全面贯彻新发展理念，积极融入服务新发展格局，坚持新时期卫生与健康工作方针，</w:t>
      </w:r>
      <w:r>
        <w:rPr>
          <w:rFonts w:hint="eastAsia" w:cs="方正仿宋_GBK"/>
          <w:kern w:val="0"/>
        </w:rPr>
        <w:t>以维护人民健康为中心，以改革创新为动力，坚持卫生健康事业的公益性，坚持</w:t>
      </w:r>
      <w:r>
        <w:rPr>
          <w:kern w:val="0"/>
        </w:rPr>
        <w:t>“</w:t>
      </w:r>
      <w:r>
        <w:rPr>
          <w:rFonts w:hint="eastAsia" w:cs="方正仿宋_GBK"/>
          <w:kern w:val="0"/>
        </w:rPr>
        <w:t>大健康</w:t>
      </w:r>
      <w:r>
        <w:rPr>
          <w:kern w:val="0"/>
        </w:rPr>
        <w:t>”</w:t>
      </w:r>
      <w:r>
        <w:rPr>
          <w:rFonts w:hint="eastAsia" w:cs="方正仿宋_GBK"/>
          <w:kern w:val="0"/>
        </w:rPr>
        <w:t>发展理念，加强预防为主、防治结合，加强健康促进，不断优化医疗资源配置，提高医疗服务质量和水平，打造区域性医疗高地，不断提高全县人民健康水平，奋力推进健康中国奉节行动。</w:t>
      </w:r>
    </w:p>
    <w:p w14:paraId="04222B9C">
      <w:pPr>
        <w:pStyle w:val="4"/>
        <w:spacing w:before="0" w:after="0" w:line="600" w:lineRule="exact"/>
        <w:ind w:left="640"/>
        <w:rPr>
          <w:rFonts w:ascii="Times New Roman" w:hAnsi="Times New Roman" w:cs="Times New Roman"/>
        </w:rPr>
      </w:pPr>
      <w:bookmarkStart w:id="20" w:name="_Toc6807"/>
      <w:bookmarkStart w:id="21" w:name="_Toc465151712"/>
      <w:r>
        <w:rPr>
          <w:rFonts w:hint="eastAsia" w:ascii="Times New Roman" w:cs="方正楷体_GBK"/>
        </w:rPr>
        <w:t>（二）基本原则</w:t>
      </w:r>
      <w:bookmarkEnd w:id="20"/>
      <w:bookmarkEnd w:id="21"/>
    </w:p>
    <w:p w14:paraId="740D7E22">
      <w:pPr>
        <w:spacing w:line="600" w:lineRule="exact"/>
        <w:ind w:firstLine="640" w:firstLineChars="200"/>
      </w:pPr>
      <w:r>
        <w:rPr>
          <w:rFonts w:hint="eastAsia" w:cs="方正仿宋_GBK"/>
          <w:b/>
          <w:bCs/>
        </w:rPr>
        <w:t>坚持党的领导，统筹发展</w:t>
      </w:r>
      <w:r>
        <w:rPr>
          <w:rFonts w:hint="eastAsia" w:cs="方正仿宋_GBK"/>
        </w:rPr>
        <w:t>。坚持和完善党领导卫生健康事业发展的体制机制，全面加强卫生健康行政管理部门和医疗卫生机构党的建设，把党的领导落实到卫生健康事业改革发展的各领域各方面各环节，为全面推进全县卫生健康事业高质量发展提供根本保证。</w:t>
      </w:r>
    </w:p>
    <w:p w14:paraId="732CB21B">
      <w:pPr>
        <w:spacing w:line="600" w:lineRule="exact"/>
        <w:ind w:firstLine="640" w:firstLineChars="200"/>
      </w:pPr>
      <w:r>
        <w:rPr>
          <w:rFonts w:hint="eastAsia" w:cs="方正仿宋_GBK"/>
          <w:b/>
          <w:bCs/>
        </w:rPr>
        <w:t>坚持健康优先，共享发展</w:t>
      </w:r>
      <w:r>
        <w:rPr>
          <w:rFonts w:hint="eastAsia" w:cs="方正仿宋_GBK"/>
        </w:rPr>
        <w:t>。加快构建保障人民健康优先发展的制度体系，推动形成有利于健康的生活方式、生产方式、经济社会发展和治理方式，实现健康与经济社会协调发展。坚持人民主体地位，创新社会动员机制，建立政府、社会、个人共同行动的体制机制，形成共建共治共享格局。</w:t>
      </w:r>
    </w:p>
    <w:p w14:paraId="774C6B35">
      <w:pPr>
        <w:spacing w:line="600" w:lineRule="exact"/>
        <w:ind w:firstLine="640" w:firstLineChars="200"/>
      </w:pPr>
      <w:r>
        <w:rPr>
          <w:rFonts w:hint="eastAsia" w:cs="方正仿宋_GBK"/>
          <w:b/>
          <w:bCs/>
        </w:rPr>
        <w:t>坚持优质均衡，内涵发展</w:t>
      </w:r>
      <w:r>
        <w:rPr>
          <w:rFonts w:hint="eastAsia" w:cs="方正仿宋_GBK"/>
        </w:rPr>
        <w:t>。坚持高质量发展，推动优质高效医疗卫生服务体系建设，推动防治结合公共卫生服务体系建设，提高医疗卫生服务质量与水平，加快优质医疗卫生资源扩容和区域均衡布局。提升基本医疗卫生服务均等化和同质化水平，缩小城乡、区域、人群之间配置、服务水平和健康结果差异，促进健康公平。</w:t>
      </w:r>
    </w:p>
    <w:p w14:paraId="480864AD">
      <w:pPr>
        <w:spacing w:line="600" w:lineRule="exact"/>
        <w:ind w:firstLine="640" w:firstLineChars="200"/>
      </w:pPr>
      <w:r>
        <w:rPr>
          <w:rFonts w:hint="eastAsia" w:cs="方正仿宋_GBK"/>
          <w:b/>
          <w:bCs/>
        </w:rPr>
        <w:t>坚持改革创新，系统整合</w:t>
      </w:r>
      <w:r>
        <w:rPr>
          <w:rFonts w:hint="eastAsia" w:cs="方正仿宋_GBK"/>
        </w:rPr>
        <w:t>。加快系统集成改革，破除重点领域关键环节体制机制障碍，维护基本医疗卫生事业公益性。关注生命全周期、健康全过程，统筹预防、治疗、康复、健康促进，促进中西医相互补充、协调发展。</w:t>
      </w:r>
      <w:bookmarkStart w:id="22" w:name="_Toc465151713"/>
    </w:p>
    <w:p w14:paraId="4A6AB603">
      <w:pPr>
        <w:pStyle w:val="4"/>
        <w:spacing w:before="0" w:after="0" w:line="600" w:lineRule="exact"/>
        <w:ind w:left="640"/>
        <w:rPr>
          <w:rFonts w:ascii="Times New Roman" w:hAnsi="Times New Roman" w:cs="Times New Roman"/>
        </w:rPr>
      </w:pPr>
      <w:bookmarkStart w:id="23" w:name="_Toc14549"/>
      <w:r>
        <w:rPr>
          <w:rFonts w:hint="eastAsia" w:ascii="Times New Roman" w:cs="方正楷体_GBK"/>
        </w:rPr>
        <w:t>（三）发展目标</w:t>
      </w:r>
      <w:bookmarkEnd w:id="22"/>
      <w:bookmarkEnd w:id="23"/>
      <w:r>
        <w:rPr>
          <w:rFonts w:hint="eastAsia" w:ascii="Times New Roman" w:hAnsi="Times New Roman" w:cs="方正楷体_GBK"/>
        </w:rPr>
        <w:t>　</w:t>
      </w:r>
    </w:p>
    <w:p w14:paraId="0C563D50">
      <w:pPr>
        <w:spacing w:line="600" w:lineRule="exact"/>
        <w:ind w:firstLine="640"/>
        <w:rPr>
          <w:b/>
          <w:bCs/>
        </w:rPr>
      </w:pPr>
      <w:r>
        <w:rPr>
          <w:b/>
          <w:bCs/>
        </w:rPr>
        <w:t>1.</w:t>
      </w:r>
      <w:r>
        <w:rPr>
          <w:rFonts w:hint="eastAsia" w:cs="方正仿宋_GBK"/>
          <w:b/>
          <w:bCs/>
        </w:rPr>
        <w:t>总体目标。</w:t>
      </w:r>
    </w:p>
    <w:p w14:paraId="1F4306BF">
      <w:pPr>
        <w:spacing w:line="600" w:lineRule="exact"/>
        <w:ind w:firstLine="640"/>
      </w:pPr>
      <w:r>
        <w:rPr>
          <w:rFonts w:hint="eastAsia" w:cs="方正仿宋_GBK"/>
        </w:rPr>
        <w:t>深入实施健康中国奉节行动，到</w:t>
      </w:r>
      <w:r>
        <w:t>2025</w:t>
      </w:r>
      <w:r>
        <w:rPr>
          <w:rFonts w:hint="eastAsia" w:cs="方正仿宋_GBK"/>
        </w:rPr>
        <w:t>年，基本医疗卫生制度更加完善，建立起与全县国民经济和社会发展相适应、</w:t>
      </w:r>
      <w:r>
        <w:t>“</w:t>
      </w:r>
      <w:r>
        <w:rPr>
          <w:rFonts w:hint="eastAsia" w:cs="方正仿宋_GBK"/>
        </w:rPr>
        <w:t>一区两群</w:t>
      </w:r>
      <w:r>
        <w:t>”</w:t>
      </w:r>
      <w:r>
        <w:rPr>
          <w:rFonts w:hint="eastAsia" w:cs="方正仿宋_GBK"/>
        </w:rPr>
        <w:t>功能定位相匹配的优质高效医疗卫生服务体系，突发公共卫生事件应急管理能力明显提升，</w:t>
      </w:r>
      <w:r>
        <w:rPr>
          <w:rFonts w:hint="eastAsia" w:hAnsi="方正仿宋_GBK" w:cs="方正仿宋_GBK"/>
        </w:rPr>
        <w:t>管理体制和运行机制更加顺畅，服务模式更加科学，服务能力更加适应，</w:t>
      </w:r>
      <w:r>
        <w:rPr>
          <w:rFonts w:hint="eastAsia" w:cs="方正仿宋_GBK"/>
        </w:rPr>
        <w:t>健康生活方式得到普及</w:t>
      </w:r>
      <w:r>
        <w:rPr>
          <w:rFonts w:hint="eastAsia" w:hAnsi="方正仿宋_GBK" w:cs="方正仿宋_GBK"/>
        </w:rPr>
        <w:t>，医疗服务更加有效便捷，主要健康指标保持渝东北三峡库区城镇群前列，初步建成</w:t>
      </w:r>
      <w:r>
        <w:rPr>
          <w:rFonts w:hint="eastAsia" w:cs="方正仿宋_GBK"/>
        </w:rPr>
        <w:t>市级区域医疗高地</w:t>
      </w:r>
      <w:r>
        <w:rPr>
          <w:rFonts w:hint="eastAsia" w:hAnsi="方正仿宋_GBK" w:cs="方正仿宋_GBK"/>
        </w:rPr>
        <w:t>。</w:t>
      </w:r>
    </w:p>
    <w:p w14:paraId="553D4700">
      <w:pPr>
        <w:spacing w:line="600" w:lineRule="exact"/>
        <w:ind w:firstLine="640" w:firstLineChars="200"/>
      </w:pPr>
      <w:r>
        <w:rPr>
          <w:b/>
          <w:bCs/>
        </w:rPr>
        <w:t>2.</w:t>
      </w:r>
      <w:r>
        <w:rPr>
          <w:rFonts w:hint="eastAsia" w:cs="方正仿宋_GBK"/>
          <w:b/>
          <w:bCs/>
        </w:rPr>
        <w:t>具体目标。</w:t>
      </w:r>
    </w:p>
    <w:p w14:paraId="11A29A64">
      <w:pPr>
        <w:spacing w:line="600" w:lineRule="exact"/>
        <w:ind w:firstLine="640" w:firstLineChars="200"/>
      </w:pPr>
      <w:r>
        <w:rPr>
          <w:rFonts w:hint="eastAsia" w:cs="方正仿宋_GBK"/>
          <w:b/>
          <w:bCs/>
        </w:rPr>
        <w:t>居民健康水平持续提升</w:t>
      </w:r>
      <w:r>
        <w:rPr>
          <w:rFonts w:hint="eastAsia" w:cs="方正仿宋_GBK"/>
        </w:rPr>
        <w:t>。居民主要健康指标进一步提升，人均</w:t>
      </w:r>
      <w:r>
        <w:rPr>
          <w:rFonts w:hint="eastAsia" w:hAnsi="方正仿宋_GBK" w:cs="方正仿宋_GBK"/>
        </w:rPr>
        <w:t>预期寿命达到</w:t>
      </w:r>
      <w:r>
        <w:rPr>
          <w:rFonts w:hAnsi="方正仿宋_GBK"/>
        </w:rPr>
        <w:t>78.6</w:t>
      </w:r>
      <w:r>
        <w:rPr>
          <w:rFonts w:hint="eastAsia" w:hAnsi="方正仿宋_GBK" w:cs="方正仿宋_GBK"/>
        </w:rPr>
        <w:t>岁，健康预期寿命稳步提高，婴儿死亡率小于</w:t>
      </w:r>
      <w:r>
        <w:t>3.5‰</w:t>
      </w:r>
      <w:r>
        <w:rPr>
          <w:rFonts w:hint="eastAsia" w:hAnsi="方正仿宋_GBK" w:cs="方正仿宋_GBK"/>
        </w:rPr>
        <w:t>，孕产妇死亡率小于</w:t>
      </w:r>
      <w:r>
        <w:t>10/10</w:t>
      </w:r>
      <w:r>
        <w:rPr>
          <w:rFonts w:hint="eastAsia" w:hAnsi="方正仿宋_GBK" w:cs="方正仿宋_GBK"/>
        </w:rPr>
        <w:t>万，健康行为全面普及，居民健康素养水平达到</w:t>
      </w:r>
      <w:r>
        <w:t>25%</w:t>
      </w:r>
      <w:r>
        <w:rPr>
          <w:rFonts w:hint="eastAsia" w:hAnsi="方正仿宋_GBK" w:cs="方正仿宋_GBK"/>
        </w:rPr>
        <w:t>。</w:t>
      </w:r>
    </w:p>
    <w:p w14:paraId="721E6D83">
      <w:pPr>
        <w:pStyle w:val="9"/>
        <w:widowControl w:val="0"/>
        <w:spacing w:line="600" w:lineRule="exact"/>
        <w:ind w:firstLine="640" w:firstLineChars="200"/>
        <w:jc w:val="both"/>
        <w:rPr>
          <w:rFonts w:ascii="Times New Roman" w:eastAsia="方正仿宋_GBK" w:cs="Times New Roman"/>
          <w:color w:val="auto"/>
        </w:rPr>
      </w:pPr>
      <w:r>
        <w:rPr>
          <w:rFonts w:hint="eastAsia" w:ascii="Times New Roman" w:hAnsi="方正仿宋_GBK" w:eastAsia="方正仿宋_GBK" w:cs="方正仿宋_GBK"/>
          <w:b/>
          <w:bCs/>
          <w:color w:val="auto"/>
          <w:sz w:val="32"/>
          <w:szCs w:val="32"/>
        </w:rPr>
        <w:t>公共卫生保障能力明显增强</w:t>
      </w:r>
      <w:r>
        <w:rPr>
          <w:rFonts w:hint="eastAsia" w:ascii="Times New Roman" w:hAnsi="方正仿宋_GBK" w:eastAsia="方正仿宋_GBK" w:cs="方正仿宋_GBK"/>
          <w:color w:val="auto"/>
          <w:sz w:val="32"/>
          <w:szCs w:val="32"/>
        </w:rPr>
        <w:t>。</w:t>
      </w:r>
      <w:r>
        <w:rPr>
          <w:rFonts w:hint="eastAsia" w:ascii="Times New Roman" w:hAnsi="方正仿宋_GBK" w:eastAsia="方正仿宋_GBK" w:cs="方正仿宋_GBK"/>
          <w:color w:val="auto"/>
          <w:kern w:val="2"/>
          <w:sz w:val="32"/>
          <w:szCs w:val="32"/>
        </w:rPr>
        <w:t>强大公共卫生体系基本构建，重大疫情和突发公共卫生事件防控救治能力得到增强，主要健康危害因素得到有效控制，重大慢性病过早死亡率下降到</w:t>
      </w:r>
      <w:r>
        <w:rPr>
          <w:rFonts w:ascii="Times New Roman" w:eastAsia="方正仿宋_GBK" w:cs="Times New Roman"/>
          <w:color w:val="auto"/>
          <w:kern w:val="2"/>
          <w:sz w:val="32"/>
          <w:szCs w:val="32"/>
        </w:rPr>
        <w:t>13.5%</w:t>
      </w:r>
      <w:r>
        <w:rPr>
          <w:rFonts w:hint="eastAsia" w:ascii="Times New Roman" w:hAnsi="方正仿宋_GBK" w:eastAsia="方正仿宋_GBK" w:cs="方正仿宋_GBK"/>
          <w:color w:val="auto"/>
          <w:kern w:val="2"/>
          <w:sz w:val="32"/>
          <w:szCs w:val="32"/>
        </w:rPr>
        <w:t>，医防协同更加高效。</w:t>
      </w:r>
    </w:p>
    <w:p w14:paraId="60F84F94">
      <w:pPr>
        <w:spacing w:line="600" w:lineRule="exact"/>
        <w:ind w:firstLine="640" w:firstLineChars="200"/>
      </w:pPr>
      <w:r>
        <w:rPr>
          <w:rFonts w:hint="eastAsia" w:hAnsi="方正仿宋_GBK" w:cs="方正仿宋_GBK"/>
          <w:b/>
          <w:bCs/>
        </w:rPr>
        <w:t>市级区域医疗高地初步建成。</w:t>
      </w:r>
      <w:r>
        <w:rPr>
          <w:rFonts w:hint="eastAsia" w:hAnsi="方正仿宋_GBK" w:cs="方正仿宋_GBK"/>
        </w:rPr>
        <w:t>本土培养、引</w:t>
      </w:r>
      <w:r>
        <w:rPr>
          <w:rFonts w:hint="eastAsia" w:cs="方正仿宋_GBK"/>
        </w:rPr>
        <w:t>进</w:t>
      </w:r>
      <w:r>
        <w:t>6</w:t>
      </w:r>
      <w:r>
        <w:rPr>
          <w:rFonts w:hint="eastAsia" w:cs="方正仿宋_GBK"/>
        </w:rPr>
        <w:t>医学博士或正高职称人才</w:t>
      </w:r>
      <w:r>
        <w:rPr>
          <w:rFonts w:hint="eastAsia" w:hAnsi="方正仿宋_GBK" w:cs="方正仿宋_GBK"/>
        </w:rPr>
        <w:t>，新建</w:t>
      </w:r>
      <w:r>
        <w:t>5</w:t>
      </w:r>
      <w:r>
        <w:rPr>
          <w:rFonts w:hint="eastAsia" w:hAnsi="方正仿宋_GBK" w:cs="方正仿宋_GBK"/>
        </w:rPr>
        <w:t>个市级重点</w:t>
      </w:r>
      <w:r>
        <w:t>/</w:t>
      </w:r>
      <w:r>
        <w:rPr>
          <w:rFonts w:hint="eastAsia" w:hAnsi="方正仿宋_GBK" w:cs="方正仿宋_GBK"/>
        </w:rPr>
        <w:t>特色专科，建成</w:t>
      </w:r>
      <w:r>
        <w:t>2</w:t>
      </w:r>
      <w:r>
        <w:rPr>
          <w:rFonts w:hint="eastAsia" w:hAnsi="方正仿宋_GBK" w:cs="方正仿宋_GBK"/>
        </w:rPr>
        <w:t>个三甲医院、</w:t>
      </w:r>
      <w:r>
        <w:t>3</w:t>
      </w:r>
      <w:r>
        <w:rPr>
          <w:rFonts w:hint="eastAsia" w:hAnsi="方正仿宋_GBK" w:cs="方正仿宋_GBK"/>
        </w:rPr>
        <w:t>－</w:t>
      </w:r>
      <w:r>
        <w:t>5</w:t>
      </w:r>
      <w:r>
        <w:rPr>
          <w:rFonts w:hint="eastAsia" w:hAnsi="方正仿宋_GBK" w:cs="方正仿宋_GBK"/>
        </w:rPr>
        <w:t>个甲级乡镇卫生院（社区医院）、</w:t>
      </w:r>
      <w:r>
        <w:t>4</w:t>
      </w:r>
      <w:r>
        <w:rPr>
          <w:rFonts w:hint="eastAsia" w:hAnsi="方正仿宋_GBK" w:cs="方正仿宋_GBK"/>
        </w:rPr>
        <w:t>个区域功能中心（职业病诊断和鉴定中心、疾病预防控制检验检测中心、中等卫生人才培训中心、血液中心）。</w:t>
      </w:r>
    </w:p>
    <w:p w14:paraId="55F6BE81">
      <w:pPr>
        <w:spacing w:line="600" w:lineRule="exact"/>
        <w:jc w:val="center"/>
        <w:rPr>
          <w:rFonts w:eastAsia="方正黑体_GBK"/>
        </w:rPr>
      </w:pPr>
      <w:r>
        <w:rPr>
          <w:rFonts w:hint="eastAsia" w:hAnsi="方正黑体_GBK" w:eastAsia="方正黑体_GBK" w:cs="方正黑体_GBK"/>
        </w:rPr>
        <w:t>专栏</w:t>
      </w:r>
      <w:r>
        <w:rPr>
          <w:rFonts w:eastAsia="方正黑体_GBK"/>
        </w:rPr>
        <w:t xml:space="preserve">1  </w:t>
      </w:r>
      <w:r>
        <w:rPr>
          <w:rFonts w:hint="eastAsia" w:hAnsi="方正黑体_GBK" w:eastAsia="方正黑体_GBK" w:cs="方正黑体_GBK"/>
        </w:rPr>
        <w:t>奉节县卫生健康事业</w:t>
      </w:r>
      <w:r>
        <w:rPr>
          <w:rFonts w:eastAsia="方正黑体_GBK"/>
        </w:rPr>
        <w:t>“</w:t>
      </w:r>
      <w:r>
        <w:rPr>
          <w:rFonts w:hint="eastAsia" w:hAnsi="方正黑体_GBK" w:eastAsia="方正黑体_GBK" w:cs="方正黑体_GBK"/>
        </w:rPr>
        <w:t>十四五</w:t>
      </w:r>
      <w:r>
        <w:rPr>
          <w:rFonts w:eastAsia="方正黑体_GBK"/>
        </w:rPr>
        <w:t>”</w:t>
      </w:r>
      <w:r>
        <w:rPr>
          <w:rFonts w:hint="eastAsia" w:hAnsi="方正黑体_GBK" w:eastAsia="方正黑体_GBK" w:cs="方正黑体_GBK"/>
        </w:rPr>
        <w:t>主要发展指标</w:t>
      </w:r>
    </w:p>
    <w:tbl>
      <w:tblPr>
        <w:tblStyle w:val="15"/>
        <w:tblW w:w="8513" w:type="dxa"/>
        <w:jc w:val="center"/>
        <w:tblLayout w:type="fixed"/>
        <w:tblCellMar>
          <w:top w:w="0" w:type="dxa"/>
          <w:left w:w="108" w:type="dxa"/>
          <w:bottom w:w="0" w:type="dxa"/>
          <w:right w:w="108" w:type="dxa"/>
        </w:tblCellMar>
      </w:tblPr>
      <w:tblGrid>
        <w:gridCol w:w="733"/>
        <w:gridCol w:w="684"/>
        <w:gridCol w:w="2350"/>
        <w:gridCol w:w="1566"/>
        <w:gridCol w:w="1200"/>
        <w:gridCol w:w="1134"/>
        <w:gridCol w:w="846"/>
      </w:tblGrid>
      <w:tr w14:paraId="1767C18D">
        <w:tblPrEx>
          <w:tblCellMar>
            <w:top w:w="0" w:type="dxa"/>
            <w:left w:w="108" w:type="dxa"/>
            <w:bottom w:w="0" w:type="dxa"/>
            <w:right w:w="108" w:type="dxa"/>
          </w:tblCellMar>
        </w:tblPrEx>
        <w:trPr>
          <w:trHeight w:val="624" w:hRule="atLeast"/>
          <w:tblHeader/>
          <w:jc w:val="center"/>
        </w:trPr>
        <w:tc>
          <w:tcPr>
            <w:tcW w:w="733" w:type="dxa"/>
            <w:vMerge w:val="restart"/>
            <w:tcBorders>
              <w:top w:val="single" w:color="000000" w:sz="4" w:space="0"/>
              <w:left w:val="single" w:color="000000" w:sz="4" w:space="0"/>
              <w:bottom w:val="single" w:color="000000" w:sz="4" w:space="0"/>
              <w:right w:val="single" w:color="000000" w:sz="4" w:space="0"/>
            </w:tcBorders>
            <w:vAlign w:val="center"/>
          </w:tcPr>
          <w:p w14:paraId="201E160E">
            <w:pPr>
              <w:widowControl/>
              <w:jc w:val="center"/>
              <w:textAlignment w:val="center"/>
              <w:rPr>
                <w:rFonts w:ascii="方正黑体_GBK" w:hAnsi="方正黑体_GBK" w:eastAsia="方正黑体_GBK"/>
                <w:sz w:val="21"/>
                <w:szCs w:val="21"/>
              </w:rPr>
            </w:pPr>
            <w:bookmarkStart w:id="24" w:name="_Toc27019"/>
            <w:r>
              <w:rPr>
                <w:rFonts w:hint="eastAsia" w:ascii="方正黑体_GBK" w:hAnsi="方正黑体_GBK" w:eastAsia="方正黑体_GBK" w:cs="方正黑体_GBK"/>
                <w:kern w:val="0"/>
                <w:sz w:val="21"/>
                <w:szCs w:val="21"/>
              </w:rPr>
              <w:t>类别</w:t>
            </w:r>
          </w:p>
        </w:tc>
        <w:tc>
          <w:tcPr>
            <w:tcW w:w="684" w:type="dxa"/>
            <w:tcBorders>
              <w:top w:val="single" w:color="000000" w:sz="4" w:space="0"/>
              <w:left w:val="single" w:color="000000" w:sz="4" w:space="0"/>
              <w:bottom w:val="single" w:color="000000" w:sz="4" w:space="0"/>
              <w:right w:val="single" w:color="000000" w:sz="4" w:space="0"/>
            </w:tcBorders>
            <w:vAlign w:val="center"/>
          </w:tcPr>
          <w:p w14:paraId="78275017">
            <w:pPr>
              <w:widowControl/>
              <w:jc w:val="center"/>
              <w:textAlignment w:val="center"/>
              <w:rPr>
                <w:rFonts w:ascii="方正黑体_GBK" w:hAnsi="方正黑体_GBK" w:eastAsia="方正黑体_GBK"/>
                <w:sz w:val="21"/>
                <w:szCs w:val="21"/>
              </w:rPr>
            </w:pPr>
            <w:r>
              <w:rPr>
                <w:rFonts w:hint="eastAsia" w:ascii="方正黑体_GBK" w:hAnsi="方正黑体_GBK" w:eastAsia="方正黑体_GBK" w:cs="方正黑体_GBK"/>
                <w:kern w:val="0"/>
                <w:sz w:val="21"/>
                <w:szCs w:val="21"/>
              </w:rPr>
              <w:t>序号</w:t>
            </w:r>
          </w:p>
        </w:tc>
        <w:tc>
          <w:tcPr>
            <w:tcW w:w="3916" w:type="dxa"/>
            <w:gridSpan w:val="2"/>
            <w:tcBorders>
              <w:top w:val="single" w:color="000000" w:sz="4" w:space="0"/>
              <w:left w:val="single" w:color="000000" w:sz="4" w:space="0"/>
              <w:bottom w:val="single" w:color="000000" w:sz="4" w:space="0"/>
              <w:right w:val="single" w:color="000000" w:sz="4" w:space="0"/>
            </w:tcBorders>
            <w:vAlign w:val="center"/>
          </w:tcPr>
          <w:p w14:paraId="21816290">
            <w:pPr>
              <w:widowControl/>
              <w:jc w:val="center"/>
              <w:textAlignment w:val="center"/>
              <w:rPr>
                <w:rFonts w:ascii="方正黑体_GBK" w:hAnsi="方正黑体_GBK" w:eastAsia="方正黑体_GBK"/>
                <w:sz w:val="21"/>
                <w:szCs w:val="21"/>
              </w:rPr>
            </w:pPr>
            <w:r>
              <w:rPr>
                <w:rFonts w:hint="eastAsia" w:ascii="方正黑体_GBK" w:hAnsi="方正黑体_GBK" w:eastAsia="方正黑体_GBK" w:cs="方正黑体_GBK"/>
                <w:kern w:val="0"/>
                <w:sz w:val="21"/>
                <w:szCs w:val="21"/>
              </w:rPr>
              <w:t>主要指标</w:t>
            </w:r>
          </w:p>
        </w:tc>
        <w:tc>
          <w:tcPr>
            <w:tcW w:w="1200" w:type="dxa"/>
            <w:tcBorders>
              <w:top w:val="single" w:color="000000" w:sz="4" w:space="0"/>
              <w:left w:val="single" w:color="000000" w:sz="4" w:space="0"/>
              <w:right w:val="single" w:color="000000" w:sz="4" w:space="0"/>
            </w:tcBorders>
            <w:vAlign w:val="center"/>
          </w:tcPr>
          <w:p w14:paraId="52833A9A">
            <w:pPr>
              <w:widowControl/>
              <w:jc w:val="center"/>
              <w:textAlignment w:val="center"/>
              <w:rPr>
                <w:rFonts w:eastAsia="宋体"/>
                <w:kern w:val="0"/>
                <w:sz w:val="21"/>
                <w:szCs w:val="21"/>
              </w:rPr>
            </w:pPr>
            <w:r>
              <w:rPr>
                <w:rFonts w:eastAsia="宋体"/>
                <w:kern w:val="0"/>
                <w:sz w:val="21"/>
                <w:szCs w:val="21"/>
              </w:rPr>
              <w:t>2020</w:t>
            </w:r>
            <w:r>
              <w:rPr>
                <w:rFonts w:hint="eastAsia" w:ascii="方正黑体_GBK" w:hAnsi="方正黑体_GBK" w:eastAsia="方正黑体_GBK" w:cs="方正黑体_GBK"/>
                <w:kern w:val="0"/>
                <w:sz w:val="21"/>
                <w:szCs w:val="21"/>
              </w:rPr>
              <w:t>年</w:t>
            </w:r>
          </w:p>
          <w:p w14:paraId="0E16BF20">
            <w:pPr>
              <w:widowControl/>
              <w:jc w:val="center"/>
              <w:textAlignment w:val="center"/>
              <w:rPr>
                <w:rFonts w:ascii="方正黑体_GBK" w:hAnsi="方正黑体_GBK" w:eastAsia="方正黑体_GBK"/>
                <w:sz w:val="21"/>
                <w:szCs w:val="21"/>
              </w:rPr>
            </w:pPr>
            <w:r>
              <w:rPr>
                <w:rFonts w:hint="eastAsia" w:ascii="方正黑体_GBK" w:hAnsi="方正黑体_GBK" w:eastAsia="方正黑体_GBK" w:cs="方正黑体_GBK"/>
                <w:kern w:val="0"/>
                <w:sz w:val="21"/>
                <w:szCs w:val="21"/>
              </w:rPr>
              <w:t>实际值</w:t>
            </w:r>
          </w:p>
        </w:tc>
        <w:tc>
          <w:tcPr>
            <w:tcW w:w="1134" w:type="dxa"/>
            <w:tcBorders>
              <w:top w:val="single" w:color="000000" w:sz="4" w:space="0"/>
              <w:left w:val="single" w:color="000000" w:sz="4" w:space="0"/>
              <w:bottom w:val="single" w:color="000000" w:sz="4" w:space="0"/>
              <w:right w:val="single" w:color="000000" w:sz="4" w:space="0"/>
            </w:tcBorders>
            <w:vAlign w:val="center"/>
          </w:tcPr>
          <w:p w14:paraId="71D418E2">
            <w:pPr>
              <w:widowControl/>
              <w:jc w:val="center"/>
              <w:textAlignment w:val="center"/>
              <w:rPr>
                <w:rFonts w:eastAsia="宋体"/>
                <w:kern w:val="0"/>
                <w:sz w:val="21"/>
                <w:szCs w:val="21"/>
              </w:rPr>
            </w:pPr>
            <w:r>
              <w:rPr>
                <w:rFonts w:eastAsia="宋体"/>
                <w:kern w:val="0"/>
                <w:sz w:val="21"/>
                <w:szCs w:val="21"/>
              </w:rPr>
              <w:t>2025</w:t>
            </w:r>
            <w:r>
              <w:rPr>
                <w:rFonts w:hint="eastAsia" w:ascii="方正黑体_GBK" w:hAnsi="方正黑体_GBK" w:eastAsia="方正黑体_GBK" w:cs="方正黑体_GBK"/>
                <w:kern w:val="0"/>
                <w:sz w:val="21"/>
                <w:szCs w:val="21"/>
              </w:rPr>
              <w:t>年</w:t>
            </w:r>
          </w:p>
          <w:p w14:paraId="62A5A7FD">
            <w:pPr>
              <w:widowControl/>
              <w:jc w:val="center"/>
              <w:textAlignment w:val="center"/>
              <w:rPr>
                <w:rFonts w:ascii="方正黑体_GBK" w:hAnsi="方正黑体_GBK" w:eastAsia="方正黑体_GBK"/>
                <w:sz w:val="21"/>
                <w:szCs w:val="21"/>
              </w:rPr>
            </w:pPr>
            <w:r>
              <w:rPr>
                <w:rFonts w:hint="eastAsia" w:ascii="方正黑体_GBK" w:hAnsi="方正黑体_GBK" w:eastAsia="方正黑体_GBK" w:cs="方正黑体_GBK"/>
                <w:kern w:val="0"/>
                <w:sz w:val="21"/>
                <w:szCs w:val="21"/>
              </w:rPr>
              <w:t>目标值</w:t>
            </w:r>
          </w:p>
        </w:tc>
        <w:tc>
          <w:tcPr>
            <w:tcW w:w="846" w:type="dxa"/>
            <w:tcBorders>
              <w:top w:val="single" w:color="000000" w:sz="4" w:space="0"/>
              <w:left w:val="single" w:color="000000" w:sz="4" w:space="0"/>
              <w:bottom w:val="single" w:color="000000" w:sz="4" w:space="0"/>
              <w:right w:val="single" w:color="000000" w:sz="4" w:space="0"/>
            </w:tcBorders>
            <w:vAlign w:val="center"/>
          </w:tcPr>
          <w:p w14:paraId="12A4B369">
            <w:pPr>
              <w:widowControl/>
              <w:jc w:val="center"/>
              <w:textAlignment w:val="center"/>
              <w:rPr>
                <w:rFonts w:ascii="方正黑体_GBK" w:hAnsi="方正黑体_GBK" w:eastAsia="方正黑体_GBK"/>
                <w:kern w:val="0"/>
                <w:sz w:val="21"/>
                <w:szCs w:val="21"/>
              </w:rPr>
            </w:pPr>
            <w:r>
              <w:rPr>
                <w:rFonts w:hint="eastAsia" w:ascii="方正黑体_GBK" w:hAnsi="方正黑体_GBK" w:eastAsia="方正黑体_GBK" w:cs="方正黑体_GBK"/>
                <w:kern w:val="0"/>
                <w:sz w:val="21"/>
                <w:szCs w:val="21"/>
              </w:rPr>
              <w:t>指标</w:t>
            </w:r>
          </w:p>
          <w:p w14:paraId="1988115B">
            <w:pPr>
              <w:widowControl/>
              <w:jc w:val="center"/>
              <w:textAlignment w:val="center"/>
              <w:rPr>
                <w:rFonts w:ascii="方正黑体_GBK" w:hAnsi="方正黑体_GBK" w:eastAsia="方正黑体_GBK"/>
                <w:sz w:val="21"/>
                <w:szCs w:val="21"/>
              </w:rPr>
            </w:pPr>
            <w:r>
              <w:rPr>
                <w:rFonts w:hint="eastAsia" w:ascii="方正黑体_GBK" w:hAnsi="方正黑体_GBK" w:eastAsia="方正黑体_GBK" w:cs="方正黑体_GBK"/>
                <w:kern w:val="0"/>
                <w:sz w:val="21"/>
                <w:szCs w:val="21"/>
              </w:rPr>
              <w:t>性质</w:t>
            </w:r>
          </w:p>
        </w:tc>
      </w:tr>
      <w:tr w14:paraId="31F0F544">
        <w:tblPrEx>
          <w:tblCellMar>
            <w:top w:w="0" w:type="dxa"/>
            <w:left w:w="108" w:type="dxa"/>
            <w:bottom w:w="0" w:type="dxa"/>
            <w:right w:w="108" w:type="dxa"/>
          </w:tblCellMar>
        </w:tblPrEx>
        <w:trPr>
          <w:trHeight w:val="300" w:hRule="atLeast"/>
          <w:jc w:val="center"/>
        </w:trPr>
        <w:tc>
          <w:tcPr>
            <w:tcW w:w="733" w:type="dxa"/>
            <w:vMerge w:val="restart"/>
            <w:tcBorders>
              <w:top w:val="single" w:color="000000" w:sz="4" w:space="0"/>
              <w:left w:val="single" w:color="000000" w:sz="4" w:space="0"/>
              <w:bottom w:val="single" w:color="000000" w:sz="4" w:space="0"/>
              <w:right w:val="single" w:color="000000" w:sz="4" w:space="0"/>
            </w:tcBorders>
            <w:vAlign w:val="center"/>
          </w:tcPr>
          <w:p w14:paraId="65071E87">
            <w:pPr>
              <w:widowControl/>
              <w:jc w:val="center"/>
              <w:textAlignment w:val="center"/>
              <w:rPr>
                <w:rFonts w:ascii="方正仿宋_GBK"/>
                <w:sz w:val="21"/>
                <w:szCs w:val="21"/>
              </w:rPr>
            </w:pPr>
            <w:r>
              <w:rPr>
                <w:rFonts w:hint="eastAsia" w:ascii="方正仿宋_GBK" w:hAnsi="方正仿宋_GBK" w:cs="方正仿宋_GBK"/>
                <w:kern w:val="0"/>
                <w:sz w:val="21"/>
                <w:szCs w:val="21"/>
              </w:rPr>
              <w:t>健康水平</w:t>
            </w:r>
          </w:p>
        </w:tc>
        <w:tc>
          <w:tcPr>
            <w:tcW w:w="684" w:type="dxa"/>
            <w:tcBorders>
              <w:top w:val="single" w:color="000000" w:sz="4" w:space="0"/>
              <w:left w:val="single" w:color="000000" w:sz="4" w:space="0"/>
              <w:bottom w:val="single" w:color="000000" w:sz="4" w:space="0"/>
              <w:right w:val="single" w:color="000000" w:sz="4" w:space="0"/>
            </w:tcBorders>
            <w:vAlign w:val="center"/>
          </w:tcPr>
          <w:p w14:paraId="35EBF1CA">
            <w:pPr>
              <w:widowControl/>
              <w:jc w:val="center"/>
              <w:textAlignment w:val="center"/>
              <w:rPr>
                <w:rFonts w:eastAsia="宋体"/>
                <w:sz w:val="21"/>
                <w:szCs w:val="21"/>
              </w:rPr>
            </w:pPr>
            <w:r>
              <w:rPr>
                <w:rFonts w:eastAsia="宋体"/>
                <w:kern w:val="0"/>
                <w:sz w:val="21"/>
                <w:szCs w:val="21"/>
              </w:rPr>
              <w:t>1</w:t>
            </w:r>
          </w:p>
        </w:tc>
        <w:tc>
          <w:tcPr>
            <w:tcW w:w="3916" w:type="dxa"/>
            <w:gridSpan w:val="2"/>
            <w:tcBorders>
              <w:top w:val="single" w:color="000000" w:sz="4" w:space="0"/>
              <w:left w:val="single" w:color="000000" w:sz="4" w:space="0"/>
              <w:bottom w:val="single" w:color="000000" w:sz="4" w:space="0"/>
              <w:right w:val="single" w:color="000000" w:sz="4" w:space="0"/>
            </w:tcBorders>
            <w:vAlign w:val="center"/>
          </w:tcPr>
          <w:p w14:paraId="6D2FFECA">
            <w:pPr>
              <w:widowControl/>
              <w:textAlignment w:val="center"/>
              <w:rPr>
                <w:rFonts w:ascii="方正仿宋_GBK"/>
                <w:sz w:val="21"/>
                <w:szCs w:val="21"/>
              </w:rPr>
            </w:pPr>
            <w:r>
              <w:rPr>
                <w:rFonts w:hint="eastAsia" w:ascii="方正仿宋_GBK" w:hAnsi="方正仿宋_GBK" w:cs="方正仿宋_GBK"/>
                <w:kern w:val="0"/>
                <w:sz w:val="21"/>
                <w:szCs w:val="21"/>
              </w:rPr>
              <w:t>人均预期寿命（岁）</w:t>
            </w:r>
          </w:p>
        </w:tc>
        <w:tc>
          <w:tcPr>
            <w:tcW w:w="1200" w:type="dxa"/>
            <w:tcBorders>
              <w:top w:val="single" w:color="000000" w:sz="4" w:space="0"/>
              <w:left w:val="single" w:color="000000" w:sz="4" w:space="0"/>
              <w:bottom w:val="single" w:color="000000" w:sz="4" w:space="0"/>
              <w:right w:val="single" w:color="000000" w:sz="4" w:space="0"/>
            </w:tcBorders>
            <w:vAlign w:val="center"/>
          </w:tcPr>
          <w:p w14:paraId="6D71DAC0">
            <w:pPr>
              <w:widowControl/>
              <w:jc w:val="center"/>
              <w:textAlignment w:val="center"/>
              <w:rPr>
                <w:rFonts w:eastAsia="宋体"/>
                <w:sz w:val="21"/>
                <w:szCs w:val="21"/>
              </w:rPr>
            </w:pPr>
            <w:r>
              <w:rPr>
                <w:rFonts w:eastAsia="宋体"/>
                <w:kern w:val="0"/>
                <w:sz w:val="21"/>
                <w:szCs w:val="21"/>
              </w:rPr>
              <w:t>77.07</w:t>
            </w:r>
          </w:p>
        </w:tc>
        <w:tc>
          <w:tcPr>
            <w:tcW w:w="1134" w:type="dxa"/>
            <w:tcBorders>
              <w:top w:val="single" w:color="000000" w:sz="4" w:space="0"/>
              <w:left w:val="single" w:color="000000" w:sz="4" w:space="0"/>
              <w:bottom w:val="single" w:color="000000" w:sz="4" w:space="0"/>
              <w:right w:val="single" w:color="000000" w:sz="4" w:space="0"/>
            </w:tcBorders>
            <w:vAlign w:val="center"/>
          </w:tcPr>
          <w:p w14:paraId="4A7F6BE7">
            <w:pPr>
              <w:widowControl/>
              <w:jc w:val="center"/>
              <w:textAlignment w:val="center"/>
              <w:rPr>
                <w:rFonts w:eastAsia="宋体"/>
                <w:sz w:val="21"/>
                <w:szCs w:val="21"/>
              </w:rPr>
            </w:pPr>
            <w:r>
              <w:rPr>
                <w:rFonts w:eastAsia="宋体"/>
                <w:kern w:val="0"/>
                <w:sz w:val="21"/>
                <w:szCs w:val="21"/>
              </w:rPr>
              <w:t>78.6</w:t>
            </w:r>
          </w:p>
        </w:tc>
        <w:tc>
          <w:tcPr>
            <w:tcW w:w="846" w:type="dxa"/>
            <w:tcBorders>
              <w:top w:val="single" w:color="000000" w:sz="4" w:space="0"/>
              <w:left w:val="single" w:color="000000" w:sz="4" w:space="0"/>
              <w:bottom w:val="single" w:color="000000" w:sz="4" w:space="0"/>
              <w:right w:val="single" w:color="000000" w:sz="4" w:space="0"/>
            </w:tcBorders>
            <w:vAlign w:val="center"/>
          </w:tcPr>
          <w:p w14:paraId="7590C4F5">
            <w:pPr>
              <w:widowControl/>
              <w:jc w:val="center"/>
              <w:textAlignment w:val="center"/>
              <w:rPr>
                <w:rFonts w:ascii="方正仿宋_GBK"/>
                <w:sz w:val="21"/>
                <w:szCs w:val="21"/>
              </w:rPr>
            </w:pPr>
            <w:r>
              <w:rPr>
                <w:rFonts w:hint="eastAsia" w:ascii="方正仿宋_GBK" w:hAnsi="方正仿宋_GBK" w:cs="方正仿宋_GBK"/>
                <w:kern w:val="0"/>
                <w:sz w:val="21"/>
                <w:szCs w:val="21"/>
              </w:rPr>
              <w:t>预期性</w:t>
            </w:r>
          </w:p>
        </w:tc>
      </w:tr>
      <w:tr w14:paraId="49CA3D78">
        <w:tblPrEx>
          <w:tblCellMar>
            <w:top w:w="0" w:type="dxa"/>
            <w:left w:w="108" w:type="dxa"/>
            <w:bottom w:w="0" w:type="dxa"/>
            <w:right w:w="108" w:type="dxa"/>
          </w:tblCellMar>
        </w:tblPrEx>
        <w:trPr>
          <w:trHeight w:val="576" w:hRule="atLeast"/>
          <w:jc w:val="center"/>
        </w:trPr>
        <w:tc>
          <w:tcPr>
            <w:tcW w:w="733" w:type="dxa"/>
            <w:vMerge w:val="continue"/>
            <w:tcBorders>
              <w:top w:val="single" w:color="000000" w:sz="4" w:space="0"/>
              <w:left w:val="single" w:color="000000" w:sz="4" w:space="0"/>
              <w:bottom w:val="single" w:color="000000" w:sz="4" w:space="0"/>
              <w:right w:val="single" w:color="000000" w:sz="4" w:space="0"/>
            </w:tcBorders>
            <w:vAlign w:val="center"/>
          </w:tcPr>
          <w:p w14:paraId="339C0AEB">
            <w:pPr>
              <w:jc w:val="center"/>
              <w:rPr>
                <w:rFonts w:ascii="方正仿宋_GBK"/>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14:paraId="238F4905">
            <w:pPr>
              <w:widowControl/>
              <w:jc w:val="center"/>
              <w:textAlignment w:val="center"/>
              <w:rPr>
                <w:rFonts w:eastAsia="宋体"/>
                <w:sz w:val="21"/>
                <w:szCs w:val="21"/>
              </w:rPr>
            </w:pPr>
            <w:r>
              <w:rPr>
                <w:rFonts w:eastAsia="宋体"/>
                <w:kern w:val="0"/>
                <w:sz w:val="21"/>
                <w:szCs w:val="21"/>
              </w:rPr>
              <w:t>2</w:t>
            </w:r>
          </w:p>
        </w:tc>
        <w:tc>
          <w:tcPr>
            <w:tcW w:w="3916" w:type="dxa"/>
            <w:gridSpan w:val="2"/>
            <w:tcBorders>
              <w:top w:val="single" w:color="000000" w:sz="4" w:space="0"/>
              <w:left w:val="single" w:color="000000" w:sz="4" w:space="0"/>
              <w:bottom w:val="single" w:color="000000" w:sz="4" w:space="0"/>
              <w:right w:val="single" w:color="000000" w:sz="4" w:space="0"/>
            </w:tcBorders>
            <w:vAlign w:val="center"/>
          </w:tcPr>
          <w:p w14:paraId="23852962">
            <w:pPr>
              <w:widowControl/>
              <w:textAlignment w:val="center"/>
              <w:rPr>
                <w:rFonts w:ascii="方正仿宋_GBK"/>
                <w:sz w:val="21"/>
                <w:szCs w:val="21"/>
              </w:rPr>
            </w:pPr>
            <w:r>
              <w:rPr>
                <w:rFonts w:hint="eastAsia" w:ascii="方正仿宋_GBK" w:hAnsi="方正仿宋_GBK" w:cs="方正仿宋_GBK"/>
                <w:kern w:val="0"/>
                <w:sz w:val="21"/>
                <w:szCs w:val="21"/>
              </w:rPr>
              <w:t>健康预期寿命（岁）</w:t>
            </w:r>
          </w:p>
        </w:tc>
        <w:tc>
          <w:tcPr>
            <w:tcW w:w="1200" w:type="dxa"/>
            <w:tcBorders>
              <w:top w:val="single" w:color="000000" w:sz="4" w:space="0"/>
              <w:left w:val="single" w:color="000000" w:sz="4" w:space="0"/>
              <w:bottom w:val="single" w:color="000000" w:sz="4" w:space="0"/>
              <w:right w:val="single" w:color="000000" w:sz="4" w:space="0"/>
            </w:tcBorders>
            <w:vAlign w:val="center"/>
          </w:tcPr>
          <w:p w14:paraId="648A7A4E">
            <w:pPr>
              <w:widowControl/>
              <w:jc w:val="center"/>
              <w:textAlignment w:val="center"/>
              <w:rPr>
                <w:rFonts w:eastAsia="宋体"/>
                <w:sz w:val="21"/>
                <w:szCs w:val="21"/>
              </w:rPr>
            </w:pPr>
            <w:r>
              <w:rPr>
                <w:rFonts w:eastAsia="宋体"/>
                <w:kern w:val="0"/>
                <w:sz w:val="21"/>
                <w:szCs w:val="21"/>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0F6C3869">
            <w:pPr>
              <w:widowControl/>
              <w:jc w:val="center"/>
              <w:textAlignment w:val="center"/>
              <w:rPr>
                <w:rFonts w:ascii="方正仿宋_GBK"/>
                <w:kern w:val="0"/>
                <w:sz w:val="21"/>
                <w:szCs w:val="21"/>
              </w:rPr>
            </w:pPr>
            <w:r>
              <w:rPr>
                <w:rFonts w:hint="eastAsia" w:ascii="方正仿宋_GBK" w:hAnsi="方正仿宋_GBK" w:cs="方正仿宋_GBK"/>
                <w:kern w:val="0"/>
                <w:sz w:val="21"/>
                <w:szCs w:val="21"/>
              </w:rPr>
              <w:t>同比例</w:t>
            </w:r>
          </w:p>
          <w:p w14:paraId="5A170E19">
            <w:pPr>
              <w:widowControl/>
              <w:jc w:val="center"/>
              <w:textAlignment w:val="center"/>
              <w:rPr>
                <w:rFonts w:ascii="方正仿宋_GBK"/>
                <w:sz w:val="21"/>
                <w:szCs w:val="21"/>
              </w:rPr>
            </w:pPr>
            <w:r>
              <w:rPr>
                <w:rFonts w:hint="eastAsia" w:ascii="方正仿宋_GBK" w:hAnsi="方正仿宋_GBK" w:cs="方正仿宋_GBK"/>
                <w:kern w:val="0"/>
                <w:sz w:val="21"/>
                <w:szCs w:val="21"/>
              </w:rPr>
              <w:t>提高</w:t>
            </w:r>
          </w:p>
        </w:tc>
        <w:tc>
          <w:tcPr>
            <w:tcW w:w="846" w:type="dxa"/>
            <w:tcBorders>
              <w:top w:val="single" w:color="000000" w:sz="4" w:space="0"/>
              <w:left w:val="single" w:color="000000" w:sz="4" w:space="0"/>
              <w:bottom w:val="single" w:color="000000" w:sz="4" w:space="0"/>
              <w:right w:val="single" w:color="000000" w:sz="4" w:space="0"/>
            </w:tcBorders>
            <w:vAlign w:val="center"/>
          </w:tcPr>
          <w:p w14:paraId="6061F815">
            <w:pPr>
              <w:widowControl/>
              <w:jc w:val="center"/>
              <w:textAlignment w:val="center"/>
              <w:rPr>
                <w:rFonts w:ascii="方正仿宋_GBK"/>
                <w:sz w:val="21"/>
                <w:szCs w:val="21"/>
              </w:rPr>
            </w:pPr>
            <w:r>
              <w:rPr>
                <w:rFonts w:hint="eastAsia" w:ascii="方正仿宋_GBK" w:hAnsi="方正仿宋_GBK" w:cs="方正仿宋_GBK"/>
                <w:kern w:val="0"/>
                <w:sz w:val="21"/>
                <w:szCs w:val="21"/>
              </w:rPr>
              <w:t>预期性</w:t>
            </w:r>
          </w:p>
        </w:tc>
      </w:tr>
      <w:tr w14:paraId="4DAE91B9">
        <w:tblPrEx>
          <w:tblCellMar>
            <w:top w:w="0" w:type="dxa"/>
            <w:left w:w="108" w:type="dxa"/>
            <w:bottom w:w="0" w:type="dxa"/>
            <w:right w:w="108" w:type="dxa"/>
          </w:tblCellMar>
        </w:tblPrEx>
        <w:trPr>
          <w:trHeight w:val="345" w:hRule="atLeast"/>
          <w:jc w:val="center"/>
        </w:trPr>
        <w:tc>
          <w:tcPr>
            <w:tcW w:w="733" w:type="dxa"/>
            <w:vMerge w:val="continue"/>
            <w:tcBorders>
              <w:top w:val="single" w:color="000000" w:sz="4" w:space="0"/>
              <w:left w:val="single" w:color="000000" w:sz="4" w:space="0"/>
              <w:bottom w:val="single" w:color="000000" w:sz="4" w:space="0"/>
              <w:right w:val="single" w:color="000000" w:sz="4" w:space="0"/>
            </w:tcBorders>
            <w:vAlign w:val="center"/>
          </w:tcPr>
          <w:p w14:paraId="13247A57">
            <w:pPr>
              <w:jc w:val="center"/>
              <w:rPr>
                <w:rFonts w:ascii="方正仿宋_GBK"/>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14:paraId="2F4FED02">
            <w:pPr>
              <w:widowControl/>
              <w:jc w:val="center"/>
              <w:textAlignment w:val="center"/>
              <w:rPr>
                <w:rFonts w:eastAsia="宋体"/>
                <w:sz w:val="21"/>
                <w:szCs w:val="21"/>
              </w:rPr>
            </w:pPr>
            <w:r>
              <w:rPr>
                <w:rFonts w:eastAsia="宋体"/>
                <w:kern w:val="0"/>
                <w:sz w:val="21"/>
                <w:szCs w:val="21"/>
              </w:rPr>
              <w:t>3</w:t>
            </w:r>
          </w:p>
        </w:tc>
        <w:tc>
          <w:tcPr>
            <w:tcW w:w="3916" w:type="dxa"/>
            <w:gridSpan w:val="2"/>
            <w:tcBorders>
              <w:top w:val="single" w:color="000000" w:sz="4" w:space="0"/>
              <w:left w:val="single" w:color="000000" w:sz="4" w:space="0"/>
              <w:bottom w:val="single" w:color="000000" w:sz="4" w:space="0"/>
              <w:right w:val="single" w:color="000000" w:sz="4" w:space="0"/>
            </w:tcBorders>
            <w:vAlign w:val="center"/>
          </w:tcPr>
          <w:p w14:paraId="6E236B70">
            <w:pPr>
              <w:widowControl/>
              <w:textAlignment w:val="center"/>
              <w:rPr>
                <w:rFonts w:ascii="方正仿宋_GBK"/>
                <w:sz w:val="21"/>
                <w:szCs w:val="21"/>
              </w:rPr>
            </w:pPr>
            <w:r>
              <w:rPr>
                <w:rFonts w:hint="eastAsia" w:ascii="方正仿宋_GBK" w:hAnsi="方正仿宋_GBK" w:cs="方正仿宋_GBK"/>
                <w:kern w:val="0"/>
                <w:sz w:val="21"/>
                <w:szCs w:val="21"/>
              </w:rPr>
              <w:t>孕产妇死亡率（</w:t>
            </w:r>
            <w:r>
              <w:rPr>
                <w:kern w:val="0"/>
                <w:sz w:val="21"/>
                <w:szCs w:val="21"/>
              </w:rPr>
              <w:t>/10</w:t>
            </w:r>
            <w:r>
              <w:rPr>
                <w:rFonts w:hint="eastAsia" w:ascii="方正仿宋_GBK" w:hAnsi="方正仿宋_GBK" w:cs="方正仿宋_GBK"/>
                <w:kern w:val="0"/>
                <w:sz w:val="21"/>
                <w:szCs w:val="21"/>
              </w:rPr>
              <w:t>万）</w:t>
            </w:r>
          </w:p>
        </w:tc>
        <w:tc>
          <w:tcPr>
            <w:tcW w:w="1200" w:type="dxa"/>
            <w:tcBorders>
              <w:top w:val="single" w:color="000000" w:sz="4" w:space="0"/>
              <w:left w:val="single" w:color="000000" w:sz="4" w:space="0"/>
              <w:bottom w:val="single" w:color="000000" w:sz="4" w:space="0"/>
              <w:right w:val="single" w:color="000000" w:sz="4" w:space="0"/>
            </w:tcBorders>
            <w:vAlign w:val="center"/>
          </w:tcPr>
          <w:p w14:paraId="0A5F010C">
            <w:pPr>
              <w:widowControl/>
              <w:jc w:val="center"/>
              <w:textAlignment w:val="center"/>
              <w:rPr>
                <w:rFonts w:eastAsia="宋体"/>
                <w:sz w:val="21"/>
                <w:szCs w:val="21"/>
              </w:rPr>
            </w:pPr>
            <w:r>
              <w:rPr>
                <w:rFonts w:eastAsia="宋体"/>
                <w:kern w:val="0"/>
                <w:sz w:val="21"/>
                <w:szCs w:val="21"/>
              </w:rPr>
              <w:t>15.86</w:t>
            </w:r>
          </w:p>
        </w:tc>
        <w:tc>
          <w:tcPr>
            <w:tcW w:w="1134" w:type="dxa"/>
            <w:tcBorders>
              <w:top w:val="single" w:color="000000" w:sz="4" w:space="0"/>
              <w:left w:val="single" w:color="000000" w:sz="4" w:space="0"/>
              <w:bottom w:val="single" w:color="000000" w:sz="4" w:space="0"/>
              <w:right w:val="single" w:color="000000" w:sz="4" w:space="0"/>
            </w:tcBorders>
            <w:vAlign w:val="center"/>
          </w:tcPr>
          <w:p w14:paraId="046F53EE">
            <w:pPr>
              <w:widowControl/>
              <w:jc w:val="center"/>
              <w:textAlignment w:val="center"/>
              <w:rPr>
                <w:rFonts w:eastAsia="宋体"/>
                <w:sz w:val="21"/>
                <w:szCs w:val="21"/>
              </w:rPr>
            </w:pPr>
            <w:r>
              <w:rPr>
                <w:rFonts w:eastAsia="宋体"/>
                <w:kern w:val="0"/>
                <w:sz w:val="21"/>
                <w:szCs w:val="21"/>
              </w:rPr>
              <w:t>≤10</w:t>
            </w:r>
          </w:p>
        </w:tc>
        <w:tc>
          <w:tcPr>
            <w:tcW w:w="846" w:type="dxa"/>
            <w:tcBorders>
              <w:top w:val="single" w:color="000000" w:sz="4" w:space="0"/>
              <w:left w:val="single" w:color="000000" w:sz="4" w:space="0"/>
              <w:bottom w:val="single" w:color="000000" w:sz="4" w:space="0"/>
              <w:right w:val="single" w:color="000000" w:sz="4" w:space="0"/>
            </w:tcBorders>
            <w:vAlign w:val="center"/>
          </w:tcPr>
          <w:p w14:paraId="7A415074">
            <w:pPr>
              <w:widowControl/>
              <w:jc w:val="center"/>
              <w:textAlignment w:val="center"/>
              <w:rPr>
                <w:rFonts w:ascii="方正仿宋_GBK"/>
                <w:sz w:val="21"/>
                <w:szCs w:val="21"/>
              </w:rPr>
            </w:pPr>
            <w:r>
              <w:rPr>
                <w:rFonts w:hint="eastAsia" w:ascii="方正仿宋_GBK" w:hAnsi="方正仿宋_GBK" w:cs="方正仿宋_GBK"/>
                <w:kern w:val="0"/>
                <w:sz w:val="21"/>
                <w:szCs w:val="21"/>
              </w:rPr>
              <w:t>预期性</w:t>
            </w:r>
          </w:p>
        </w:tc>
      </w:tr>
      <w:tr w14:paraId="552759A9">
        <w:tblPrEx>
          <w:tblCellMar>
            <w:top w:w="0" w:type="dxa"/>
            <w:left w:w="108" w:type="dxa"/>
            <w:bottom w:w="0" w:type="dxa"/>
            <w:right w:w="108" w:type="dxa"/>
          </w:tblCellMar>
        </w:tblPrEx>
        <w:trPr>
          <w:trHeight w:val="300" w:hRule="atLeast"/>
          <w:jc w:val="center"/>
        </w:trPr>
        <w:tc>
          <w:tcPr>
            <w:tcW w:w="733" w:type="dxa"/>
            <w:vMerge w:val="continue"/>
            <w:tcBorders>
              <w:top w:val="single" w:color="000000" w:sz="4" w:space="0"/>
              <w:left w:val="single" w:color="000000" w:sz="4" w:space="0"/>
              <w:bottom w:val="single" w:color="000000" w:sz="4" w:space="0"/>
              <w:right w:val="single" w:color="000000" w:sz="4" w:space="0"/>
            </w:tcBorders>
            <w:vAlign w:val="center"/>
          </w:tcPr>
          <w:p w14:paraId="5B578845">
            <w:pPr>
              <w:jc w:val="center"/>
              <w:rPr>
                <w:rFonts w:ascii="方正仿宋_GBK"/>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14:paraId="6C13FF05">
            <w:pPr>
              <w:widowControl/>
              <w:jc w:val="center"/>
              <w:textAlignment w:val="center"/>
              <w:rPr>
                <w:rFonts w:eastAsia="宋体"/>
                <w:sz w:val="21"/>
                <w:szCs w:val="21"/>
              </w:rPr>
            </w:pPr>
            <w:r>
              <w:rPr>
                <w:rFonts w:eastAsia="宋体"/>
                <w:kern w:val="0"/>
                <w:sz w:val="21"/>
                <w:szCs w:val="21"/>
              </w:rPr>
              <w:t>4</w:t>
            </w:r>
          </w:p>
        </w:tc>
        <w:tc>
          <w:tcPr>
            <w:tcW w:w="3916" w:type="dxa"/>
            <w:gridSpan w:val="2"/>
            <w:tcBorders>
              <w:top w:val="single" w:color="000000" w:sz="4" w:space="0"/>
              <w:left w:val="single" w:color="000000" w:sz="4" w:space="0"/>
              <w:bottom w:val="single" w:color="000000" w:sz="4" w:space="0"/>
              <w:right w:val="single" w:color="000000" w:sz="4" w:space="0"/>
            </w:tcBorders>
            <w:vAlign w:val="center"/>
          </w:tcPr>
          <w:p w14:paraId="7C7656F6">
            <w:pPr>
              <w:widowControl/>
              <w:textAlignment w:val="center"/>
              <w:rPr>
                <w:rFonts w:ascii="方正仿宋_GBK"/>
                <w:sz w:val="21"/>
                <w:szCs w:val="21"/>
              </w:rPr>
            </w:pPr>
            <w:r>
              <w:rPr>
                <w:rFonts w:hint="eastAsia" w:ascii="方正仿宋_GBK" w:hAnsi="方正仿宋_GBK" w:cs="方正仿宋_GBK"/>
                <w:kern w:val="0"/>
                <w:sz w:val="21"/>
                <w:szCs w:val="21"/>
              </w:rPr>
              <w:t>婴儿死亡率（</w:t>
            </w:r>
            <w:r>
              <w:rPr>
                <w:kern w:val="0"/>
                <w:sz w:val="21"/>
                <w:szCs w:val="21"/>
              </w:rPr>
              <w:t>‰</w:t>
            </w:r>
            <w:r>
              <w:rPr>
                <w:rFonts w:hint="eastAsia" w:ascii="方正仿宋_GBK" w:hAnsi="方正仿宋_GBK" w:cs="方正仿宋_GBK"/>
                <w:kern w:val="0"/>
                <w:sz w:val="21"/>
                <w:szCs w:val="21"/>
              </w:rPr>
              <w:t>）</w:t>
            </w:r>
          </w:p>
        </w:tc>
        <w:tc>
          <w:tcPr>
            <w:tcW w:w="1200" w:type="dxa"/>
            <w:tcBorders>
              <w:top w:val="single" w:color="000000" w:sz="4" w:space="0"/>
              <w:left w:val="single" w:color="000000" w:sz="4" w:space="0"/>
              <w:bottom w:val="single" w:color="000000" w:sz="4" w:space="0"/>
              <w:right w:val="single" w:color="000000" w:sz="4" w:space="0"/>
            </w:tcBorders>
            <w:vAlign w:val="center"/>
          </w:tcPr>
          <w:p w14:paraId="356F6ECF">
            <w:pPr>
              <w:widowControl/>
              <w:jc w:val="center"/>
              <w:textAlignment w:val="center"/>
              <w:rPr>
                <w:rFonts w:eastAsia="宋体"/>
                <w:sz w:val="21"/>
                <w:szCs w:val="21"/>
              </w:rPr>
            </w:pPr>
            <w:r>
              <w:rPr>
                <w:rFonts w:eastAsia="宋体"/>
                <w:kern w:val="0"/>
                <w:sz w:val="21"/>
                <w:szCs w:val="21"/>
              </w:rPr>
              <w:t>3.65</w:t>
            </w:r>
          </w:p>
        </w:tc>
        <w:tc>
          <w:tcPr>
            <w:tcW w:w="1134" w:type="dxa"/>
            <w:tcBorders>
              <w:top w:val="single" w:color="000000" w:sz="4" w:space="0"/>
              <w:left w:val="single" w:color="000000" w:sz="4" w:space="0"/>
              <w:bottom w:val="single" w:color="000000" w:sz="4" w:space="0"/>
              <w:right w:val="single" w:color="000000" w:sz="4" w:space="0"/>
            </w:tcBorders>
            <w:vAlign w:val="center"/>
          </w:tcPr>
          <w:p w14:paraId="3BA982D4">
            <w:pPr>
              <w:widowControl/>
              <w:jc w:val="center"/>
              <w:textAlignment w:val="center"/>
              <w:rPr>
                <w:rFonts w:eastAsia="宋体"/>
                <w:sz w:val="21"/>
                <w:szCs w:val="21"/>
              </w:rPr>
            </w:pPr>
            <w:r>
              <w:rPr>
                <w:rFonts w:eastAsia="宋体"/>
                <w:kern w:val="0"/>
                <w:sz w:val="21"/>
                <w:szCs w:val="21"/>
              </w:rPr>
              <w:t>≤3.5</w:t>
            </w:r>
          </w:p>
        </w:tc>
        <w:tc>
          <w:tcPr>
            <w:tcW w:w="846" w:type="dxa"/>
            <w:tcBorders>
              <w:top w:val="single" w:color="000000" w:sz="4" w:space="0"/>
              <w:left w:val="single" w:color="000000" w:sz="4" w:space="0"/>
              <w:bottom w:val="single" w:color="000000" w:sz="4" w:space="0"/>
              <w:right w:val="single" w:color="000000" w:sz="4" w:space="0"/>
            </w:tcBorders>
            <w:vAlign w:val="center"/>
          </w:tcPr>
          <w:p w14:paraId="1EF647A5">
            <w:pPr>
              <w:widowControl/>
              <w:jc w:val="center"/>
              <w:textAlignment w:val="center"/>
              <w:rPr>
                <w:rFonts w:ascii="方正仿宋_GBK"/>
                <w:sz w:val="21"/>
                <w:szCs w:val="21"/>
              </w:rPr>
            </w:pPr>
            <w:r>
              <w:rPr>
                <w:rFonts w:hint="eastAsia" w:ascii="方正仿宋_GBK" w:hAnsi="方正仿宋_GBK" w:cs="方正仿宋_GBK"/>
                <w:kern w:val="0"/>
                <w:sz w:val="21"/>
                <w:szCs w:val="21"/>
              </w:rPr>
              <w:t>预期性</w:t>
            </w:r>
          </w:p>
        </w:tc>
      </w:tr>
      <w:tr w14:paraId="041E354F">
        <w:tblPrEx>
          <w:tblCellMar>
            <w:top w:w="0" w:type="dxa"/>
            <w:left w:w="108" w:type="dxa"/>
            <w:bottom w:w="0" w:type="dxa"/>
            <w:right w:w="108" w:type="dxa"/>
          </w:tblCellMar>
        </w:tblPrEx>
        <w:trPr>
          <w:trHeight w:val="362" w:hRule="atLeast"/>
          <w:jc w:val="center"/>
        </w:trPr>
        <w:tc>
          <w:tcPr>
            <w:tcW w:w="733" w:type="dxa"/>
            <w:vMerge w:val="continue"/>
            <w:tcBorders>
              <w:top w:val="single" w:color="000000" w:sz="4" w:space="0"/>
              <w:left w:val="single" w:color="000000" w:sz="4" w:space="0"/>
              <w:bottom w:val="single" w:color="000000" w:sz="4" w:space="0"/>
              <w:right w:val="single" w:color="000000" w:sz="4" w:space="0"/>
            </w:tcBorders>
            <w:vAlign w:val="center"/>
          </w:tcPr>
          <w:p w14:paraId="70942686">
            <w:pPr>
              <w:jc w:val="center"/>
              <w:rPr>
                <w:rFonts w:ascii="方正仿宋_GBK"/>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14:paraId="3BF5337B">
            <w:pPr>
              <w:widowControl/>
              <w:jc w:val="center"/>
              <w:textAlignment w:val="center"/>
              <w:rPr>
                <w:rFonts w:eastAsia="宋体"/>
                <w:sz w:val="21"/>
                <w:szCs w:val="21"/>
              </w:rPr>
            </w:pPr>
            <w:r>
              <w:rPr>
                <w:rFonts w:eastAsia="宋体"/>
                <w:kern w:val="0"/>
                <w:sz w:val="21"/>
                <w:szCs w:val="21"/>
              </w:rPr>
              <w:t>5</w:t>
            </w:r>
          </w:p>
        </w:tc>
        <w:tc>
          <w:tcPr>
            <w:tcW w:w="3916" w:type="dxa"/>
            <w:gridSpan w:val="2"/>
            <w:tcBorders>
              <w:top w:val="single" w:color="000000" w:sz="4" w:space="0"/>
              <w:left w:val="single" w:color="000000" w:sz="4" w:space="0"/>
              <w:bottom w:val="single" w:color="000000" w:sz="4" w:space="0"/>
              <w:right w:val="single" w:color="000000" w:sz="4" w:space="0"/>
            </w:tcBorders>
            <w:vAlign w:val="center"/>
          </w:tcPr>
          <w:p w14:paraId="6EF314FE">
            <w:pPr>
              <w:widowControl/>
              <w:textAlignment w:val="center"/>
              <w:rPr>
                <w:rFonts w:eastAsia="宋体"/>
                <w:sz w:val="21"/>
                <w:szCs w:val="21"/>
              </w:rPr>
            </w:pPr>
            <w:r>
              <w:rPr>
                <w:rFonts w:eastAsia="宋体"/>
                <w:kern w:val="0"/>
                <w:sz w:val="21"/>
                <w:szCs w:val="21"/>
              </w:rPr>
              <w:t>5</w:t>
            </w:r>
            <w:r>
              <w:rPr>
                <w:rFonts w:hint="eastAsia" w:ascii="方正仿宋_GBK" w:hAnsi="方正仿宋_GBK" w:cs="方正仿宋_GBK"/>
                <w:kern w:val="0"/>
                <w:sz w:val="21"/>
                <w:szCs w:val="21"/>
              </w:rPr>
              <w:t>岁以下儿童死亡率（</w:t>
            </w:r>
            <w:r>
              <w:rPr>
                <w:rFonts w:eastAsia="宋体"/>
                <w:kern w:val="0"/>
                <w:sz w:val="21"/>
                <w:szCs w:val="21"/>
              </w:rPr>
              <w:t>‰</w:t>
            </w:r>
            <w:r>
              <w:rPr>
                <w:rFonts w:hint="eastAsia" w:ascii="方正仿宋_GBK" w:hAnsi="方正仿宋_GBK" w:cs="方正仿宋_GBK"/>
                <w:kern w:val="0"/>
                <w:sz w:val="21"/>
                <w:szCs w:val="21"/>
              </w:rPr>
              <w:t>）</w:t>
            </w:r>
          </w:p>
        </w:tc>
        <w:tc>
          <w:tcPr>
            <w:tcW w:w="1200" w:type="dxa"/>
            <w:tcBorders>
              <w:top w:val="single" w:color="000000" w:sz="4" w:space="0"/>
              <w:left w:val="single" w:color="000000" w:sz="4" w:space="0"/>
              <w:bottom w:val="single" w:color="000000" w:sz="4" w:space="0"/>
              <w:right w:val="single" w:color="000000" w:sz="4" w:space="0"/>
            </w:tcBorders>
            <w:vAlign w:val="center"/>
          </w:tcPr>
          <w:p w14:paraId="20A162CE">
            <w:pPr>
              <w:widowControl/>
              <w:jc w:val="center"/>
              <w:textAlignment w:val="center"/>
              <w:rPr>
                <w:rFonts w:eastAsia="宋体"/>
                <w:sz w:val="21"/>
                <w:szCs w:val="21"/>
              </w:rPr>
            </w:pPr>
            <w:r>
              <w:rPr>
                <w:rFonts w:eastAsia="宋体"/>
                <w:kern w:val="0"/>
                <w:sz w:val="21"/>
                <w:szCs w:val="21"/>
              </w:rPr>
              <w:t>6.5</w:t>
            </w:r>
          </w:p>
        </w:tc>
        <w:tc>
          <w:tcPr>
            <w:tcW w:w="1134" w:type="dxa"/>
            <w:tcBorders>
              <w:top w:val="single" w:color="000000" w:sz="4" w:space="0"/>
              <w:left w:val="single" w:color="000000" w:sz="4" w:space="0"/>
              <w:bottom w:val="single" w:color="000000" w:sz="4" w:space="0"/>
              <w:right w:val="single" w:color="000000" w:sz="4" w:space="0"/>
            </w:tcBorders>
            <w:vAlign w:val="center"/>
          </w:tcPr>
          <w:p w14:paraId="4F9B501F">
            <w:pPr>
              <w:widowControl/>
              <w:jc w:val="center"/>
              <w:textAlignment w:val="center"/>
              <w:rPr>
                <w:rFonts w:eastAsia="宋体"/>
                <w:sz w:val="21"/>
                <w:szCs w:val="21"/>
              </w:rPr>
            </w:pPr>
            <w:r>
              <w:rPr>
                <w:rFonts w:eastAsia="宋体"/>
                <w:kern w:val="0"/>
                <w:sz w:val="21"/>
                <w:szCs w:val="21"/>
              </w:rPr>
              <w:t>≤5.0</w:t>
            </w:r>
          </w:p>
        </w:tc>
        <w:tc>
          <w:tcPr>
            <w:tcW w:w="846" w:type="dxa"/>
            <w:tcBorders>
              <w:top w:val="single" w:color="000000" w:sz="4" w:space="0"/>
              <w:left w:val="single" w:color="000000" w:sz="4" w:space="0"/>
              <w:bottom w:val="single" w:color="000000" w:sz="4" w:space="0"/>
              <w:right w:val="single" w:color="000000" w:sz="4" w:space="0"/>
            </w:tcBorders>
            <w:vAlign w:val="center"/>
          </w:tcPr>
          <w:p w14:paraId="498115CE">
            <w:pPr>
              <w:widowControl/>
              <w:jc w:val="center"/>
              <w:textAlignment w:val="center"/>
              <w:rPr>
                <w:rFonts w:ascii="方正仿宋_GBK"/>
                <w:sz w:val="21"/>
                <w:szCs w:val="21"/>
              </w:rPr>
            </w:pPr>
            <w:r>
              <w:rPr>
                <w:rFonts w:hint="eastAsia" w:ascii="方正仿宋_GBK" w:hAnsi="方正仿宋_GBK" w:cs="方正仿宋_GBK"/>
                <w:kern w:val="0"/>
                <w:sz w:val="21"/>
                <w:szCs w:val="21"/>
              </w:rPr>
              <w:t>预期性</w:t>
            </w:r>
          </w:p>
        </w:tc>
      </w:tr>
      <w:tr w14:paraId="28C43593">
        <w:tblPrEx>
          <w:tblCellMar>
            <w:top w:w="0" w:type="dxa"/>
            <w:left w:w="108" w:type="dxa"/>
            <w:bottom w:w="0" w:type="dxa"/>
            <w:right w:w="108" w:type="dxa"/>
          </w:tblCellMar>
        </w:tblPrEx>
        <w:trPr>
          <w:trHeight w:val="412" w:hRule="atLeast"/>
          <w:jc w:val="center"/>
        </w:trPr>
        <w:tc>
          <w:tcPr>
            <w:tcW w:w="733" w:type="dxa"/>
            <w:vMerge w:val="continue"/>
            <w:tcBorders>
              <w:top w:val="single" w:color="000000" w:sz="4" w:space="0"/>
              <w:left w:val="single" w:color="000000" w:sz="4" w:space="0"/>
              <w:bottom w:val="single" w:color="000000" w:sz="4" w:space="0"/>
              <w:right w:val="single" w:color="000000" w:sz="4" w:space="0"/>
            </w:tcBorders>
            <w:vAlign w:val="center"/>
          </w:tcPr>
          <w:p w14:paraId="4B9F284A">
            <w:pPr>
              <w:jc w:val="center"/>
              <w:rPr>
                <w:rFonts w:ascii="方正仿宋_GBK"/>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14:paraId="62220788">
            <w:pPr>
              <w:widowControl/>
              <w:jc w:val="center"/>
              <w:textAlignment w:val="center"/>
              <w:rPr>
                <w:rFonts w:eastAsia="宋体"/>
                <w:sz w:val="21"/>
                <w:szCs w:val="21"/>
              </w:rPr>
            </w:pPr>
            <w:r>
              <w:rPr>
                <w:rFonts w:eastAsia="宋体"/>
                <w:kern w:val="0"/>
                <w:sz w:val="21"/>
                <w:szCs w:val="21"/>
              </w:rPr>
              <w:t>6</w:t>
            </w:r>
          </w:p>
        </w:tc>
        <w:tc>
          <w:tcPr>
            <w:tcW w:w="3916" w:type="dxa"/>
            <w:gridSpan w:val="2"/>
            <w:tcBorders>
              <w:top w:val="single" w:color="000000" w:sz="4" w:space="0"/>
              <w:left w:val="single" w:color="000000" w:sz="4" w:space="0"/>
              <w:bottom w:val="single" w:color="000000" w:sz="4" w:space="0"/>
              <w:right w:val="single" w:color="000000" w:sz="4" w:space="0"/>
            </w:tcBorders>
            <w:vAlign w:val="center"/>
          </w:tcPr>
          <w:p w14:paraId="4E6EA25A">
            <w:pPr>
              <w:widowControl/>
              <w:textAlignment w:val="center"/>
              <w:rPr>
                <w:rFonts w:ascii="方正仿宋_GBK"/>
                <w:sz w:val="21"/>
                <w:szCs w:val="21"/>
              </w:rPr>
            </w:pPr>
            <w:r>
              <w:rPr>
                <w:rFonts w:hint="eastAsia" w:ascii="方正仿宋_GBK" w:hAnsi="方正仿宋_GBK" w:cs="方正仿宋_GBK"/>
                <w:kern w:val="0"/>
                <w:sz w:val="21"/>
                <w:szCs w:val="21"/>
              </w:rPr>
              <w:t>重大慢性病过早死亡率（</w:t>
            </w:r>
            <w:r>
              <w:rPr>
                <w:kern w:val="0"/>
                <w:sz w:val="21"/>
                <w:szCs w:val="21"/>
              </w:rPr>
              <w:t>%</w:t>
            </w:r>
            <w:r>
              <w:rPr>
                <w:rFonts w:hint="eastAsia" w:ascii="方正仿宋_GBK" w:hAnsi="方正仿宋_GBK" w:cs="方正仿宋_GBK"/>
                <w:kern w:val="0"/>
                <w:sz w:val="21"/>
                <w:szCs w:val="21"/>
              </w:rPr>
              <w:t>）</w:t>
            </w:r>
          </w:p>
        </w:tc>
        <w:tc>
          <w:tcPr>
            <w:tcW w:w="1200" w:type="dxa"/>
            <w:tcBorders>
              <w:top w:val="single" w:color="000000" w:sz="4" w:space="0"/>
              <w:left w:val="single" w:color="000000" w:sz="4" w:space="0"/>
              <w:bottom w:val="single" w:color="000000" w:sz="4" w:space="0"/>
              <w:right w:val="single" w:color="000000" w:sz="4" w:space="0"/>
            </w:tcBorders>
            <w:vAlign w:val="center"/>
          </w:tcPr>
          <w:p w14:paraId="6D23501C">
            <w:pPr>
              <w:widowControl/>
              <w:jc w:val="center"/>
              <w:textAlignment w:val="center"/>
              <w:rPr>
                <w:rFonts w:eastAsia="宋体"/>
                <w:sz w:val="21"/>
                <w:szCs w:val="21"/>
              </w:rPr>
            </w:pPr>
            <w:r>
              <w:rPr>
                <w:rFonts w:eastAsia="宋体"/>
                <w:kern w:val="0"/>
                <w:sz w:val="21"/>
                <w:szCs w:val="21"/>
              </w:rPr>
              <w:t>15.18</w:t>
            </w:r>
          </w:p>
        </w:tc>
        <w:tc>
          <w:tcPr>
            <w:tcW w:w="1134" w:type="dxa"/>
            <w:tcBorders>
              <w:top w:val="single" w:color="000000" w:sz="4" w:space="0"/>
              <w:left w:val="single" w:color="000000" w:sz="4" w:space="0"/>
              <w:bottom w:val="single" w:color="000000" w:sz="4" w:space="0"/>
              <w:right w:val="single" w:color="000000" w:sz="4" w:space="0"/>
            </w:tcBorders>
            <w:vAlign w:val="center"/>
          </w:tcPr>
          <w:p w14:paraId="29D77907">
            <w:pPr>
              <w:widowControl/>
              <w:jc w:val="center"/>
              <w:textAlignment w:val="center"/>
              <w:rPr>
                <w:rFonts w:eastAsia="宋体"/>
                <w:sz w:val="21"/>
                <w:szCs w:val="21"/>
              </w:rPr>
            </w:pPr>
            <w:r>
              <w:rPr>
                <w:rFonts w:eastAsia="宋体"/>
                <w:kern w:val="0"/>
                <w:sz w:val="21"/>
                <w:szCs w:val="21"/>
              </w:rPr>
              <w:t>≤13.5</w:t>
            </w:r>
          </w:p>
        </w:tc>
        <w:tc>
          <w:tcPr>
            <w:tcW w:w="846" w:type="dxa"/>
            <w:tcBorders>
              <w:top w:val="single" w:color="000000" w:sz="4" w:space="0"/>
              <w:left w:val="single" w:color="000000" w:sz="4" w:space="0"/>
              <w:bottom w:val="single" w:color="000000" w:sz="4" w:space="0"/>
              <w:right w:val="single" w:color="000000" w:sz="4" w:space="0"/>
            </w:tcBorders>
            <w:vAlign w:val="center"/>
          </w:tcPr>
          <w:p w14:paraId="0623CD2C">
            <w:pPr>
              <w:widowControl/>
              <w:jc w:val="center"/>
              <w:textAlignment w:val="center"/>
              <w:rPr>
                <w:rFonts w:ascii="方正仿宋_GBK"/>
                <w:sz w:val="21"/>
                <w:szCs w:val="21"/>
              </w:rPr>
            </w:pPr>
            <w:r>
              <w:rPr>
                <w:rFonts w:hint="eastAsia" w:ascii="方正仿宋_GBK" w:hAnsi="方正仿宋_GBK" w:cs="方正仿宋_GBK"/>
                <w:kern w:val="0"/>
                <w:sz w:val="21"/>
                <w:szCs w:val="21"/>
              </w:rPr>
              <w:t>预期性</w:t>
            </w:r>
          </w:p>
        </w:tc>
      </w:tr>
      <w:tr w14:paraId="4B72B245">
        <w:tblPrEx>
          <w:tblCellMar>
            <w:top w:w="0" w:type="dxa"/>
            <w:left w:w="108" w:type="dxa"/>
            <w:bottom w:w="0" w:type="dxa"/>
            <w:right w:w="108" w:type="dxa"/>
          </w:tblCellMar>
        </w:tblPrEx>
        <w:trPr>
          <w:trHeight w:val="600" w:hRule="atLeast"/>
          <w:jc w:val="center"/>
        </w:trPr>
        <w:tc>
          <w:tcPr>
            <w:tcW w:w="733" w:type="dxa"/>
            <w:vMerge w:val="continue"/>
            <w:tcBorders>
              <w:top w:val="single" w:color="000000" w:sz="4" w:space="0"/>
              <w:left w:val="single" w:color="000000" w:sz="4" w:space="0"/>
              <w:bottom w:val="single" w:color="000000" w:sz="4" w:space="0"/>
              <w:right w:val="single" w:color="000000" w:sz="4" w:space="0"/>
            </w:tcBorders>
            <w:vAlign w:val="center"/>
          </w:tcPr>
          <w:p w14:paraId="53736C6F">
            <w:pPr>
              <w:jc w:val="center"/>
              <w:rPr>
                <w:rFonts w:ascii="方正仿宋_GBK"/>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14:paraId="6C010DE1">
            <w:pPr>
              <w:widowControl/>
              <w:jc w:val="center"/>
              <w:textAlignment w:val="center"/>
              <w:rPr>
                <w:rFonts w:eastAsia="宋体"/>
                <w:sz w:val="21"/>
                <w:szCs w:val="21"/>
              </w:rPr>
            </w:pPr>
            <w:r>
              <w:rPr>
                <w:rFonts w:eastAsia="宋体"/>
                <w:kern w:val="0"/>
                <w:sz w:val="21"/>
                <w:szCs w:val="21"/>
              </w:rPr>
              <w:t>7</w:t>
            </w:r>
          </w:p>
        </w:tc>
        <w:tc>
          <w:tcPr>
            <w:tcW w:w="3916" w:type="dxa"/>
            <w:gridSpan w:val="2"/>
            <w:tcBorders>
              <w:top w:val="single" w:color="000000" w:sz="4" w:space="0"/>
              <w:left w:val="single" w:color="000000" w:sz="4" w:space="0"/>
              <w:bottom w:val="single" w:color="000000" w:sz="4" w:space="0"/>
              <w:right w:val="single" w:color="000000" w:sz="4" w:space="0"/>
            </w:tcBorders>
            <w:vAlign w:val="center"/>
          </w:tcPr>
          <w:p w14:paraId="45D9215B">
            <w:pPr>
              <w:widowControl/>
              <w:textAlignment w:val="center"/>
              <w:rPr>
                <w:rFonts w:ascii="方正仿宋_GBK"/>
                <w:sz w:val="21"/>
                <w:szCs w:val="21"/>
              </w:rPr>
            </w:pPr>
            <w:r>
              <w:rPr>
                <w:rFonts w:hint="eastAsia" w:ascii="方正仿宋_GBK" w:hAnsi="方正仿宋_GBK" w:cs="方正仿宋_GBK"/>
                <w:kern w:val="0"/>
                <w:sz w:val="21"/>
                <w:szCs w:val="21"/>
              </w:rPr>
              <w:t>城乡居民达到《国民体质测定标准》合格以上的人数比例（</w:t>
            </w:r>
            <w:r>
              <w:rPr>
                <w:kern w:val="0"/>
                <w:sz w:val="21"/>
                <w:szCs w:val="21"/>
              </w:rPr>
              <w:t>%</w:t>
            </w:r>
            <w:r>
              <w:rPr>
                <w:rFonts w:hint="eastAsia" w:ascii="方正仿宋_GBK" w:hAnsi="方正仿宋_GBK" w:cs="方正仿宋_GBK"/>
                <w:kern w:val="0"/>
                <w:sz w:val="21"/>
                <w:szCs w:val="21"/>
              </w:rPr>
              <w:t>）</w:t>
            </w:r>
          </w:p>
        </w:tc>
        <w:tc>
          <w:tcPr>
            <w:tcW w:w="1200" w:type="dxa"/>
            <w:tcBorders>
              <w:top w:val="single" w:color="000000" w:sz="4" w:space="0"/>
              <w:left w:val="single" w:color="000000" w:sz="4" w:space="0"/>
              <w:bottom w:val="single" w:color="000000" w:sz="4" w:space="0"/>
              <w:right w:val="single" w:color="000000" w:sz="4" w:space="0"/>
            </w:tcBorders>
            <w:vAlign w:val="center"/>
          </w:tcPr>
          <w:p w14:paraId="53CED71D">
            <w:pPr>
              <w:widowControl/>
              <w:jc w:val="center"/>
              <w:textAlignment w:val="center"/>
              <w:rPr>
                <w:rFonts w:eastAsia="宋体"/>
                <w:sz w:val="21"/>
                <w:szCs w:val="21"/>
              </w:rPr>
            </w:pPr>
            <w:r>
              <w:rPr>
                <w:rFonts w:eastAsia="宋体"/>
                <w:kern w:val="0"/>
                <w:sz w:val="21"/>
                <w:szCs w:val="21"/>
              </w:rPr>
              <w:t>91.7</w:t>
            </w:r>
          </w:p>
        </w:tc>
        <w:tc>
          <w:tcPr>
            <w:tcW w:w="1134" w:type="dxa"/>
            <w:tcBorders>
              <w:top w:val="single" w:color="000000" w:sz="4" w:space="0"/>
              <w:left w:val="single" w:color="000000" w:sz="4" w:space="0"/>
              <w:bottom w:val="single" w:color="000000" w:sz="4" w:space="0"/>
              <w:right w:val="single" w:color="000000" w:sz="4" w:space="0"/>
            </w:tcBorders>
            <w:vAlign w:val="center"/>
          </w:tcPr>
          <w:p w14:paraId="2D6E952F">
            <w:pPr>
              <w:widowControl/>
              <w:jc w:val="center"/>
              <w:textAlignment w:val="center"/>
              <w:rPr>
                <w:rFonts w:eastAsia="宋体"/>
                <w:sz w:val="21"/>
                <w:szCs w:val="21"/>
              </w:rPr>
            </w:pPr>
            <w:r>
              <w:rPr>
                <w:rFonts w:eastAsia="宋体"/>
                <w:kern w:val="0"/>
                <w:sz w:val="21"/>
                <w:szCs w:val="21"/>
              </w:rPr>
              <w:t>≥93.5</w:t>
            </w:r>
          </w:p>
        </w:tc>
        <w:tc>
          <w:tcPr>
            <w:tcW w:w="846" w:type="dxa"/>
            <w:tcBorders>
              <w:top w:val="single" w:color="000000" w:sz="4" w:space="0"/>
              <w:left w:val="single" w:color="000000" w:sz="4" w:space="0"/>
              <w:bottom w:val="single" w:color="000000" w:sz="4" w:space="0"/>
              <w:right w:val="single" w:color="000000" w:sz="4" w:space="0"/>
            </w:tcBorders>
            <w:vAlign w:val="center"/>
          </w:tcPr>
          <w:p w14:paraId="1DBEE3DC">
            <w:pPr>
              <w:widowControl/>
              <w:jc w:val="center"/>
              <w:textAlignment w:val="center"/>
              <w:rPr>
                <w:rFonts w:ascii="方正仿宋_GBK"/>
                <w:sz w:val="21"/>
                <w:szCs w:val="21"/>
              </w:rPr>
            </w:pPr>
            <w:r>
              <w:rPr>
                <w:rFonts w:hint="eastAsia" w:ascii="方正仿宋_GBK" w:hAnsi="方正仿宋_GBK" w:cs="方正仿宋_GBK"/>
                <w:kern w:val="0"/>
                <w:sz w:val="21"/>
                <w:szCs w:val="21"/>
              </w:rPr>
              <w:t>预期性</w:t>
            </w:r>
          </w:p>
        </w:tc>
      </w:tr>
      <w:tr w14:paraId="6096FA7A">
        <w:tblPrEx>
          <w:tblCellMar>
            <w:top w:w="0" w:type="dxa"/>
            <w:left w:w="108" w:type="dxa"/>
            <w:bottom w:w="0" w:type="dxa"/>
            <w:right w:w="108" w:type="dxa"/>
          </w:tblCellMar>
        </w:tblPrEx>
        <w:trPr>
          <w:trHeight w:val="411" w:hRule="atLeast"/>
          <w:jc w:val="center"/>
        </w:trPr>
        <w:tc>
          <w:tcPr>
            <w:tcW w:w="733" w:type="dxa"/>
            <w:vMerge w:val="restart"/>
            <w:tcBorders>
              <w:top w:val="single" w:color="000000" w:sz="4" w:space="0"/>
              <w:left w:val="single" w:color="000000" w:sz="4" w:space="0"/>
              <w:bottom w:val="single" w:color="000000" w:sz="4" w:space="0"/>
              <w:right w:val="single" w:color="000000" w:sz="4" w:space="0"/>
            </w:tcBorders>
            <w:vAlign w:val="center"/>
          </w:tcPr>
          <w:p w14:paraId="6AACD215">
            <w:pPr>
              <w:widowControl/>
              <w:jc w:val="center"/>
              <w:textAlignment w:val="center"/>
              <w:rPr>
                <w:rFonts w:ascii="方正仿宋_GBK"/>
                <w:sz w:val="21"/>
                <w:szCs w:val="21"/>
              </w:rPr>
            </w:pPr>
            <w:r>
              <w:rPr>
                <w:rFonts w:hint="eastAsia" w:ascii="方正仿宋_GBK" w:hAnsi="方正仿宋_GBK" w:cs="方正仿宋_GBK"/>
                <w:kern w:val="0"/>
                <w:sz w:val="21"/>
                <w:szCs w:val="21"/>
              </w:rPr>
              <w:t>健康生活</w:t>
            </w:r>
          </w:p>
        </w:tc>
        <w:tc>
          <w:tcPr>
            <w:tcW w:w="684" w:type="dxa"/>
            <w:tcBorders>
              <w:top w:val="single" w:color="000000" w:sz="4" w:space="0"/>
              <w:left w:val="single" w:color="000000" w:sz="4" w:space="0"/>
              <w:bottom w:val="single" w:color="000000" w:sz="4" w:space="0"/>
              <w:right w:val="single" w:color="000000" w:sz="4" w:space="0"/>
            </w:tcBorders>
            <w:vAlign w:val="center"/>
          </w:tcPr>
          <w:p w14:paraId="115154F7">
            <w:pPr>
              <w:widowControl/>
              <w:jc w:val="center"/>
              <w:textAlignment w:val="center"/>
              <w:rPr>
                <w:rFonts w:eastAsia="宋体"/>
                <w:sz w:val="21"/>
                <w:szCs w:val="21"/>
              </w:rPr>
            </w:pPr>
            <w:r>
              <w:rPr>
                <w:rFonts w:eastAsia="宋体"/>
                <w:kern w:val="0"/>
                <w:sz w:val="21"/>
                <w:szCs w:val="21"/>
              </w:rPr>
              <w:t>8</w:t>
            </w:r>
          </w:p>
        </w:tc>
        <w:tc>
          <w:tcPr>
            <w:tcW w:w="3916" w:type="dxa"/>
            <w:gridSpan w:val="2"/>
            <w:tcBorders>
              <w:top w:val="single" w:color="000000" w:sz="4" w:space="0"/>
              <w:left w:val="single" w:color="000000" w:sz="4" w:space="0"/>
              <w:bottom w:val="single" w:color="000000" w:sz="4" w:space="0"/>
              <w:right w:val="single" w:color="000000" w:sz="4" w:space="0"/>
            </w:tcBorders>
            <w:vAlign w:val="center"/>
          </w:tcPr>
          <w:p w14:paraId="119D9A59">
            <w:pPr>
              <w:widowControl/>
              <w:textAlignment w:val="center"/>
              <w:rPr>
                <w:rFonts w:ascii="方正仿宋_GBK"/>
                <w:sz w:val="21"/>
                <w:szCs w:val="21"/>
              </w:rPr>
            </w:pPr>
            <w:r>
              <w:rPr>
                <w:rFonts w:hint="eastAsia" w:ascii="方正仿宋_GBK" w:hAnsi="方正仿宋_GBK" w:cs="方正仿宋_GBK"/>
                <w:kern w:val="0"/>
                <w:sz w:val="21"/>
                <w:szCs w:val="21"/>
              </w:rPr>
              <w:t>居民健康素养水平（</w:t>
            </w:r>
            <w:r>
              <w:rPr>
                <w:kern w:val="0"/>
                <w:sz w:val="21"/>
                <w:szCs w:val="21"/>
              </w:rPr>
              <w:t>%</w:t>
            </w:r>
            <w:r>
              <w:rPr>
                <w:rFonts w:hint="eastAsia" w:ascii="方正仿宋_GBK" w:hAnsi="方正仿宋_GBK" w:cs="方正仿宋_GBK"/>
                <w:kern w:val="0"/>
                <w:sz w:val="21"/>
                <w:szCs w:val="21"/>
              </w:rPr>
              <w:t>）</w:t>
            </w:r>
          </w:p>
        </w:tc>
        <w:tc>
          <w:tcPr>
            <w:tcW w:w="1200" w:type="dxa"/>
            <w:tcBorders>
              <w:top w:val="single" w:color="000000" w:sz="4" w:space="0"/>
              <w:left w:val="single" w:color="000000" w:sz="4" w:space="0"/>
              <w:bottom w:val="single" w:color="000000" w:sz="4" w:space="0"/>
              <w:right w:val="single" w:color="000000" w:sz="4" w:space="0"/>
            </w:tcBorders>
            <w:vAlign w:val="center"/>
          </w:tcPr>
          <w:p w14:paraId="40245E50">
            <w:pPr>
              <w:widowControl/>
              <w:jc w:val="center"/>
              <w:textAlignment w:val="center"/>
              <w:rPr>
                <w:rFonts w:eastAsia="宋体"/>
                <w:sz w:val="21"/>
                <w:szCs w:val="21"/>
              </w:rPr>
            </w:pPr>
            <w:r>
              <w:rPr>
                <w:rFonts w:eastAsia="宋体"/>
                <w:kern w:val="0"/>
                <w:sz w:val="21"/>
                <w:szCs w:val="21"/>
              </w:rPr>
              <w:t>19.6</w:t>
            </w:r>
          </w:p>
        </w:tc>
        <w:tc>
          <w:tcPr>
            <w:tcW w:w="1134" w:type="dxa"/>
            <w:tcBorders>
              <w:top w:val="single" w:color="000000" w:sz="4" w:space="0"/>
              <w:left w:val="single" w:color="000000" w:sz="4" w:space="0"/>
              <w:bottom w:val="single" w:color="000000" w:sz="4" w:space="0"/>
              <w:right w:val="single" w:color="000000" w:sz="4" w:space="0"/>
            </w:tcBorders>
            <w:vAlign w:val="center"/>
          </w:tcPr>
          <w:p w14:paraId="400259DF">
            <w:pPr>
              <w:widowControl/>
              <w:jc w:val="center"/>
              <w:textAlignment w:val="center"/>
              <w:rPr>
                <w:rFonts w:eastAsia="宋体"/>
                <w:sz w:val="21"/>
                <w:szCs w:val="21"/>
              </w:rPr>
            </w:pPr>
            <w:r>
              <w:rPr>
                <w:rFonts w:eastAsia="宋体"/>
                <w:kern w:val="0"/>
                <w:sz w:val="21"/>
                <w:szCs w:val="21"/>
              </w:rPr>
              <w:t>≥25</w:t>
            </w:r>
          </w:p>
        </w:tc>
        <w:tc>
          <w:tcPr>
            <w:tcW w:w="846" w:type="dxa"/>
            <w:tcBorders>
              <w:top w:val="single" w:color="000000" w:sz="4" w:space="0"/>
              <w:left w:val="single" w:color="000000" w:sz="4" w:space="0"/>
              <w:bottom w:val="single" w:color="000000" w:sz="4" w:space="0"/>
              <w:right w:val="single" w:color="000000" w:sz="4" w:space="0"/>
            </w:tcBorders>
            <w:vAlign w:val="center"/>
          </w:tcPr>
          <w:p w14:paraId="37249262">
            <w:pPr>
              <w:widowControl/>
              <w:jc w:val="center"/>
              <w:textAlignment w:val="center"/>
              <w:rPr>
                <w:rFonts w:ascii="方正仿宋_GBK"/>
                <w:sz w:val="21"/>
                <w:szCs w:val="21"/>
              </w:rPr>
            </w:pPr>
            <w:r>
              <w:rPr>
                <w:rFonts w:hint="eastAsia" w:ascii="方正仿宋_GBK" w:hAnsi="方正仿宋_GBK" w:cs="方正仿宋_GBK"/>
                <w:kern w:val="0"/>
                <w:sz w:val="21"/>
                <w:szCs w:val="21"/>
              </w:rPr>
              <w:t>预期性</w:t>
            </w:r>
          </w:p>
        </w:tc>
      </w:tr>
      <w:tr w14:paraId="7B54A7D3">
        <w:tblPrEx>
          <w:tblCellMar>
            <w:top w:w="0" w:type="dxa"/>
            <w:left w:w="108" w:type="dxa"/>
            <w:bottom w:w="0" w:type="dxa"/>
            <w:right w:w="108" w:type="dxa"/>
          </w:tblCellMar>
        </w:tblPrEx>
        <w:trPr>
          <w:trHeight w:val="395" w:hRule="atLeast"/>
          <w:jc w:val="center"/>
        </w:trPr>
        <w:tc>
          <w:tcPr>
            <w:tcW w:w="733" w:type="dxa"/>
            <w:vMerge w:val="continue"/>
            <w:tcBorders>
              <w:top w:val="single" w:color="000000" w:sz="4" w:space="0"/>
              <w:left w:val="single" w:color="000000" w:sz="4" w:space="0"/>
              <w:bottom w:val="single" w:color="000000" w:sz="4" w:space="0"/>
              <w:right w:val="single" w:color="000000" w:sz="4" w:space="0"/>
            </w:tcBorders>
            <w:vAlign w:val="center"/>
          </w:tcPr>
          <w:p w14:paraId="7205DDCF">
            <w:pPr>
              <w:jc w:val="center"/>
              <w:rPr>
                <w:rFonts w:ascii="方正仿宋_GBK"/>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14:paraId="42D2143C">
            <w:pPr>
              <w:widowControl/>
              <w:jc w:val="center"/>
              <w:textAlignment w:val="center"/>
              <w:rPr>
                <w:rFonts w:eastAsia="宋体"/>
                <w:sz w:val="21"/>
                <w:szCs w:val="21"/>
              </w:rPr>
            </w:pPr>
            <w:r>
              <w:rPr>
                <w:rFonts w:eastAsia="宋体"/>
                <w:kern w:val="0"/>
                <w:sz w:val="21"/>
                <w:szCs w:val="21"/>
              </w:rPr>
              <w:t>9</w:t>
            </w:r>
          </w:p>
        </w:tc>
        <w:tc>
          <w:tcPr>
            <w:tcW w:w="3916" w:type="dxa"/>
            <w:gridSpan w:val="2"/>
            <w:tcBorders>
              <w:top w:val="single" w:color="000000" w:sz="4" w:space="0"/>
              <w:left w:val="single" w:color="000000" w:sz="4" w:space="0"/>
              <w:bottom w:val="single" w:color="000000" w:sz="4" w:space="0"/>
              <w:right w:val="single" w:color="000000" w:sz="4" w:space="0"/>
            </w:tcBorders>
            <w:vAlign w:val="center"/>
          </w:tcPr>
          <w:p w14:paraId="5BC61D42">
            <w:pPr>
              <w:widowControl/>
              <w:textAlignment w:val="center"/>
              <w:rPr>
                <w:rFonts w:ascii="方正仿宋_GBK"/>
                <w:sz w:val="21"/>
                <w:szCs w:val="21"/>
              </w:rPr>
            </w:pPr>
            <w:r>
              <w:rPr>
                <w:rFonts w:hint="eastAsia" w:ascii="方正仿宋_GBK" w:hAnsi="方正仿宋_GBK" w:cs="方正仿宋_GBK"/>
                <w:kern w:val="0"/>
                <w:sz w:val="21"/>
                <w:szCs w:val="21"/>
              </w:rPr>
              <w:t>经常参加体育锻炼人数比例（</w:t>
            </w:r>
            <w:r>
              <w:rPr>
                <w:kern w:val="0"/>
                <w:sz w:val="21"/>
                <w:szCs w:val="21"/>
              </w:rPr>
              <w:t>%</w:t>
            </w:r>
            <w:r>
              <w:rPr>
                <w:rFonts w:hint="eastAsia" w:ascii="方正仿宋_GBK" w:hAnsi="方正仿宋_GBK" w:cs="方正仿宋_GBK"/>
                <w:kern w:val="0"/>
                <w:sz w:val="21"/>
                <w:szCs w:val="21"/>
              </w:rPr>
              <w:t>）</w:t>
            </w:r>
          </w:p>
        </w:tc>
        <w:tc>
          <w:tcPr>
            <w:tcW w:w="1200" w:type="dxa"/>
            <w:tcBorders>
              <w:top w:val="single" w:color="000000" w:sz="4" w:space="0"/>
              <w:left w:val="single" w:color="000000" w:sz="4" w:space="0"/>
              <w:bottom w:val="single" w:color="000000" w:sz="4" w:space="0"/>
              <w:right w:val="single" w:color="000000" w:sz="4" w:space="0"/>
            </w:tcBorders>
            <w:vAlign w:val="center"/>
          </w:tcPr>
          <w:p w14:paraId="74856441">
            <w:pPr>
              <w:widowControl/>
              <w:jc w:val="center"/>
              <w:textAlignment w:val="center"/>
              <w:rPr>
                <w:rFonts w:eastAsia="宋体"/>
                <w:sz w:val="21"/>
                <w:szCs w:val="21"/>
              </w:rPr>
            </w:pPr>
            <w:r>
              <w:rPr>
                <w:rFonts w:eastAsia="宋体"/>
                <w:kern w:val="0"/>
                <w:sz w:val="21"/>
                <w:szCs w:val="21"/>
              </w:rPr>
              <w:t>42</w:t>
            </w:r>
          </w:p>
        </w:tc>
        <w:tc>
          <w:tcPr>
            <w:tcW w:w="1134" w:type="dxa"/>
            <w:tcBorders>
              <w:top w:val="single" w:color="000000" w:sz="4" w:space="0"/>
              <w:left w:val="single" w:color="000000" w:sz="4" w:space="0"/>
              <w:bottom w:val="single" w:color="000000" w:sz="4" w:space="0"/>
              <w:right w:val="single" w:color="000000" w:sz="4" w:space="0"/>
            </w:tcBorders>
            <w:vAlign w:val="center"/>
          </w:tcPr>
          <w:p w14:paraId="568768C9">
            <w:pPr>
              <w:widowControl/>
              <w:jc w:val="center"/>
              <w:textAlignment w:val="center"/>
              <w:rPr>
                <w:rFonts w:eastAsia="宋体"/>
                <w:sz w:val="21"/>
                <w:szCs w:val="21"/>
              </w:rPr>
            </w:pPr>
            <w:r>
              <w:rPr>
                <w:rFonts w:eastAsia="宋体"/>
                <w:kern w:val="0"/>
                <w:sz w:val="21"/>
                <w:szCs w:val="21"/>
              </w:rPr>
              <w:t>≥48</w:t>
            </w:r>
          </w:p>
        </w:tc>
        <w:tc>
          <w:tcPr>
            <w:tcW w:w="846" w:type="dxa"/>
            <w:tcBorders>
              <w:top w:val="single" w:color="000000" w:sz="4" w:space="0"/>
              <w:left w:val="single" w:color="000000" w:sz="4" w:space="0"/>
              <w:bottom w:val="single" w:color="000000" w:sz="4" w:space="0"/>
              <w:right w:val="single" w:color="000000" w:sz="4" w:space="0"/>
            </w:tcBorders>
            <w:vAlign w:val="center"/>
          </w:tcPr>
          <w:p w14:paraId="5687E13B">
            <w:pPr>
              <w:widowControl/>
              <w:jc w:val="center"/>
              <w:textAlignment w:val="center"/>
              <w:rPr>
                <w:rFonts w:ascii="方正仿宋_GBK"/>
                <w:sz w:val="21"/>
                <w:szCs w:val="21"/>
              </w:rPr>
            </w:pPr>
            <w:r>
              <w:rPr>
                <w:rFonts w:hint="eastAsia" w:ascii="方正仿宋_GBK" w:hAnsi="方正仿宋_GBK" w:cs="方正仿宋_GBK"/>
                <w:kern w:val="0"/>
                <w:sz w:val="21"/>
                <w:szCs w:val="21"/>
              </w:rPr>
              <w:t>预期性</w:t>
            </w:r>
          </w:p>
        </w:tc>
      </w:tr>
      <w:tr w14:paraId="145775F3">
        <w:tblPrEx>
          <w:tblCellMar>
            <w:top w:w="0" w:type="dxa"/>
            <w:left w:w="108" w:type="dxa"/>
            <w:bottom w:w="0" w:type="dxa"/>
            <w:right w:w="108" w:type="dxa"/>
          </w:tblCellMar>
        </w:tblPrEx>
        <w:trPr>
          <w:trHeight w:val="412" w:hRule="atLeast"/>
          <w:jc w:val="center"/>
        </w:trPr>
        <w:tc>
          <w:tcPr>
            <w:tcW w:w="733" w:type="dxa"/>
            <w:vMerge w:val="continue"/>
            <w:tcBorders>
              <w:top w:val="single" w:color="000000" w:sz="4" w:space="0"/>
              <w:left w:val="single" w:color="000000" w:sz="4" w:space="0"/>
              <w:bottom w:val="single" w:color="000000" w:sz="4" w:space="0"/>
              <w:right w:val="single" w:color="000000" w:sz="4" w:space="0"/>
            </w:tcBorders>
            <w:vAlign w:val="center"/>
          </w:tcPr>
          <w:p w14:paraId="049F8511">
            <w:pPr>
              <w:jc w:val="center"/>
              <w:rPr>
                <w:rFonts w:ascii="方正仿宋_GBK"/>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14:paraId="1156EB8A">
            <w:pPr>
              <w:widowControl/>
              <w:jc w:val="center"/>
              <w:textAlignment w:val="center"/>
              <w:rPr>
                <w:rFonts w:eastAsia="宋体"/>
                <w:sz w:val="21"/>
                <w:szCs w:val="21"/>
              </w:rPr>
            </w:pPr>
            <w:r>
              <w:rPr>
                <w:rFonts w:eastAsia="宋体"/>
                <w:kern w:val="0"/>
                <w:sz w:val="21"/>
                <w:szCs w:val="21"/>
              </w:rPr>
              <w:t>10</w:t>
            </w:r>
          </w:p>
        </w:tc>
        <w:tc>
          <w:tcPr>
            <w:tcW w:w="3916" w:type="dxa"/>
            <w:gridSpan w:val="2"/>
            <w:tcBorders>
              <w:top w:val="single" w:color="000000" w:sz="4" w:space="0"/>
              <w:left w:val="single" w:color="000000" w:sz="4" w:space="0"/>
              <w:bottom w:val="single" w:color="000000" w:sz="4" w:space="0"/>
              <w:right w:val="single" w:color="000000" w:sz="4" w:space="0"/>
            </w:tcBorders>
            <w:vAlign w:val="center"/>
          </w:tcPr>
          <w:p w14:paraId="2D054269">
            <w:pPr>
              <w:widowControl/>
              <w:textAlignment w:val="center"/>
              <w:rPr>
                <w:rFonts w:eastAsia="宋体"/>
                <w:sz w:val="21"/>
                <w:szCs w:val="21"/>
              </w:rPr>
            </w:pPr>
            <w:r>
              <w:rPr>
                <w:rFonts w:eastAsia="宋体"/>
                <w:kern w:val="0"/>
                <w:sz w:val="21"/>
                <w:szCs w:val="21"/>
              </w:rPr>
              <w:t>15</w:t>
            </w:r>
            <w:r>
              <w:rPr>
                <w:rFonts w:hint="eastAsia" w:ascii="方正仿宋_GBK" w:hAnsi="方正仿宋_GBK" w:cs="方正仿宋_GBK"/>
                <w:kern w:val="0"/>
                <w:sz w:val="21"/>
                <w:szCs w:val="21"/>
              </w:rPr>
              <w:t>岁以上人群吸烟率（</w:t>
            </w:r>
            <w:r>
              <w:rPr>
                <w:rFonts w:eastAsia="宋体"/>
                <w:kern w:val="0"/>
                <w:sz w:val="21"/>
                <w:szCs w:val="21"/>
              </w:rPr>
              <w:t>%</w:t>
            </w:r>
            <w:r>
              <w:rPr>
                <w:rFonts w:hint="eastAsia" w:ascii="方正仿宋_GBK" w:hAnsi="方正仿宋_GBK" w:cs="方正仿宋_GBK"/>
                <w:kern w:val="0"/>
                <w:sz w:val="21"/>
                <w:szCs w:val="21"/>
              </w:rPr>
              <w:t>）</w:t>
            </w:r>
          </w:p>
        </w:tc>
        <w:tc>
          <w:tcPr>
            <w:tcW w:w="1200" w:type="dxa"/>
            <w:tcBorders>
              <w:top w:val="single" w:color="000000" w:sz="4" w:space="0"/>
              <w:left w:val="single" w:color="000000" w:sz="4" w:space="0"/>
              <w:bottom w:val="single" w:color="000000" w:sz="4" w:space="0"/>
              <w:right w:val="single" w:color="000000" w:sz="4" w:space="0"/>
            </w:tcBorders>
            <w:vAlign w:val="center"/>
          </w:tcPr>
          <w:p w14:paraId="04E434B0">
            <w:pPr>
              <w:widowControl/>
              <w:jc w:val="center"/>
              <w:textAlignment w:val="center"/>
              <w:rPr>
                <w:rFonts w:eastAsia="宋体"/>
                <w:sz w:val="21"/>
                <w:szCs w:val="21"/>
              </w:rPr>
            </w:pPr>
            <w:r>
              <w:rPr>
                <w:rFonts w:eastAsia="宋体"/>
                <w:kern w:val="0"/>
                <w:sz w:val="21"/>
                <w:szCs w:val="21"/>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183A0B27">
            <w:pPr>
              <w:widowControl/>
              <w:jc w:val="center"/>
              <w:textAlignment w:val="center"/>
              <w:rPr>
                <w:rFonts w:eastAsia="宋体"/>
                <w:sz w:val="21"/>
                <w:szCs w:val="21"/>
              </w:rPr>
            </w:pPr>
            <w:r>
              <w:rPr>
                <w:rFonts w:eastAsia="宋体"/>
                <w:kern w:val="0"/>
                <w:sz w:val="21"/>
                <w:szCs w:val="21"/>
              </w:rPr>
              <w:t>≤22</w:t>
            </w:r>
          </w:p>
        </w:tc>
        <w:tc>
          <w:tcPr>
            <w:tcW w:w="846" w:type="dxa"/>
            <w:tcBorders>
              <w:top w:val="single" w:color="000000" w:sz="4" w:space="0"/>
              <w:left w:val="single" w:color="000000" w:sz="4" w:space="0"/>
              <w:bottom w:val="single" w:color="000000" w:sz="4" w:space="0"/>
              <w:right w:val="single" w:color="000000" w:sz="4" w:space="0"/>
            </w:tcBorders>
            <w:vAlign w:val="center"/>
          </w:tcPr>
          <w:p w14:paraId="39AD0A0F">
            <w:pPr>
              <w:widowControl/>
              <w:jc w:val="center"/>
              <w:textAlignment w:val="center"/>
              <w:rPr>
                <w:rFonts w:ascii="方正仿宋_GBK"/>
                <w:sz w:val="21"/>
                <w:szCs w:val="21"/>
              </w:rPr>
            </w:pPr>
            <w:r>
              <w:rPr>
                <w:rFonts w:hint="eastAsia" w:ascii="方正仿宋_GBK" w:hAnsi="方正仿宋_GBK" w:cs="方正仿宋_GBK"/>
                <w:kern w:val="0"/>
                <w:sz w:val="21"/>
                <w:szCs w:val="21"/>
              </w:rPr>
              <w:t>预期性</w:t>
            </w:r>
          </w:p>
        </w:tc>
      </w:tr>
      <w:tr w14:paraId="72ED3929">
        <w:tblPrEx>
          <w:tblCellMar>
            <w:top w:w="0" w:type="dxa"/>
            <w:left w:w="108" w:type="dxa"/>
            <w:bottom w:w="0" w:type="dxa"/>
            <w:right w:w="108" w:type="dxa"/>
          </w:tblCellMar>
        </w:tblPrEx>
        <w:trPr>
          <w:trHeight w:val="445" w:hRule="atLeast"/>
          <w:jc w:val="center"/>
        </w:trPr>
        <w:tc>
          <w:tcPr>
            <w:tcW w:w="733" w:type="dxa"/>
            <w:vMerge w:val="restart"/>
            <w:tcBorders>
              <w:top w:val="single" w:color="000000" w:sz="4" w:space="0"/>
              <w:left w:val="single" w:color="000000" w:sz="4" w:space="0"/>
              <w:bottom w:val="single" w:color="000000" w:sz="4" w:space="0"/>
              <w:right w:val="single" w:color="000000" w:sz="4" w:space="0"/>
            </w:tcBorders>
            <w:vAlign w:val="center"/>
          </w:tcPr>
          <w:p w14:paraId="21DA5F68">
            <w:pPr>
              <w:widowControl/>
              <w:jc w:val="center"/>
              <w:textAlignment w:val="center"/>
              <w:rPr>
                <w:rFonts w:ascii="方正仿宋_GBK"/>
                <w:sz w:val="21"/>
                <w:szCs w:val="21"/>
              </w:rPr>
            </w:pPr>
            <w:r>
              <w:rPr>
                <w:rFonts w:hint="eastAsia" w:ascii="方正仿宋_GBK" w:hAnsi="方正仿宋_GBK" w:cs="方正仿宋_GBK"/>
                <w:kern w:val="0"/>
                <w:sz w:val="21"/>
                <w:szCs w:val="21"/>
              </w:rPr>
              <w:t>健康服务</w:t>
            </w:r>
          </w:p>
        </w:tc>
        <w:tc>
          <w:tcPr>
            <w:tcW w:w="684" w:type="dxa"/>
            <w:tcBorders>
              <w:top w:val="single" w:color="000000" w:sz="4" w:space="0"/>
              <w:left w:val="single" w:color="000000" w:sz="4" w:space="0"/>
              <w:bottom w:val="single" w:color="000000" w:sz="4" w:space="0"/>
              <w:right w:val="single" w:color="000000" w:sz="4" w:space="0"/>
            </w:tcBorders>
            <w:vAlign w:val="center"/>
          </w:tcPr>
          <w:p w14:paraId="3C13F597">
            <w:pPr>
              <w:widowControl/>
              <w:jc w:val="center"/>
              <w:textAlignment w:val="center"/>
              <w:rPr>
                <w:rFonts w:eastAsia="宋体"/>
                <w:sz w:val="21"/>
                <w:szCs w:val="21"/>
              </w:rPr>
            </w:pPr>
            <w:r>
              <w:rPr>
                <w:rFonts w:eastAsia="宋体"/>
                <w:kern w:val="0"/>
                <w:sz w:val="21"/>
                <w:szCs w:val="21"/>
              </w:rPr>
              <w:t>11</w:t>
            </w:r>
          </w:p>
        </w:tc>
        <w:tc>
          <w:tcPr>
            <w:tcW w:w="3916" w:type="dxa"/>
            <w:gridSpan w:val="2"/>
            <w:tcBorders>
              <w:top w:val="single" w:color="000000" w:sz="4" w:space="0"/>
              <w:left w:val="single" w:color="000000" w:sz="4" w:space="0"/>
              <w:bottom w:val="single" w:color="000000" w:sz="4" w:space="0"/>
              <w:right w:val="single" w:color="000000" w:sz="4" w:space="0"/>
            </w:tcBorders>
            <w:vAlign w:val="center"/>
          </w:tcPr>
          <w:p w14:paraId="6F4C5B79">
            <w:pPr>
              <w:widowControl/>
              <w:textAlignment w:val="center"/>
              <w:rPr>
                <w:rFonts w:ascii="方正仿宋_GBK"/>
                <w:sz w:val="21"/>
                <w:szCs w:val="21"/>
              </w:rPr>
            </w:pPr>
            <w:r>
              <w:rPr>
                <w:rFonts w:hint="eastAsia" w:ascii="方正仿宋_GBK" w:hAnsi="方正仿宋_GBK" w:cs="方正仿宋_GBK"/>
                <w:kern w:val="0"/>
                <w:sz w:val="21"/>
                <w:szCs w:val="21"/>
              </w:rPr>
              <w:t>每千人口医疗卫生机构编制床位数（张）</w:t>
            </w:r>
          </w:p>
        </w:tc>
        <w:tc>
          <w:tcPr>
            <w:tcW w:w="1200" w:type="dxa"/>
            <w:tcBorders>
              <w:top w:val="single" w:color="000000" w:sz="4" w:space="0"/>
              <w:left w:val="single" w:color="000000" w:sz="4" w:space="0"/>
              <w:bottom w:val="single" w:color="000000" w:sz="4" w:space="0"/>
              <w:right w:val="single" w:color="000000" w:sz="4" w:space="0"/>
            </w:tcBorders>
            <w:vAlign w:val="center"/>
          </w:tcPr>
          <w:p w14:paraId="1DA9A3DC">
            <w:pPr>
              <w:widowControl/>
              <w:jc w:val="center"/>
              <w:textAlignment w:val="center"/>
              <w:rPr>
                <w:rFonts w:eastAsia="宋体"/>
                <w:sz w:val="21"/>
                <w:szCs w:val="21"/>
              </w:rPr>
            </w:pPr>
            <w:r>
              <w:rPr>
                <w:rFonts w:eastAsia="宋体"/>
                <w:kern w:val="0"/>
                <w:sz w:val="21"/>
                <w:szCs w:val="21"/>
              </w:rPr>
              <w:t>6.49</w:t>
            </w:r>
          </w:p>
        </w:tc>
        <w:tc>
          <w:tcPr>
            <w:tcW w:w="1134" w:type="dxa"/>
            <w:tcBorders>
              <w:top w:val="single" w:color="000000" w:sz="4" w:space="0"/>
              <w:left w:val="single" w:color="000000" w:sz="4" w:space="0"/>
              <w:bottom w:val="single" w:color="000000" w:sz="4" w:space="0"/>
              <w:right w:val="single" w:color="000000" w:sz="4" w:space="0"/>
            </w:tcBorders>
            <w:vAlign w:val="center"/>
          </w:tcPr>
          <w:p w14:paraId="6C0CB7D0">
            <w:pPr>
              <w:widowControl/>
              <w:jc w:val="center"/>
              <w:textAlignment w:val="center"/>
              <w:rPr>
                <w:rFonts w:eastAsia="宋体"/>
                <w:sz w:val="21"/>
                <w:szCs w:val="21"/>
              </w:rPr>
            </w:pPr>
            <w:r>
              <w:rPr>
                <w:rFonts w:eastAsia="宋体"/>
                <w:kern w:val="0"/>
                <w:sz w:val="21"/>
                <w:szCs w:val="21"/>
              </w:rPr>
              <w:t>8</w:t>
            </w:r>
          </w:p>
        </w:tc>
        <w:tc>
          <w:tcPr>
            <w:tcW w:w="846" w:type="dxa"/>
            <w:tcBorders>
              <w:top w:val="single" w:color="000000" w:sz="4" w:space="0"/>
              <w:left w:val="single" w:color="000000" w:sz="4" w:space="0"/>
              <w:bottom w:val="single" w:color="000000" w:sz="4" w:space="0"/>
              <w:right w:val="single" w:color="000000" w:sz="4" w:space="0"/>
            </w:tcBorders>
            <w:vAlign w:val="center"/>
          </w:tcPr>
          <w:p w14:paraId="039A7981">
            <w:pPr>
              <w:widowControl/>
              <w:jc w:val="center"/>
              <w:textAlignment w:val="center"/>
              <w:rPr>
                <w:rFonts w:ascii="方正仿宋_GBK"/>
                <w:sz w:val="21"/>
                <w:szCs w:val="21"/>
              </w:rPr>
            </w:pPr>
            <w:r>
              <w:rPr>
                <w:rFonts w:hint="eastAsia" w:ascii="方正仿宋_GBK" w:hAnsi="方正仿宋_GBK" w:cs="方正仿宋_GBK"/>
                <w:kern w:val="0"/>
                <w:sz w:val="21"/>
                <w:szCs w:val="21"/>
              </w:rPr>
              <w:t>预期性</w:t>
            </w:r>
          </w:p>
        </w:tc>
      </w:tr>
      <w:tr w14:paraId="5C8292EB">
        <w:tblPrEx>
          <w:tblCellMar>
            <w:top w:w="0" w:type="dxa"/>
            <w:left w:w="108" w:type="dxa"/>
            <w:bottom w:w="0" w:type="dxa"/>
            <w:right w:w="108" w:type="dxa"/>
          </w:tblCellMar>
        </w:tblPrEx>
        <w:trPr>
          <w:trHeight w:val="445" w:hRule="atLeast"/>
          <w:jc w:val="center"/>
        </w:trPr>
        <w:tc>
          <w:tcPr>
            <w:tcW w:w="733" w:type="dxa"/>
            <w:vMerge w:val="continue"/>
            <w:tcBorders>
              <w:top w:val="single" w:color="000000" w:sz="4" w:space="0"/>
              <w:left w:val="single" w:color="000000" w:sz="4" w:space="0"/>
              <w:bottom w:val="single" w:color="000000" w:sz="4" w:space="0"/>
              <w:right w:val="single" w:color="000000" w:sz="4" w:space="0"/>
            </w:tcBorders>
            <w:vAlign w:val="center"/>
          </w:tcPr>
          <w:p w14:paraId="017304A8">
            <w:pPr>
              <w:jc w:val="center"/>
              <w:rPr>
                <w:rFonts w:ascii="方正仿宋_GBK"/>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14:paraId="0815C981">
            <w:pPr>
              <w:widowControl/>
              <w:jc w:val="center"/>
              <w:textAlignment w:val="center"/>
              <w:rPr>
                <w:rFonts w:eastAsia="宋体"/>
                <w:sz w:val="21"/>
                <w:szCs w:val="21"/>
              </w:rPr>
            </w:pPr>
            <w:r>
              <w:rPr>
                <w:rFonts w:eastAsia="宋体"/>
                <w:kern w:val="0"/>
                <w:sz w:val="21"/>
                <w:szCs w:val="21"/>
              </w:rPr>
              <w:t>12</w:t>
            </w:r>
          </w:p>
        </w:tc>
        <w:tc>
          <w:tcPr>
            <w:tcW w:w="3916" w:type="dxa"/>
            <w:gridSpan w:val="2"/>
            <w:tcBorders>
              <w:top w:val="single" w:color="000000" w:sz="4" w:space="0"/>
              <w:left w:val="single" w:color="000000" w:sz="4" w:space="0"/>
              <w:bottom w:val="single" w:color="000000" w:sz="4" w:space="0"/>
              <w:right w:val="single" w:color="000000" w:sz="4" w:space="0"/>
            </w:tcBorders>
            <w:vAlign w:val="center"/>
          </w:tcPr>
          <w:p w14:paraId="44346BB5">
            <w:pPr>
              <w:widowControl/>
              <w:textAlignment w:val="center"/>
              <w:rPr>
                <w:rFonts w:ascii="方正仿宋_GBK"/>
                <w:sz w:val="21"/>
                <w:szCs w:val="21"/>
              </w:rPr>
            </w:pPr>
            <w:r>
              <w:rPr>
                <w:rFonts w:hint="eastAsia" w:ascii="方正仿宋_GBK" w:hAnsi="方正仿宋_GBK" w:cs="方正仿宋_GBK"/>
                <w:kern w:val="0"/>
                <w:sz w:val="21"/>
                <w:szCs w:val="21"/>
              </w:rPr>
              <w:t>每千人口公立医院床位数（张）</w:t>
            </w:r>
          </w:p>
        </w:tc>
        <w:tc>
          <w:tcPr>
            <w:tcW w:w="1200" w:type="dxa"/>
            <w:tcBorders>
              <w:top w:val="single" w:color="000000" w:sz="4" w:space="0"/>
              <w:left w:val="single" w:color="000000" w:sz="4" w:space="0"/>
              <w:bottom w:val="single" w:color="000000" w:sz="4" w:space="0"/>
              <w:right w:val="single" w:color="000000" w:sz="4" w:space="0"/>
            </w:tcBorders>
            <w:vAlign w:val="center"/>
          </w:tcPr>
          <w:p w14:paraId="13893099">
            <w:pPr>
              <w:widowControl/>
              <w:jc w:val="center"/>
              <w:textAlignment w:val="center"/>
              <w:rPr>
                <w:rFonts w:eastAsia="宋体"/>
                <w:sz w:val="21"/>
                <w:szCs w:val="21"/>
              </w:rPr>
            </w:pPr>
            <w:r>
              <w:rPr>
                <w:rFonts w:eastAsia="宋体"/>
                <w:kern w:val="0"/>
                <w:sz w:val="21"/>
                <w:szCs w:val="21"/>
              </w:rPr>
              <w:t>1.42</w:t>
            </w:r>
          </w:p>
        </w:tc>
        <w:tc>
          <w:tcPr>
            <w:tcW w:w="1134" w:type="dxa"/>
            <w:tcBorders>
              <w:top w:val="single" w:color="000000" w:sz="4" w:space="0"/>
              <w:left w:val="single" w:color="000000" w:sz="4" w:space="0"/>
              <w:bottom w:val="single" w:color="000000" w:sz="4" w:space="0"/>
              <w:right w:val="single" w:color="000000" w:sz="4" w:space="0"/>
            </w:tcBorders>
            <w:vAlign w:val="center"/>
          </w:tcPr>
          <w:p w14:paraId="2AA10853">
            <w:pPr>
              <w:widowControl/>
              <w:jc w:val="center"/>
              <w:textAlignment w:val="center"/>
              <w:rPr>
                <w:rFonts w:eastAsia="宋体"/>
                <w:sz w:val="21"/>
                <w:szCs w:val="21"/>
              </w:rPr>
            </w:pPr>
            <w:r>
              <w:rPr>
                <w:rFonts w:eastAsia="宋体"/>
                <w:kern w:val="0"/>
                <w:sz w:val="21"/>
                <w:szCs w:val="21"/>
              </w:rPr>
              <w:t>4</w:t>
            </w:r>
          </w:p>
        </w:tc>
        <w:tc>
          <w:tcPr>
            <w:tcW w:w="846" w:type="dxa"/>
            <w:tcBorders>
              <w:top w:val="single" w:color="000000" w:sz="4" w:space="0"/>
              <w:left w:val="single" w:color="000000" w:sz="4" w:space="0"/>
              <w:bottom w:val="single" w:color="000000" w:sz="4" w:space="0"/>
              <w:right w:val="single" w:color="000000" w:sz="4" w:space="0"/>
            </w:tcBorders>
            <w:vAlign w:val="center"/>
          </w:tcPr>
          <w:p w14:paraId="65F878EB">
            <w:pPr>
              <w:widowControl/>
              <w:jc w:val="center"/>
              <w:textAlignment w:val="center"/>
              <w:rPr>
                <w:rFonts w:ascii="方正仿宋_GBK"/>
                <w:sz w:val="21"/>
                <w:szCs w:val="21"/>
              </w:rPr>
            </w:pPr>
            <w:r>
              <w:rPr>
                <w:rFonts w:hint="eastAsia" w:ascii="方正仿宋_GBK" w:hAnsi="方正仿宋_GBK" w:cs="方正仿宋_GBK"/>
                <w:kern w:val="0"/>
                <w:sz w:val="21"/>
                <w:szCs w:val="21"/>
              </w:rPr>
              <w:t>预期性</w:t>
            </w:r>
          </w:p>
        </w:tc>
      </w:tr>
      <w:tr w14:paraId="6D087A63">
        <w:tblPrEx>
          <w:tblCellMar>
            <w:top w:w="0" w:type="dxa"/>
            <w:left w:w="108" w:type="dxa"/>
            <w:bottom w:w="0" w:type="dxa"/>
            <w:right w:w="108" w:type="dxa"/>
          </w:tblCellMar>
        </w:tblPrEx>
        <w:trPr>
          <w:trHeight w:val="428" w:hRule="atLeast"/>
          <w:jc w:val="center"/>
        </w:trPr>
        <w:tc>
          <w:tcPr>
            <w:tcW w:w="733" w:type="dxa"/>
            <w:vMerge w:val="continue"/>
            <w:tcBorders>
              <w:top w:val="single" w:color="000000" w:sz="4" w:space="0"/>
              <w:left w:val="single" w:color="000000" w:sz="4" w:space="0"/>
              <w:bottom w:val="single" w:color="000000" w:sz="4" w:space="0"/>
              <w:right w:val="single" w:color="000000" w:sz="4" w:space="0"/>
            </w:tcBorders>
            <w:vAlign w:val="center"/>
          </w:tcPr>
          <w:p w14:paraId="6D47C536">
            <w:pPr>
              <w:jc w:val="center"/>
              <w:rPr>
                <w:rFonts w:ascii="方正仿宋_GBK"/>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14:paraId="32D950DD">
            <w:pPr>
              <w:widowControl/>
              <w:jc w:val="center"/>
              <w:textAlignment w:val="center"/>
              <w:rPr>
                <w:rFonts w:eastAsia="宋体"/>
                <w:sz w:val="21"/>
                <w:szCs w:val="21"/>
              </w:rPr>
            </w:pPr>
            <w:r>
              <w:rPr>
                <w:rFonts w:eastAsia="宋体"/>
                <w:kern w:val="0"/>
                <w:sz w:val="21"/>
                <w:szCs w:val="21"/>
              </w:rPr>
              <w:t>13</w:t>
            </w:r>
          </w:p>
        </w:tc>
        <w:tc>
          <w:tcPr>
            <w:tcW w:w="3916" w:type="dxa"/>
            <w:gridSpan w:val="2"/>
            <w:tcBorders>
              <w:top w:val="single" w:color="000000" w:sz="4" w:space="0"/>
              <w:left w:val="single" w:color="000000" w:sz="4" w:space="0"/>
              <w:bottom w:val="single" w:color="000000" w:sz="4" w:space="0"/>
              <w:right w:val="single" w:color="000000" w:sz="4" w:space="0"/>
            </w:tcBorders>
            <w:vAlign w:val="center"/>
          </w:tcPr>
          <w:p w14:paraId="267D357C">
            <w:pPr>
              <w:widowControl/>
              <w:textAlignment w:val="center"/>
              <w:rPr>
                <w:rFonts w:ascii="方正仿宋_GBK"/>
                <w:sz w:val="21"/>
                <w:szCs w:val="21"/>
              </w:rPr>
            </w:pPr>
            <w:r>
              <w:rPr>
                <w:rFonts w:hint="eastAsia" w:ascii="方正仿宋_GBK" w:hAnsi="方正仿宋_GBK" w:cs="方正仿宋_GBK"/>
                <w:kern w:val="0"/>
                <w:sz w:val="21"/>
                <w:szCs w:val="21"/>
              </w:rPr>
              <w:t>县域内基层医疗卫生机构床位数占比（</w:t>
            </w:r>
            <w:r>
              <w:rPr>
                <w:rFonts w:ascii="方正仿宋_GBK" w:hAnsi="方正仿宋_GBK" w:cs="方正仿宋_GBK"/>
                <w:kern w:val="0"/>
                <w:sz w:val="21"/>
                <w:szCs w:val="21"/>
              </w:rPr>
              <w:t>%</w:t>
            </w:r>
            <w:r>
              <w:rPr>
                <w:rFonts w:hint="eastAsia" w:ascii="方正仿宋_GBK" w:hAnsi="方正仿宋_GBK" w:cs="方正仿宋_GBK"/>
                <w:kern w:val="0"/>
                <w:sz w:val="21"/>
                <w:szCs w:val="21"/>
              </w:rPr>
              <w:t>）</w:t>
            </w:r>
          </w:p>
        </w:tc>
        <w:tc>
          <w:tcPr>
            <w:tcW w:w="1200" w:type="dxa"/>
            <w:tcBorders>
              <w:top w:val="single" w:color="000000" w:sz="4" w:space="0"/>
              <w:left w:val="single" w:color="000000" w:sz="4" w:space="0"/>
              <w:bottom w:val="single" w:color="000000" w:sz="4" w:space="0"/>
              <w:right w:val="single" w:color="000000" w:sz="4" w:space="0"/>
            </w:tcBorders>
            <w:vAlign w:val="center"/>
          </w:tcPr>
          <w:p w14:paraId="6521D982">
            <w:pPr>
              <w:widowControl/>
              <w:jc w:val="center"/>
              <w:textAlignment w:val="center"/>
              <w:rPr>
                <w:rFonts w:eastAsia="宋体"/>
                <w:sz w:val="21"/>
                <w:szCs w:val="21"/>
              </w:rPr>
            </w:pPr>
            <w:r>
              <w:rPr>
                <w:rFonts w:eastAsia="宋体"/>
                <w:kern w:val="0"/>
                <w:sz w:val="21"/>
                <w:szCs w:val="21"/>
              </w:rPr>
              <w:t>46</w:t>
            </w:r>
          </w:p>
        </w:tc>
        <w:tc>
          <w:tcPr>
            <w:tcW w:w="1134" w:type="dxa"/>
            <w:tcBorders>
              <w:top w:val="single" w:color="000000" w:sz="4" w:space="0"/>
              <w:left w:val="single" w:color="000000" w:sz="4" w:space="0"/>
              <w:bottom w:val="single" w:color="000000" w:sz="4" w:space="0"/>
              <w:right w:val="single" w:color="000000" w:sz="4" w:space="0"/>
            </w:tcBorders>
            <w:vAlign w:val="center"/>
          </w:tcPr>
          <w:p w14:paraId="7DB18E85">
            <w:pPr>
              <w:widowControl/>
              <w:jc w:val="center"/>
              <w:textAlignment w:val="center"/>
              <w:rPr>
                <w:rFonts w:eastAsia="宋体"/>
                <w:sz w:val="21"/>
                <w:szCs w:val="21"/>
              </w:rPr>
            </w:pPr>
            <w:r>
              <w:rPr>
                <w:rFonts w:eastAsia="宋体"/>
                <w:kern w:val="0"/>
                <w:sz w:val="21"/>
                <w:szCs w:val="21"/>
              </w:rPr>
              <w:t>≥40</w:t>
            </w:r>
          </w:p>
        </w:tc>
        <w:tc>
          <w:tcPr>
            <w:tcW w:w="846" w:type="dxa"/>
            <w:tcBorders>
              <w:top w:val="single" w:color="000000" w:sz="4" w:space="0"/>
              <w:left w:val="single" w:color="000000" w:sz="4" w:space="0"/>
              <w:bottom w:val="single" w:color="000000" w:sz="4" w:space="0"/>
              <w:right w:val="single" w:color="000000" w:sz="4" w:space="0"/>
            </w:tcBorders>
            <w:vAlign w:val="center"/>
          </w:tcPr>
          <w:p w14:paraId="7A23103D">
            <w:pPr>
              <w:widowControl/>
              <w:jc w:val="center"/>
              <w:textAlignment w:val="center"/>
              <w:rPr>
                <w:rFonts w:ascii="方正仿宋_GBK"/>
                <w:sz w:val="21"/>
                <w:szCs w:val="21"/>
              </w:rPr>
            </w:pPr>
            <w:r>
              <w:rPr>
                <w:rFonts w:hint="eastAsia" w:ascii="方正仿宋_GBK" w:hAnsi="方正仿宋_GBK" w:cs="方正仿宋_GBK"/>
                <w:kern w:val="0"/>
                <w:sz w:val="21"/>
                <w:szCs w:val="21"/>
              </w:rPr>
              <w:t>预期性</w:t>
            </w:r>
          </w:p>
        </w:tc>
      </w:tr>
      <w:tr w14:paraId="602FADEE">
        <w:tblPrEx>
          <w:tblCellMar>
            <w:top w:w="0" w:type="dxa"/>
            <w:left w:w="108" w:type="dxa"/>
            <w:bottom w:w="0" w:type="dxa"/>
            <w:right w:w="108" w:type="dxa"/>
          </w:tblCellMar>
        </w:tblPrEx>
        <w:trPr>
          <w:trHeight w:val="428" w:hRule="atLeast"/>
          <w:jc w:val="center"/>
        </w:trPr>
        <w:tc>
          <w:tcPr>
            <w:tcW w:w="733" w:type="dxa"/>
            <w:vMerge w:val="continue"/>
            <w:tcBorders>
              <w:top w:val="single" w:color="000000" w:sz="4" w:space="0"/>
              <w:left w:val="single" w:color="000000" w:sz="4" w:space="0"/>
              <w:bottom w:val="single" w:color="000000" w:sz="4" w:space="0"/>
              <w:right w:val="single" w:color="000000" w:sz="4" w:space="0"/>
            </w:tcBorders>
            <w:vAlign w:val="center"/>
          </w:tcPr>
          <w:p w14:paraId="3F5ED035">
            <w:pPr>
              <w:jc w:val="center"/>
              <w:rPr>
                <w:rFonts w:ascii="方正仿宋_GBK"/>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14:paraId="2D53F2EA">
            <w:pPr>
              <w:widowControl/>
              <w:jc w:val="center"/>
              <w:textAlignment w:val="center"/>
              <w:rPr>
                <w:rFonts w:eastAsia="宋体"/>
                <w:sz w:val="21"/>
                <w:szCs w:val="21"/>
              </w:rPr>
            </w:pPr>
            <w:r>
              <w:rPr>
                <w:rFonts w:eastAsia="宋体"/>
                <w:kern w:val="0"/>
                <w:sz w:val="21"/>
                <w:szCs w:val="21"/>
              </w:rPr>
              <w:t>14</w:t>
            </w:r>
          </w:p>
        </w:tc>
        <w:tc>
          <w:tcPr>
            <w:tcW w:w="3916" w:type="dxa"/>
            <w:gridSpan w:val="2"/>
            <w:tcBorders>
              <w:top w:val="single" w:color="000000" w:sz="4" w:space="0"/>
              <w:left w:val="single" w:color="000000" w:sz="4" w:space="0"/>
              <w:bottom w:val="single" w:color="000000" w:sz="4" w:space="0"/>
              <w:right w:val="single" w:color="000000" w:sz="4" w:space="0"/>
            </w:tcBorders>
            <w:vAlign w:val="center"/>
          </w:tcPr>
          <w:p w14:paraId="54C7E5EC">
            <w:pPr>
              <w:widowControl/>
              <w:textAlignment w:val="center"/>
              <w:rPr>
                <w:rFonts w:ascii="方正仿宋_GBK"/>
                <w:sz w:val="21"/>
                <w:szCs w:val="21"/>
              </w:rPr>
            </w:pPr>
            <w:r>
              <w:rPr>
                <w:rFonts w:hint="eastAsia" w:ascii="方正仿宋_GBK" w:hAnsi="方正仿宋_GBK" w:cs="方正仿宋_GBK"/>
                <w:kern w:val="0"/>
                <w:sz w:val="21"/>
                <w:szCs w:val="21"/>
              </w:rPr>
              <w:t>每千人口执业（助理）医师数（人）</w:t>
            </w:r>
          </w:p>
        </w:tc>
        <w:tc>
          <w:tcPr>
            <w:tcW w:w="1200" w:type="dxa"/>
            <w:tcBorders>
              <w:top w:val="single" w:color="000000" w:sz="4" w:space="0"/>
              <w:left w:val="single" w:color="000000" w:sz="4" w:space="0"/>
              <w:bottom w:val="single" w:color="000000" w:sz="4" w:space="0"/>
              <w:right w:val="single" w:color="000000" w:sz="4" w:space="0"/>
            </w:tcBorders>
            <w:vAlign w:val="center"/>
          </w:tcPr>
          <w:p w14:paraId="27977B0D">
            <w:pPr>
              <w:widowControl/>
              <w:jc w:val="center"/>
              <w:textAlignment w:val="center"/>
              <w:rPr>
                <w:rFonts w:eastAsia="宋体"/>
                <w:kern w:val="0"/>
                <w:sz w:val="21"/>
                <w:szCs w:val="21"/>
              </w:rPr>
            </w:pPr>
            <w:r>
              <w:rPr>
                <w:rFonts w:eastAsia="宋体"/>
                <w:kern w:val="0"/>
                <w:sz w:val="21"/>
                <w:szCs w:val="21"/>
              </w:rPr>
              <w:t>2.27</w:t>
            </w:r>
          </w:p>
        </w:tc>
        <w:tc>
          <w:tcPr>
            <w:tcW w:w="1134" w:type="dxa"/>
            <w:tcBorders>
              <w:top w:val="single" w:color="000000" w:sz="4" w:space="0"/>
              <w:left w:val="single" w:color="000000" w:sz="4" w:space="0"/>
              <w:bottom w:val="single" w:color="000000" w:sz="4" w:space="0"/>
              <w:right w:val="single" w:color="000000" w:sz="4" w:space="0"/>
            </w:tcBorders>
            <w:vAlign w:val="center"/>
          </w:tcPr>
          <w:p w14:paraId="106D833A">
            <w:pPr>
              <w:widowControl/>
              <w:jc w:val="center"/>
              <w:textAlignment w:val="center"/>
              <w:rPr>
                <w:rFonts w:eastAsia="宋体"/>
                <w:kern w:val="0"/>
                <w:sz w:val="21"/>
                <w:szCs w:val="21"/>
              </w:rPr>
            </w:pPr>
            <w:r>
              <w:rPr>
                <w:rFonts w:eastAsia="宋体"/>
                <w:kern w:val="0"/>
                <w:sz w:val="21"/>
                <w:szCs w:val="21"/>
              </w:rPr>
              <w:t>3.1</w:t>
            </w:r>
          </w:p>
        </w:tc>
        <w:tc>
          <w:tcPr>
            <w:tcW w:w="846" w:type="dxa"/>
            <w:tcBorders>
              <w:top w:val="single" w:color="000000" w:sz="4" w:space="0"/>
              <w:left w:val="single" w:color="000000" w:sz="4" w:space="0"/>
              <w:bottom w:val="single" w:color="000000" w:sz="4" w:space="0"/>
              <w:right w:val="single" w:color="000000" w:sz="4" w:space="0"/>
            </w:tcBorders>
            <w:vAlign w:val="center"/>
          </w:tcPr>
          <w:p w14:paraId="778DABC9">
            <w:pPr>
              <w:widowControl/>
              <w:jc w:val="center"/>
              <w:textAlignment w:val="center"/>
              <w:rPr>
                <w:rFonts w:ascii="方正仿宋_GBK"/>
                <w:sz w:val="21"/>
                <w:szCs w:val="21"/>
              </w:rPr>
            </w:pPr>
            <w:r>
              <w:rPr>
                <w:rFonts w:hint="eastAsia" w:ascii="方正仿宋_GBK" w:hAnsi="方正仿宋_GBK" w:cs="方正仿宋_GBK"/>
                <w:kern w:val="0"/>
                <w:sz w:val="21"/>
                <w:szCs w:val="21"/>
              </w:rPr>
              <w:t>约束性</w:t>
            </w:r>
          </w:p>
        </w:tc>
      </w:tr>
      <w:tr w14:paraId="13A1273D">
        <w:tblPrEx>
          <w:tblCellMar>
            <w:top w:w="0" w:type="dxa"/>
            <w:left w:w="108" w:type="dxa"/>
            <w:bottom w:w="0" w:type="dxa"/>
            <w:right w:w="108" w:type="dxa"/>
          </w:tblCellMar>
        </w:tblPrEx>
        <w:trPr>
          <w:trHeight w:val="461" w:hRule="atLeast"/>
          <w:jc w:val="center"/>
        </w:trPr>
        <w:tc>
          <w:tcPr>
            <w:tcW w:w="733" w:type="dxa"/>
            <w:vMerge w:val="continue"/>
            <w:tcBorders>
              <w:top w:val="single" w:color="000000" w:sz="4" w:space="0"/>
              <w:left w:val="single" w:color="000000" w:sz="4" w:space="0"/>
              <w:bottom w:val="single" w:color="000000" w:sz="4" w:space="0"/>
              <w:right w:val="single" w:color="000000" w:sz="4" w:space="0"/>
            </w:tcBorders>
            <w:vAlign w:val="center"/>
          </w:tcPr>
          <w:p w14:paraId="0BA97653">
            <w:pPr>
              <w:jc w:val="center"/>
              <w:rPr>
                <w:rFonts w:ascii="方正仿宋_GBK"/>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14:paraId="0B9F300B">
            <w:pPr>
              <w:widowControl/>
              <w:jc w:val="center"/>
              <w:textAlignment w:val="center"/>
              <w:rPr>
                <w:rFonts w:eastAsia="宋体"/>
                <w:kern w:val="0"/>
                <w:sz w:val="21"/>
                <w:szCs w:val="21"/>
              </w:rPr>
            </w:pPr>
            <w:r>
              <w:rPr>
                <w:rFonts w:eastAsia="宋体"/>
                <w:kern w:val="0"/>
                <w:sz w:val="21"/>
                <w:szCs w:val="21"/>
              </w:rPr>
              <w:t>15</w:t>
            </w:r>
          </w:p>
        </w:tc>
        <w:tc>
          <w:tcPr>
            <w:tcW w:w="3916" w:type="dxa"/>
            <w:gridSpan w:val="2"/>
            <w:tcBorders>
              <w:top w:val="single" w:color="000000" w:sz="4" w:space="0"/>
              <w:left w:val="single" w:color="000000" w:sz="4" w:space="0"/>
              <w:bottom w:val="single" w:color="000000" w:sz="4" w:space="0"/>
              <w:right w:val="single" w:color="000000" w:sz="4" w:space="0"/>
            </w:tcBorders>
            <w:vAlign w:val="center"/>
          </w:tcPr>
          <w:p w14:paraId="1154D995">
            <w:pPr>
              <w:widowControl/>
              <w:textAlignment w:val="center"/>
              <w:rPr>
                <w:rFonts w:ascii="方正仿宋_GBK"/>
                <w:kern w:val="0"/>
                <w:sz w:val="21"/>
                <w:szCs w:val="21"/>
              </w:rPr>
            </w:pPr>
            <w:r>
              <w:rPr>
                <w:rFonts w:hint="eastAsia" w:ascii="方正仿宋_GBK" w:hAnsi="方正仿宋_GBK" w:cs="方正仿宋_GBK"/>
                <w:kern w:val="0"/>
                <w:sz w:val="21"/>
                <w:szCs w:val="21"/>
              </w:rPr>
              <w:t>每千人口专业公共卫生机构人员数（人）</w:t>
            </w:r>
          </w:p>
        </w:tc>
        <w:tc>
          <w:tcPr>
            <w:tcW w:w="1200" w:type="dxa"/>
            <w:tcBorders>
              <w:top w:val="single" w:color="000000" w:sz="4" w:space="0"/>
              <w:left w:val="single" w:color="000000" w:sz="4" w:space="0"/>
              <w:bottom w:val="single" w:color="000000" w:sz="4" w:space="0"/>
              <w:right w:val="single" w:color="000000" w:sz="4" w:space="0"/>
            </w:tcBorders>
            <w:vAlign w:val="center"/>
          </w:tcPr>
          <w:p w14:paraId="5F197D55">
            <w:pPr>
              <w:widowControl/>
              <w:jc w:val="center"/>
              <w:textAlignment w:val="center"/>
              <w:rPr>
                <w:rFonts w:eastAsia="宋体"/>
                <w:kern w:val="0"/>
                <w:sz w:val="21"/>
                <w:szCs w:val="21"/>
              </w:rPr>
            </w:pPr>
            <w:r>
              <w:rPr>
                <w:rFonts w:eastAsia="宋体"/>
                <w:kern w:val="0"/>
                <w:sz w:val="21"/>
                <w:szCs w:val="21"/>
              </w:rPr>
              <w:t xml:space="preserve"> 0.47 </w:t>
            </w:r>
          </w:p>
        </w:tc>
        <w:tc>
          <w:tcPr>
            <w:tcW w:w="1134" w:type="dxa"/>
            <w:tcBorders>
              <w:top w:val="single" w:color="000000" w:sz="4" w:space="0"/>
              <w:left w:val="single" w:color="000000" w:sz="4" w:space="0"/>
              <w:bottom w:val="single" w:color="000000" w:sz="4" w:space="0"/>
              <w:right w:val="single" w:color="000000" w:sz="4" w:space="0"/>
            </w:tcBorders>
            <w:vAlign w:val="center"/>
          </w:tcPr>
          <w:p w14:paraId="0EA6BA99">
            <w:pPr>
              <w:widowControl/>
              <w:jc w:val="center"/>
              <w:textAlignment w:val="center"/>
              <w:rPr>
                <w:rFonts w:eastAsia="宋体"/>
                <w:kern w:val="0"/>
                <w:sz w:val="21"/>
                <w:szCs w:val="21"/>
              </w:rPr>
            </w:pPr>
            <w:r>
              <w:rPr>
                <w:rFonts w:eastAsia="宋体"/>
                <w:kern w:val="0"/>
                <w:sz w:val="21"/>
                <w:szCs w:val="21"/>
              </w:rPr>
              <w:t xml:space="preserve">0.86 </w:t>
            </w:r>
          </w:p>
        </w:tc>
        <w:tc>
          <w:tcPr>
            <w:tcW w:w="846" w:type="dxa"/>
            <w:tcBorders>
              <w:top w:val="single" w:color="000000" w:sz="4" w:space="0"/>
              <w:left w:val="single" w:color="000000" w:sz="4" w:space="0"/>
              <w:bottom w:val="single" w:color="000000" w:sz="4" w:space="0"/>
              <w:right w:val="single" w:color="000000" w:sz="4" w:space="0"/>
            </w:tcBorders>
            <w:vAlign w:val="center"/>
          </w:tcPr>
          <w:p w14:paraId="3DC1667D">
            <w:pPr>
              <w:widowControl/>
              <w:jc w:val="center"/>
              <w:textAlignment w:val="center"/>
              <w:rPr>
                <w:rFonts w:ascii="方正仿宋_GBK"/>
                <w:kern w:val="0"/>
                <w:sz w:val="21"/>
                <w:szCs w:val="21"/>
              </w:rPr>
            </w:pPr>
            <w:r>
              <w:rPr>
                <w:rFonts w:hint="eastAsia" w:ascii="方正仿宋_GBK" w:hAnsi="方正仿宋_GBK" w:cs="方正仿宋_GBK"/>
                <w:kern w:val="0"/>
                <w:sz w:val="21"/>
                <w:szCs w:val="21"/>
              </w:rPr>
              <w:t>约束性</w:t>
            </w:r>
          </w:p>
        </w:tc>
      </w:tr>
      <w:tr w14:paraId="5199B02E">
        <w:tblPrEx>
          <w:tblCellMar>
            <w:top w:w="0" w:type="dxa"/>
            <w:left w:w="108" w:type="dxa"/>
            <w:bottom w:w="0" w:type="dxa"/>
            <w:right w:w="108" w:type="dxa"/>
          </w:tblCellMar>
        </w:tblPrEx>
        <w:trPr>
          <w:trHeight w:val="555" w:hRule="atLeast"/>
          <w:jc w:val="center"/>
        </w:trPr>
        <w:tc>
          <w:tcPr>
            <w:tcW w:w="733" w:type="dxa"/>
            <w:vMerge w:val="continue"/>
            <w:tcBorders>
              <w:top w:val="single" w:color="000000" w:sz="4" w:space="0"/>
              <w:left w:val="single" w:color="000000" w:sz="4" w:space="0"/>
              <w:bottom w:val="single" w:color="000000" w:sz="4" w:space="0"/>
              <w:right w:val="single" w:color="000000" w:sz="4" w:space="0"/>
            </w:tcBorders>
            <w:vAlign w:val="center"/>
          </w:tcPr>
          <w:p w14:paraId="544A28A0">
            <w:pPr>
              <w:jc w:val="center"/>
              <w:rPr>
                <w:rFonts w:ascii="方正仿宋_GBK"/>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14:paraId="647680D2">
            <w:pPr>
              <w:widowControl/>
              <w:jc w:val="center"/>
              <w:textAlignment w:val="center"/>
              <w:rPr>
                <w:rFonts w:eastAsia="宋体"/>
                <w:kern w:val="0"/>
                <w:sz w:val="21"/>
                <w:szCs w:val="21"/>
              </w:rPr>
            </w:pPr>
            <w:r>
              <w:rPr>
                <w:rFonts w:eastAsia="宋体"/>
                <w:kern w:val="0"/>
                <w:sz w:val="21"/>
                <w:szCs w:val="21"/>
              </w:rPr>
              <w:t>16</w:t>
            </w:r>
          </w:p>
        </w:tc>
        <w:tc>
          <w:tcPr>
            <w:tcW w:w="3916" w:type="dxa"/>
            <w:gridSpan w:val="2"/>
            <w:tcBorders>
              <w:top w:val="single" w:color="000000" w:sz="4" w:space="0"/>
              <w:left w:val="single" w:color="000000" w:sz="4" w:space="0"/>
              <w:bottom w:val="single" w:color="000000" w:sz="4" w:space="0"/>
              <w:right w:val="single" w:color="000000" w:sz="4" w:space="0"/>
            </w:tcBorders>
            <w:vAlign w:val="center"/>
          </w:tcPr>
          <w:p w14:paraId="4B02A900">
            <w:pPr>
              <w:widowControl/>
              <w:textAlignment w:val="center"/>
              <w:rPr>
                <w:rFonts w:ascii="方正仿宋_GBK"/>
                <w:kern w:val="0"/>
                <w:sz w:val="21"/>
                <w:szCs w:val="21"/>
              </w:rPr>
            </w:pPr>
            <w:r>
              <w:rPr>
                <w:rFonts w:hint="eastAsia" w:ascii="方正仿宋_GBK" w:hAnsi="方正仿宋_GBK" w:cs="方正仿宋_GBK"/>
                <w:kern w:val="0"/>
                <w:sz w:val="21"/>
                <w:szCs w:val="21"/>
              </w:rPr>
              <w:t>每千人口中医类别执业（助理）医师数（人）</w:t>
            </w:r>
          </w:p>
        </w:tc>
        <w:tc>
          <w:tcPr>
            <w:tcW w:w="1200" w:type="dxa"/>
            <w:tcBorders>
              <w:top w:val="single" w:color="000000" w:sz="4" w:space="0"/>
              <w:left w:val="single" w:color="000000" w:sz="4" w:space="0"/>
              <w:bottom w:val="single" w:color="000000" w:sz="4" w:space="0"/>
              <w:right w:val="single" w:color="000000" w:sz="4" w:space="0"/>
            </w:tcBorders>
            <w:vAlign w:val="center"/>
          </w:tcPr>
          <w:p w14:paraId="752E829C">
            <w:pPr>
              <w:widowControl/>
              <w:jc w:val="center"/>
              <w:textAlignment w:val="center"/>
              <w:rPr>
                <w:rFonts w:eastAsia="宋体"/>
                <w:kern w:val="0"/>
                <w:sz w:val="21"/>
                <w:szCs w:val="21"/>
              </w:rPr>
            </w:pPr>
            <w:r>
              <w:rPr>
                <w:rFonts w:eastAsia="宋体"/>
                <w:kern w:val="0"/>
                <w:sz w:val="21"/>
                <w:szCs w:val="21"/>
              </w:rPr>
              <w:t>0.89</w:t>
            </w:r>
          </w:p>
        </w:tc>
        <w:tc>
          <w:tcPr>
            <w:tcW w:w="1134" w:type="dxa"/>
            <w:tcBorders>
              <w:top w:val="single" w:color="000000" w:sz="4" w:space="0"/>
              <w:left w:val="single" w:color="000000" w:sz="4" w:space="0"/>
              <w:bottom w:val="single" w:color="000000" w:sz="4" w:space="0"/>
              <w:right w:val="single" w:color="000000" w:sz="4" w:space="0"/>
            </w:tcBorders>
            <w:vAlign w:val="center"/>
          </w:tcPr>
          <w:p w14:paraId="1C565303">
            <w:pPr>
              <w:widowControl/>
              <w:jc w:val="center"/>
              <w:textAlignment w:val="center"/>
              <w:rPr>
                <w:rFonts w:eastAsia="宋体"/>
                <w:kern w:val="0"/>
                <w:sz w:val="21"/>
                <w:szCs w:val="21"/>
              </w:rPr>
            </w:pPr>
            <w:r>
              <w:rPr>
                <w:rFonts w:eastAsia="宋体"/>
                <w:kern w:val="0"/>
                <w:sz w:val="21"/>
                <w:szCs w:val="21"/>
              </w:rPr>
              <w:t>1.0</w:t>
            </w:r>
          </w:p>
        </w:tc>
        <w:tc>
          <w:tcPr>
            <w:tcW w:w="846" w:type="dxa"/>
            <w:tcBorders>
              <w:top w:val="single" w:color="000000" w:sz="4" w:space="0"/>
              <w:left w:val="single" w:color="000000" w:sz="4" w:space="0"/>
              <w:bottom w:val="single" w:color="000000" w:sz="4" w:space="0"/>
              <w:right w:val="single" w:color="000000" w:sz="4" w:space="0"/>
            </w:tcBorders>
            <w:vAlign w:val="center"/>
          </w:tcPr>
          <w:p w14:paraId="03EE3388">
            <w:pPr>
              <w:widowControl/>
              <w:jc w:val="center"/>
              <w:textAlignment w:val="center"/>
              <w:rPr>
                <w:rFonts w:ascii="方正仿宋_GBK"/>
                <w:kern w:val="0"/>
                <w:sz w:val="21"/>
                <w:szCs w:val="21"/>
              </w:rPr>
            </w:pPr>
            <w:r>
              <w:rPr>
                <w:rFonts w:hint="eastAsia" w:ascii="方正仿宋_GBK" w:hAnsi="方正仿宋_GBK" w:cs="方正仿宋_GBK"/>
                <w:kern w:val="0"/>
                <w:sz w:val="21"/>
                <w:szCs w:val="21"/>
              </w:rPr>
              <w:t>预期性</w:t>
            </w:r>
          </w:p>
        </w:tc>
      </w:tr>
      <w:tr w14:paraId="50883616">
        <w:tblPrEx>
          <w:tblCellMar>
            <w:top w:w="0" w:type="dxa"/>
            <w:left w:w="108" w:type="dxa"/>
            <w:bottom w:w="0" w:type="dxa"/>
            <w:right w:w="108" w:type="dxa"/>
          </w:tblCellMar>
        </w:tblPrEx>
        <w:trPr>
          <w:trHeight w:val="478" w:hRule="atLeast"/>
          <w:jc w:val="center"/>
        </w:trPr>
        <w:tc>
          <w:tcPr>
            <w:tcW w:w="733" w:type="dxa"/>
            <w:vMerge w:val="continue"/>
            <w:tcBorders>
              <w:top w:val="single" w:color="000000" w:sz="4" w:space="0"/>
              <w:left w:val="single" w:color="000000" w:sz="4" w:space="0"/>
              <w:bottom w:val="single" w:color="000000" w:sz="4" w:space="0"/>
              <w:right w:val="single" w:color="000000" w:sz="4" w:space="0"/>
            </w:tcBorders>
            <w:vAlign w:val="center"/>
          </w:tcPr>
          <w:p w14:paraId="7CA4C0D8">
            <w:pPr>
              <w:jc w:val="center"/>
              <w:rPr>
                <w:rFonts w:ascii="方正仿宋_GBK"/>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14:paraId="60E8D3BC">
            <w:pPr>
              <w:widowControl/>
              <w:jc w:val="center"/>
              <w:textAlignment w:val="center"/>
              <w:rPr>
                <w:rFonts w:eastAsia="宋体"/>
                <w:sz w:val="21"/>
                <w:szCs w:val="21"/>
              </w:rPr>
            </w:pPr>
            <w:r>
              <w:rPr>
                <w:rFonts w:eastAsia="宋体"/>
                <w:kern w:val="0"/>
                <w:sz w:val="21"/>
                <w:szCs w:val="21"/>
              </w:rPr>
              <w:t>17</w:t>
            </w:r>
          </w:p>
        </w:tc>
        <w:tc>
          <w:tcPr>
            <w:tcW w:w="3916" w:type="dxa"/>
            <w:gridSpan w:val="2"/>
            <w:tcBorders>
              <w:top w:val="single" w:color="000000" w:sz="4" w:space="0"/>
              <w:left w:val="single" w:color="000000" w:sz="4" w:space="0"/>
              <w:bottom w:val="single" w:color="000000" w:sz="4" w:space="0"/>
              <w:right w:val="single" w:color="000000" w:sz="4" w:space="0"/>
            </w:tcBorders>
            <w:vAlign w:val="center"/>
          </w:tcPr>
          <w:p w14:paraId="2838D902">
            <w:pPr>
              <w:widowControl/>
              <w:textAlignment w:val="center"/>
              <w:rPr>
                <w:rFonts w:ascii="方正仿宋_GBK"/>
                <w:sz w:val="21"/>
                <w:szCs w:val="21"/>
              </w:rPr>
            </w:pPr>
            <w:r>
              <w:rPr>
                <w:rFonts w:hint="eastAsia" w:ascii="方正仿宋_GBK" w:hAnsi="方正仿宋_GBK" w:cs="方正仿宋_GBK"/>
                <w:kern w:val="0"/>
                <w:sz w:val="21"/>
                <w:szCs w:val="21"/>
              </w:rPr>
              <w:t>每百张床位临床药师数（人）</w:t>
            </w:r>
          </w:p>
        </w:tc>
        <w:tc>
          <w:tcPr>
            <w:tcW w:w="1200" w:type="dxa"/>
            <w:tcBorders>
              <w:top w:val="single" w:color="000000" w:sz="4" w:space="0"/>
              <w:left w:val="single" w:color="000000" w:sz="4" w:space="0"/>
              <w:bottom w:val="single" w:color="000000" w:sz="4" w:space="0"/>
              <w:right w:val="single" w:color="000000" w:sz="4" w:space="0"/>
            </w:tcBorders>
            <w:vAlign w:val="center"/>
          </w:tcPr>
          <w:p w14:paraId="46198D07">
            <w:pPr>
              <w:widowControl/>
              <w:jc w:val="center"/>
              <w:textAlignment w:val="center"/>
              <w:rPr>
                <w:rFonts w:eastAsia="宋体"/>
                <w:kern w:val="0"/>
                <w:sz w:val="21"/>
                <w:szCs w:val="21"/>
              </w:rPr>
            </w:pPr>
            <w:r>
              <w:rPr>
                <w:rFonts w:eastAsia="宋体"/>
                <w:kern w:val="0"/>
                <w:sz w:val="21"/>
                <w:szCs w:val="21"/>
              </w:rPr>
              <w:t>0.16</w:t>
            </w:r>
          </w:p>
        </w:tc>
        <w:tc>
          <w:tcPr>
            <w:tcW w:w="1134" w:type="dxa"/>
            <w:tcBorders>
              <w:top w:val="single" w:color="000000" w:sz="4" w:space="0"/>
              <w:left w:val="single" w:color="000000" w:sz="4" w:space="0"/>
              <w:bottom w:val="single" w:color="000000" w:sz="4" w:space="0"/>
              <w:right w:val="single" w:color="000000" w:sz="4" w:space="0"/>
            </w:tcBorders>
            <w:vAlign w:val="center"/>
          </w:tcPr>
          <w:p w14:paraId="042B29BC">
            <w:pPr>
              <w:widowControl/>
              <w:jc w:val="center"/>
              <w:textAlignment w:val="center"/>
              <w:rPr>
                <w:rFonts w:eastAsia="宋体"/>
                <w:kern w:val="0"/>
                <w:sz w:val="21"/>
                <w:szCs w:val="21"/>
              </w:rPr>
            </w:pPr>
            <w:r>
              <w:rPr>
                <w:rFonts w:eastAsia="宋体"/>
                <w:kern w:val="0"/>
                <w:sz w:val="21"/>
                <w:szCs w:val="21"/>
              </w:rPr>
              <w:t>0.7</w:t>
            </w:r>
          </w:p>
        </w:tc>
        <w:tc>
          <w:tcPr>
            <w:tcW w:w="846" w:type="dxa"/>
            <w:tcBorders>
              <w:top w:val="single" w:color="000000" w:sz="4" w:space="0"/>
              <w:left w:val="single" w:color="000000" w:sz="4" w:space="0"/>
              <w:bottom w:val="single" w:color="000000" w:sz="4" w:space="0"/>
              <w:right w:val="single" w:color="000000" w:sz="4" w:space="0"/>
            </w:tcBorders>
            <w:vAlign w:val="center"/>
          </w:tcPr>
          <w:p w14:paraId="11F85CA7">
            <w:pPr>
              <w:widowControl/>
              <w:jc w:val="center"/>
              <w:textAlignment w:val="center"/>
              <w:rPr>
                <w:rFonts w:ascii="方正仿宋_GBK"/>
                <w:sz w:val="21"/>
                <w:szCs w:val="21"/>
              </w:rPr>
            </w:pPr>
            <w:r>
              <w:rPr>
                <w:rFonts w:hint="eastAsia" w:ascii="方正仿宋_GBK" w:hAnsi="方正仿宋_GBK" w:cs="方正仿宋_GBK"/>
                <w:kern w:val="0"/>
                <w:sz w:val="21"/>
                <w:szCs w:val="21"/>
              </w:rPr>
              <w:t>预期性</w:t>
            </w:r>
          </w:p>
        </w:tc>
      </w:tr>
      <w:tr w14:paraId="4279703C">
        <w:tblPrEx>
          <w:tblCellMar>
            <w:top w:w="0" w:type="dxa"/>
            <w:left w:w="108" w:type="dxa"/>
            <w:bottom w:w="0" w:type="dxa"/>
            <w:right w:w="108" w:type="dxa"/>
          </w:tblCellMar>
        </w:tblPrEx>
        <w:trPr>
          <w:trHeight w:val="412" w:hRule="atLeast"/>
          <w:jc w:val="center"/>
        </w:trPr>
        <w:tc>
          <w:tcPr>
            <w:tcW w:w="733" w:type="dxa"/>
            <w:vMerge w:val="continue"/>
            <w:tcBorders>
              <w:top w:val="single" w:color="000000" w:sz="4" w:space="0"/>
              <w:left w:val="single" w:color="000000" w:sz="4" w:space="0"/>
              <w:bottom w:val="single" w:color="000000" w:sz="4" w:space="0"/>
              <w:right w:val="single" w:color="000000" w:sz="4" w:space="0"/>
            </w:tcBorders>
            <w:vAlign w:val="center"/>
          </w:tcPr>
          <w:p w14:paraId="10A4BE82">
            <w:pPr>
              <w:jc w:val="center"/>
              <w:rPr>
                <w:rFonts w:ascii="方正仿宋_GBK"/>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14:paraId="23F0E946">
            <w:pPr>
              <w:widowControl/>
              <w:jc w:val="center"/>
              <w:textAlignment w:val="center"/>
              <w:rPr>
                <w:rFonts w:eastAsia="宋体"/>
                <w:kern w:val="0"/>
                <w:sz w:val="21"/>
                <w:szCs w:val="21"/>
              </w:rPr>
            </w:pPr>
            <w:r>
              <w:rPr>
                <w:rFonts w:eastAsia="宋体"/>
                <w:kern w:val="0"/>
                <w:sz w:val="21"/>
                <w:szCs w:val="21"/>
              </w:rPr>
              <w:t>18</w:t>
            </w:r>
          </w:p>
        </w:tc>
        <w:tc>
          <w:tcPr>
            <w:tcW w:w="3916" w:type="dxa"/>
            <w:gridSpan w:val="2"/>
            <w:tcBorders>
              <w:top w:val="single" w:color="000000" w:sz="4" w:space="0"/>
              <w:left w:val="single" w:color="000000" w:sz="4" w:space="0"/>
              <w:bottom w:val="single" w:color="000000" w:sz="4" w:space="0"/>
              <w:right w:val="single" w:color="000000" w:sz="4" w:space="0"/>
            </w:tcBorders>
            <w:vAlign w:val="center"/>
          </w:tcPr>
          <w:p w14:paraId="06C01A40">
            <w:pPr>
              <w:widowControl/>
              <w:textAlignment w:val="center"/>
              <w:rPr>
                <w:rFonts w:ascii="方正仿宋_GBK"/>
                <w:kern w:val="0"/>
                <w:sz w:val="21"/>
                <w:szCs w:val="21"/>
              </w:rPr>
            </w:pPr>
            <w:r>
              <w:rPr>
                <w:rFonts w:hint="eastAsia" w:ascii="方正仿宋_GBK" w:hAnsi="方正仿宋_GBK" w:cs="方正仿宋_GBK"/>
                <w:kern w:val="0"/>
                <w:sz w:val="21"/>
                <w:szCs w:val="21"/>
              </w:rPr>
              <w:t>每千人口注册护士数（人）</w:t>
            </w:r>
            <w:r>
              <w:rPr>
                <w:rFonts w:ascii="方正仿宋_GBK" w:hAnsi="方正仿宋_GBK" w:cs="方正仿宋_GBK"/>
                <w:kern w:val="0"/>
                <w:sz w:val="21"/>
                <w:szCs w:val="21"/>
              </w:rPr>
              <w:t xml:space="preserve"> </w:t>
            </w:r>
          </w:p>
        </w:tc>
        <w:tc>
          <w:tcPr>
            <w:tcW w:w="1200" w:type="dxa"/>
            <w:tcBorders>
              <w:top w:val="single" w:color="000000" w:sz="4" w:space="0"/>
              <w:left w:val="single" w:color="000000" w:sz="4" w:space="0"/>
              <w:bottom w:val="single" w:color="000000" w:sz="4" w:space="0"/>
              <w:right w:val="single" w:color="000000" w:sz="4" w:space="0"/>
            </w:tcBorders>
            <w:vAlign w:val="center"/>
          </w:tcPr>
          <w:p w14:paraId="6A54ECDF">
            <w:pPr>
              <w:widowControl/>
              <w:jc w:val="center"/>
              <w:textAlignment w:val="center"/>
              <w:rPr>
                <w:rFonts w:eastAsia="宋体"/>
                <w:kern w:val="0"/>
                <w:sz w:val="21"/>
                <w:szCs w:val="21"/>
              </w:rPr>
            </w:pPr>
            <w:r>
              <w:rPr>
                <w:rFonts w:eastAsia="宋体"/>
                <w:kern w:val="0"/>
                <w:sz w:val="21"/>
                <w:szCs w:val="21"/>
              </w:rPr>
              <w:t xml:space="preserve">3.53 </w:t>
            </w:r>
          </w:p>
        </w:tc>
        <w:tc>
          <w:tcPr>
            <w:tcW w:w="1134" w:type="dxa"/>
            <w:tcBorders>
              <w:top w:val="single" w:color="000000" w:sz="4" w:space="0"/>
              <w:left w:val="single" w:color="000000" w:sz="4" w:space="0"/>
              <w:bottom w:val="single" w:color="000000" w:sz="4" w:space="0"/>
              <w:right w:val="single" w:color="000000" w:sz="4" w:space="0"/>
            </w:tcBorders>
            <w:vAlign w:val="center"/>
          </w:tcPr>
          <w:p w14:paraId="1A088B09">
            <w:pPr>
              <w:widowControl/>
              <w:jc w:val="center"/>
              <w:textAlignment w:val="center"/>
              <w:rPr>
                <w:rFonts w:eastAsia="宋体"/>
                <w:kern w:val="0"/>
                <w:sz w:val="21"/>
                <w:szCs w:val="21"/>
              </w:rPr>
            </w:pPr>
            <w:r>
              <w:rPr>
                <w:rFonts w:eastAsia="宋体"/>
                <w:kern w:val="0"/>
                <w:sz w:val="21"/>
                <w:szCs w:val="21"/>
              </w:rPr>
              <w:t xml:space="preserve">4.7 </w:t>
            </w:r>
          </w:p>
        </w:tc>
        <w:tc>
          <w:tcPr>
            <w:tcW w:w="846" w:type="dxa"/>
            <w:tcBorders>
              <w:top w:val="single" w:color="000000" w:sz="4" w:space="0"/>
              <w:left w:val="single" w:color="000000" w:sz="4" w:space="0"/>
              <w:bottom w:val="single" w:color="000000" w:sz="4" w:space="0"/>
              <w:right w:val="single" w:color="000000" w:sz="4" w:space="0"/>
            </w:tcBorders>
            <w:vAlign w:val="center"/>
          </w:tcPr>
          <w:p w14:paraId="1101359C">
            <w:pPr>
              <w:widowControl/>
              <w:jc w:val="center"/>
              <w:textAlignment w:val="center"/>
              <w:rPr>
                <w:rFonts w:ascii="方正仿宋_GBK"/>
                <w:kern w:val="0"/>
                <w:sz w:val="21"/>
                <w:szCs w:val="21"/>
              </w:rPr>
            </w:pPr>
            <w:r>
              <w:rPr>
                <w:rFonts w:hint="eastAsia" w:ascii="方正仿宋_GBK" w:hAnsi="方正仿宋_GBK" w:cs="方正仿宋_GBK"/>
                <w:kern w:val="0"/>
                <w:sz w:val="21"/>
                <w:szCs w:val="21"/>
              </w:rPr>
              <w:t>约束性</w:t>
            </w:r>
          </w:p>
        </w:tc>
      </w:tr>
      <w:tr w14:paraId="0378FC65">
        <w:tblPrEx>
          <w:tblCellMar>
            <w:top w:w="0" w:type="dxa"/>
            <w:left w:w="108" w:type="dxa"/>
            <w:bottom w:w="0" w:type="dxa"/>
            <w:right w:w="108" w:type="dxa"/>
          </w:tblCellMar>
        </w:tblPrEx>
        <w:trPr>
          <w:trHeight w:val="412" w:hRule="atLeast"/>
          <w:jc w:val="center"/>
        </w:trPr>
        <w:tc>
          <w:tcPr>
            <w:tcW w:w="733" w:type="dxa"/>
            <w:vMerge w:val="continue"/>
            <w:tcBorders>
              <w:top w:val="single" w:color="000000" w:sz="4" w:space="0"/>
              <w:left w:val="single" w:color="000000" w:sz="4" w:space="0"/>
              <w:bottom w:val="single" w:color="000000" w:sz="4" w:space="0"/>
              <w:right w:val="single" w:color="000000" w:sz="4" w:space="0"/>
            </w:tcBorders>
            <w:vAlign w:val="center"/>
          </w:tcPr>
          <w:p w14:paraId="16E861FF">
            <w:pPr>
              <w:jc w:val="center"/>
              <w:rPr>
                <w:rFonts w:ascii="方正仿宋_GBK"/>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14:paraId="72B1914C">
            <w:pPr>
              <w:widowControl/>
              <w:jc w:val="center"/>
              <w:textAlignment w:val="center"/>
              <w:rPr>
                <w:rFonts w:eastAsia="宋体"/>
                <w:kern w:val="0"/>
                <w:sz w:val="21"/>
                <w:szCs w:val="21"/>
              </w:rPr>
            </w:pPr>
            <w:r>
              <w:rPr>
                <w:rFonts w:eastAsia="宋体"/>
                <w:kern w:val="0"/>
                <w:sz w:val="21"/>
                <w:szCs w:val="21"/>
              </w:rPr>
              <w:t>19</w:t>
            </w:r>
          </w:p>
        </w:tc>
        <w:tc>
          <w:tcPr>
            <w:tcW w:w="3916" w:type="dxa"/>
            <w:gridSpan w:val="2"/>
            <w:tcBorders>
              <w:top w:val="single" w:color="000000" w:sz="4" w:space="0"/>
              <w:left w:val="single" w:color="000000" w:sz="4" w:space="0"/>
              <w:bottom w:val="single" w:color="000000" w:sz="4" w:space="0"/>
              <w:right w:val="single" w:color="000000" w:sz="4" w:space="0"/>
            </w:tcBorders>
            <w:vAlign w:val="center"/>
          </w:tcPr>
          <w:p w14:paraId="188CD61F">
            <w:pPr>
              <w:widowControl/>
              <w:textAlignment w:val="center"/>
              <w:rPr>
                <w:rFonts w:ascii="方正仿宋_GBK"/>
                <w:kern w:val="0"/>
                <w:sz w:val="21"/>
                <w:szCs w:val="21"/>
              </w:rPr>
            </w:pPr>
            <w:r>
              <w:rPr>
                <w:rFonts w:hint="eastAsia" w:ascii="方正仿宋_GBK" w:hAnsi="方正仿宋_GBK" w:cs="方正仿宋_GBK"/>
                <w:kern w:val="0"/>
                <w:sz w:val="21"/>
                <w:szCs w:val="21"/>
              </w:rPr>
              <w:t>每万人口全科医生数（人）</w:t>
            </w:r>
            <w:r>
              <w:rPr>
                <w:rFonts w:ascii="方正仿宋_GBK" w:hAnsi="方正仿宋_GBK" w:cs="方正仿宋_GBK"/>
                <w:kern w:val="0"/>
                <w:sz w:val="21"/>
                <w:szCs w:val="21"/>
              </w:rPr>
              <w:t xml:space="preserve"> </w:t>
            </w:r>
          </w:p>
        </w:tc>
        <w:tc>
          <w:tcPr>
            <w:tcW w:w="1200" w:type="dxa"/>
            <w:tcBorders>
              <w:top w:val="single" w:color="000000" w:sz="4" w:space="0"/>
              <w:left w:val="single" w:color="000000" w:sz="4" w:space="0"/>
              <w:bottom w:val="single" w:color="000000" w:sz="4" w:space="0"/>
              <w:right w:val="single" w:color="000000" w:sz="4" w:space="0"/>
            </w:tcBorders>
            <w:vAlign w:val="center"/>
          </w:tcPr>
          <w:p w14:paraId="3C1CCFBF">
            <w:pPr>
              <w:widowControl/>
              <w:jc w:val="center"/>
              <w:textAlignment w:val="center"/>
              <w:rPr>
                <w:rFonts w:eastAsia="宋体"/>
                <w:kern w:val="0"/>
                <w:sz w:val="21"/>
                <w:szCs w:val="21"/>
              </w:rPr>
            </w:pPr>
            <w:r>
              <w:rPr>
                <w:rFonts w:eastAsia="宋体"/>
                <w:kern w:val="0"/>
                <w:sz w:val="21"/>
                <w:szCs w:val="21"/>
              </w:rPr>
              <w:t>1.66</w:t>
            </w:r>
          </w:p>
        </w:tc>
        <w:tc>
          <w:tcPr>
            <w:tcW w:w="1134" w:type="dxa"/>
            <w:tcBorders>
              <w:top w:val="single" w:color="000000" w:sz="4" w:space="0"/>
              <w:left w:val="single" w:color="000000" w:sz="4" w:space="0"/>
              <w:bottom w:val="single" w:color="000000" w:sz="4" w:space="0"/>
              <w:right w:val="single" w:color="000000" w:sz="4" w:space="0"/>
            </w:tcBorders>
            <w:vAlign w:val="center"/>
          </w:tcPr>
          <w:p w14:paraId="34AEA4C8">
            <w:pPr>
              <w:widowControl/>
              <w:jc w:val="center"/>
              <w:textAlignment w:val="center"/>
              <w:rPr>
                <w:rFonts w:eastAsia="宋体"/>
                <w:kern w:val="0"/>
                <w:sz w:val="21"/>
                <w:szCs w:val="21"/>
              </w:rPr>
            </w:pPr>
            <w:r>
              <w:rPr>
                <w:rFonts w:eastAsia="宋体"/>
                <w:kern w:val="0"/>
                <w:sz w:val="21"/>
                <w:szCs w:val="21"/>
              </w:rPr>
              <w:t>4</w:t>
            </w:r>
          </w:p>
        </w:tc>
        <w:tc>
          <w:tcPr>
            <w:tcW w:w="846" w:type="dxa"/>
            <w:tcBorders>
              <w:top w:val="single" w:color="000000" w:sz="4" w:space="0"/>
              <w:left w:val="single" w:color="000000" w:sz="4" w:space="0"/>
              <w:bottom w:val="single" w:color="000000" w:sz="4" w:space="0"/>
              <w:right w:val="single" w:color="000000" w:sz="4" w:space="0"/>
            </w:tcBorders>
            <w:vAlign w:val="center"/>
          </w:tcPr>
          <w:p w14:paraId="55E67D1E">
            <w:pPr>
              <w:widowControl/>
              <w:jc w:val="center"/>
              <w:textAlignment w:val="center"/>
              <w:rPr>
                <w:rFonts w:ascii="方正仿宋_GBK"/>
                <w:kern w:val="0"/>
                <w:sz w:val="21"/>
                <w:szCs w:val="21"/>
              </w:rPr>
            </w:pPr>
            <w:r>
              <w:rPr>
                <w:rFonts w:hint="eastAsia" w:ascii="方正仿宋_GBK" w:hAnsi="方正仿宋_GBK" w:cs="方正仿宋_GBK"/>
                <w:kern w:val="0"/>
                <w:sz w:val="21"/>
                <w:szCs w:val="21"/>
              </w:rPr>
              <w:t>约束性</w:t>
            </w:r>
          </w:p>
        </w:tc>
      </w:tr>
      <w:tr w14:paraId="0C015CF4">
        <w:tblPrEx>
          <w:tblCellMar>
            <w:top w:w="0" w:type="dxa"/>
            <w:left w:w="108" w:type="dxa"/>
            <w:bottom w:w="0" w:type="dxa"/>
            <w:right w:w="108" w:type="dxa"/>
          </w:tblCellMar>
        </w:tblPrEx>
        <w:trPr>
          <w:trHeight w:val="555" w:hRule="atLeast"/>
          <w:jc w:val="center"/>
        </w:trPr>
        <w:tc>
          <w:tcPr>
            <w:tcW w:w="733" w:type="dxa"/>
            <w:vMerge w:val="continue"/>
            <w:tcBorders>
              <w:top w:val="single" w:color="000000" w:sz="4" w:space="0"/>
              <w:left w:val="single" w:color="000000" w:sz="4" w:space="0"/>
              <w:bottom w:val="single" w:color="000000" w:sz="4" w:space="0"/>
              <w:right w:val="single" w:color="000000" w:sz="4" w:space="0"/>
            </w:tcBorders>
            <w:vAlign w:val="center"/>
          </w:tcPr>
          <w:p w14:paraId="341300F7">
            <w:pPr>
              <w:jc w:val="center"/>
              <w:rPr>
                <w:rFonts w:ascii="方正仿宋_GBK"/>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14:paraId="3A632EDD">
            <w:pPr>
              <w:widowControl/>
              <w:jc w:val="center"/>
              <w:textAlignment w:val="center"/>
              <w:rPr>
                <w:rFonts w:eastAsia="宋体"/>
                <w:kern w:val="0"/>
                <w:sz w:val="21"/>
                <w:szCs w:val="21"/>
              </w:rPr>
            </w:pPr>
            <w:r>
              <w:rPr>
                <w:rFonts w:eastAsia="宋体"/>
                <w:kern w:val="0"/>
                <w:sz w:val="21"/>
                <w:szCs w:val="21"/>
              </w:rPr>
              <w:t>20</w:t>
            </w:r>
          </w:p>
        </w:tc>
        <w:tc>
          <w:tcPr>
            <w:tcW w:w="3916" w:type="dxa"/>
            <w:gridSpan w:val="2"/>
            <w:tcBorders>
              <w:top w:val="single" w:color="000000" w:sz="4" w:space="0"/>
              <w:left w:val="single" w:color="000000" w:sz="4" w:space="0"/>
              <w:bottom w:val="single" w:color="000000" w:sz="4" w:space="0"/>
              <w:right w:val="single" w:color="000000" w:sz="4" w:space="0"/>
            </w:tcBorders>
            <w:vAlign w:val="center"/>
          </w:tcPr>
          <w:p w14:paraId="56242C52">
            <w:pPr>
              <w:widowControl/>
              <w:textAlignment w:val="center"/>
              <w:rPr>
                <w:rFonts w:ascii="方正仿宋_GBK"/>
                <w:kern w:val="0"/>
                <w:sz w:val="21"/>
                <w:szCs w:val="21"/>
              </w:rPr>
            </w:pPr>
            <w:r>
              <w:rPr>
                <w:rFonts w:hint="eastAsia" w:ascii="方正仿宋_GBK" w:hAnsi="方正仿宋_GBK" w:cs="方正仿宋_GBK"/>
                <w:kern w:val="0"/>
                <w:sz w:val="21"/>
                <w:szCs w:val="21"/>
              </w:rPr>
              <w:t>设置中医馆的社区卫生服务中心和乡镇卫生院比例（</w:t>
            </w:r>
            <w:r>
              <w:rPr>
                <w:rFonts w:ascii="方正仿宋_GBK" w:hAnsi="方正仿宋_GBK" w:cs="方正仿宋_GBK"/>
                <w:kern w:val="0"/>
                <w:sz w:val="21"/>
                <w:szCs w:val="21"/>
              </w:rPr>
              <w:t>%</w:t>
            </w:r>
            <w:r>
              <w:rPr>
                <w:rFonts w:hint="eastAsia" w:ascii="方正仿宋_GBK" w:hAnsi="方正仿宋_GBK" w:cs="方正仿宋_GBK"/>
                <w:kern w:val="0"/>
                <w:sz w:val="21"/>
                <w:szCs w:val="21"/>
              </w:rPr>
              <w:t>）</w:t>
            </w:r>
          </w:p>
        </w:tc>
        <w:tc>
          <w:tcPr>
            <w:tcW w:w="1200" w:type="dxa"/>
            <w:tcBorders>
              <w:top w:val="single" w:color="000000" w:sz="4" w:space="0"/>
              <w:left w:val="single" w:color="000000" w:sz="4" w:space="0"/>
              <w:bottom w:val="single" w:color="000000" w:sz="4" w:space="0"/>
              <w:right w:val="single" w:color="000000" w:sz="4" w:space="0"/>
            </w:tcBorders>
            <w:vAlign w:val="center"/>
          </w:tcPr>
          <w:p w14:paraId="730551DB">
            <w:pPr>
              <w:widowControl/>
              <w:jc w:val="center"/>
              <w:textAlignment w:val="center"/>
              <w:rPr>
                <w:rFonts w:eastAsia="宋体"/>
                <w:kern w:val="0"/>
                <w:sz w:val="21"/>
                <w:szCs w:val="21"/>
              </w:rPr>
            </w:pPr>
            <w:r>
              <w:rPr>
                <w:rFonts w:eastAsia="宋体"/>
                <w:kern w:val="0"/>
                <w:sz w:val="21"/>
                <w:szCs w:val="21"/>
              </w:rPr>
              <w:t>88</w:t>
            </w:r>
          </w:p>
        </w:tc>
        <w:tc>
          <w:tcPr>
            <w:tcW w:w="1134" w:type="dxa"/>
            <w:tcBorders>
              <w:top w:val="single" w:color="000000" w:sz="4" w:space="0"/>
              <w:left w:val="single" w:color="000000" w:sz="4" w:space="0"/>
              <w:bottom w:val="single" w:color="000000" w:sz="4" w:space="0"/>
              <w:right w:val="single" w:color="000000" w:sz="4" w:space="0"/>
            </w:tcBorders>
            <w:vAlign w:val="center"/>
          </w:tcPr>
          <w:p w14:paraId="631048EE">
            <w:pPr>
              <w:widowControl/>
              <w:jc w:val="center"/>
              <w:textAlignment w:val="center"/>
              <w:rPr>
                <w:rFonts w:eastAsia="宋体"/>
                <w:kern w:val="0"/>
                <w:sz w:val="21"/>
                <w:szCs w:val="21"/>
              </w:rPr>
            </w:pPr>
            <w:r>
              <w:rPr>
                <w:rFonts w:eastAsia="宋体"/>
                <w:kern w:val="0"/>
                <w:sz w:val="21"/>
                <w:szCs w:val="21"/>
              </w:rPr>
              <w:t xml:space="preserve">100 </w:t>
            </w:r>
          </w:p>
        </w:tc>
        <w:tc>
          <w:tcPr>
            <w:tcW w:w="846" w:type="dxa"/>
            <w:tcBorders>
              <w:top w:val="single" w:color="000000" w:sz="4" w:space="0"/>
              <w:left w:val="single" w:color="000000" w:sz="4" w:space="0"/>
              <w:bottom w:val="single" w:color="000000" w:sz="4" w:space="0"/>
              <w:right w:val="single" w:color="000000" w:sz="4" w:space="0"/>
            </w:tcBorders>
            <w:vAlign w:val="center"/>
          </w:tcPr>
          <w:p w14:paraId="41D1DD78">
            <w:pPr>
              <w:widowControl/>
              <w:jc w:val="center"/>
              <w:textAlignment w:val="center"/>
              <w:rPr>
                <w:rFonts w:ascii="方正仿宋_GBK"/>
                <w:kern w:val="0"/>
                <w:sz w:val="21"/>
                <w:szCs w:val="21"/>
              </w:rPr>
            </w:pPr>
            <w:r>
              <w:rPr>
                <w:rFonts w:hint="eastAsia" w:ascii="方正仿宋_GBK" w:hAnsi="方正仿宋_GBK" w:cs="方正仿宋_GBK"/>
                <w:kern w:val="0"/>
                <w:sz w:val="21"/>
                <w:szCs w:val="21"/>
              </w:rPr>
              <w:t>约束性</w:t>
            </w:r>
          </w:p>
        </w:tc>
      </w:tr>
      <w:tr w14:paraId="03CAB4EC">
        <w:tblPrEx>
          <w:tblCellMar>
            <w:top w:w="0" w:type="dxa"/>
            <w:left w:w="108" w:type="dxa"/>
            <w:bottom w:w="0" w:type="dxa"/>
            <w:right w:w="108" w:type="dxa"/>
          </w:tblCellMar>
        </w:tblPrEx>
        <w:trPr>
          <w:trHeight w:val="555" w:hRule="atLeast"/>
          <w:jc w:val="center"/>
        </w:trPr>
        <w:tc>
          <w:tcPr>
            <w:tcW w:w="733" w:type="dxa"/>
            <w:vMerge w:val="continue"/>
            <w:tcBorders>
              <w:top w:val="single" w:color="000000" w:sz="4" w:space="0"/>
              <w:left w:val="single" w:color="000000" w:sz="4" w:space="0"/>
              <w:bottom w:val="single" w:color="000000" w:sz="4" w:space="0"/>
              <w:right w:val="single" w:color="000000" w:sz="4" w:space="0"/>
            </w:tcBorders>
            <w:vAlign w:val="center"/>
          </w:tcPr>
          <w:p w14:paraId="6A27846C">
            <w:pPr>
              <w:jc w:val="center"/>
              <w:rPr>
                <w:rFonts w:ascii="方正仿宋_GBK"/>
                <w:color w:val="FF0000"/>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14:paraId="4FC7688A">
            <w:pPr>
              <w:widowControl/>
              <w:jc w:val="center"/>
              <w:textAlignment w:val="center"/>
              <w:rPr>
                <w:rFonts w:eastAsia="宋体"/>
                <w:sz w:val="21"/>
                <w:szCs w:val="21"/>
              </w:rPr>
            </w:pPr>
            <w:r>
              <w:rPr>
                <w:rFonts w:eastAsia="宋体"/>
                <w:kern w:val="0"/>
                <w:sz w:val="21"/>
                <w:szCs w:val="21"/>
              </w:rPr>
              <w:t>21</w:t>
            </w:r>
          </w:p>
        </w:tc>
        <w:tc>
          <w:tcPr>
            <w:tcW w:w="3916" w:type="dxa"/>
            <w:gridSpan w:val="2"/>
            <w:tcBorders>
              <w:top w:val="single" w:color="000000" w:sz="4" w:space="0"/>
              <w:left w:val="single" w:color="000000" w:sz="4" w:space="0"/>
              <w:bottom w:val="single" w:color="000000" w:sz="4" w:space="0"/>
              <w:right w:val="single" w:color="000000" w:sz="4" w:space="0"/>
            </w:tcBorders>
            <w:vAlign w:val="center"/>
          </w:tcPr>
          <w:p w14:paraId="3644380E">
            <w:pPr>
              <w:widowControl/>
              <w:textAlignment w:val="center"/>
              <w:rPr>
                <w:rFonts w:ascii="方正仿宋_GBK"/>
                <w:sz w:val="21"/>
                <w:szCs w:val="21"/>
              </w:rPr>
            </w:pPr>
            <w:r>
              <w:rPr>
                <w:rFonts w:hint="eastAsia" w:ascii="方正仿宋_GBK" w:hAnsi="方正仿宋_GBK" w:cs="方正仿宋_GBK"/>
                <w:kern w:val="0"/>
                <w:sz w:val="21"/>
                <w:szCs w:val="21"/>
              </w:rPr>
              <w:t>每千人口拥有</w:t>
            </w:r>
            <w:r>
              <w:rPr>
                <w:kern w:val="0"/>
                <w:sz w:val="21"/>
                <w:szCs w:val="21"/>
              </w:rPr>
              <w:t>3</w:t>
            </w:r>
            <w:r>
              <w:rPr>
                <w:rFonts w:hint="eastAsia" w:ascii="方正仿宋_GBK" w:hAnsi="方正仿宋_GBK" w:cs="方正仿宋_GBK"/>
                <w:kern w:val="0"/>
                <w:sz w:val="21"/>
                <w:szCs w:val="21"/>
              </w:rPr>
              <w:t>岁以下婴幼儿托位数（个）</w:t>
            </w:r>
          </w:p>
        </w:tc>
        <w:tc>
          <w:tcPr>
            <w:tcW w:w="1200" w:type="dxa"/>
            <w:tcBorders>
              <w:top w:val="single" w:color="000000" w:sz="4" w:space="0"/>
              <w:left w:val="single" w:color="000000" w:sz="4" w:space="0"/>
              <w:bottom w:val="single" w:color="000000" w:sz="4" w:space="0"/>
              <w:right w:val="single" w:color="000000" w:sz="4" w:space="0"/>
            </w:tcBorders>
            <w:vAlign w:val="center"/>
          </w:tcPr>
          <w:p w14:paraId="277BAD03">
            <w:pPr>
              <w:widowControl/>
              <w:jc w:val="center"/>
              <w:textAlignment w:val="center"/>
              <w:rPr>
                <w:rFonts w:eastAsia="宋体"/>
                <w:sz w:val="21"/>
                <w:szCs w:val="21"/>
              </w:rPr>
            </w:pPr>
            <w:r>
              <w:rPr>
                <w:rFonts w:eastAsia="宋体"/>
                <w:kern w:val="0"/>
                <w:sz w:val="21"/>
                <w:szCs w:val="21"/>
              </w:rPr>
              <w:t>1.8</w:t>
            </w:r>
          </w:p>
        </w:tc>
        <w:tc>
          <w:tcPr>
            <w:tcW w:w="1134" w:type="dxa"/>
            <w:tcBorders>
              <w:top w:val="single" w:color="000000" w:sz="4" w:space="0"/>
              <w:left w:val="single" w:color="000000" w:sz="4" w:space="0"/>
              <w:bottom w:val="single" w:color="000000" w:sz="4" w:space="0"/>
              <w:right w:val="single" w:color="000000" w:sz="4" w:space="0"/>
            </w:tcBorders>
            <w:vAlign w:val="center"/>
          </w:tcPr>
          <w:p w14:paraId="53FE670E">
            <w:pPr>
              <w:widowControl/>
              <w:jc w:val="center"/>
              <w:textAlignment w:val="center"/>
              <w:rPr>
                <w:rFonts w:eastAsia="宋体"/>
                <w:sz w:val="21"/>
                <w:szCs w:val="21"/>
              </w:rPr>
            </w:pPr>
            <w:r>
              <w:rPr>
                <w:rFonts w:eastAsia="宋体"/>
                <w:kern w:val="0"/>
                <w:sz w:val="21"/>
                <w:szCs w:val="21"/>
              </w:rPr>
              <w:t>4.5</w:t>
            </w:r>
          </w:p>
        </w:tc>
        <w:tc>
          <w:tcPr>
            <w:tcW w:w="846" w:type="dxa"/>
            <w:tcBorders>
              <w:top w:val="single" w:color="000000" w:sz="4" w:space="0"/>
              <w:left w:val="single" w:color="000000" w:sz="4" w:space="0"/>
              <w:bottom w:val="single" w:color="000000" w:sz="4" w:space="0"/>
              <w:right w:val="single" w:color="000000" w:sz="4" w:space="0"/>
            </w:tcBorders>
            <w:vAlign w:val="center"/>
          </w:tcPr>
          <w:p w14:paraId="5AD7F631">
            <w:pPr>
              <w:widowControl/>
              <w:jc w:val="center"/>
              <w:textAlignment w:val="center"/>
              <w:rPr>
                <w:rFonts w:ascii="方正仿宋_GBK"/>
                <w:sz w:val="21"/>
                <w:szCs w:val="21"/>
              </w:rPr>
            </w:pPr>
            <w:r>
              <w:rPr>
                <w:rFonts w:hint="eastAsia" w:ascii="方正仿宋_GBK" w:hAnsi="方正仿宋_GBK" w:cs="方正仿宋_GBK"/>
                <w:kern w:val="0"/>
                <w:sz w:val="21"/>
                <w:szCs w:val="21"/>
              </w:rPr>
              <w:t>约束性</w:t>
            </w:r>
          </w:p>
        </w:tc>
      </w:tr>
      <w:tr w14:paraId="5D9E8030">
        <w:tblPrEx>
          <w:tblCellMar>
            <w:top w:w="0" w:type="dxa"/>
            <w:left w:w="108" w:type="dxa"/>
            <w:bottom w:w="0" w:type="dxa"/>
            <w:right w:w="108" w:type="dxa"/>
          </w:tblCellMar>
        </w:tblPrEx>
        <w:trPr>
          <w:trHeight w:val="378" w:hRule="atLeast"/>
          <w:jc w:val="center"/>
        </w:trPr>
        <w:tc>
          <w:tcPr>
            <w:tcW w:w="733" w:type="dxa"/>
            <w:vMerge w:val="continue"/>
            <w:tcBorders>
              <w:top w:val="single" w:color="000000" w:sz="4" w:space="0"/>
              <w:left w:val="single" w:color="000000" w:sz="4" w:space="0"/>
              <w:bottom w:val="single" w:color="000000" w:sz="4" w:space="0"/>
              <w:right w:val="single" w:color="000000" w:sz="4" w:space="0"/>
            </w:tcBorders>
            <w:vAlign w:val="center"/>
          </w:tcPr>
          <w:p w14:paraId="2FE08C0E">
            <w:pPr>
              <w:jc w:val="center"/>
              <w:rPr>
                <w:rFonts w:ascii="方正仿宋_GBK"/>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14:paraId="16562C2A">
            <w:pPr>
              <w:widowControl/>
              <w:jc w:val="center"/>
              <w:textAlignment w:val="center"/>
              <w:rPr>
                <w:rFonts w:eastAsia="宋体"/>
                <w:sz w:val="21"/>
                <w:szCs w:val="21"/>
              </w:rPr>
            </w:pPr>
            <w:r>
              <w:rPr>
                <w:rFonts w:eastAsia="宋体"/>
                <w:kern w:val="0"/>
                <w:sz w:val="21"/>
                <w:szCs w:val="21"/>
              </w:rPr>
              <w:t>22</w:t>
            </w:r>
          </w:p>
        </w:tc>
        <w:tc>
          <w:tcPr>
            <w:tcW w:w="3916" w:type="dxa"/>
            <w:gridSpan w:val="2"/>
            <w:tcBorders>
              <w:top w:val="single" w:color="000000" w:sz="4" w:space="0"/>
              <w:left w:val="single" w:color="000000" w:sz="4" w:space="0"/>
              <w:bottom w:val="single" w:color="000000" w:sz="4" w:space="0"/>
              <w:right w:val="single" w:color="000000" w:sz="4" w:space="0"/>
            </w:tcBorders>
            <w:vAlign w:val="center"/>
          </w:tcPr>
          <w:p w14:paraId="20AEA063">
            <w:pPr>
              <w:widowControl/>
              <w:textAlignment w:val="center"/>
              <w:rPr>
                <w:rFonts w:ascii="方正仿宋_GBK"/>
                <w:sz w:val="21"/>
                <w:szCs w:val="21"/>
              </w:rPr>
            </w:pPr>
            <w:r>
              <w:rPr>
                <w:rFonts w:hint="eastAsia" w:ascii="方正仿宋_GBK" w:hAnsi="方正仿宋_GBK" w:cs="方正仿宋_GBK"/>
                <w:kern w:val="0"/>
                <w:sz w:val="21"/>
                <w:szCs w:val="21"/>
              </w:rPr>
              <w:t>全县儿童青少年总体近视率（</w:t>
            </w:r>
            <w:r>
              <w:rPr>
                <w:kern w:val="0"/>
                <w:sz w:val="21"/>
                <w:szCs w:val="21"/>
              </w:rPr>
              <w:t>%</w:t>
            </w:r>
            <w:r>
              <w:rPr>
                <w:rFonts w:hint="eastAsia" w:ascii="方正仿宋_GBK" w:hAnsi="方正仿宋_GBK" w:cs="方正仿宋_GBK"/>
                <w:kern w:val="0"/>
                <w:sz w:val="21"/>
                <w:szCs w:val="21"/>
              </w:rPr>
              <w:t>）</w:t>
            </w:r>
          </w:p>
        </w:tc>
        <w:tc>
          <w:tcPr>
            <w:tcW w:w="1200" w:type="dxa"/>
            <w:tcBorders>
              <w:top w:val="single" w:color="000000" w:sz="4" w:space="0"/>
              <w:left w:val="single" w:color="000000" w:sz="4" w:space="0"/>
              <w:bottom w:val="single" w:color="000000" w:sz="4" w:space="0"/>
              <w:right w:val="single" w:color="000000" w:sz="4" w:space="0"/>
            </w:tcBorders>
            <w:vAlign w:val="center"/>
          </w:tcPr>
          <w:p w14:paraId="061B4995">
            <w:pPr>
              <w:widowControl/>
              <w:jc w:val="center"/>
              <w:textAlignment w:val="center"/>
              <w:rPr>
                <w:rFonts w:eastAsia="宋体"/>
                <w:sz w:val="21"/>
                <w:szCs w:val="21"/>
              </w:rPr>
            </w:pPr>
            <w:r>
              <w:rPr>
                <w:rFonts w:eastAsia="宋体"/>
                <w:kern w:val="0"/>
                <w:sz w:val="21"/>
                <w:szCs w:val="21"/>
              </w:rPr>
              <w:t>42.4</w:t>
            </w:r>
          </w:p>
        </w:tc>
        <w:tc>
          <w:tcPr>
            <w:tcW w:w="1134" w:type="dxa"/>
            <w:tcBorders>
              <w:top w:val="single" w:color="000000" w:sz="4" w:space="0"/>
              <w:left w:val="single" w:color="000000" w:sz="4" w:space="0"/>
              <w:bottom w:val="single" w:color="000000" w:sz="4" w:space="0"/>
              <w:right w:val="single" w:color="000000" w:sz="4" w:space="0"/>
            </w:tcBorders>
            <w:vAlign w:val="center"/>
          </w:tcPr>
          <w:p w14:paraId="29FF8CEC">
            <w:pPr>
              <w:widowControl/>
              <w:jc w:val="center"/>
              <w:textAlignment w:val="center"/>
              <w:rPr>
                <w:rFonts w:ascii="方正仿宋_GBK"/>
                <w:sz w:val="21"/>
                <w:szCs w:val="21"/>
              </w:rPr>
            </w:pPr>
            <w:r>
              <w:rPr>
                <w:rFonts w:hint="eastAsia" w:ascii="方正仿宋_GBK" w:hAnsi="方正仿宋_GBK" w:cs="方正仿宋_GBK"/>
                <w:kern w:val="0"/>
                <w:sz w:val="21"/>
                <w:szCs w:val="21"/>
              </w:rPr>
              <w:t>逐年递减</w:t>
            </w:r>
          </w:p>
        </w:tc>
        <w:tc>
          <w:tcPr>
            <w:tcW w:w="846" w:type="dxa"/>
            <w:tcBorders>
              <w:top w:val="single" w:color="000000" w:sz="4" w:space="0"/>
              <w:left w:val="single" w:color="000000" w:sz="4" w:space="0"/>
              <w:bottom w:val="single" w:color="000000" w:sz="4" w:space="0"/>
              <w:right w:val="single" w:color="000000" w:sz="4" w:space="0"/>
            </w:tcBorders>
            <w:vAlign w:val="center"/>
          </w:tcPr>
          <w:p w14:paraId="0C51E4AC">
            <w:pPr>
              <w:widowControl/>
              <w:jc w:val="center"/>
              <w:textAlignment w:val="center"/>
              <w:rPr>
                <w:rFonts w:ascii="方正仿宋_GBK"/>
                <w:sz w:val="21"/>
                <w:szCs w:val="21"/>
              </w:rPr>
            </w:pPr>
            <w:r>
              <w:rPr>
                <w:rFonts w:hint="eastAsia" w:ascii="方正仿宋_GBK" w:hAnsi="方正仿宋_GBK" w:cs="方正仿宋_GBK"/>
                <w:kern w:val="0"/>
                <w:sz w:val="21"/>
                <w:szCs w:val="21"/>
              </w:rPr>
              <w:t>约束性</w:t>
            </w:r>
          </w:p>
        </w:tc>
      </w:tr>
      <w:tr w14:paraId="22697032">
        <w:tblPrEx>
          <w:tblCellMar>
            <w:top w:w="0" w:type="dxa"/>
            <w:left w:w="108" w:type="dxa"/>
            <w:bottom w:w="0" w:type="dxa"/>
            <w:right w:w="108" w:type="dxa"/>
          </w:tblCellMar>
        </w:tblPrEx>
        <w:trPr>
          <w:trHeight w:val="584" w:hRule="atLeast"/>
          <w:jc w:val="center"/>
        </w:trPr>
        <w:tc>
          <w:tcPr>
            <w:tcW w:w="733" w:type="dxa"/>
            <w:vMerge w:val="continue"/>
            <w:tcBorders>
              <w:top w:val="single" w:color="000000" w:sz="4" w:space="0"/>
              <w:left w:val="single" w:color="000000" w:sz="4" w:space="0"/>
              <w:bottom w:val="single" w:color="000000" w:sz="4" w:space="0"/>
              <w:right w:val="single" w:color="000000" w:sz="4" w:space="0"/>
            </w:tcBorders>
            <w:vAlign w:val="center"/>
          </w:tcPr>
          <w:p w14:paraId="0AD0A107">
            <w:pPr>
              <w:jc w:val="center"/>
              <w:rPr>
                <w:rFonts w:ascii="方正仿宋_GBK"/>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14:paraId="233AE414">
            <w:pPr>
              <w:widowControl/>
              <w:jc w:val="center"/>
              <w:textAlignment w:val="center"/>
              <w:rPr>
                <w:rFonts w:eastAsia="宋体"/>
                <w:sz w:val="21"/>
                <w:szCs w:val="21"/>
              </w:rPr>
            </w:pPr>
            <w:r>
              <w:rPr>
                <w:rFonts w:eastAsia="宋体"/>
                <w:kern w:val="0"/>
                <w:sz w:val="21"/>
                <w:szCs w:val="21"/>
              </w:rPr>
              <w:t>23</w:t>
            </w:r>
          </w:p>
        </w:tc>
        <w:tc>
          <w:tcPr>
            <w:tcW w:w="3916" w:type="dxa"/>
            <w:gridSpan w:val="2"/>
            <w:tcBorders>
              <w:top w:val="single" w:color="000000" w:sz="4" w:space="0"/>
              <w:left w:val="single" w:color="000000" w:sz="4" w:space="0"/>
              <w:bottom w:val="single" w:color="000000" w:sz="4" w:space="0"/>
              <w:right w:val="single" w:color="000000" w:sz="4" w:space="0"/>
            </w:tcBorders>
            <w:vAlign w:val="center"/>
          </w:tcPr>
          <w:p w14:paraId="76C8FA7A">
            <w:pPr>
              <w:widowControl/>
              <w:textAlignment w:val="center"/>
              <w:rPr>
                <w:rFonts w:ascii="方正仿宋_GBK"/>
                <w:sz w:val="21"/>
                <w:szCs w:val="21"/>
              </w:rPr>
            </w:pPr>
            <w:r>
              <w:rPr>
                <w:rFonts w:hint="eastAsia" w:ascii="方正仿宋_GBK" w:hAnsi="方正仿宋_GBK" w:cs="方正仿宋_GBK"/>
                <w:kern w:val="0"/>
                <w:sz w:val="21"/>
                <w:szCs w:val="21"/>
              </w:rPr>
              <w:t>二级以上综合性医院设置老年医学科的比例（</w:t>
            </w:r>
            <w:r>
              <w:rPr>
                <w:kern w:val="0"/>
                <w:sz w:val="21"/>
                <w:szCs w:val="21"/>
              </w:rPr>
              <w:t>%</w:t>
            </w:r>
            <w:r>
              <w:rPr>
                <w:rFonts w:hint="eastAsia" w:ascii="方正仿宋_GBK" w:hAnsi="方正仿宋_GBK" w:cs="方正仿宋_GBK"/>
                <w:kern w:val="0"/>
                <w:sz w:val="21"/>
                <w:szCs w:val="21"/>
              </w:rPr>
              <w:t>）</w:t>
            </w:r>
          </w:p>
        </w:tc>
        <w:tc>
          <w:tcPr>
            <w:tcW w:w="1200" w:type="dxa"/>
            <w:tcBorders>
              <w:top w:val="single" w:color="000000" w:sz="4" w:space="0"/>
              <w:left w:val="single" w:color="000000" w:sz="4" w:space="0"/>
              <w:bottom w:val="single" w:color="000000" w:sz="4" w:space="0"/>
              <w:right w:val="single" w:color="000000" w:sz="4" w:space="0"/>
            </w:tcBorders>
            <w:vAlign w:val="center"/>
          </w:tcPr>
          <w:p w14:paraId="6C1D92B7">
            <w:pPr>
              <w:widowControl/>
              <w:jc w:val="center"/>
              <w:textAlignment w:val="center"/>
              <w:rPr>
                <w:rFonts w:eastAsia="宋体"/>
                <w:sz w:val="21"/>
                <w:szCs w:val="21"/>
              </w:rPr>
            </w:pPr>
            <w:r>
              <w:rPr>
                <w:rFonts w:eastAsia="宋体"/>
                <w:kern w:val="0"/>
                <w:sz w:val="21"/>
                <w:szCs w:val="21"/>
              </w:rPr>
              <w:t>100</w:t>
            </w:r>
          </w:p>
        </w:tc>
        <w:tc>
          <w:tcPr>
            <w:tcW w:w="1134" w:type="dxa"/>
            <w:tcBorders>
              <w:top w:val="single" w:color="000000" w:sz="4" w:space="0"/>
              <w:left w:val="single" w:color="000000" w:sz="4" w:space="0"/>
              <w:bottom w:val="single" w:color="000000" w:sz="4" w:space="0"/>
              <w:right w:val="single" w:color="000000" w:sz="4" w:space="0"/>
            </w:tcBorders>
            <w:vAlign w:val="center"/>
          </w:tcPr>
          <w:p w14:paraId="4B18D709">
            <w:pPr>
              <w:widowControl/>
              <w:jc w:val="center"/>
              <w:textAlignment w:val="center"/>
              <w:rPr>
                <w:rFonts w:eastAsia="宋体"/>
                <w:sz w:val="21"/>
                <w:szCs w:val="21"/>
              </w:rPr>
            </w:pPr>
            <w:r>
              <w:rPr>
                <w:rFonts w:eastAsia="宋体"/>
                <w:kern w:val="0"/>
                <w:sz w:val="21"/>
                <w:szCs w:val="21"/>
              </w:rPr>
              <w:t>100</w:t>
            </w:r>
          </w:p>
        </w:tc>
        <w:tc>
          <w:tcPr>
            <w:tcW w:w="846" w:type="dxa"/>
            <w:tcBorders>
              <w:top w:val="single" w:color="000000" w:sz="4" w:space="0"/>
              <w:left w:val="single" w:color="000000" w:sz="4" w:space="0"/>
              <w:bottom w:val="single" w:color="000000" w:sz="4" w:space="0"/>
              <w:right w:val="single" w:color="000000" w:sz="4" w:space="0"/>
            </w:tcBorders>
            <w:vAlign w:val="center"/>
          </w:tcPr>
          <w:p w14:paraId="2A1ED04B">
            <w:pPr>
              <w:widowControl/>
              <w:jc w:val="center"/>
              <w:textAlignment w:val="center"/>
              <w:rPr>
                <w:rFonts w:ascii="方正仿宋_GBK"/>
                <w:sz w:val="21"/>
                <w:szCs w:val="21"/>
              </w:rPr>
            </w:pPr>
            <w:r>
              <w:rPr>
                <w:rFonts w:hint="eastAsia" w:ascii="方正仿宋_GBK" w:hAnsi="方正仿宋_GBK" w:cs="方正仿宋_GBK"/>
                <w:kern w:val="0"/>
                <w:sz w:val="21"/>
                <w:szCs w:val="21"/>
              </w:rPr>
              <w:t>预期性</w:t>
            </w:r>
          </w:p>
        </w:tc>
      </w:tr>
      <w:tr w14:paraId="5D72730C">
        <w:tblPrEx>
          <w:tblCellMar>
            <w:top w:w="0" w:type="dxa"/>
            <w:left w:w="108" w:type="dxa"/>
            <w:bottom w:w="0" w:type="dxa"/>
            <w:right w:w="108" w:type="dxa"/>
          </w:tblCellMar>
        </w:tblPrEx>
        <w:trPr>
          <w:trHeight w:val="555" w:hRule="atLeast"/>
          <w:jc w:val="center"/>
        </w:trPr>
        <w:tc>
          <w:tcPr>
            <w:tcW w:w="733" w:type="dxa"/>
            <w:vMerge w:val="continue"/>
            <w:tcBorders>
              <w:top w:val="single" w:color="000000" w:sz="4" w:space="0"/>
              <w:left w:val="single" w:color="000000" w:sz="4" w:space="0"/>
              <w:bottom w:val="single" w:color="000000" w:sz="4" w:space="0"/>
              <w:right w:val="single" w:color="000000" w:sz="4" w:space="0"/>
            </w:tcBorders>
            <w:vAlign w:val="center"/>
          </w:tcPr>
          <w:p w14:paraId="52EA329B">
            <w:pPr>
              <w:jc w:val="center"/>
              <w:rPr>
                <w:rFonts w:ascii="方正仿宋_GBK"/>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14:paraId="544F2420">
            <w:pPr>
              <w:widowControl/>
              <w:jc w:val="center"/>
              <w:textAlignment w:val="center"/>
              <w:rPr>
                <w:rFonts w:eastAsia="宋体"/>
                <w:sz w:val="21"/>
                <w:szCs w:val="21"/>
              </w:rPr>
            </w:pPr>
            <w:r>
              <w:rPr>
                <w:rFonts w:eastAsia="宋体"/>
                <w:kern w:val="0"/>
                <w:sz w:val="21"/>
                <w:szCs w:val="21"/>
              </w:rPr>
              <w:t>24</w:t>
            </w:r>
          </w:p>
        </w:tc>
        <w:tc>
          <w:tcPr>
            <w:tcW w:w="3916" w:type="dxa"/>
            <w:gridSpan w:val="2"/>
            <w:tcBorders>
              <w:top w:val="single" w:color="000000" w:sz="4" w:space="0"/>
              <w:left w:val="single" w:color="000000" w:sz="4" w:space="0"/>
              <w:bottom w:val="single" w:color="000000" w:sz="4" w:space="0"/>
              <w:right w:val="single" w:color="000000" w:sz="4" w:space="0"/>
            </w:tcBorders>
            <w:vAlign w:val="center"/>
          </w:tcPr>
          <w:p w14:paraId="51CAD58A">
            <w:pPr>
              <w:widowControl/>
              <w:textAlignment w:val="center"/>
              <w:rPr>
                <w:rFonts w:ascii="方正仿宋_GBK"/>
                <w:sz w:val="21"/>
                <w:szCs w:val="21"/>
              </w:rPr>
            </w:pPr>
            <w:r>
              <w:rPr>
                <w:rFonts w:hint="eastAsia" w:ascii="方正仿宋_GBK" w:hAnsi="方正仿宋_GBK" w:cs="方正仿宋_GBK"/>
                <w:kern w:val="0"/>
                <w:sz w:val="21"/>
                <w:szCs w:val="21"/>
              </w:rPr>
              <w:t>万元收入能耗支出（元）</w:t>
            </w:r>
          </w:p>
        </w:tc>
        <w:tc>
          <w:tcPr>
            <w:tcW w:w="1200" w:type="dxa"/>
            <w:tcBorders>
              <w:top w:val="single" w:color="000000" w:sz="4" w:space="0"/>
              <w:left w:val="single" w:color="000000" w:sz="4" w:space="0"/>
              <w:bottom w:val="single" w:color="000000" w:sz="4" w:space="0"/>
              <w:right w:val="single" w:color="000000" w:sz="4" w:space="0"/>
            </w:tcBorders>
            <w:vAlign w:val="center"/>
          </w:tcPr>
          <w:p w14:paraId="627B9799">
            <w:pPr>
              <w:widowControl/>
              <w:jc w:val="center"/>
              <w:textAlignment w:val="center"/>
              <w:rPr>
                <w:rFonts w:eastAsia="宋体"/>
                <w:sz w:val="21"/>
                <w:szCs w:val="21"/>
              </w:rPr>
            </w:pPr>
            <w:r>
              <w:rPr>
                <w:rFonts w:eastAsia="宋体"/>
                <w:kern w:val="0"/>
                <w:sz w:val="21"/>
                <w:szCs w:val="21"/>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01D998DD">
            <w:pPr>
              <w:widowControl/>
              <w:jc w:val="center"/>
              <w:textAlignment w:val="center"/>
              <w:rPr>
                <w:rFonts w:eastAsia="宋体"/>
                <w:sz w:val="21"/>
                <w:szCs w:val="21"/>
              </w:rPr>
            </w:pPr>
            <w:r>
              <w:rPr>
                <w:rFonts w:eastAsia="宋体"/>
                <w:kern w:val="0"/>
                <w:sz w:val="21"/>
                <w:szCs w:val="21"/>
              </w:rPr>
              <w:t>95</w:t>
            </w:r>
          </w:p>
        </w:tc>
        <w:tc>
          <w:tcPr>
            <w:tcW w:w="846" w:type="dxa"/>
            <w:tcBorders>
              <w:top w:val="single" w:color="000000" w:sz="4" w:space="0"/>
              <w:left w:val="single" w:color="000000" w:sz="4" w:space="0"/>
              <w:bottom w:val="single" w:color="000000" w:sz="4" w:space="0"/>
              <w:right w:val="single" w:color="000000" w:sz="4" w:space="0"/>
            </w:tcBorders>
            <w:vAlign w:val="center"/>
          </w:tcPr>
          <w:p w14:paraId="5D4C7AEE">
            <w:pPr>
              <w:widowControl/>
              <w:jc w:val="center"/>
              <w:textAlignment w:val="center"/>
              <w:rPr>
                <w:rFonts w:ascii="方正仿宋_GBK"/>
                <w:sz w:val="21"/>
                <w:szCs w:val="21"/>
              </w:rPr>
            </w:pPr>
            <w:r>
              <w:rPr>
                <w:rFonts w:hint="eastAsia" w:ascii="方正仿宋_GBK" w:hAnsi="方正仿宋_GBK" w:cs="方正仿宋_GBK"/>
                <w:kern w:val="0"/>
                <w:sz w:val="21"/>
                <w:szCs w:val="21"/>
              </w:rPr>
              <w:t>预期性</w:t>
            </w:r>
          </w:p>
        </w:tc>
      </w:tr>
      <w:tr w14:paraId="61C7715C">
        <w:tblPrEx>
          <w:tblCellMar>
            <w:top w:w="0" w:type="dxa"/>
            <w:left w:w="108" w:type="dxa"/>
            <w:bottom w:w="0" w:type="dxa"/>
            <w:right w:w="108" w:type="dxa"/>
          </w:tblCellMar>
        </w:tblPrEx>
        <w:trPr>
          <w:trHeight w:val="614" w:hRule="atLeast"/>
          <w:jc w:val="center"/>
        </w:trPr>
        <w:tc>
          <w:tcPr>
            <w:tcW w:w="733" w:type="dxa"/>
            <w:vMerge w:val="continue"/>
            <w:tcBorders>
              <w:top w:val="single" w:color="000000" w:sz="4" w:space="0"/>
              <w:left w:val="single" w:color="000000" w:sz="4" w:space="0"/>
              <w:bottom w:val="single" w:color="000000" w:sz="4" w:space="0"/>
              <w:right w:val="single" w:color="000000" w:sz="4" w:space="0"/>
            </w:tcBorders>
            <w:vAlign w:val="center"/>
          </w:tcPr>
          <w:p w14:paraId="68439ED0">
            <w:pPr>
              <w:jc w:val="center"/>
              <w:rPr>
                <w:rFonts w:ascii="方正仿宋_GBK"/>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14:paraId="14A55AC3">
            <w:pPr>
              <w:widowControl/>
              <w:jc w:val="center"/>
              <w:textAlignment w:val="center"/>
              <w:rPr>
                <w:rFonts w:eastAsia="宋体"/>
                <w:sz w:val="21"/>
                <w:szCs w:val="21"/>
              </w:rPr>
            </w:pPr>
            <w:r>
              <w:rPr>
                <w:rFonts w:eastAsia="宋体"/>
                <w:kern w:val="0"/>
                <w:sz w:val="21"/>
                <w:szCs w:val="21"/>
              </w:rPr>
              <w:t>25</w:t>
            </w:r>
          </w:p>
        </w:tc>
        <w:tc>
          <w:tcPr>
            <w:tcW w:w="3916" w:type="dxa"/>
            <w:gridSpan w:val="2"/>
            <w:tcBorders>
              <w:top w:val="single" w:color="000000" w:sz="4" w:space="0"/>
              <w:left w:val="single" w:color="000000" w:sz="4" w:space="0"/>
              <w:bottom w:val="single" w:color="000000" w:sz="4" w:space="0"/>
              <w:right w:val="single" w:color="000000" w:sz="4" w:space="0"/>
            </w:tcBorders>
            <w:vAlign w:val="center"/>
          </w:tcPr>
          <w:p w14:paraId="70233A21">
            <w:pPr>
              <w:widowControl/>
              <w:textAlignment w:val="center"/>
              <w:rPr>
                <w:rFonts w:ascii="方正仿宋_GBK"/>
                <w:sz w:val="21"/>
                <w:szCs w:val="21"/>
              </w:rPr>
            </w:pPr>
            <w:r>
              <w:rPr>
                <w:rFonts w:hint="eastAsia" w:ascii="方正仿宋_GBK" w:hAnsi="方正仿宋_GBK" w:cs="方正仿宋_GBK"/>
                <w:kern w:val="0"/>
                <w:sz w:val="21"/>
                <w:szCs w:val="21"/>
              </w:rPr>
              <w:t>三级公立医院卫生技术人员人均科研经费（元）</w:t>
            </w:r>
          </w:p>
        </w:tc>
        <w:tc>
          <w:tcPr>
            <w:tcW w:w="1200" w:type="dxa"/>
            <w:tcBorders>
              <w:top w:val="single" w:color="000000" w:sz="4" w:space="0"/>
              <w:left w:val="single" w:color="000000" w:sz="4" w:space="0"/>
              <w:bottom w:val="single" w:color="000000" w:sz="4" w:space="0"/>
              <w:right w:val="single" w:color="000000" w:sz="4" w:space="0"/>
            </w:tcBorders>
            <w:vAlign w:val="center"/>
          </w:tcPr>
          <w:p w14:paraId="5DE0F967">
            <w:pPr>
              <w:widowControl/>
              <w:jc w:val="center"/>
              <w:textAlignment w:val="center"/>
              <w:rPr>
                <w:rFonts w:eastAsia="宋体"/>
                <w:sz w:val="21"/>
                <w:szCs w:val="21"/>
              </w:rPr>
            </w:pPr>
            <w:r>
              <w:rPr>
                <w:rFonts w:eastAsia="宋体"/>
                <w:kern w:val="0"/>
                <w:sz w:val="21"/>
                <w:szCs w:val="21"/>
              </w:rPr>
              <w:t>—</w:t>
            </w:r>
          </w:p>
        </w:tc>
        <w:tc>
          <w:tcPr>
            <w:tcW w:w="1134" w:type="dxa"/>
            <w:tcBorders>
              <w:top w:val="single" w:color="000000" w:sz="4" w:space="0"/>
              <w:left w:val="single" w:color="000000" w:sz="4" w:space="0"/>
              <w:bottom w:val="single" w:color="000000" w:sz="4" w:space="0"/>
              <w:right w:val="single" w:color="000000" w:sz="4" w:space="0"/>
            </w:tcBorders>
            <w:vAlign w:val="center"/>
          </w:tcPr>
          <w:p w14:paraId="4AC30CE0">
            <w:pPr>
              <w:widowControl/>
              <w:jc w:val="center"/>
              <w:textAlignment w:val="center"/>
              <w:rPr>
                <w:rFonts w:eastAsia="宋体"/>
                <w:sz w:val="21"/>
                <w:szCs w:val="21"/>
              </w:rPr>
            </w:pPr>
            <w:r>
              <w:rPr>
                <w:rFonts w:eastAsia="宋体"/>
                <w:kern w:val="0"/>
                <w:sz w:val="21"/>
                <w:szCs w:val="21"/>
              </w:rPr>
              <w:t>1000</w:t>
            </w:r>
          </w:p>
        </w:tc>
        <w:tc>
          <w:tcPr>
            <w:tcW w:w="846" w:type="dxa"/>
            <w:tcBorders>
              <w:top w:val="single" w:color="000000" w:sz="4" w:space="0"/>
              <w:left w:val="single" w:color="000000" w:sz="4" w:space="0"/>
              <w:bottom w:val="single" w:color="000000" w:sz="4" w:space="0"/>
              <w:right w:val="single" w:color="000000" w:sz="4" w:space="0"/>
            </w:tcBorders>
            <w:vAlign w:val="center"/>
          </w:tcPr>
          <w:p w14:paraId="0C8D22A9">
            <w:pPr>
              <w:widowControl/>
              <w:jc w:val="center"/>
              <w:textAlignment w:val="center"/>
              <w:rPr>
                <w:rFonts w:ascii="方正仿宋_GBK"/>
                <w:sz w:val="21"/>
                <w:szCs w:val="21"/>
              </w:rPr>
            </w:pPr>
            <w:r>
              <w:rPr>
                <w:rFonts w:hint="eastAsia" w:ascii="方正仿宋_GBK" w:hAnsi="方正仿宋_GBK" w:cs="方正仿宋_GBK"/>
                <w:kern w:val="0"/>
                <w:sz w:val="21"/>
                <w:szCs w:val="21"/>
              </w:rPr>
              <w:t>预期性</w:t>
            </w:r>
          </w:p>
        </w:tc>
      </w:tr>
      <w:tr w14:paraId="4C176582">
        <w:tblPrEx>
          <w:tblCellMar>
            <w:top w:w="0" w:type="dxa"/>
            <w:left w:w="108" w:type="dxa"/>
            <w:bottom w:w="0" w:type="dxa"/>
            <w:right w:w="108" w:type="dxa"/>
          </w:tblCellMar>
        </w:tblPrEx>
        <w:trPr>
          <w:trHeight w:val="445" w:hRule="atLeast"/>
          <w:jc w:val="center"/>
        </w:trPr>
        <w:tc>
          <w:tcPr>
            <w:tcW w:w="733" w:type="dxa"/>
            <w:vMerge w:val="restart"/>
            <w:tcBorders>
              <w:top w:val="single" w:color="000000" w:sz="4" w:space="0"/>
              <w:left w:val="single" w:color="000000" w:sz="4" w:space="0"/>
              <w:bottom w:val="single" w:color="000000" w:sz="4" w:space="0"/>
              <w:right w:val="single" w:color="000000" w:sz="4" w:space="0"/>
            </w:tcBorders>
            <w:vAlign w:val="center"/>
          </w:tcPr>
          <w:p w14:paraId="7F476561">
            <w:pPr>
              <w:widowControl/>
              <w:jc w:val="center"/>
              <w:textAlignment w:val="center"/>
              <w:rPr>
                <w:rFonts w:ascii="方正仿宋_GBK"/>
                <w:sz w:val="21"/>
                <w:szCs w:val="21"/>
              </w:rPr>
            </w:pPr>
            <w:r>
              <w:rPr>
                <w:rFonts w:hint="eastAsia" w:ascii="方正仿宋_GBK" w:hAnsi="方正仿宋_GBK" w:cs="方正仿宋_GBK"/>
                <w:kern w:val="0"/>
                <w:sz w:val="21"/>
                <w:szCs w:val="21"/>
              </w:rPr>
              <w:t>健康环境</w:t>
            </w:r>
          </w:p>
        </w:tc>
        <w:tc>
          <w:tcPr>
            <w:tcW w:w="684" w:type="dxa"/>
            <w:tcBorders>
              <w:top w:val="single" w:color="000000" w:sz="4" w:space="0"/>
              <w:left w:val="single" w:color="000000" w:sz="4" w:space="0"/>
              <w:bottom w:val="single" w:color="000000" w:sz="4" w:space="0"/>
              <w:right w:val="single" w:color="000000" w:sz="4" w:space="0"/>
            </w:tcBorders>
            <w:vAlign w:val="center"/>
          </w:tcPr>
          <w:p w14:paraId="75CB0CAF">
            <w:pPr>
              <w:widowControl/>
              <w:jc w:val="center"/>
              <w:textAlignment w:val="center"/>
              <w:rPr>
                <w:rFonts w:eastAsia="宋体"/>
                <w:sz w:val="21"/>
                <w:szCs w:val="21"/>
              </w:rPr>
            </w:pPr>
            <w:r>
              <w:rPr>
                <w:rFonts w:eastAsia="宋体"/>
                <w:kern w:val="0"/>
                <w:sz w:val="21"/>
                <w:szCs w:val="21"/>
              </w:rPr>
              <w:t>26</w:t>
            </w:r>
          </w:p>
        </w:tc>
        <w:tc>
          <w:tcPr>
            <w:tcW w:w="3916" w:type="dxa"/>
            <w:gridSpan w:val="2"/>
            <w:tcBorders>
              <w:top w:val="single" w:color="000000" w:sz="4" w:space="0"/>
              <w:left w:val="single" w:color="000000" w:sz="4" w:space="0"/>
              <w:bottom w:val="single" w:color="000000" w:sz="4" w:space="0"/>
              <w:right w:val="single" w:color="000000" w:sz="4" w:space="0"/>
            </w:tcBorders>
            <w:vAlign w:val="center"/>
          </w:tcPr>
          <w:p w14:paraId="36FEFCC1">
            <w:pPr>
              <w:widowControl/>
              <w:textAlignment w:val="center"/>
              <w:rPr>
                <w:rFonts w:ascii="方正仿宋_GBK"/>
                <w:sz w:val="21"/>
                <w:szCs w:val="21"/>
              </w:rPr>
            </w:pPr>
            <w:r>
              <w:rPr>
                <w:rFonts w:hint="eastAsia" w:ascii="方正仿宋_GBK" w:hAnsi="方正仿宋_GBK" w:cs="方正仿宋_GBK"/>
                <w:kern w:val="0"/>
                <w:sz w:val="21"/>
                <w:szCs w:val="21"/>
              </w:rPr>
              <w:t>环境空气质量优良天数（天）</w:t>
            </w:r>
          </w:p>
        </w:tc>
        <w:tc>
          <w:tcPr>
            <w:tcW w:w="1200" w:type="dxa"/>
            <w:tcBorders>
              <w:top w:val="single" w:color="000000" w:sz="4" w:space="0"/>
              <w:left w:val="single" w:color="000000" w:sz="4" w:space="0"/>
              <w:bottom w:val="single" w:color="000000" w:sz="4" w:space="0"/>
              <w:right w:val="single" w:color="000000" w:sz="4" w:space="0"/>
            </w:tcBorders>
            <w:vAlign w:val="center"/>
          </w:tcPr>
          <w:p w14:paraId="3741A303">
            <w:pPr>
              <w:widowControl/>
              <w:jc w:val="center"/>
              <w:textAlignment w:val="center"/>
              <w:rPr>
                <w:rFonts w:eastAsia="宋体"/>
                <w:sz w:val="21"/>
                <w:szCs w:val="21"/>
              </w:rPr>
            </w:pPr>
            <w:r>
              <w:rPr>
                <w:rFonts w:eastAsia="宋体"/>
                <w:kern w:val="0"/>
                <w:sz w:val="21"/>
                <w:szCs w:val="21"/>
              </w:rPr>
              <w:t>350</w:t>
            </w:r>
          </w:p>
        </w:tc>
        <w:tc>
          <w:tcPr>
            <w:tcW w:w="1134" w:type="dxa"/>
            <w:tcBorders>
              <w:top w:val="single" w:color="000000" w:sz="4" w:space="0"/>
              <w:left w:val="single" w:color="000000" w:sz="4" w:space="0"/>
              <w:bottom w:val="single" w:color="000000" w:sz="4" w:space="0"/>
              <w:right w:val="single" w:color="000000" w:sz="4" w:space="0"/>
            </w:tcBorders>
            <w:vAlign w:val="center"/>
          </w:tcPr>
          <w:p w14:paraId="2744F43D">
            <w:pPr>
              <w:widowControl/>
              <w:jc w:val="center"/>
              <w:textAlignment w:val="center"/>
              <w:rPr>
                <w:rFonts w:eastAsia="宋体"/>
                <w:sz w:val="21"/>
                <w:szCs w:val="21"/>
              </w:rPr>
            </w:pPr>
            <w:r>
              <w:rPr>
                <w:rFonts w:eastAsia="宋体"/>
                <w:kern w:val="0"/>
                <w:sz w:val="21"/>
                <w:szCs w:val="21"/>
              </w:rPr>
              <w:t>330</w:t>
            </w:r>
          </w:p>
        </w:tc>
        <w:tc>
          <w:tcPr>
            <w:tcW w:w="846" w:type="dxa"/>
            <w:tcBorders>
              <w:top w:val="single" w:color="000000" w:sz="4" w:space="0"/>
              <w:left w:val="single" w:color="000000" w:sz="4" w:space="0"/>
              <w:bottom w:val="single" w:color="000000" w:sz="4" w:space="0"/>
              <w:right w:val="single" w:color="000000" w:sz="4" w:space="0"/>
            </w:tcBorders>
            <w:vAlign w:val="center"/>
          </w:tcPr>
          <w:p w14:paraId="3832DCEB">
            <w:pPr>
              <w:widowControl/>
              <w:jc w:val="center"/>
              <w:textAlignment w:val="center"/>
              <w:rPr>
                <w:rFonts w:ascii="方正仿宋_GBK"/>
                <w:sz w:val="21"/>
                <w:szCs w:val="21"/>
              </w:rPr>
            </w:pPr>
            <w:r>
              <w:rPr>
                <w:rFonts w:hint="eastAsia" w:ascii="方正仿宋_GBK" w:hAnsi="方正仿宋_GBK" w:cs="方正仿宋_GBK"/>
                <w:kern w:val="0"/>
                <w:sz w:val="21"/>
                <w:szCs w:val="21"/>
              </w:rPr>
              <w:t>约束性</w:t>
            </w:r>
          </w:p>
        </w:tc>
      </w:tr>
      <w:tr w14:paraId="63DB8A5A">
        <w:tblPrEx>
          <w:tblCellMar>
            <w:top w:w="0" w:type="dxa"/>
            <w:left w:w="108" w:type="dxa"/>
            <w:bottom w:w="0" w:type="dxa"/>
            <w:right w:w="108" w:type="dxa"/>
          </w:tblCellMar>
        </w:tblPrEx>
        <w:trPr>
          <w:trHeight w:val="664" w:hRule="atLeast"/>
          <w:jc w:val="center"/>
        </w:trPr>
        <w:tc>
          <w:tcPr>
            <w:tcW w:w="733" w:type="dxa"/>
            <w:vMerge w:val="continue"/>
            <w:tcBorders>
              <w:top w:val="single" w:color="000000" w:sz="4" w:space="0"/>
              <w:left w:val="single" w:color="000000" w:sz="4" w:space="0"/>
              <w:bottom w:val="single" w:color="000000" w:sz="4" w:space="0"/>
              <w:right w:val="single" w:color="000000" w:sz="4" w:space="0"/>
            </w:tcBorders>
            <w:vAlign w:val="center"/>
          </w:tcPr>
          <w:p w14:paraId="4645DD38">
            <w:pPr>
              <w:jc w:val="center"/>
              <w:rPr>
                <w:rFonts w:ascii="方正仿宋_GBK"/>
                <w:sz w:val="21"/>
                <w:szCs w:val="21"/>
              </w:rPr>
            </w:pPr>
          </w:p>
        </w:tc>
        <w:tc>
          <w:tcPr>
            <w:tcW w:w="684" w:type="dxa"/>
            <w:tcBorders>
              <w:top w:val="single" w:color="000000" w:sz="4" w:space="0"/>
              <w:left w:val="single" w:color="000000" w:sz="4" w:space="0"/>
              <w:bottom w:val="single" w:color="000000" w:sz="4" w:space="0"/>
              <w:right w:val="single" w:color="000000" w:sz="4" w:space="0"/>
            </w:tcBorders>
            <w:vAlign w:val="center"/>
          </w:tcPr>
          <w:p w14:paraId="2EF39DDB">
            <w:pPr>
              <w:widowControl/>
              <w:jc w:val="center"/>
              <w:textAlignment w:val="center"/>
              <w:rPr>
                <w:rFonts w:eastAsia="宋体"/>
                <w:sz w:val="21"/>
                <w:szCs w:val="21"/>
              </w:rPr>
            </w:pPr>
            <w:r>
              <w:rPr>
                <w:rFonts w:eastAsia="宋体"/>
                <w:kern w:val="0"/>
                <w:sz w:val="21"/>
                <w:szCs w:val="21"/>
              </w:rPr>
              <w:t>27</w:t>
            </w:r>
          </w:p>
        </w:tc>
        <w:tc>
          <w:tcPr>
            <w:tcW w:w="3916" w:type="dxa"/>
            <w:gridSpan w:val="2"/>
            <w:tcBorders>
              <w:top w:val="single" w:color="000000" w:sz="4" w:space="0"/>
              <w:left w:val="single" w:color="000000" w:sz="4" w:space="0"/>
              <w:bottom w:val="single" w:color="000000" w:sz="4" w:space="0"/>
              <w:right w:val="single" w:color="000000" w:sz="4" w:space="0"/>
            </w:tcBorders>
            <w:vAlign w:val="center"/>
          </w:tcPr>
          <w:p w14:paraId="173725D8">
            <w:pPr>
              <w:widowControl/>
              <w:textAlignment w:val="center"/>
              <w:rPr>
                <w:rFonts w:ascii="方正仿宋_GBK"/>
                <w:sz w:val="21"/>
                <w:szCs w:val="21"/>
              </w:rPr>
            </w:pPr>
            <w:r>
              <w:rPr>
                <w:rFonts w:hint="eastAsia" w:ascii="方正仿宋_GBK" w:hAnsi="方正仿宋_GBK" w:cs="方正仿宋_GBK"/>
                <w:kern w:val="0"/>
                <w:sz w:val="21"/>
                <w:szCs w:val="21"/>
              </w:rPr>
              <w:t>纳入国家考核的地表水断面水质优良（达到或优于</w:t>
            </w:r>
            <w:r>
              <w:rPr>
                <w:rFonts w:hint="eastAsia" w:ascii="宋体" w:hAnsi="宋体" w:eastAsia="宋体" w:cs="宋体"/>
                <w:kern w:val="0"/>
                <w:sz w:val="21"/>
                <w:szCs w:val="21"/>
              </w:rPr>
              <w:t>Ⅲ</w:t>
            </w:r>
            <w:r>
              <w:rPr>
                <w:rFonts w:hint="eastAsia" w:ascii="方正仿宋_GBK" w:hAnsi="方正仿宋_GBK" w:cs="方正仿宋_GBK"/>
                <w:kern w:val="0"/>
                <w:sz w:val="21"/>
                <w:szCs w:val="21"/>
              </w:rPr>
              <w:t>类）比例（</w:t>
            </w:r>
            <w:r>
              <w:rPr>
                <w:kern w:val="0"/>
                <w:sz w:val="21"/>
                <w:szCs w:val="21"/>
              </w:rPr>
              <w:t>%</w:t>
            </w:r>
            <w:r>
              <w:rPr>
                <w:rFonts w:hint="eastAsia" w:ascii="方正仿宋_GBK" w:hAnsi="方正仿宋_GBK" w:cs="方正仿宋_GBK"/>
                <w:kern w:val="0"/>
                <w:sz w:val="21"/>
                <w:szCs w:val="21"/>
              </w:rPr>
              <w:t>）</w:t>
            </w:r>
          </w:p>
        </w:tc>
        <w:tc>
          <w:tcPr>
            <w:tcW w:w="1200" w:type="dxa"/>
            <w:tcBorders>
              <w:top w:val="single" w:color="000000" w:sz="4" w:space="0"/>
              <w:left w:val="single" w:color="000000" w:sz="4" w:space="0"/>
              <w:bottom w:val="single" w:color="000000" w:sz="4" w:space="0"/>
              <w:right w:val="single" w:color="000000" w:sz="4" w:space="0"/>
            </w:tcBorders>
            <w:vAlign w:val="center"/>
          </w:tcPr>
          <w:p w14:paraId="636BC2DB">
            <w:pPr>
              <w:widowControl/>
              <w:jc w:val="center"/>
              <w:textAlignment w:val="center"/>
              <w:rPr>
                <w:rFonts w:eastAsia="宋体"/>
                <w:sz w:val="21"/>
                <w:szCs w:val="21"/>
              </w:rPr>
            </w:pPr>
            <w:r>
              <w:rPr>
                <w:rFonts w:eastAsia="宋体"/>
                <w:kern w:val="0"/>
                <w:sz w:val="21"/>
                <w:szCs w:val="21"/>
              </w:rPr>
              <w:t>100</w:t>
            </w:r>
          </w:p>
        </w:tc>
        <w:tc>
          <w:tcPr>
            <w:tcW w:w="1134" w:type="dxa"/>
            <w:tcBorders>
              <w:top w:val="single" w:color="000000" w:sz="4" w:space="0"/>
              <w:left w:val="single" w:color="000000" w:sz="4" w:space="0"/>
              <w:bottom w:val="single" w:color="000000" w:sz="4" w:space="0"/>
              <w:right w:val="single" w:color="000000" w:sz="4" w:space="0"/>
            </w:tcBorders>
            <w:vAlign w:val="center"/>
          </w:tcPr>
          <w:p w14:paraId="6056F475">
            <w:pPr>
              <w:widowControl/>
              <w:jc w:val="center"/>
              <w:textAlignment w:val="center"/>
              <w:rPr>
                <w:rFonts w:eastAsia="宋体"/>
                <w:sz w:val="21"/>
                <w:szCs w:val="21"/>
              </w:rPr>
            </w:pPr>
            <w:r>
              <w:rPr>
                <w:rFonts w:eastAsia="宋体"/>
                <w:kern w:val="0"/>
                <w:sz w:val="21"/>
                <w:szCs w:val="21"/>
              </w:rPr>
              <w:t>100</w:t>
            </w:r>
          </w:p>
        </w:tc>
        <w:tc>
          <w:tcPr>
            <w:tcW w:w="846" w:type="dxa"/>
            <w:tcBorders>
              <w:top w:val="single" w:color="000000" w:sz="4" w:space="0"/>
              <w:left w:val="single" w:color="000000" w:sz="4" w:space="0"/>
              <w:bottom w:val="single" w:color="000000" w:sz="4" w:space="0"/>
              <w:right w:val="single" w:color="000000" w:sz="4" w:space="0"/>
            </w:tcBorders>
            <w:vAlign w:val="center"/>
          </w:tcPr>
          <w:p w14:paraId="6C7D4EB9">
            <w:pPr>
              <w:widowControl/>
              <w:jc w:val="center"/>
              <w:textAlignment w:val="center"/>
              <w:rPr>
                <w:rFonts w:ascii="方正仿宋_GBK"/>
                <w:sz w:val="21"/>
                <w:szCs w:val="21"/>
              </w:rPr>
            </w:pPr>
            <w:r>
              <w:rPr>
                <w:rFonts w:hint="eastAsia" w:ascii="方正仿宋_GBK" w:hAnsi="方正仿宋_GBK" w:cs="方正仿宋_GBK"/>
                <w:kern w:val="0"/>
                <w:sz w:val="21"/>
                <w:szCs w:val="21"/>
              </w:rPr>
              <w:t>约束性</w:t>
            </w:r>
          </w:p>
        </w:tc>
      </w:tr>
      <w:tr w14:paraId="61CE627D">
        <w:tblPrEx>
          <w:tblCellMar>
            <w:top w:w="0" w:type="dxa"/>
            <w:left w:w="108" w:type="dxa"/>
            <w:bottom w:w="0" w:type="dxa"/>
            <w:right w:w="108" w:type="dxa"/>
          </w:tblCellMar>
        </w:tblPrEx>
        <w:trPr>
          <w:trHeight w:val="800" w:hRule="atLeast"/>
          <w:jc w:val="center"/>
        </w:trPr>
        <w:tc>
          <w:tcPr>
            <w:tcW w:w="733" w:type="dxa"/>
            <w:vMerge w:val="restart"/>
            <w:tcBorders>
              <w:top w:val="single" w:color="000000" w:sz="4" w:space="0"/>
              <w:left w:val="single" w:color="000000" w:sz="4" w:space="0"/>
              <w:bottom w:val="single" w:color="000000" w:sz="4" w:space="0"/>
              <w:right w:val="single" w:color="000000" w:sz="4" w:space="0"/>
            </w:tcBorders>
            <w:vAlign w:val="center"/>
          </w:tcPr>
          <w:p w14:paraId="0FCE966B">
            <w:pPr>
              <w:widowControl/>
              <w:jc w:val="center"/>
              <w:textAlignment w:val="center"/>
              <w:rPr>
                <w:rFonts w:ascii="方正仿宋_GBK"/>
                <w:sz w:val="21"/>
                <w:szCs w:val="21"/>
              </w:rPr>
            </w:pPr>
            <w:r>
              <w:rPr>
                <w:rFonts w:hint="eastAsia" w:ascii="方正仿宋_GBK" w:hAnsi="方正仿宋_GBK" w:cs="方正仿宋_GBK"/>
                <w:kern w:val="0"/>
                <w:sz w:val="21"/>
                <w:szCs w:val="21"/>
              </w:rPr>
              <w:t>健康保障</w:t>
            </w:r>
          </w:p>
        </w:tc>
        <w:tc>
          <w:tcPr>
            <w:tcW w:w="684" w:type="dxa"/>
            <w:vMerge w:val="restart"/>
            <w:tcBorders>
              <w:top w:val="single" w:color="000000" w:sz="4" w:space="0"/>
              <w:left w:val="single" w:color="000000" w:sz="4" w:space="0"/>
              <w:bottom w:val="single" w:color="000000" w:sz="4" w:space="0"/>
              <w:right w:val="single" w:color="000000" w:sz="4" w:space="0"/>
            </w:tcBorders>
            <w:vAlign w:val="center"/>
          </w:tcPr>
          <w:p w14:paraId="49372D9E">
            <w:pPr>
              <w:widowControl/>
              <w:jc w:val="center"/>
              <w:textAlignment w:val="center"/>
              <w:rPr>
                <w:rFonts w:eastAsia="宋体"/>
                <w:sz w:val="21"/>
                <w:szCs w:val="21"/>
              </w:rPr>
            </w:pPr>
            <w:r>
              <w:rPr>
                <w:rFonts w:eastAsia="宋体"/>
                <w:kern w:val="0"/>
                <w:sz w:val="21"/>
                <w:szCs w:val="21"/>
              </w:rPr>
              <w:t>28</w:t>
            </w:r>
          </w:p>
        </w:tc>
        <w:tc>
          <w:tcPr>
            <w:tcW w:w="2350" w:type="dxa"/>
            <w:tcBorders>
              <w:top w:val="single" w:color="000000" w:sz="4" w:space="0"/>
              <w:left w:val="single" w:color="000000" w:sz="4" w:space="0"/>
              <w:bottom w:val="single" w:color="000000" w:sz="4" w:space="0"/>
              <w:right w:val="single" w:color="000000" w:sz="4" w:space="0"/>
            </w:tcBorders>
            <w:vAlign w:val="center"/>
          </w:tcPr>
          <w:p w14:paraId="7C391C87">
            <w:pPr>
              <w:widowControl/>
              <w:textAlignment w:val="center"/>
              <w:rPr>
                <w:rFonts w:ascii="方正仿宋_GBK"/>
                <w:sz w:val="21"/>
                <w:szCs w:val="21"/>
              </w:rPr>
            </w:pPr>
            <w:r>
              <w:rPr>
                <w:rFonts w:hint="eastAsia" w:ascii="方正仿宋_GBK" w:hAnsi="方正仿宋_GBK" w:cs="方正仿宋_GBK"/>
                <w:kern w:val="0"/>
                <w:sz w:val="21"/>
                <w:szCs w:val="21"/>
              </w:rPr>
              <w:t>政策范围内住院费用报销比例（</w:t>
            </w:r>
            <w:r>
              <w:rPr>
                <w:kern w:val="0"/>
                <w:sz w:val="21"/>
                <w:szCs w:val="21"/>
              </w:rPr>
              <w:t>%</w:t>
            </w:r>
            <w:r>
              <w:rPr>
                <w:rFonts w:hint="eastAsia" w:ascii="方正仿宋_GBK" w:hAnsi="方正仿宋_GBK" w:cs="方正仿宋_GBK"/>
                <w:kern w:val="0"/>
                <w:sz w:val="21"/>
                <w:szCs w:val="21"/>
              </w:rPr>
              <w:t>）</w:t>
            </w:r>
          </w:p>
        </w:tc>
        <w:tc>
          <w:tcPr>
            <w:tcW w:w="1566" w:type="dxa"/>
            <w:tcBorders>
              <w:top w:val="single" w:color="000000" w:sz="4" w:space="0"/>
              <w:left w:val="single" w:color="000000" w:sz="4" w:space="0"/>
              <w:bottom w:val="single" w:color="000000" w:sz="4" w:space="0"/>
              <w:right w:val="single" w:color="000000" w:sz="4" w:space="0"/>
            </w:tcBorders>
            <w:vAlign w:val="center"/>
          </w:tcPr>
          <w:p w14:paraId="46358D45">
            <w:pPr>
              <w:widowControl/>
              <w:textAlignment w:val="center"/>
              <w:rPr>
                <w:rFonts w:ascii="方正仿宋_GBK"/>
                <w:sz w:val="21"/>
                <w:szCs w:val="21"/>
              </w:rPr>
            </w:pPr>
            <w:r>
              <w:rPr>
                <w:rFonts w:hint="eastAsia" w:ascii="方正仿宋_GBK" w:hAnsi="方正仿宋_GBK" w:cs="方正仿宋_GBK"/>
                <w:kern w:val="0"/>
                <w:sz w:val="21"/>
                <w:szCs w:val="21"/>
              </w:rPr>
              <w:t>城镇职工医保</w:t>
            </w:r>
          </w:p>
        </w:tc>
        <w:tc>
          <w:tcPr>
            <w:tcW w:w="1200" w:type="dxa"/>
            <w:tcBorders>
              <w:top w:val="single" w:color="000000" w:sz="4" w:space="0"/>
              <w:left w:val="single" w:color="000000" w:sz="4" w:space="0"/>
              <w:bottom w:val="single" w:color="000000" w:sz="4" w:space="0"/>
              <w:right w:val="single" w:color="000000" w:sz="4" w:space="0"/>
            </w:tcBorders>
            <w:vAlign w:val="center"/>
          </w:tcPr>
          <w:p w14:paraId="5B44813C">
            <w:pPr>
              <w:widowControl/>
              <w:jc w:val="center"/>
              <w:textAlignment w:val="center"/>
              <w:rPr>
                <w:rFonts w:eastAsia="宋体"/>
                <w:sz w:val="21"/>
                <w:szCs w:val="21"/>
              </w:rPr>
            </w:pPr>
            <w:r>
              <w:rPr>
                <w:rFonts w:eastAsia="宋体"/>
                <w:kern w:val="0"/>
                <w:sz w:val="21"/>
                <w:szCs w:val="21"/>
              </w:rPr>
              <w:t>80</w:t>
            </w:r>
          </w:p>
        </w:tc>
        <w:tc>
          <w:tcPr>
            <w:tcW w:w="1134" w:type="dxa"/>
            <w:tcBorders>
              <w:top w:val="single" w:color="000000" w:sz="4" w:space="0"/>
              <w:left w:val="single" w:color="000000" w:sz="4" w:space="0"/>
              <w:bottom w:val="single" w:color="000000" w:sz="4" w:space="0"/>
              <w:right w:val="single" w:color="000000" w:sz="4" w:space="0"/>
            </w:tcBorders>
            <w:vAlign w:val="center"/>
          </w:tcPr>
          <w:p w14:paraId="46222AFE">
            <w:pPr>
              <w:widowControl/>
              <w:jc w:val="center"/>
              <w:textAlignment w:val="center"/>
              <w:rPr>
                <w:rFonts w:eastAsia="宋体"/>
                <w:sz w:val="21"/>
                <w:szCs w:val="21"/>
              </w:rPr>
            </w:pPr>
            <w:r>
              <w:rPr>
                <w:rFonts w:eastAsia="宋体"/>
                <w:kern w:val="0"/>
                <w:sz w:val="21"/>
                <w:szCs w:val="21"/>
              </w:rPr>
              <w:t>≥85</w:t>
            </w:r>
          </w:p>
        </w:tc>
        <w:tc>
          <w:tcPr>
            <w:tcW w:w="846" w:type="dxa"/>
            <w:vMerge w:val="restart"/>
            <w:tcBorders>
              <w:top w:val="single" w:color="000000" w:sz="4" w:space="0"/>
              <w:left w:val="single" w:color="000000" w:sz="4" w:space="0"/>
              <w:bottom w:val="single" w:color="000000" w:sz="4" w:space="0"/>
              <w:right w:val="single" w:color="000000" w:sz="4" w:space="0"/>
            </w:tcBorders>
            <w:vAlign w:val="center"/>
          </w:tcPr>
          <w:p w14:paraId="2FF9F080">
            <w:pPr>
              <w:widowControl/>
              <w:jc w:val="center"/>
              <w:textAlignment w:val="center"/>
              <w:rPr>
                <w:rFonts w:ascii="方正仿宋_GBK"/>
                <w:sz w:val="21"/>
                <w:szCs w:val="21"/>
              </w:rPr>
            </w:pPr>
            <w:r>
              <w:rPr>
                <w:rFonts w:hint="eastAsia" w:ascii="方正仿宋_GBK" w:hAnsi="方正仿宋_GBK" w:cs="方正仿宋_GBK"/>
                <w:kern w:val="0"/>
                <w:sz w:val="21"/>
                <w:szCs w:val="21"/>
              </w:rPr>
              <w:t>预期性</w:t>
            </w:r>
          </w:p>
        </w:tc>
      </w:tr>
      <w:tr w14:paraId="791502AC">
        <w:tblPrEx>
          <w:tblCellMar>
            <w:top w:w="0" w:type="dxa"/>
            <w:left w:w="108" w:type="dxa"/>
            <w:bottom w:w="0" w:type="dxa"/>
            <w:right w:w="108" w:type="dxa"/>
          </w:tblCellMar>
        </w:tblPrEx>
        <w:trPr>
          <w:trHeight w:val="308" w:hRule="atLeast"/>
          <w:jc w:val="center"/>
        </w:trPr>
        <w:tc>
          <w:tcPr>
            <w:tcW w:w="733" w:type="dxa"/>
            <w:vMerge w:val="continue"/>
            <w:tcBorders>
              <w:top w:val="single" w:color="000000" w:sz="4" w:space="0"/>
              <w:left w:val="single" w:color="000000" w:sz="4" w:space="0"/>
              <w:bottom w:val="single" w:color="000000" w:sz="4" w:space="0"/>
              <w:right w:val="single" w:color="000000" w:sz="4" w:space="0"/>
            </w:tcBorders>
            <w:vAlign w:val="center"/>
          </w:tcPr>
          <w:p w14:paraId="794501A5">
            <w:pPr>
              <w:jc w:val="center"/>
              <w:rPr>
                <w:rFonts w:ascii="方正仿宋_GBK"/>
                <w:sz w:val="21"/>
                <w:szCs w:val="21"/>
              </w:rPr>
            </w:pPr>
          </w:p>
        </w:tc>
        <w:tc>
          <w:tcPr>
            <w:tcW w:w="684" w:type="dxa"/>
            <w:vMerge w:val="continue"/>
            <w:tcBorders>
              <w:top w:val="single" w:color="000000" w:sz="4" w:space="0"/>
              <w:left w:val="single" w:color="000000" w:sz="4" w:space="0"/>
              <w:bottom w:val="single" w:color="000000" w:sz="4" w:space="0"/>
              <w:right w:val="single" w:color="000000" w:sz="4" w:space="0"/>
            </w:tcBorders>
            <w:vAlign w:val="center"/>
          </w:tcPr>
          <w:p w14:paraId="7A04E86B">
            <w:pPr>
              <w:jc w:val="center"/>
              <w:rPr>
                <w:rFonts w:eastAsia="宋体"/>
                <w:sz w:val="21"/>
                <w:szCs w:val="21"/>
              </w:rPr>
            </w:pPr>
          </w:p>
        </w:tc>
        <w:tc>
          <w:tcPr>
            <w:tcW w:w="2350" w:type="dxa"/>
            <w:tcBorders>
              <w:top w:val="single" w:color="000000" w:sz="4" w:space="0"/>
              <w:left w:val="single" w:color="000000" w:sz="4" w:space="0"/>
              <w:bottom w:val="single" w:color="000000" w:sz="4" w:space="0"/>
              <w:right w:val="single" w:color="000000" w:sz="4" w:space="0"/>
            </w:tcBorders>
            <w:vAlign w:val="center"/>
          </w:tcPr>
          <w:p w14:paraId="4F6BB22C">
            <w:pPr>
              <w:widowControl/>
              <w:textAlignment w:val="center"/>
              <w:rPr>
                <w:rFonts w:ascii="方正仿宋_GBK"/>
                <w:sz w:val="21"/>
                <w:szCs w:val="21"/>
              </w:rPr>
            </w:pPr>
            <w:r>
              <w:rPr>
                <w:rFonts w:hint="eastAsia" w:ascii="方正仿宋_GBK" w:hAnsi="方正仿宋_GBK" w:cs="方正仿宋_GBK"/>
                <w:kern w:val="0"/>
                <w:sz w:val="21"/>
                <w:szCs w:val="21"/>
              </w:rPr>
              <w:t>政策范围内住院费用报销比例（</w:t>
            </w:r>
            <w:r>
              <w:rPr>
                <w:kern w:val="0"/>
                <w:sz w:val="21"/>
                <w:szCs w:val="21"/>
              </w:rPr>
              <w:t>%</w:t>
            </w:r>
            <w:r>
              <w:rPr>
                <w:rFonts w:hint="eastAsia" w:ascii="方正仿宋_GBK" w:hAnsi="方正仿宋_GBK" w:cs="方正仿宋_GBK"/>
                <w:kern w:val="0"/>
                <w:sz w:val="21"/>
                <w:szCs w:val="21"/>
              </w:rPr>
              <w:t>）</w:t>
            </w:r>
          </w:p>
        </w:tc>
        <w:tc>
          <w:tcPr>
            <w:tcW w:w="1566" w:type="dxa"/>
            <w:tcBorders>
              <w:top w:val="single" w:color="000000" w:sz="4" w:space="0"/>
              <w:left w:val="single" w:color="000000" w:sz="4" w:space="0"/>
              <w:bottom w:val="single" w:color="000000" w:sz="4" w:space="0"/>
              <w:right w:val="single" w:color="000000" w:sz="4" w:space="0"/>
            </w:tcBorders>
            <w:vAlign w:val="center"/>
          </w:tcPr>
          <w:p w14:paraId="0635BAEA">
            <w:pPr>
              <w:widowControl/>
              <w:textAlignment w:val="center"/>
              <w:rPr>
                <w:rFonts w:ascii="方正仿宋_GBK"/>
                <w:sz w:val="21"/>
                <w:szCs w:val="21"/>
              </w:rPr>
            </w:pPr>
            <w:r>
              <w:rPr>
                <w:rFonts w:hint="eastAsia" w:ascii="方正仿宋_GBK" w:hAnsi="方正仿宋_GBK" w:cs="方正仿宋_GBK"/>
                <w:kern w:val="0"/>
                <w:sz w:val="21"/>
                <w:szCs w:val="21"/>
              </w:rPr>
              <w:t>城乡居民医保</w:t>
            </w:r>
          </w:p>
        </w:tc>
        <w:tc>
          <w:tcPr>
            <w:tcW w:w="1200" w:type="dxa"/>
            <w:tcBorders>
              <w:top w:val="single" w:color="000000" w:sz="4" w:space="0"/>
              <w:left w:val="single" w:color="000000" w:sz="4" w:space="0"/>
              <w:bottom w:val="single" w:color="000000" w:sz="4" w:space="0"/>
              <w:right w:val="single" w:color="000000" w:sz="4" w:space="0"/>
            </w:tcBorders>
            <w:vAlign w:val="center"/>
          </w:tcPr>
          <w:p w14:paraId="0B0EC513">
            <w:pPr>
              <w:widowControl/>
              <w:jc w:val="center"/>
              <w:textAlignment w:val="center"/>
              <w:rPr>
                <w:rFonts w:eastAsia="宋体"/>
                <w:sz w:val="21"/>
                <w:szCs w:val="21"/>
              </w:rPr>
            </w:pPr>
            <w:r>
              <w:rPr>
                <w:rFonts w:eastAsia="宋体"/>
                <w:kern w:val="0"/>
                <w:sz w:val="21"/>
                <w:szCs w:val="21"/>
              </w:rPr>
              <w:t>60.14</w:t>
            </w:r>
          </w:p>
        </w:tc>
        <w:tc>
          <w:tcPr>
            <w:tcW w:w="1134" w:type="dxa"/>
            <w:tcBorders>
              <w:top w:val="single" w:color="000000" w:sz="4" w:space="0"/>
              <w:left w:val="single" w:color="000000" w:sz="4" w:space="0"/>
              <w:bottom w:val="single" w:color="000000" w:sz="4" w:space="0"/>
              <w:right w:val="single" w:color="000000" w:sz="4" w:space="0"/>
            </w:tcBorders>
            <w:vAlign w:val="center"/>
          </w:tcPr>
          <w:p w14:paraId="74CD2F88">
            <w:pPr>
              <w:widowControl/>
              <w:jc w:val="center"/>
              <w:textAlignment w:val="center"/>
              <w:rPr>
                <w:rFonts w:eastAsia="宋体"/>
                <w:sz w:val="21"/>
                <w:szCs w:val="21"/>
              </w:rPr>
            </w:pPr>
            <w:r>
              <w:rPr>
                <w:rFonts w:eastAsia="宋体"/>
                <w:kern w:val="0"/>
                <w:sz w:val="21"/>
                <w:szCs w:val="21"/>
              </w:rPr>
              <w:t>70</w:t>
            </w:r>
          </w:p>
        </w:tc>
        <w:tc>
          <w:tcPr>
            <w:tcW w:w="846" w:type="dxa"/>
            <w:vMerge w:val="continue"/>
            <w:tcBorders>
              <w:top w:val="single" w:color="000000" w:sz="4" w:space="0"/>
              <w:left w:val="single" w:color="000000" w:sz="4" w:space="0"/>
              <w:bottom w:val="single" w:color="000000" w:sz="4" w:space="0"/>
              <w:right w:val="single" w:color="000000" w:sz="4" w:space="0"/>
            </w:tcBorders>
            <w:vAlign w:val="center"/>
          </w:tcPr>
          <w:p w14:paraId="0F138F8C">
            <w:pPr>
              <w:jc w:val="center"/>
              <w:rPr>
                <w:rFonts w:ascii="方正仿宋_GBK"/>
                <w:sz w:val="21"/>
                <w:szCs w:val="21"/>
              </w:rPr>
            </w:pPr>
          </w:p>
        </w:tc>
      </w:tr>
    </w:tbl>
    <w:p w14:paraId="0A81573D">
      <w:pPr>
        <w:spacing w:line="600" w:lineRule="exact"/>
        <w:ind w:firstLine="640" w:firstLineChars="200"/>
        <w:rPr>
          <w:rFonts w:eastAsia="方正黑体_GBK"/>
        </w:rPr>
      </w:pPr>
      <w:r>
        <w:rPr>
          <w:rFonts w:hint="eastAsia" w:eastAsia="方正黑体_GBK" w:cs="方正黑体_GBK"/>
        </w:rPr>
        <w:t>三、主要任务</w:t>
      </w:r>
    </w:p>
    <w:p w14:paraId="171C6925">
      <w:pPr>
        <w:pStyle w:val="3"/>
        <w:spacing w:before="0" w:after="0" w:line="600" w:lineRule="exact"/>
        <w:ind w:left="963"/>
        <w:rPr>
          <w:rFonts w:ascii="Times New Roman" w:hAnsi="Times New Roman" w:eastAsia="方正楷体_GBK" w:cs="Times New Roman"/>
          <w:lang w:val="en-US"/>
        </w:rPr>
      </w:pPr>
      <w:r>
        <w:rPr>
          <w:rFonts w:hint="eastAsia" w:ascii="Times New Roman" w:hAnsi="Times New Roman" w:eastAsia="方正楷体_GBK" w:cs="方正楷体_GBK"/>
          <w:lang w:val="en-US"/>
        </w:rPr>
        <w:t>（一）保障公共卫生安全</w:t>
      </w:r>
      <w:r>
        <w:rPr>
          <w:rFonts w:hint="eastAsia" w:ascii="Times New Roman" w:hAnsi="Times New Roman" w:eastAsia="方正楷体_GBK" w:cs="方正楷体_GBK"/>
        </w:rPr>
        <w:t>，</w:t>
      </w:r>
      <w:r>
        <w:rPr>
          <w:rFonts w:hint="eastAsia" w:ascii="Times New Roman" w:hAnsi="Times New Roman" w:eastAsia="方正楷体_GBK" w:cs="方正楷体_GBK"/>
          <w:lang w:val="en-US"/>
        </w:rPr>
        <w:t>构建强大公共卫生服务体系</w:t>
      </w:r>
      <w:bookmarkEnd w:id="24"/>
    </w:p>
    <w:p w14:paraId="7F303B5D">
      <w:pPr>
        <w:spacing w:line="600" w:lineRule="exact"/>
        <w:ind w:firstLine="640" w:firstLineChars="200"/>
      </w:pPr>
      <w:r>
        <w:rPr>
          <w:rFonts w:hint="eastAsia" w:hAnsi="方正仿宋_GBK" w:cs="方正仿宋_GBK"/>
          <w:b/>
          <w:bCs/>
        </w:rPr>
        <w:t>加强机构建设。</w:t>
      </w:r>
      <w:r>
        <w:rPr>
          <w:rFonts w:hint="eastAsia" w:hAnsi="方正仿宋_GBK" w:cs="方正仿宋_GBK"/>
        </w:rPr>
        <w:t>实施县疾控中心迁建工程，完善业务用房、实验楼、卫生应急物资仓库、培训中心及卫生应急信息化建设，推进标准化、现代化建设及等级疾控中心创建工作。强化疾病预防控制中心监测预警、风险评估、流行病学调查、检验检测、应急处置等职能。</w:t>
      </w:r>
    </w:p>
    <w:p w14:paraId="22D8F0CF">
      <w:pPr>
        <w:pStyle w:val="5"/>
        <w:spacing w:line="600" w:lineRule="exact"/>
        <w:rPr>
          <w:kern w:val="0"/>
        </w:rPr>
      </w:pPr>
      <w:r>
        <w:rPr>
          <w:b/>
          <w:bCs/>
          <w:kern w:val="0"/>
        </w:rPr>
        <w:t xml:space="preserve">    </w:t>
      </w:r>
      <w:r>
        <w:rPr>
          <w:rFonts w:hint="eastAsia" w:hAnsi="方正仿宋_GBK" w:cs="方正仿宋_GBK"/>
          <w:b/>
          <w:bCs/>
          <w:kern w:val="0"/>
        </w:rPr>
        <w:t>完善运行机制</w:t>
      </w:r>
      <w:r>
        <w:rPr>
          <w:rFonts w:hint="eastAsia" w:hAnsi="方正仿宋_GBK" w:cs="方正仿宋_GBK"/>
          <w:kern w:val="0"/>
        </w:rPr>
        <w:t>。建立健全绩效评价和稳定投入机制，持续加大公共卫生经费投入。强化县疾病预防控制中心疫情防控职责，</w:t>
      </w:r>
      <w:r>
        <w:rPr>
          <w:rFonts w:hint="eastAsia" w:cs="方正仿宋_GBK"/>
        </w:rPr>
        <w:t>加大财政经费保障力度</w:t>
      </w:r>
      <w:r>
        <w:rPr>
          <w:rFonts w:hint="eastAsia" w:hAnsi="方正仿宋_GBK" w:cs="方正仿宋_GBK"/>
          <w:kern w:val="0"/>
        </w:rPr>
        <w:t>。完善公立医疗卫生机构公共卫生服务购买机制，建立二级以上医疗机构公共卫生履职考核清单。</w:t>
      </w:r>
    </w:p>
    <w:p w14:paraId="5BD796CB">
      <w:pPr>
        <w:pStyle w:val="5"/>
        <w:spacing w:line="600" w:lineRule="exact"/>
        <w:rPr>
          <w:kern w:val="0"/>
        </w:rPr>
      </w:pPr>
      <w:r>
        <w:rPr>
          <w:b/>
          <w:bCs/>
          <w:kern w:val="0"/>
        </w:rPr>
        <w:t xml:space="preserve">    </w:t>
      </w:r>
      <w:r>
        <w:rPr>
          <w:rFonts w:hint="eastAsia" w:hAnsi="方正仿宋_GBK" w:cs="方正仿宋_GBK"/>
          <w:b/>
          <w:bCs/>
          <w:kern w:val="0"/>
        </w:rPr>
        <w:t>创新医防协同机制</w:t>
      </w:r>
      <w:r>
        <w:rPr>
          <w:rFonts w:hint="eastAsia" w:hAnsi="方正仿宋_GBK" w:cs="方正仿宋_GBK"/>
        </w:rPr>
        <w:t>。</w:t>
      </w:r>
      <w:r>
        <w:rPr>
          <w:rFonts w:hint="eastAsia" w:hAnsi="方正仿宋_GBK" w:cs="方正仿宋_GBK"/>
          <w:kern w:val="0"/>
        </w:rPr>
        <w:t>推进医疗机构和专业公共卫生机构的深度协作</w:t>
      </w:r>
      <w:r>
        <w:rPr>
          <w:rFonts w:hint="eastAsia" w:cs="方正仿宋_GBK"/>
          <w:kern w:val="0"/>
        </w:rPr>
        <w:t>。加强疾病预防控制机构对医疗机构疾病预防控制工作的技术指导。建立协同监测机制，发挥哨点作用。探索县疾控中心和县域医共体协同建设发展，建立完善信息通、资源通和相互监督制约的机制。建立公共卫生专业技术人员和医疗机构临床医生交叉培训制度，鼓励人员双向流动。</w:t>
      </w:r>
      <w:r>
        <w:rPr>
          <w:rFonts w:hint="eastAsia" w:cs="方正仿宋_GBK"/>
        </w:rPr>
        <w:t>建立</w:t>
      </w:r>
      <w:r>
        <w:t>“</w:t>
      </w:r>
      <w:r>
        <w:rPr>
          <w:rFonts w:hint="eastAsia" w:cs="方正仿宋_GBK"/>
        </w:rPr>
        <w:t>两员一机构两联盟</w:t>
      </w:r>
      <w:r>
        <w:t>”</w:t>
      </w:r>
      <w:r>
        <w:rPr>
          <w:rFonts w:hint="eastAsia" w:cs="方正仿宋_GBK"/>
        </w:rPr>
        <w:t>医防融合新机制</w:t>
      </w:r>
      <w:r>
        <w:rPr>
          <w:rFonts w:hint="eastAsia" w:cs="方正仿宋_GBK"/>
          <w:kern w:val="0"/>
        </w:rPr>
        <w:t>，</w:t>
      </w:r>
      <w:r>
        <w:rPr>
          <w:rFonts w:hint="eastAsia" w:cs="方正仿宋_GBK"/>
        </w:rPr>
        <w:t>督促落实传染病及突发公共卫生事件和慢性病非传染病疾病监测、报告责任</w:t>
      </w:r>
      <w:r>
        <w:rPr>
          <w:rFonts w:hint="eastAsia" w:cs="方正仿宋_GBK"/>
          <w:kern w:val="0"/>
        </w:rPr>
        <w:t>。</w:t>
      </w:r>
    </w:p>
    <w:p w14:paraId="5FC00324">
      <w:pPr>
        <w:pStyle w:val="5"/>
        <w:spacing w:line="600" w:lineRule="exact"/>
        <w:ind w:firstLine="642"/>
      </w:pPr>
      <w:r>
        <w:rPr>
          <w:rFonts w:hint="eastAsia" w:cs="方正仿宋_GBK"/>
          <w:b/>
          <w:bCs/>
        </w:rPr>
        <w:t>完善应急处置机制。</w:t>
      </w:r>
      <w:r>
        <w:rPr>
          <w:rFonts w:hint="eastAsia" w:cs="方正仿宋_GBK"/>
        </w:rPr>
        <w:t>完善多部门、跨地区联防联控机制，完善传染病疫情等突发公共卫生事件应急响应机制和定期演练机制。</w:t>
      </w:r>
      <w:r>
        <w:rPr>
          <w:rFonts w:hint="eastAsia" w:hAnsi="方正仿宋_GBK" w:cs="方正仿宋_GBK"/>
        </w:rPr>
        <w:t>建设一个标准化卫生应急指挥平台、一个标准化卫生应急培训与演练基地</w:t>
      </w:r>
      <w:r>
        <w:rPr>
          <w:rFonts w:hint="eastAsia" w:hAnsi="仿宋" w:eastAsia="仿宋" w:cs="仿宋"/>
        </w:rPr>
        <w:t>，提高卫生应急处置能力。</w:t>
      </w:r>
      <w:r>
        <w:rPr>
          <w:rFonts w:hint="eastAsia" w:cs="方正仿宋_GBK"/>
        </w:rPr>
        <w:t>充分发挥</w:t>
      </w:r>
      <w:r>
        <w:rPr>
          <w:rFonts w:hint="eastAsia" w:hAnsi="方正仿宋_GBK" w:cs="方正仿宋_GBK"/>
        </w:rPr>
        <w:t>县</w:t>
      </w:r>
      <w:r>
        <w:rPr>
          <w:rFonts w:hint="eastAsia" w:cs="方正仿宋_GBK"/>
        </w:rPr>
        <w:t>卫生应急指挥中心职能职责</w:t>
      </w:r>
      <w:r>
        <w:rPr>
          <w:rFonts w:hint="eastAsia" w:hAnsi="方正仿宋_GBK" w:cs="方正仿宋_GBK"/>
        </w:rPr>
        <w:t>，完善突发公共卫生事件应急指挥系统，加强公共卫生机构、医疗机构即时</w:t>
      </w:r>
      <w:r>
        <w:rPr>
          <w:rFonts w:hint="eastAsia" w:cs="方正仿宋_GBK"/>
        </w:rPr>
        <w:t>应急联动。</w:t>
      </w:r>
    </w:p>
    <w:p w14:paraId="1529285E">
      <w:pPr>
        <w:pStyle w:val="5"/>
        <w:spacing w:line="600" w:lineRule="exact"/>
        <w:ind w:firstLine="642"/>
      </w:pPr>
      <w:r>
        <w:rPr>
          <w:rFonts w:hint="eastAsia" w:cs="方正仿宋_GBK"/>
          <w:b/>
          <w:bCs/>
        </w:rPr>
        <w:t>提高应急响应能力。</w:t>
      </w:r>
      <w:r>
        <w:rPr>
          <w:rFonts w:hint="eastAsia" w:cs="方正仿宋_GBK"/>
        </w:rPr>
        <w:t>完善传染病疫情等突发公共卫生事件分级应急响应机制，确定不同级别响应的启动标准和流程，明确相关部门和机构的参与范围、职责分工和工作机制。提升医务人员早期识别和应急处置水平，完善首诊负责、联合会诊等制度和应急处置流程，提高各级各类医疗卫生机构规范化处置能力。</w:t>
      </w:r>
    </w:p>
    <w:p w14:paraId="66410BF8">
      <w:pPr>
        <w:spacing w:line="600" w:lineRule="exact"/>
        <w:ind w:firstLine="640" w:firstLineChars="200"/>
      </w:pPr>
      <w:r>
        <w:rPr>
          <w:rFonts w:hint="eastAsia" w:cs="方正仿宋_GBK"/>
          <w:b/>
          <w:bCs/>
        </w:rPr>
        <w:t>构建梯次化响应卫生应急队伍。</w:t>
      </w:r>
      <w:r>
        <w:rPr>
          <w:rFonts w:hint="eastAsia" w:cs="方正仿宋_GBK"/>
        </w:rPr>
        <w:t>建成紧急医学救援、突发急性传染病防控、突发中毒事</w:t>
      </w:r>
      <w:r>
        <w:rPr>
          <w:rFonts w:hint="eastAsia" w:hAnsi="方正仿宋_GBK" w:cs="方正仿宋_GBK"/>
        </w:rPr>
        <w:t>件处置等</w:t>
      </w:r>
      <w:r>
        <w:t>3</w:t>
      </w:r>
      <w:r>
        <w:rPr>
          <w:rFonts w:hint="eastAsia" w:hAnsi="方正仿宋_GBK" w:cs="方正仿宋_GBK"/>
        </w:rPr>
        <w:t>个专业的标准化卫生应急队伍，强化统一指挥调度、快速反应处置能力。县疾控中心、二级及以上公立综合医院、中医院各至少建成</w:t>
      </w:r>
      <w:r>
        <w:t>1</w:t>
      </w:r>
      <w:r>
        <w:rPr>
          <w:rFonts w:hint="eastAsia" w:hAnsi="方正仿宋_GBK" w:cs="方正仿宋_GBK"/>
        </w:rPr>
        <w:t>支背囊化快速反应小分队。提升全县院前急救能力，进一步完善县级急救中心体系建设，每个乡镇建立一个</w:t>
      </w:r>
      <w:r>
        <w:t>3—5</w:t>
      </w:r>
      <w:r>
        <w:rPr>
          <w:rFonts w:hint="eastAsia" w:hAnsi="方正仿宋_GBK" w:cs="方正仿宋_GBK"/>
        </w:rPr>
        <w:t>人的急救站；加强</w:t>
      </w:r>
      <w:r>
        <w:t>120</w:t>
      </w:r>
      <w:r>
        <w:rPr>
          <w:rFonts w:hint="eastAsia" w:hAnsi="方正仿宋_GBK" w:cs="方正仿宋_GBK"/>
        </w:rPr>
        <w:t>急救车辆调度管理，</w:t>
      </w:r>
      <w:r>
        <w:rPr>
          <w:rFonts w:hint="eastAsia" w:cs="方正仿宋_GBK"/>
        </w:rPr>
        <w:t>确保接听率、出车率、病历书写率、平均反应时间达标</w:t>
      </w:r>
      <w:r>
        <w:rPr>
          <w:rFonts w:hint="eastAsia" w:hAnsi="方正仿宋_GBK" w:cs="方正仿宋_GBK"/>
        </w:rPr>
        <w:t>。</w:t>
      </w:r>
    </w:p>
    <w:p w14:paraId="57BF6DD4">
      <w:pPr>
        <w:spacing w:line="600" w:lineRule="exact"/>
        <w:ind w:firstLine="640" w:firstLineChars="200"/>
        <w:rPr>
          <w:b/>
          <w:bCs/>
        </w:rPr>
      </w:pPr>
      <w:r>
        <w:rPr>
          <w:rFonts w:hint="eastAsia" w:hAnsi="方正仿宋_GBK" w:cs="方正仿宋_GBK"/>
          <w:b/>
          <w:bCs/>
        </w:rPr>
        <w:t>构筑传染病救治网络。</w:t>
      </w:r>
      <w:r>
        <w:rPr>
          <w:rFonts w:hint="eastAsia" w:hAnsi="方正仿宋_GBK" w:cs="方正仿宋_GBK"/>
        </w:rPr>
        <w:t>建立健全以县级医院为主干，基层医疗机构为支撑的重大疫情应急救治网络。建立</w:t>
      </w:r>
      <w:r>
        <w:t>“</w:t>
      </w:r>
      <w:r>
        <w:rPr>
          <w:rFonts w:hint="eastAsia" w:hAnsi="方正仿宋_GBK" w:cs="方正仿宋_GBK"/>
        </w:rPr>
        <w:t>固定标识应急床位</w:t>
      </w:r>
      <w:r>
        <w:t>—</w:t>
      </w:r>
      <w:r>
        <w:rPr>
          <w:rFonts w:hint="eastAsia" w:hAnsi="方正仿宋_GBK" w:cs="方正仿宋_GBK"/>
        </w:rPr>
        <w:t>快速扩展应急床位</w:t>
      </w:r>
      <w:r>
        <w:t>—</w:t>
      </w:r>
      <w:r>
        <w:rPr>
          <w:rFonts w:hint="eastAsia" w:hAnsi="方正仿宋_GBK" w:cs="方正仿宋_GBK"/>
        </w:rPr>
        <w:t>快速腾空床位</w:t>
      </w:r>
      <w:r>
        <w:t>”</w:t>
      </w:r>
      <w:r>
        <w:rPr>
          <w:rFonts w:hint="eastAsia" w:hAnsi="方正仿宋_GBK" w:cs="方正仿宋_GBK"/>
        </w:rPr>
        <w:t>的应急床位保障机制。</w:t>
      </w:r>
      <w:r>
        <w:rPr>
          <w:rFonts w:hint="eastAsia" w:cs="方正仿宋_GBK"/>
        </w:rPr>
        <w:t>县人民医院、县中医院、县妇幼保健院等二级以上医疗机构按规范设置发热门诊，县人民医院、县中医院规范设置感染性疾病科室。</w:t>
      </w:r>
      <w:r>
        <w:rPr>
          <w:rFonts w:hint="eastAsia" w:hAnsi="方正仿宋_GBK" w:cs="方正仿宋_GBK"/>
        </w:rPr>
        <w:t>有条件的乡镇卫生院、社区卫生服务中心应规范设置</w:t>
      </w:r>
      <w:r>
        <w:rPr>
          <w:rFonts w:hint="eastAsia" w:cs="方正仿宋_GBK"/>
        </w:rPr>
        <w:t>发热诊室。加强中西医结合，发挥好中医药疫情防控独特优势和作用。</w:t>
      </w:r>
    </w:p>
    <w:p w14:paraId="5B75D00E">
      <w:pPr>
        <w:pStyle w:val="3"/>
        <w:spacing w:before="0" w:after="0" w:line="600" w:lineRule="exact"/>
        <w:ind w:left="963"/>
        <w:rPr>
          <w:rFonts w:ascii="Times New Roman" w:hAnsi="Times New Roman" w:eastAsia="方正楷体_GBK" w:cs="Times New Roman"/>
          <w:lang w:val="en-US"/>
        </w:rPr>
      </w:pPr>
      <w:bookmarkStart w:id="25" w:name="_Toc2051"/>
      <w:r>
        <w:rPr>
          <w:rFonts w:hint="eastAsia" w:ascii="Times New Roman" w:hAnsi="Times New Roman" w:eastAsia="方正楷体_GBK" w:cs="方正楷体_GBK"/>
          <w:lang w:val="en-US"/>
        </w:rPr>
        <w:t>（二）统筹</w:t>
      </w:r>
      <w:r>
        <w:rPr>
          <w:rFonts w:hint="eastAsia" w:ascii="Times New Roman" w:hAnsi="Times New Roman" w:eastAsia="方正楷体_GBK" w:cs="方正楷体_GBK"/>
        </w:rPr>
        <w:t>资源配置，</w:t>
      </w:r>
      <w:r>
        <w:rPr>
          <w:rFonts w:hint="eastAsia" w:ascii="Times New Roman" w:hAnsi="Times New Roman" w:eastAsia="方正楷体_GBK" w:cs="方正楷体_GBK"/>
          <w:lang w:val="en-US"/>
        </w:rPr>
        <w:t>推动医疗服务高质量发展</w:t>
      </w:r>
      <w:bookmarkEnd w:id="25"/>
    </w:p>
    <w:p w14:paraId="12612F6E">
      <w:pPr>
        <w:spacing w:line="600" w:lineRule="exact"/>
        <w:ind w:firstLine="640"/>
      </w:pPr>
      <w:r>
        <w:rPr>
          <w:rFonts w:hint="eastAsia" w:cs="方正仿宋_GBK"/>
          <w:b/>
          <w:bCs/>
        </w:rPr>
        <w:t>打造市级区域医疗高地。</w:t>
      </w:r>
      <w:r>
        <w:rPr>
          <w:rFonts w:hint="eastAsia" w:cs="方正仿宋_GBK"/>
        </w:rPr>
        <w:t>做强县人民医院、县中医院、县妇幼保健院，构建起以三级甲等为统领的县域医疗服务体系，有一支医德高尚、技术一流、服务优质、作风优良的医疗卫生队伍。</w:t>
      </w:r>
      <w:r>
        <w:rPr>
          <w:rFonts w:hint="eastAsia" w:hAnsi="方正仿宋_GBK" w:cs="方正仿宋_GBK"/>
        </w:rPr>
        <w:t>到</w:t>
      </w:r>
      <w:r>
        <w:t>2025</w:t>
      </w:r>
      <w:r>
        <w:rPr>
          <w:rFonts w:hint="eastAsia" w:hAnsi="方正仿宋_GBK" w:cs="方正仿宋_GBK"/>
        </w:rPr>
        <w:t>年，</w:t>
      </w:r>
      <w:r>
        <w:rPr>
          <w:rFonts w:hint="eastAsia" w:cs="方正仿宋_GBK"/>
        </w:rPr>
        <w:t>建成</w:t>
      </w:r>
      <w:r>
        <w:t>2</w:t>
      </w:r>
      <w:r>
        <w:rPr>
          <w:rFonts w:hint="eastAsia" w:cs="方正仿宋_GBK"/>
        </w:rPr>
        <w:t>个三级甲等医院、</w:t>
      </w:r>
      <w:r>
        <w:t>3</w:t>
      </w:r>
      <w:r>
        <w:rPr>
          <w:rFonts w:hint="eastAsia" w:cs="方正仿宋_GBK"/>
        </w:rPr>
        <w:t>－</w:t>
      </w:r>
      <w:r>
        <w:t>5</w:t>
      </w:r>
      <w:r>
        <w:rPr>
          <w:rFonts w:hint="eastAsia" w:cs="方正仿宋_GBK"/>
        </w:rPr>
        <w:t>个甲级乡镇卫生院（社区医院）、</w:t>
      </w:r>
      <w:r>
        <w:t>4</w:t>
      </w:r>
      <w:r>
        <w:rPr>
          <w:rFonts w:hint="eastAsia" w:cs="方正仿宋_GBK"/>
        </w:rPr>
        <w:t>个区域功能中心（职业病诊断和鉴定中心、疾病预防控制检验检测中心、中等卫生人才培训中心、血液中心），</w:t>
      </w:r>
      <w:r>
        <w:rPr>
          <w:rFonts w:hint="eastAsia" w:hAnsi="方正仿宋_GBK" w:cs="方正仿宋_GBK"/>
        </w:rPr>
        <w:t>本土培养、引</w:t>
      </w:r>
      <w:r>
        <w:rPr>
          <w:rFonts w:hint="eastAsia" w:cs="方正仿宋_GBK"/>
        </w:rPr>
        <w:t>进</w:t>
      </w:r>
      <w:r>
        <w:t>6</w:t>
      </w:r>
      <w:r>
        <w:rPr>
          <w:rFonts w:hint="eastAsia" w:cs="方正仿宋_GBK"/>
        </w:rPr>
        <w:t>医学博士或正高职称人才，新建</w:t>
      </w:r>
      <w:r>
        <w:t>5</w:t>
      </w:r>
      <w:r>
        <w:rPr>
          <w:rFonts w:hint="eastAsia" w:cs="方正仿宋_GBK"/>
        </w:rPr>
        <w:t>个市级重点</w:t>
      </w:r>
      <w:r>
        <w:t>/</w:t>
      </w:r>
      <w:r>
        <w:rPr>
          <w:rFonts w:hint="eastAsia" w:cs="方正仿宋_GBK"/>
        </w:rPr>
        <w:t>特色专科。力争实现小病不出乡、大病不出县。</w:t>
      </w:r>
    </w:p>
    <w:p w14:paraId="3F38FC50">
      <w:pPr>
        <w:spacing w:line="600" w:lineRule="exact"/>
        <w:ind w:firstLine="642"/>
      </w:pPr>
      <w:r>
        <w:rPr>
          <w:rFonts w:hint="eastAsia" w:cs="方正仿宋_GBK"/>
          <w:b/>
          <w:bCs/>
          <w:shd w:val="clear" w:color="auto" w:fill="FFFFFF"/>
        </w:rPr>
        <w:t>完善现代医疗服务体系。</w:t>
      </w:r>
      <w:r>
        <w:rPr>
          <w:rFonts w:hint="eastAsia" w:hAnsi="方正仿宋_GBK" w:cs="方正仿宋_GBK"/>
        </w:rPr>
        <w:t>构建以县级医院为龙头，乡镇卫生院（社区卫生服务中心）为枢纽，村卫生室为基础的医疗服务体系。加强县级公立医院对基层医疗卫生机构的人才和技术支持，通过建立县域医疗共同体，放大优质医疗资源的辐射效应，让优质医疗资源惠及全县人民。促进优质医疗资源向基层流动，深化城乡医院对口支援工作，积极推进远程医疗服务体系建设，加强县级临床病理诊断平台建设，推进区域资源整合，提升基层在检验、病理、影像、心电和消毒供应等方面的服务能力和水平。把基层医疗卫生机构打造成为政府履行基本卫生健康服务职能的平台、全科医生执业平台、居民获得基本公共卫生健康服务项目的服务平台、医养结合的支持平台。</w:t>
      </w:r>
    </w:p>
    <w:p w14:paraId="5DEF67BC">
      <w:pPr>
        <w:pStyle w:val="2"/>
        <w:spacing w:line="600" w:lineRule="exact"/>
        <w:jc w:val="center"/>
        <w:rPr>
          <w:rFonts w:ascii="Times New Roman" w:eastAsia="方正黑体_GBK" w:cs="Times New Roman"/>
          <w:color w:val="auto"/>
          <w:sz w:val="32"/>
          <w:szCs w:val="32"/>
        </w:rPr>
      </w:pPr>
      <w:r>
        <w:rPr>
          <w:rFonts w:hint="eastAsia" w:ascii="Times New Roman" w:hAnsi="方正黑体_GBK" w:eastAsia="方正黑体_GBK" w:cs="方正黑体_GBK"/>
          <w:color w:val="auto"/>
          <w:sz w:val="32"/>
          <w:szCs w:val="32"/>
        </w:rPr>
        <w:t>专栏</w:t>
      </w:r>
      <w:r>
        <w:rPr>
          <w:rFonts w:ascii="Times New Roman" w:eastAsia="方正黑体_GBK" w:cs="Times New Roman"/>
          <w:color w:val="auto"/>
          <w:sz w:val="32"/>
          <w:szCs w:val="32"/>
        </w:rPr>
        <w:t xml:space="preserve">2  </w:t>
      </w:r>
      <w:r>
        <w:rPr>
          <w:rFonts w:hint="eastAsia" w:ascii="Times New Roman" w:hAnsi="方正黑体_GBK" w:eastAsia="方正黑体_GBK" w:cs="方正黑体_GBK"/>
          <w:color w:val="auto"/>
          <w:sz w:val="32"/>
          <w:szCs w:val="32"/>
        </w:rPr>
        <w:t>公立医疗机构床位编制规划（张）</w:t>
      </w:r>
    </w:p>
    <w:tbl>
      <w:tblPr>
        <w:tblStyle w:val="15"/>
        <w:tblW w:w="8766" w:type="dxa"/>
        <w:jc w:val="center"/>
        <w:tblLayout w:type="fixed"/>
        <w:tblCellMar>
          <w:top w:w="0" w:type="dxa"/>
          <w:left w:w="0" w:type="dxa"/>
          <w:bottom w:w="0" w:type="dxa"/>
          <w:right w:w="0" w:type="dxa"/>
        </w:tblCellMar>
      </w:tblPr>
      <w:tblGrid>
        <w:gridCol w:w="990"/>
        <w:gridCol w:w="1851"/>
        <w:gridCol w:w="1440"/>
        <w:gridCol w:w="1299"/>
        <w:gridCol w:w="3186"/>
      </w:tblGrid>
      <w:tr w14:paraId="03636D61">
        <w:tblPrEx>
          <w:tblCellMar>
            <w:top w:w="0" w:type="dxa"/>
            <w:left w:w="0" w:type="dxa"/>
            <w:bottom w:w="0" w:type="dxa"/>
            <w:right w:w="0" w:type="dxa"/>
          </w:tblCellMar>
        </w:tblPrEx>
        <w:trPr>
          <w:trHeight w:val="315" w:hRule="atLeast"/>
          <w:jc w:val="center"/>
        </w:trPr>
        <w:tc>
          <w:tcPr>
            <w:tcW w:w="9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60E267">
            <w:pPr>
              <w:widowControl/>
              <w:spacing w:line="400" w:lineRule="exact"/>
              <w:jc w:val="center"/>
              <w:textAlignment w:val="center"/>
              <w:rPr>
                <w:rFonts w:eastAsia="方正黑体_GBK"/>
                <w:sz w:val="24"/>
                <w:szCs w:val="24"/>
              </w:rPr>
            </w:pPr>
            <w:r>
              <w:rPr>
                <w:rFonts w:hint="eastAsia" w:hAnsi="方正黑体_GBK" w:eastAsia="方正黑体_GBK" w:cs="方正黑体_GBK"/>
                <w:kern w:val="0"/>
                <w:sz w:val="24"/>
                <w:szCs w:val="24"/>
              </w:rPr>
              <w:t>序号</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72EC32">
            <w:pPr>
              <w:widowControl/>
              <w:spacing w:line="400" w:lineRule="exact"/>
              <w:jc w:val="center"/>
              <w:textAlignment w:val="center"/>
              <w:rPr>
                <w:rFonts w:eastAsia="方正黑体_GBK"/>
                <w:sz w:val="24"/>
                <w:szCs w:val="24"/>
              </w:rPr>
            </w:pPr>
            <w:r>
              <w:rPr>
                <w:rFonts w:hint="eastAsia" w:hAnsi="方正黑体_GBK" w:eastAsia="方正黑体_GBK" w:cs="方正黑体_GBK"/>
                <w:kern w:val="0"/>
                <w:sz w:val="24"/>
                <w:szCs w:val="24"/>
              </w:rPr>
              <w:t>单位名称</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696966">
            <w:pPr>
              <w:widowControl/>
              <w:spacing w:line="400" w:lineRule="exact"/>
              <w:jc w:val="center"/>
              <w:textAlignment w:val="center"/>
              <w:rPr>
                <w:rFonts w:eastAsia="方正黑体_GBK"/>
                <w:sz w:val="24"/>
                <w:szCs w:val="24"/>
              </w:rPr>
            </w:pPr>
            <w:r>
              <w:rPr>
                <w:rFonts w:eastAsia="方正黑体_GBK"/>
                <w:kern w:val="0"/>
                <w:sz w:val="24"/>
                <w:szCs w:val="24"/>
              </w:rPr>
              <w:t>2020</w:t>
            </w:r>
            <w:r>
              <w:rPr>
                <w:rFonts w:hint="eastAsia" w:hAnsi="方正黑体_GBK" w:eastAsia="方正黑体_GBK" w:cs="方正黑体_GBK"/>
                <w:kern w:val="0"/>
                <w:sz w:val="24"/>
                <w:szCs w:val="24"/>
              </w:rPr>
              <w:t>年</w:t>
            </w:r>
          </w:p>
        </w:tc>
        <w:tc>
          <w:tcPr>
            <w:tcW w:w="12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4B03C6">
            <w:pPr>
              <w:widowControl/>
              <w:spacing w:line="400" w:lineRule="exact"/>
              <w:jc w:val="center"/>
              <w:textAlignment w:val="center"/>
              <w:rPr>
                <w:rFonts w:eastAsia="方正黑体_GBK"/>
                <w:sz w:val="24"/>
                <w:szCs w:val="24"/>
              </w:rPr>
            </w:pPr>
            <w:r>
              <w:rPr>
                <w:rFonts w:eastAsia="方正黑体_GBK"/>
                <w:kern w:val="0"/>
                <w:sz w:val="24"/>
                <w:szCs w:val="24"/>
              </w:rPr>
              <w:t>2025</w:t>
            </w:r>
            <w:r>
              <w:rPr>
                <w:rFonts w:hint="eastAsia" w:hAnsi="方正黑体_GBK" w:eastAsia="方正黑体_GBK" w:cs="方正黑体_GBK"/>
                <w:kern w:val="0"/>
                <w:sz w:val="24"/>
                <w:szCs w:val="24"/>
              </w:rPr>
              <w:t>年</w:t>
            </w:r>
          </w:p>
        </w:tc>
        <w:tc>
          <w:tcPr>
            <w:tcW w:w="3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A370DC">
            <w:pPr>
              <w:widowControl/>
              <w:spacing w:line="400" w:lineRule="exact"/>
              <w:jc w:val="center"/>
              <w:textAlignment w:val="center"/>
              <w:rPr>
                <w:rFonts w:eastAsia="方正黑体_GBK"/>
                <w:sz w:val="24"/>
                <w:szCs w:val="24"/>
              </w:rPr>
            </w:pPr>
            <w:r>
              <w:rPr>
                <w:rFonts w:hint="eastAsia" w:hAnsi="方正黑体_GBK" w:eastAsia="方正黑体_GBK" w:cs="方正黑体_GBK"/>
                <w:kern w:val="0"/>
                <w:sz w:val="24"/>
                <w:szCs w:val="24"/>
              </w:rPr>
              <w:t>备注</w:t>
            </w:r>
          </w:p>
        </w:tc>
      </w:tr>
      <w:tr w14:paraId="5EABDE97">
        <w:tblPrEx>
          <w:tblCellMar>
            <w:top w:w="0" w:type="dxa"/>
            <w:left w:w="0" w:type="dxa"/>
            <w:bottom w:w="0" w:type="dxa"/>
            <w:right w:w="0" w:type="dxa"/>
          </w:tblCellMar>
        </w:tblPrEx>
        <w:trPr>
          <w:trHeight w:val="540" w:hRule="atLeast"/>
          <w:jc w:val="center"/>
        </w:trPr>
        <w:tc>
          <w:tcPr>
            <w:tcW w:w="9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D444AA">
            <w:pPr>
              <w:widowControl/>
              <w:spacing w:line="400" w:lineRule="exact"/>
              <w:jc w:val="center"/>
              <w:textAlignment w:val="center"/>
              <w:rPr>
                <w:sz w:val="24"/>
                <w:szCs w:val="24"/>
              </w:rPr>
            </w:pPr>
            <w:r>
              <w:rPr>
                <w:kern w:val="0"/>
                <w:sz w:val="24"/>
                <w:szCs w:val="24"/>
              </w:rPr>
              <w:t>1</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7A6E52">
            <w:pPr>
              <w:widowControl/>
              <w:spacing w:line="400" w:lineRule="exact"/>
              <w:jc w:val="center"/>
              <w:textAlignment w:val="center"/>
              <w:rPr>
                <w:sz w:val="24"/>
                <w:szCs w:val="24"/>
              </w:rPr>
            </w:pPr>
            <w:r>
              <w:rPr>
                <w:rFonts w:hint="eastAsia" w:hAnsi="方正仿宋_GBK" w:cs="方正仿宋_GBK"/>
                <w:kern w:val="0"/>
                <w:sz w:val="24"/>
                <w:szCs w:val="24"/>
              </w:rPr>
              <w:t>县人民医院</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A7726A">
            <w:pPr>
              <w:widowControl/>
              <w:spacing w:line="400" w:lineRule="exact"/>
              <w:jc w:val="center"/>
              <w:textAlignment w:val="center"/>
              <w:rPr>
                <w:sz w:val="24"/>
                <w:szCs w:val="24"/>
              </w:rPr>
            </w:pPr>
            <w:r>
              <w:rPr>
                <w:kern w:val="0"/>
                <w:sz w:val="24"/>
                <w:szCs w:val="24"/>
              </w:rPr>
              <w:t xml:space="preserve">900 </w:t>
            </w:r>
          </w:p>
        </w:tc>
        <w:tc>
          <w:tcPr>
            <w:tcW w:w="12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F6653E">
            <w:pPr>
              <w:widowControl/>
              <w:spacing w:line="400" w:lineRule="exact"/>
              <w:jc w:val="center"/>
              <w:textAlignment w:val="center"/>
              <w:rPr>
                <w:sz w:val="24"/>
                <w:szCs w:val="24"/>
              </w:rPr>
            </w:pPr>
            <w:r>
              <w:rPr>
                <w:kern w:val="0"/>
                <w:sz w:val="24"/>
                <w:szCs w:val="24"/>
              </w:rPr>
              <w:t>1780</w:t>
            </w:r>
          </w:p>
        </w:tc>
        <w:tc>
          <w:tcPr>
            <w:tcW w:w="3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20C974">
            <w:pPr>
              <w:widowControl/>
              <w:spacing w:line="400" w:lineRule="exact"/>
              <w:jc w:val="left"/>
              <w:textAlignment w:val="center"/>
              <w:rPr>
                <w:sz w:val="24"/>
                <w:szCs w:val="24"/>
              </w:rPr>
            </w:pPr>
            <w:r>
              <w:rPr>
                <w:rFonts w:hint="eastAsia" w:cs="方正仿宋_GBK"/>
                <w:kern w:val="0"/>
                <w:sz w:val="24"/>
                <w:szCs w:val="24"/>
              </w:rPr>
              <w:t>含精神卫生保健院、传染病分院、西城分院、滨江院区等</w:t>
            </w:r>
          </w:p>
        </w:tc>
      </w:tr>
      <w:tr w14:paraId="40BA2BF9">
        <w:tblPrEx>
          <w:tblCellMar>
            <w:top w:w="0" w:type="dxa"/>
            <w:left w:w="0" w:type="dxa"/>
            <w:bottom w:w="0" w:type="dxa"/>
            <w:right w:w="0" w:type="dxa"/>
          </w:tblCellMar>
        </w:tblPrEx>
        <w:trPr>
          <w:trHeight w:val="540" w:hRule="atLeast"/>
          <w:jc w:val="center"/>
        </w:trPr>
        <w:tc>
          <w:tcPr>
            <w:tcW w:w="9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01B0FF">
            <w:pPr>
              <w:widowControl/>
              <w:spacing w:line="400" w:lineRule="exact"/>
              <w:jc w:val="center"/>
              <w:textAlignment w:val="center"/>
              <w:rPr>
                <w:sz w:val="24"/>
                <w:szCs w:val="24"/>
              </w:rPr>
            </w:pPr>
            <w:r>
              <w:rPr>
                <w:kern w:val="0"/>
                <w:sz w:val="24"/>
                <w:szCs w:val="24"/>
              </w:rPr>
              <w:t>2</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7921A4">
            <w:pPr>
              <w:widowControl/>
              <w:spacing w:line="400" w:lineRule="exact"/>
              <w:jc w:val="center"/>
              <w:textAlignment w:val="center"/>
              <w:rPr>
                <w:sz w:val="24"/>
                <w:szCs w:val="24"/>
              </w:rPr>
            </w:pPr>
            <w:r>
              <w:rPr>
                <w:rFonts w:hint="eastAsia" w:hAnsi="方正仿宋_GBK" w:cs="方正仿宋_GBK"/>
                <w:kern w:val="0"/>
                <w:sz w:val="24"/>
                <w:szCs w:val="24"/>
              </w:rPr>
              <w:t>县中医院</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EC8214">
            <w:pPr>
              <w:widowControl/>
              <w:spacing w:line="400" w:lineRule="exact"/>
              <w:jc w:val="center"/>
              <w:textAlignment w:val="center"/>
              <w:rPr>
                <w:sz w:val="24"/>
                <w:szCs w:val="24"/>
              </w:rPr>
            </w:pPr>
            <w:r>
              <w:rPr>
                <w:kern w:val="0"/>
                <w:sz w:val="24"/>
                <w:szCs w:val="24"/>
              </w:rPr>
              <w:t xml:space="preserve">400 </w:t>
            </w:r>
          </w:p>
        </w:tc>
        <w:tc>
          <w:tcPr>
            <w:tcW w:w="12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90F3A8">
            <w:pPr>
              <w:widowControl/>
              <w:spacing w:line="400" w:lineRule="exact"/>
              <w:jc w:val="center"/>
              <w:textAlignment w:val="center"/>
              <w:rPr>
                <w:sz w:val="24"/>
                <w:szCs w:val="24"/>
              </w:rPr>
            </w:pPr>
            <w:r>
              <w:rPr>
                <w:kern w:val="0"/>
                <w:sz w:val="24"/>
                <w:szCs w:val="24"/>
              </w:rPr>
              <w:t xml:space="preserve">750 </w:t>
            </w:r>
          </w:p>
        </w:tc>
        <w:tc>
          <w:tcPr>
            <w:tcW w:w="3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C5FCA7">
            <w:pPr>
              <w:spacing w:line="400" w:lineRule="exact"/>
              <w:rPr>
                <w:sz w:val="24"/>
                <w:szCs w:val="24"/>
              </w:rPr>
            </w:pPr>
          </w:p>
        </w:tc>
      </w:tr>
      <w:tr w14:paraId="4F6190B0">
        <w:tblPrEx>
          <w:tblCellMar>
            <w:top w:w="0" w:type="dxa"/>
            <w:left w:w="0" w:type="dxa"/>
            <w:bottom w:w="0" w:type="dxa"/>
            <w:right w:w="0" w:type="dxa"/>
          </w:tblCellMar>
        </w:tblPrEx>
        <w:trPr>
          <w:trHeight w:val="540" w:hRule="atLeast"/>
          <w:jc w:val="center"/>
        </w:trPr>
        <w:tc>
          <w:tcPr>
            <w:tcW w:w="9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67D935">
            <w:pPr>
              <w:widowControl/>
              <w:spacing w:line="400" w:lineRule="exact"/>
              <w:jc w:val="center"/>
              <w:textAlignment w:val="center"/>
              <w:rPr>
                <w:sz w:val="24"/>
                <w:szCs w:val="24"/>
              </w:rPr>
            </w:pPr>
            <w:r>
              <w:rPr>
                <w:kern w:val="0"/>
                <w:sz w:val="24"/>
                <w:szCs w:val="24"/>
              </w:rPr>
              <w:t>3</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9F681D">
            <w:pPr>
              <w:widowControl/>
              <w:spacing w:line="400" w:lineRule="exact"/>
              <w:jc w:val="center"/>
              <w:textAlignment w:val="center"/>
              <w:rPr>
                <w:sz w:val="24"/>
                <w:szCs w:val="24"/>
              </w:rPr>
            </w:pPr>
            <w:r>
              <w:rPr>
                <w:rFonts w:hint="eastAsia" w:hAnsi="方正仿宋_GBK" w:cs="方正仿宋_GBK"/>
                <w:kern w:val="0"/>
                <w:sz w:val="24"/>
                <w:szCs w:val="24"/>
              </w:rPr>
              <w:t>县妇幼保健院</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5AD32F">
            <w:pPr>
              <w:widowControl/>
              <w:spacing w:line="400" w:lineRule="exact"/>
              <w:jc w:val="center"/>
              <w:textAlignment w:val="center"/>
              <w:rPr>
                <w:sz w:val="24"/>
                <w:szCs w:val="24"/>
              </w:rPr>
            </w:pPr>
            <w:r>
              <w:rPr>
                <w:kern w:val="0"/>
                <w:sz w:val="24"/>
                <w:szCs w:val="24"/>
              </w:rPr>
              <w:t xml:space="preserve">200 </w:t>
            </w:r>
          </w:p>
        </w:tc>
        <w:tc>
          <w:tcPr>
            <w:tcW w:w="12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208530">
            <w:pPr>
              <w:widowControl/>
              <w:spacing w:line="400" w:lineRule="exact"/>
              <w:jc w:val="center"/>
              <w:textAlignment w:val="center"/>
              <w:rPr>
                <w:sz w:val="24"/>
                <w:szCs w:val="24"/>
              </w:rPr>
            </w:pPr>
            <w:r>
              <w:rPr>
                <w:kern w:val="0"/>
                <w:sz w:val="24"/>
                <w:szCs w:val="24"/>
              </w:rPr>
              <w:t xml:space="preserve">450 </w:t>
            </w:r>
          </w:p>
        </w:tc>
        <w:tc>
          <w:tcPr>
            <w:tcW w:w="3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ED369E">
            <w:pPr>
              <w:spacing w:line="400" w:lineRule="exact"/>
              <w:rPr>
                <w:sz w:val="24"/>
                <w:szCs w:val="24"/>
              </w:rPr>
            </w:pPr>
          </w:p>
        </w:tc>
      </w:tr>
      <w:tr w14:paraId="5CEEE235">
        <w:tblPrEx>
          <w:tblCellMar>
            <w:top w:w="0" w:type="dxa"/>
            <w:left w:w="0" w:type="dxa"/>
            <w:bottom w:w="0" w:type="dxa"/>
            <w:right w:w="0" w:type="dxa"/>
          </w:tblCellMar>
        </w:tblPrEx>
        <w:trPr>
          <w:trHeight w:val="540" w:hRule="atLeast"/>
          <w:jc w:val="center"/>
        </w:trPr>
        <w:tc>
          <w:tcPr>
            <w:tcW w:w="9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DEA161">
            <w:pPr>
              <w:widowControl/>
              <w:spacing w:line="400" w:lineRule="exact"/>
              <w:jc w:val="center"/>
              <w:textAlignment w:val="center"/>
              <w:rPr>
                <w:sz w:val="24"/>
                <w:szCs w:val="24"/>
              </w:rPr>
            </w:pPr>
            <w:r>
              <w:rPr>
                <w:kern w:val="0"/>
                <w:sz w:val="24"/>
                <w:szCs w:val="24"/>
              </w:rPr>
              <w:t>4</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A70C54">
            <w:pPr>
              <w:widowControl/>
              <w:spacing w:line="400" w:lineRule="exact"/>
              <w:jc w:val="center"/>
              <w:textAlignment w:val="center"/>
              <w:rPr>
                <w:sz w:val="24"/>
                <w:szCs w:val="24"/>
              </w:rPr>
            </w:pPr>
            <w:r>
              <w:rPr>
                <w:rFonts w:hint="eastAsia" w:hAnsi="方正仿宋_GBK" w:cs="方正仿宋_GBK"/>
                <w:kern w:val="0"/>
                <w:sz w:val="24"/>
                <w:szCs w:val="24"/>
              </w:rPr>
              <w:t>基层医疗机构</w:t>
            </w: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5F824C">
            <w:pPr>
              <w:widowControl/>
              <w:spacing w:line="400" w:lineRule="exact"/>
              <w:jc w:val="center"/>
              <w:textAlignment w:val="center"/>
              <w:rPr>
                <w:sz w:val="24"/>
                <w:szCs w:val="24"/>
              </w:rPr>
            </w:pPr>
            <w:r>
              <w:rPr>
                <w:kern w:val="0"/>
                <w:sz w:val="24"/>
                <w:szCs w:val="24"/>
              </w:rPr>
              <w:t xml:space="preserve">2425 </w:t>
            </w:r>
          </w:p>
        </w:tc>
        <w:tc>
          <w:tcPr>
            <w:tcW w:w="12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64CED6">
            <w:pPr>
              <w:widowControl/>
              <w:spacing w:line="400" w:lineRule="exact"/>
              <w:jc w:val="center"/>
              <w:textAlignment w:val="center"/>
              <w:rPr>
                <w:sz w:val="24"/>
                <w:szCs w:val="24"/>
              </w:rPr>
            </w:pPr>
            <w:r>
              <w:rPr>
                <w:kern w:val="0"/>
                <w:sz w:val="24"/>
                <w:szCs w:val="24"/>
              </w:rPr>
              <w:t xml:space="preserve">2660 </w:t>
            </w:r>
          </w:p>
        </w:tc>
        <w:tc>
          <w:tcPr>
            <w:tcW w:w="3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55CF93">
            <w:pPr>
              <w:spacing w:line="400" w:lineRule="exact"/>
              <w:rPr>
                <w:sz w:val="24"/>
                <w:szCs w:val="24"/>
              </w:rPr>
            </w:pPr>
          </w:p>
        </w:tc>
      </w:tr>
      <w:tr w14:paraId="644089B2">
        <w:tblPrEx>
          <w:tblCellMar>
            <w:top w:w="0" w:type="dxa"/>
            <w:left w:w="0" w:type="dxa"/>
            <w:bottom w:w="0" w:type="dxa"/>
            <w:right w:w="0" w:type="dxa"/>
          </w:tblCellMar>
        </w:tblPrEx>
        <w:trPr>
          <w:trHeight w:val="540" w:hRule="atLeast"/>
          <w:jc w:val="center"/>
        </w:trPr>
        <w:tc>
          <w:tcPr>
            <w:tcW w:w="9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A3487D">
            <w:pPr>
              <w:widowControl/>
              <w:spacing w:line="400" w:lineRule="exact"/>
              <w:jc w:val="center"/>
              <w:textAlignment w:val="center"/>
              <w:rPr>
                <w:sz w:val="24"/>
                <w:szCs w:val="24"/>
              </w:rPr>
            </w:pPr>
            <w:r>
              <w:rPr>
                <w:rFonts w:hint="eastAsia" w:hAnsi="方正仿宋_GBK" w:cs="方正仿宋_GBK"/>
                <w:kern w:val="0"/>
                <w:sz w:val="24"/>
                <w:szCs w:val="24"/>
              </w:rPr>
              <w:t>合计</w:t>
            </w:r>
          </w:p>
        </w:tc>
        <w:tc>
          <w:tcPr>
            <w:tcW w:w="185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964682">
            <w:pPr>
              <w:spacing w:line="400" w:lineRule="exact"/>
              <w:rPr>
                <w:sz w:val="24"/>
                <w:szCs w:val="24"/>
              </w:rPr>
            </w:pPr>
          </w:p>
        </w:tc>
        <w:tc>
          <w:tcPr>
            <w:tcW w:w="14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A33105">
            <w:pPr>
              <w:widowControl/>
              <w:spacing w:line="400" w:lineRule="exact"/>
              <w:jc w:val="center"/>
              <w:textAlignment w:val="center"/>
              <w:rPr>
                <w:sz w:val="24"/>
                <w:szCs w:val="24"/>
              </w:rPr>
            </w:pPr>
            <w:r>
              <w:rPr>
                <w:kern w:val="0"/>
                <w:sz w:val="24"/>
                <w:szCs w:val="24"/>
              </w:rPr>
              <w:t xml:space="preserve">3925 </w:t>
            </w:r>
          </w:p>
        </w:tc>
        <w:tc>
          <w:tcPr>
            <w:tcW w:w="129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B88AB64">
            <w:pPr>
              <w:widowControl/>
              <w:spacing w:line="400" w:lineRule="exact"/>
              <w:jc w:val="center"/>
              <w:textAlignment w:val="center"/>
              <w:rPr>
                <w:sz w:val="24"/>
                <w:szCs w:val="24"/>
              </w:rPr>
            </w:pPr>
            <w:r>
              <w:rPr>
                <w:kern w:val="0"/>
                <w:sz w:val="24"/>
                <w:szCs w:val="24"/>
              </w:rPr>
              <w:t>5640</w:t>
            </w:r>
          </w:p>
        </w:tc>
        <w:tc>
          <w:tcPr>
            <w:tcW w:w="318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0ECD272">
            <w:pPr>
              <w:spacing w:line="400" w:lineRule="exact"/>
              <w:rPr>
                <w:sz w:val="24"/>
                <w:szCs w:val="24"/>
              </w:rPr>
            </w:pPr>
          </w:p>
        </w:tc>
      </w:tr>
    </w:tbl>
    <w:p w14:paraId="03E071A8">
      <w:pPr>
        <w:spacing w:line="600" w:lineRule="exact"/>
      </w:pPr>
      <w:r>
        <w:rPr>
          <w:b/>
          <w:bCs/>
        </w:rPr>
        <w:t xml:space="preserve">    </w:t>
      </w:r>
      <w:r>
        <w:rPr>
          <w:rFonts w:hint="eastAsia" w:hAnsi="方正仿宋_GBK" w:cs="方正仿宋_GBK"/>
          <w:b/>
          <w:bCs/>
        </w:rPr>
        <w:t>调整完善县级医疗机构布局</w:t>
      </w:r>
      <w:r>
        <w:rPr>
          <w:rFonts w:hint="eastAsia" w:hAnsi="方正仿宋_GBK" w:cs="方正仿宋_GBK"/>
        </w:rPr>
        <w:t>。县人民医院在县城西部建设西城分院、在现殡仪馆处建设滨江院区，做强三级甲等综合性医院。建设县中医院扩建工程，创建三级甲等中医医院。建设县妇女儿童医院，按照三级妇幼保健院的标准进行学科建设和人才储备。推进中心血站标准化、智慧化建设和规范化管理，强化血液供应保障和应急调配能力。根据功能定位、医疗技术水平、学科发展和群众健康需求，坚持资源共享和阶梯配置原则，引导医疗机构合理配置适宜设备。</w:t>
      </w:r>
    </w:p>
    <w:p w14:paraId="5A31A3D8">
      <w:pPr>
        <w:spacing w:line="600" w:lineRule="exact"/>
        <w:ind w:firstLine="640" w:firstLineChars="200"/>
      </w:pPr>
      <w:r>
        <w:rPr>
          <w:rFonts w:hint="eastAsia" w:hAnsi="方正仿宋_GBK" w:cs="方正仿宋_GBK"/>
          <w:b/>
          <w:bCs/>
        </w:rPr>
        <w:t>完善基层医疗服务网络。</w:t>
      </w:r>
      <w:r>
        <w:rPr>
          <w:rFonts w:hint="eastAsia" w:hAnsi="方正仿宋_GBK" w:cs="方正仿宋_GBK"/>
        </w:rPr>
        <w:t>将基层医疗卫生服务体系纳入乡村振兴战略全局统筹推进，每个乡镇（街道）设置</w:t>
      </w:r>
      <w:r>
        <w:t>1</w:t>
      </w:r>
      <w:r>
        <w:rPr>
          <w:rFonts w:hint="eastAsia" w:hAnsi="方正仿宋_GBK" w:cs="方正仿宋_GBK"/>
        </w:rPr>
        <w:t>个标准化卫生院（社区卫生服务中心），每个行政村设置</w:t>
      </w:r>
      <w:r>
        <w:t>1</w:t>
      </w:r>
      <w:r>
        <w:rPr>
          <w:rFonts w:hint="eastAsia" w:hAnsi="方正仿宋_GBK" w:cs="方正仿宋_GBK"/>
        </w:rPr>
        <w:t>个标准村卫生室。完善夔州街道社区卫生服务中心业务用房建设。在兴隆镇建设奉节</w:t>
      </w:r>
      <w:r>
        <w:rPr>
          <w:rFonts w:hint="eastAsia" w:cs="方正仿宋_GBK"/>
        </w:rPr>
        <w:t>县第二人民医院</w:t>
      </w:r>
      <w:r>
        <w:rPr>
          <w:rFonts w:hint="eastAsia" w:hAnsi="方正仿宋_GBK" w:cs="方正仿宋_GBK"/>
        </w:rPr>
        <w:t>，</w:t>
      </w:r>
      <w:r>
        <w:rPr>
          <w:rFonts w:hint="eastAsia" w:cs="方正仿宋_GBK"/>
        </w:rPr>
        <w:t>创建成以中医药服务、康复疗养为特色的医养结合型二级甲等综合性医院。重点推进兴隆、吐祥、甲高、康乐、公平、竹园、羊市、鹤峰等乡镇卫生院的迁建、改扩建项目，</w:t>
      </w:r>
      <w:r>
        <w:rPr>
          <w:rFonts w:hint="eastAsia" w:hAnsi="方正仿宋_GBK" w:cs="方正仿宋_GBK"/>
        </w:rPr>
        <w:t>视</w:t>
      </w:r>
      <w:r>
        <w:rPr>
          <w:rFonts w:hint="eastAsia" w:hAnsi="方正仿宋_GBK" w:cs="方正仿宋_GBK"/>
          <w:kern w:val="0"/>
        </w:rPr>
        <w:t>政策资金情况有序推进</w:t>
      </w:r>
      <w:r>
        <w:rPr>
          <w:rFonts w:hint="eastAsia" w:cs="方正仿宋_GBK"/>
        </w:rPr>
        <w:t>大树、青莲、五马、长安、云雾等</w:t>
      </w:r>
      <w:r>
        <w:rPr>
          <w:rFonts w:hint="eastAsia" w:hAnsi="方正仿宋_GBK" w:cs="方正仿宋_GBK"/>
          <w:kern w:val="0"/>
        </w:rPr>
        <w:t>其他基层医疗卫生机构的改扩建项目建设</w:t>
      </w:r>
      <w:r>
        <w:rPr>
          <w:rFonts w:hint="eastAsia" w:cs="方正仿宋_GBK"/>
        </w:rPr>
        <w:t>。</w:t>
      </w:r>
      <w:r>
        <w:rPr>
          <w:rFonts w:hint="eastAsia" w:hAnsi="方正仿宋_GBK" w:cs="方正仿宋_GBK"/>
        </w:rPr>
        <w:t>开展甲级乡镇卫生院（社区卫生服务中心）创建工作，打造兴隆、吐祥、甲高、竹园、公平、康乐等</w:t>
      </w:r>
      <w:r>
        <w:t>6</w:t>
      </w:r>
      <w:r>
        <w:rPr>
          <w:rFonts w:hint="eastAsia" w:hAnsi="方正仿宋_GBK" w:cs="方正仿宋_GBK"/>
        </w:rPr>
        <w:t>个县域医疗次中心。</w:t>
      </w:r>
    </w:p>
    <w:p w14:paraId="3107418B">
      <w:pPr>
        <w:shd w:val="clear" w:color="auto" w:fill="FFFFFF"/>
        <w:spacing w:line="600" w:lineRule="exact"/>
        <w:ind w:firstLine="640"/>
      </w:pPr>
      <w:r>
        <w:rPr>
          <w:rFonts w:hint="eastAsia" w:cs="方正仿宋_GBK"/>
          <w:b/>
          <w:bCs/>
        </w:rPr>
        <w:t>提升基层医疗服务能力。</w:t>
      </w:r>
      <w:r>
        <w:rPr>
          <w:rFonts w:hint="eastAsia" w:cs="方正仿宋_GBK"/>
        </w:rPr>
        <w:t>加强</w:t>
      </w:r>
      <w:r>
        <w:t>DR</w:t>
      </w:r>
      <w:r>
        <w:rPr>
          <w:rFonts w:hint="eastAsia" w:cs="方正仿宋_GBK"/>
        </w:rPr>
        <w:t>、彩超、胃镜等老旧短缺设备采购更新力度，提高基层医疗机构设备阶梯配置水平。提升乡镇卫生院（社区卫生服务中心）急诊急救、二级以下常规手术、高危孕产妇筛查中医诊疗等基本医疗服务能力，强化内科、儿科等科室建设，特色科室达到</w:t>
      </w:r>
      <w:r>
        <w:t>30%</w:t>
      </w:r>
      <w:r>
        <w:rPr>
          <w:rFonts w:hint="eastAsia" w:cs="方正仿宋_GBK"/>
        </w:rPr>
        <w:t>。推进乡镇卫生院（社区卫生服务中心）中医馆全覆盖，建设</w:t>
      </w:r>
      <w:r>
        <w:t>“</w:t>
      </w:r>
      <w:r>
        <w:rPr>
          <w:rFonts w:hint="eastAsia" w:cs="方正仿宋_GBK"/>
        </w:rPr>
        <w:t>旗舰</w:t>
      </w:r>
      <w:r>
        <w:t>”</w:t>
      </w:r>
      <w:r>
        <w:rPr>
          <w:rFonts w:hint="eastAsia" w:cs="方正仿宋_GBK"/>
        </w:rPr>
        <w:t>中医馆</w:t>
      </w:r>
      <w:r>
        <w:t>4</w:t>
      </w:r>
      <w:r>
        <w:rPr>
          <w:rFonts w:hint="eastAsia" w:cs="方正仿宋_GBK"/>
        </w:rPr>
        <w:t>个，中医诊疗量占比</w:t>
      </w:r>
      <w:r>
        <w:t>30%</w:t>
      </w:r>
      <w:r>
        <w:rPr>
          <w:rFonts w:hint="eastAsia" w:cs="方正仿宋_GBK"/>
        </w:rPr>
        <w:t>以上。</w:t>
      </w:r>
    </w:p>
    <w:p w14:paraId="4D3E81C8">
      <w:pPr>
        <w:shd w:val="clear" w:color="auto" w:fill="FFFFFF"/>
        <w:spacing w:line="600" w:lineRule="exact"/>
        <w:ind w:firstLine="640"/>
      </w:pPr>
      <w:r>
        <w:rPr>
          <w:rFonts w:hint="eastAsia" w:hAnsi="方正仿宋_GBK" w:cs="方正仿宋_GBK"/>
          <w:b/>
          <w:bCs/>
        </w:rPr>
        <w:t>加强短缺医疗卫生资源配置</w:t>
      </w:r>
      <w:r>
        <w:rPr>
          <w:rFonts w:hint="eastAsia" w:hAnsi="方正仿宋_GBK" w:cs="方正仿宋_GBK"/>
        </w:rPr>
        <w:t>。打造覆盖疾病急性期、稳定期和恢复期的全程康复医疗服务体系，通过新建或现有医院转型增加康复医疗资源。增加和优化精神卫生床位配置，提升基层精神卫生服务能力。全面加强儿童健康服务，县级公立医院都要开展儿科服务，基层医疗卫生机构要依托全科门诊，提升儿科诊疗服务能力。加强以安全和质量为核心的产科能力建设，</w:t>
      </w:r>
      <w:r>
        <w:rPr>
          <w:rFonts w:hint="eastAsia" w:cs="方正仿宋_GBK"/>
        </w:rPr>
        <w:t>加快危重孕产妇救治中心、危重新生儿救治中心建设进度，</w:t>
      </w:r>
      <w:r>
        <w:rPr>
          <w:rFonts w:hint="eastAsia" w:hAnsi="方正仿宋_GBK" w:cs="方正仿宋_GBK"/>
        </w:rPr>
        <w:t>进一步降低孕产妇和婴儿死亡率。</w:t>
      </w:r>
    </w:p>
    <w:p w14:paraId="6F657DF4">
      <w:pPr>
        <w:shd w:val="clear" w:color="auto" w:fill="FFFFFF"/>
        <w:spacing w:line="600" w:lineRule="exact"/>
        <w:ind w:firstLine="640"/>
      </w:pPr>
      <w:r>
        <w:rPr>
          <w:rFonts w:hint="eastAsia" w:hAnsi="方正仿宋_GBK" w:cs="方正仿宋_GBK"/>
          <w:b/>
          <w:bCs/>
        </w:rPr>
        <w:t>加强医疗质量管理。</w:t>
      </w:r>
      <w:r>
        <w:rPr>
          <w:rFonts w:hint="eastAsia" w:hAnsi="方正仿宋_GBK" w:cs="方正仿宋_GBK"/>
        </w:rPr>
        <w:t>建立科学的医疗管理绩效评价机制、医疗质量控制动态监测和反馈机制。加强医师执业管理，健全医师定期考核制度。规范诊疗行为，</w:t>
      </w:r>
      <w:r>
        <w:rPr>
          <w:rFonts w:hint="eastAsia" w:cs="方正仿宋_GBK"/>
        </w:rPr>
        <w:t>扩大临床路径实施范围</w:t>
      </w:r>
      <w:r>
        <w:rPr>
          <w:rFonts w:hint="eastAsia" w:hAnsi="方正仿宋_GBK" w:cs="方正仿宋_GBK"/>
        </w:rPr>
        <w:t>，推进预约诊疗，推行日间手术。推广</w:t>
      </w:r>
      <w:r>
        <w:rPr>
          <w:rFonts w:hint="eastAsia" w:cs="方正仿宋_GBK"/>
        </w:rPr>
        <w:t>多学科联合诊疗</w:t>
      </w:r>
      <w:r>
        <w:rPr>
          <w:rFonts w:hint="eastAsia" w:hAnsi="方正仿宋_GBK" w:cs="方正仿宋_GBK"/>
        </w:rPr>
        <w:t>，将麻醉、医学检验、医学影像、病理、药学等专业技术人员纳入多学科诊疗团队。</w:t>
      </w:r>
    </w:p>
    <w:p w14:paraId="49CEA88C">
      <w:pPr>
        <w:spacing w:line="600" w:lineRule="exact"/>
        <w:ind w:firstLine="640" w:firstLineChars="200"/>
      </w:pPr>
      <w:r>
        <w:rPr>
          <w:rFonts w:hint="eastAsia" w:hAnsi="方正仿宋_GBK" w:cs="方正仿宋_GBK"/>
          <w:b/>
          <w:bCs/>
        </w:rPr>
        <w:t>持续优化护理服务。</w:t>
      </w:r>
      <w:r>
        <w:rPr>
          <w:rFonts w:hint="eastAsia" w:hAnsi="方正仿宋_GBK" w:cs="方正仿宋_GBK"/>
        </w:rPr>
        <w:t>建立优质高效的护理服务体系，促进上级医院优质护理资源下沉，帮扶带动接续性医疗机构和基层护理服务能力提升。加强护理从业人员培养和队伍建设，增加护士配备，医护配比合理均衡</w:t>
      </w:r>
      <w:r>
        <w:rPr>
          <w:rFonts w:hint="eastAsia" w:cs="方正仿宋_GBK"/>
        </w:rPr>
        <w:t>。</w:t>
      </w:r>
      <w:r>
        <w:rPr>
          <w:rFonts w:hint="eastAsia" w:hAnsi="方正仿宋_GBK" w:cs="方正仿宋_GBK"/>
        </w:rPr>
        <w:t>创新护理服务模式，持续开展优质护理服务扩面提质，提高基层医疗机构开展优质护理服务比例，逐步推进延续性护理服务。加强护理学科和中医护理能力建设，加强护理质量安全管理，提升中医护理服务水平。</w:t>
      </w:r>
    </w:p>
    <w:p w14:paraId="5F7B2062">
      <w:pPr>
        <w:widowControl/>
        <w:spacing w:line="600" w:lineRule="exact"/>
        <w:ind w:firstLine="640" w:firstLineChars="200"/>
        <w:textAlignment w:val="baseline"/>
        <w:rPr>
          <w:kern w:val="0"/>
        </w:rPr>
      </w:pPr>
      <w:r>
        <w:rPr>
          <w:rFonts w:hint="eastAsia" w:hAnsi="方正仿宋_GBK" w:cs="方正仿宋_GBK"/>
          <w:b/>
          <w:bCs/>
          <w:kern w:val="0"/>
        </w:rPr>
        <w:t>加强药学服务能力建设。</w:t>
      </w:r>
      <w:r>
        <w:rPr>
          <w:rFonts w:hint="eastAsia" w:hAnsi="方正仿宋_GBK" w:cs="方正仿宋_GBK"/>
          <w:kern w:val="0"/>
        </w:rPr>
        <w:t>完善药事管理与药物治疗学委员会制度，</w:t>
      </w:r>
      <w:r>
        <w:rPr>
          <w:rFonts w:hint="eastAsia" w:cs="方正仿宋_GBK"/>
        </w:rPr>
        <w:t>加快推广临床药师工作制度</w:t>
      </w:r>
      <w:r>
        <w:rPr>
          <w:rFonts w:hint="eastAsia" w:hAnsi="方正仿宋_GBK" w:cs="方正仿宋_GBK"/>
          <w:kern w:val="0"/>
        </w:rPr>
        <w:t>，试点建立总药师制度。加强药房、静脉配置中心标准化建设，开设药学或医药联合门诊。加大临床药师培养力度，每百张床位临床药师数达到</w:t>
      </w:r>
      <w:r>
        <w:rPr>
          <w:kern w:val="0"/>
        </w:rPr>
        <w:t>0.7</w:t>
      </w:r>
      <w:r>
        <w:rPr>
          <w:rFonts w:hint="eastAsia" w:hAnsi="方正仿宋_GBK" w:cs="方正仿宋_GBK"/>
          <w:kern w:val="0"/>
        </w:rPr>
        <w:t>人，探索开展中医临床药师和社区临床药师培养工作。开展处方医嘱审核，推行临床药师驻科服务，规范用药行为，促进合理用药，三级公立医院住院抗菌药物使用强度（</w:t>
      </w:r>
      <w:r>
        <w:rPr>
          <w:kern w:val="0"/>
        </w:rPr>
        <w:t>DDDs</w:t>
      </w:r>
      <w:r>
        <w:rPr>
          <w:rFonts w:hint="eastAsia" w:hAnsi="方正仿宋_GBK" w:cs="方正仿宋_GBK"/>
          <w:kern w:val="0"/>
        </w:rPr>
        <w:t>）降低到</w:t>
      </w:r>
      <w:r>
        <w:rPr>
          <w:kern w:val="0"/>
        </w:rPr>
        <w:t>38</w:t>
      </w:r>
      <w:r>
        <w:rPr>
          <w:rFonts w:hint="eastAsia" w:hAnsi="方正仿宋_GBK" w:cs="方正仿宋_GBK"/>
          <w:kern w:val="0"/>
        </w:rPr>
        <w:t>以下。探索在医共体内统一药事管理和药学服务。</w:t>
      </w:r>
    </w:p>
    <w:p w14:paraId="5A8553F0">
      <w:pPr>
        <w:pStyle w:val="2"/>
        <w:spacing w:line="600" w:lineRule="exact"/>
        <w:ind w:firstLine="627" w:firstLineChars="196"/>
        <w:rPr>
          <w:rFonts w:ascii="Times New Roman" w:eastAsia="方正仿宋_GBK" w:cs="Times New Roman"/>
          <w:color w:val="auto"/>
          <w:sz w:val="32"/>
          <w:szCs w:val="32"/>
        </w:rPr>
      </w:pPr>
      <w:r>
        <w:rPr>
          <w:rFonts w:hint="eastAsia" w:ascii="Times New Roman" w:hAnsi="方正仿宋_GBK" w:eastAsia="方正仿宋_GBK" w:cs="方正仿宋_GBK"/>
          <w:b/>
          <w:bCs/>
          <w:color w:val="auto"/>
          <w:sz w:val="32"/>
          <w:szCs w:val="32"/>
        </w:rPr>
        <w:t>统筹推进</w:t>
      </w:r>
      <w:r>
        <w:rPr>
          <w:rFonts w:ascii="Times New Roman" w:eastAsia="方正仿宋_GBK" w:cs="Times New Roman"/>
          <w:b/>
          <w:bCs/>
          <w:color w:val="auto"/>
          <w:sz w:val="32"/>
          <w:szCs w:val="32"/>
        </w:rPr>
        <w:t>“</w:t>
      </w:r>
      <w:r>
        <w:rPr>
          <w:rFonts w:hint="eastAsia" w:ascii="Times New Roman" w:hAnsi="方正仿宋_GBK" w:eastAsia="方正仿宋_GBK" w:cs="方正仿宋_GBK"/>
          <w:b/>
          <w:bCs/>
          <w:color w:val="auto"/>
          <w:sz w:val="32"/>
          <w:szCs w:val="32"/>
        </w:rPr>
        <w:t>美丽医院</w:t>
      </w:r>
      <w:r>
        <w:rPr>
          <w:rFonts w:ascii="Times New Roman" w:eastAsia="方正仿宋_GBK" w:cs="Times New Roman"/>
          <w:b/>
          <w:bCs/>
          <w:color w:val="auto"/>
          <w:sz w:val="32"/>
          <w:szCs w:val="32"/>
        </w:rPr>
        <w:t>”</w:t>
      </w:r>
      <w:r>
        <w:rPr>
          <w:rFonts w:hint="eastAsia" w:ascii="Times New Roman" w:hAnsi="方正仿宋_GBK" w:eastAsia="方正仿宋_GBK" w:cs="方正仿宋_GBK"/>
          <w:b/>
          <w:bCs/>
          <w:color w:val="auto"/>
          <w:sz w:val="32"/>
          <w:szCs w:val="32"/>
        </w:rPr>
        <w:t>建设</w:t>
      </w:r>
      <w:r>
        <w:rPr>
          <w:rFonts w:hint="eastAsia" w:ascii="Times New Roman" w:hAnsi="方正仿宋_GBK" w:eastAsia="方正仿宋_GBK" w:cs="方正仿宋_GBK"/>
          <w:color w:val="auto"/>
          <w:sz w:val="32"/>
          <w:szCs w:val="32"/>
        </w:rPr>
        <w:t>。聚焦</w:t>
      </w:r>
      <w:r>
        <w:rPr>
          <w:rFonts w:ascii="Times New Roman" w:eastAsia="方正仿宋_GBK" w:cs="Times New Roman"/>
          <w:color w:val="auto"/>
          <w:sz w:val="32"/>
          <w:szCs w:val="32"/>
        </w:rPr>
        <w:t>“</w:t>
      </w:r>
      <w:r>
        <w:rPr>
          <w:rFonts w:hint="eastAsia" w:ascii="Times New Roman" w:hAnsi="方正仿宋_GBK" w:eastAsia="方正仿宋_GBK" w:cs="方正仿宋_GBK"/>
          <w:color w:val="auto"/>
          <w:sz w:val="32"/>
          <w:szCs w:val="32"/>
        </w:rPr>
        <w:t>环境美</w:t>
      </w:r>
      <w:r>
        <w:rPr>
          <w:rFonts w:ascii="Times New Roman" w:eastAsia="方正仿宋_GBK" w:cs="Times New Roman"/>
          <w:color w:val="auto"/>
          <w:sz w:val="32"/>
          <w:szCs w:val="32"/>
        </w:rPr>
        <w:t>”“</w:t>
      </w:r>
      <w:r>
        <w:rPr>
          <w:rFonts w:hint="eastAsia" w:ascii="Times New Roman" w:hAnsi="方正仿宋_GBK" w:eastAsia="方正仿宋_GBK" w:cs="方正仿宋_GBK"/>
          <w:color w:val="auto"/>
          <w:sz w:val="32"/>
          <w:szCs w:val="32"/>
        </w:rPr>
        <w:t>服务美</w:t>
      </w:r>
      <w:r>
        <w:rPr>
          <w:rFonts w:ascii="Times New Roman" w:eastAsia="方正仿宋_GBK" w:cs="Times New Roman"/>
          <w:color w:val="auto"/>
          <w:sz w:val="32"/>
          <w:szCs w:val="32"/>
        </w:rPr>
        <w:t>”</w:t>
      </w:r>
      <w:r>
        <w:rPr>
          <w:rFonts w:hint="eastAsia" w:ascii="Times New Roman" w:hAnsi="方正仿宋_GBK" w:eastAsia="方正仿宋_GBK" w:cs="方正仿宋_GBK"/>
          <w:color w:val="auto"/>
          <w:sz w:val="32"/>
          <w:szCs w:val="32"/>
        </w:rPr>
        <w:t>人文美</w:t>
      </w:r>
      <w:r>
        <w:rPr>
          <w:rFonts w:ascii="Times New Roman" w:eastAsia="方正仿宋_GBK" w:cs="Times New Roman"/>
          <w:color w:val="auto"/>
          <w:sz w:val="32"/>
          <w:szCs w:val="32"/>
        </w:rPr>
        <w:t>”</w:t>
      </w:r>
      <w:r>
        <w:rPr>
          <w:rFonts w:hint="eastAsia" w:ascii="Times New Roman" w:hAnsi="方正仿宋_GBK" w:eastAsia="方正仿宋_GBK" w:cs="方正仿宋_GBK"/>
          <w:color w:val="auto"/>
          <w:sz w:val="32"/>
          <w:szCs w:val="32"/>
        </w:rPr>
        <w:t>，持续提升就医环境、医疗服务和人文环境。聚焦绿色低碳发展，开展医院绿色建筑创建行动。持续抓好医疗污水和医疗废弃物规范处置，加强生活垃圾源头减量，推进节能降耗示范单位、生态文明示范单位创建。推动深入实施新一轮改善医疗服务行动，加强专科建设，提升诊疗能力和救治水平，健全预约诊疗、检查检验结果互认等便民服务措施。持续推进二级以上医院</w:t>
      </w:r>
      <w:r>
        <w:rPr>
          <w:rFonts w:ascii="Times New Roman" w:eastAsia="方正仿宋_GBK" w:cs="Times New Roman"/>
          <w:color w:val="auto"/>
          <w:sz w:val="32"/>
          <w:szCs w:val="32"/>
        </w:rPr>
        <w:t>“</w:t>
      </w:r>
      <w:r>
        <w:rPr>
          <w:rFonts w:hint="eastAsia" w:ascii="Times New Roman" w:hAnsi="方正仿宋_GBK" w:eastAsia="方正仿宋_GBK" w:cs="方正仿宋_GBK"/>
          <w:color w:val="auto"/>
          <w:sz w:val="32"/>
          <w:szCs w:val="32"/>
        </w:rPr>
        <w:t>智慧医院</w:t>
      </w:r>
      <w:r>
        <w:rPr>
          <w:rFonts w:ascii="Times New Roman" w:eastAsia="方正仿宋_GBK" w:cs="Times New Roman"/>
          <w:color w:val="auto"/>
          <w:sz w:val="32"/>
          <w:szCs w:val="32"/>
        </w:rPr>
        <w:t>”</w:t>
      </w:r>
      <w:r>
        <w:rPr>
          <w:rFonts w:hint="eastAsia" w:ascii="Times New Roman" w:hAnsi="方正仿宋_GBK" w:eastAsia="方正仿宋_GBK" w:cs="方正仿宋_GBK"/>
          <w:color w:val="auto"/>
          <w:sz w:val="32"/>
          <w:szCs w:val="32"/>
        </w:rPr>
        <w:t>示范建设，提升医院智慧化服务应用水平，二、三级公立医院电子病历应用水平分级分别达到</w:t>
      </w:r>
      <w:r>
        <w:rPr>
          <w:rFonts w:ascii="Times New Roman" w:eastAsia="方正仿宋_GBK" w:cs="Times New Roman"/>
          <w:color w:val="auto"/>
          <w:sz w:val="32"/>
          <w:szCs w:val="32"/>
        </w:rPr>
        <w:t>3</w:t>
      </w:r>
      <w:r>
        <w:rPr>
          <w:rFonts w:hint="eastAsia" w:ascii="Times New Roman" w:hAnsi="方正仿宋_GBK" w:eastAsia="方正仿宋_GBK" w:cs="方正仿宋_GBK"/>
          <w:color w:val="auto"/>
          <w:sz w:val="32"/>
          <w:szCs w:val="32"/>
        </w:rPr>
        <w:t>级、</w:t>
      </w:r>
      <w:r>
        <w:rPr>
          <w:rFonts w:ascii="Times New Roman" w:eastAsia="方正仿宋_GBK" w:cs="Times New Roman"/>
          <w:color w:val="auto"/>
          <w:sz w:val="32"/>
          <w:szCs w:val="32"/>
        </w:rPr>
        <w:t>4</w:t>
      </w:r>
      <w:r>
        <w:rPr>
          <w:rFonts w:hint="eastAsia" w:ascii="Times New Roman" w:hAnsi="方正仿宋_GBK" w:eastAsia="方正仿宋_GBK" w:cs="方正仿宋_GBK"/>
          <w:color w:val="auto"/>
          <w:sz w:val="32"/>
          <w:szCs w:val="32"/>
        </w:rPr>
        <w:t>级。坚持以患者和医务人员为中心，建设平安医院，改善患者就医感受和医务人员执业感受。优化改善便民服务设施，增添</w:t>
      </w:r>
      <w:r>
        <w:rPr>
          <w:rFonts w:ascii="Times New Roman" w:eastAsia="方正仿宋_GBK" w:cs="Times New Roman"/>
          <w:color w:val="auto"/>
          <w:sz w:val="32"/>
          <w:szCs w:val="32"/>
        </w:rPr>
        <w:t>“</w:t>
      </w:r>
      <w:r>
        <w:rPr>
          <w:rFonts w:hint="eastAsia" w:ascii="Times New Roman" w:hAnsi="方正仿宋_GBK" w:eastAsia="方正仿宋_GBK" w:cs="方正仿宋_GBK"/>
          <w:color w:val="auto"/>
          <w:sz w:val="32"/>
          <w:szCs w:val="32"/>
        </w:rPr>
        <w:t>一老一小</w:t>
      </w:r>
      <w:r>
        <w:rPr>
          <w:rFonts w:ascii="Times New Roman" w:eastAsia="方正仿宋_GBK" w:cs="Times New Roman"/>
          <w:color w:val="auto"/>
          <w:sz w:val="32"/>
          <w:szCs w:val="32"/>
        </w:rPr>
        <w:t>”</w:t>
      </w:r>
      <w:r>
        <w:rPr>
          <w:rFonts w:hint="eastAsia" w:ascii="Times New Roman" w:hAnsi="方正仿宋_GBK" w:eastAsia="方正仿宋_GBK" w:cs="方正仿宋_GBK"/>
          <w:color w:val="auto"/>
          <w:sz w:val="32"/>
          <w:szCs w:val="32"/>
        </w:rPr>
        <w:t>和残疾人关怀设施，提升就医满意度。</w:t>
      </w:r>
    </w:p>
    <w:p w14:paraId="203049B5">
      <w:pPr>
        <w:pStyle w:val="3"/>
        <w:spacing w:before="0" w:after="0" w:line="600" w:lineRule="exact"/>
        <w:ind w:left="963"/>
        <w:rPr>
          <w:rFonts w:ascii="Times New Roman" w:hAnsi="Times New Roman" w:eastAsia="方正楷体_GBK" w:cs="Times New Roman"/>
        </w:rPr>
      </w:pPr>
      <w:bookmarkStart w:id="26" w:name="_Toc78987116"/>
      <w:bookmarkStart w:id="27" w:name="_Toc83307956"/>
      <w:bookmarkStart w:id="28" w:name="_Toc9074"/>
      <w:r>
        <w:rPr>
          <w:rFonts w:hint="eastAsia" w:ascii="Times New Roman" w:hAnsi="Times New Roman" w:eastAsia="方正楷体_GBK" w:cs="方正楷体_GBK"/>
        </w:rPr>
        <w:t>（三）</w:t>
      </w:r>
      <w:r>
        <w:rPr>
          <w:rFonts w:hint="eastAsia" w:ascii="Times New Roman" w:hAnsi="Times New Roman" w:eastAsia="方正楷体_GBK" w:cs="方正楷体_GBK"/>
          <w:lang w:val="en-US"/>
        </w:rPr>
        <w:t>全方位促进健康，</w:t>
      </w:r>
      <w:r>
        <w:rPr>
          <w:rFonts w:hint="eastAsia" w:ascii="Times New Roman" w:hAnsi="Times New Roman" w:eastAsia="方正楷体_GBK" w:cs="方正楷体_GBK"/>
        </w:rPr>
        <w:t>深入实施健康中国奉节行动</w:t>
      </w:r>
      <w:bookmarkEnd w:id="26"/>
      <w:bookmarkEnd w:id="27"/>
      <w:bookmarkEnd w:id="28"/>
    </w:p>
    <w:p w14:paraId="29DA60D5">
      <w:pPr>
        <w:spacing w:line="600" w:lineRule="exact"/>
        <w:ind w:firstLine="640" w:firstLineChars="200"/>
      </w:pPr>
      <w:r>
        <w:rPr>
          <w:rFonts w:hint="eastAsia" w:hAnsi="方正仿宋_GBK" w:cs="方正仿宋_GBK"/>
          <w:b/>
          <w:bCs/>
        </w:rPr>
        <w:t>加强健康教育和健康知识普及。</w:t>
      </w:r>
      <w:r>
        <w:rPr>
          <w:rFonts w:hint="eastAsia" w:hAnsi="方正仿宋_GBK" w:cs="方正仿宋_GBK"/>
        </w:rPr>
        <w:t>推动健康科普基地建设，建立完善全县</w:t>
      </w:r>
      <w:r>
        <w:rPr>
          <w:rFonts w:hint="eastAsia" w:cs="方正仿宋_GBK"/>
        </w:rPr>
        <w:t>健康科普专家库和资源库，构建全媒体健康科普知识发布和传播机制。加强健康科普宣传品牌建设，举办健康科普讲解和传播技能大赛，形成规模效应和传播影响力。推进公众卫生应急技能提升行动，完善师资培训考核机制，建立多方筹资机制，提升财力保障。建成公众卫生应急技能培训体系，推进公共场所急救设施设备配置，提升居民自救互救能力。推进健康促进县建设，开展健康促进医院建设，推动二级以上医疗机构设立健康教育专职工作人员，推进医务人员开具健康教育处方。</w:t>
      </w:r>
    </w:p>
    <w:p w14:paraId="1E97796D">
      <w:pPr>
        <w:spacing w:line="600" w:lineRule="exact"/>
        <w:ind w:firstLine="640" w:firstLineChars="200"/>
      </w:pPr>
      <w:r>
        <w:rPr>
          <w:rFonts w:hint="eastAsia" w:hAnsi="方正仿宋_GBK" w:cs="方正仿宋_GBK"/>
          <w:b/>
          <w:bCs/>
        </w:rPr>
        <w:t>推进健康生</w:t>
      </w:r>
      <w:r>
        <w:rPr>
          <w:rFonts w:hint="eastAsia" w:cs="方正仿宋_GBK"/>
          <w:b/>
          <w:bCs/>
        </w:rPr>
        <w:t>活方式。</w:t>
      </w:r>
      <w:r>
        <w:rPr>
          <w:rFonts w:hint="eastAsia" w:cs="方正仿宋_GBK"/>
        </w:rPr>
        <w:t>引导居民养成</w:t>
      </w:r>
      <w:r>
        <w:t>“</w:t>
      </w:r>
      <w:r>
        <w:rPr>
          <w:rFonts w:hint="eastAsia" w:cs="方正仿宋_GBK"/>
        </w:rPr>
        <w:t>三减三健</w:t>
      </w:r>
      <w:r>
        <w:t>”</w:t>
      </w:r>
      <w:r>
        <w:rPr>
          <w:rFonts w:hint="eastAsia" w:cs="方正仿宋_GBK"/>
        </w:rPr>
        <w:t>（减盐、减油、减糖，健康口腔、健康体重、健康骨骼）、手卫生、个人防护等健康生活方式。深入开展控烟宣传教育，</w:t>
      </w:r>
      <w:r>
        <w:rPr>
          <w:rFonts w:hint="eastAsia" w:cs="方正仿宋_GBK"/>
          <w:kern w:val="0"/>
        </w:rPr>
        <w:t>推动落实《重庆市公共场所控制吸烟条例》，推进医院、学校、机关全面禁烟</w:t>
      </w:r>
      <w:r>
        <w:rPr>
          <w:rFonts w:hint="eastAsia" w:cs="方正仿宋_GBK"/>
        </w:rPr>
        <w:t>。开展限酒行动，控制酒精过度使用，减少酗酒。广泛开展全民健身运动，落实主动健康理念，普及运动促进健康知识，在社区医疗卫生机构中设立科学健身门诊，推动国民体质监测站点与医疗卫生机构合作。</w:t>
      </w:r>
    </w:p>
    <w:p w14:paraId="749EE846">
      <w:pPr>
        <w:pStyle w:val="5"/>
        <w:spacing w:line="600" w:lineRule="exact"/>
        <w:jc w:val="both"/>
      </w:pPr>
      <w:r>
        <w:rPr>
          <w:rFonts w:hint="eastAsia" w:hAnsi="方正仿宋_GBK" w:cs="方正仿宋_GBK"/>
          <w:b/>
          <w:bCs/>
        </w:rPr>
        <w:t>　　做好重点传染病防控。</w:t>
      </w:r>
      <w:r>
        <w:rPr>
          <w:rFonts w:hint="eastAsia" w:hAnsi="方正仿宋_GBK" w:cs="方正仿宋_GBK"/>
        </w:rPr>
        <w:t>加强传染病监测预警，法定传染病报告率达到</w:t>
      </w:r>
      <w:r>
        <w:t>98%</w:t>
      </w:r>
      <w:r>
        <w:rPr>
          <w:rFonts w:hint="eastAsia" w:hAnsi="方正仿宋_GBK" w:cs="方正仿宋_GBK"/>
        </w:rPr>
        <w:t>以上。加强鼠疫、霍乱等烈性传染病监测和防控，防范突发急性传染病输入。</w:t>
      </w:r>
      <w:r>
        <w:rPr>
          <w:rFonts w:hint="eastAsia" w:cs="方正仿宋_GBK"/>
        </w:rPr>
        <w:t>加强艾滋病防治，全面落实血液筛查核酸检测，预防艾滋病经性传播、血液传播和母婴传播，艾滋病患者抗病毒治疗率达到</w:t>
      </w:r>
      <w:r>
        <w:t>95%</w:t>
      </w:r>
      <w:r>
        <w:rPr>
          <w:rFonts w:hint="eastAsia" w:cs="方正仿宋_GBK"/>
        </w:rPr>
        <w:t>以上。加大肺结核患者发现力度，规范治疗结核病患者，强化耐药肺结核患者的筛查和转介</w:t>
      </w:r>
      <w:r>
        <w:rPr>
          <w:rFonts w:hint="eastAsia" w:hAnsi="方正仿宋_GBK" w:cs="方正仿宋_GBK"/>
        </w:rPr>
        <w:t>，实现患者全程随访管理，结核病报告发病率控制在</w:t>
      </w:r>
      <w:r>
        <w:t>80/10</w:t>
      </w:r>
      <w:r>
        <w:rPr>
          <w:rFonts w:hint="eastAsia" w:hAnsi="方正仿宋_GBK" w:cs="方正仿宋_GBK"/>
        </w:rPr>
        <w:t>万以下。加强应对流感、手足口病、麻疹等重点传染病疫情，完善狂犬病、布鲁氏菌病、禽流感等人畜共患传染病综合治理。</w:t>
      </w:r>
    </w:p>
    <w:p w14:paraId="6FD7E911">
      <w:pPr>
        <w:spacing w:line="600" w:lineRule="exact"/>
        <w:ind w:firstLine="640" w:firstLineChars="200"/>
        <w:textAlignment w:val="baseline"/>
      </w:pPr>
      <w:r>
        <w:rPr>
          <w:rFonts w:hint="eastAsia" w:cs="方正仿宋_GBK"/>
          <w:b/>
          <w:bCs/>
        </w:rPr>
        <w:t>强化疫苗接种。</w:t>
      </w:r>
      <w:r>
        <w:rPr>
          <w:rFonts w:hint="eastAsia" w:cs="方正仿宋_GBK"/>
        </w:rPr>
        <w:t>稳妥有序做好新冠疫苗接种工作，逐步提高人群接种率。落实国家免疫规划，以乡镇（街道）为单位，适龄儿童免疫规划疫苗接种率达到</w:t>
      </w:r>
      <w:r>
        <w:t>95%</w:t>
      </w:r>
      <w:r>
        <w:rPr>
          <w:rFonts w:hint="eastAsia" w:cs="方正仿宋_GBK"/>
        </w:rPr>
        <w:t>以上，健全预防接种异常反应补偿机制。</w:t>
      </w:r>
      <w:bookmarkStart w:id="29" w:name="_Toc83307959"/>
      <w:bookmarkStart w:id="30" w:name="_Toc78987119"/>
      <w:bookmarkStart w:id="31" w:name="_Toc26206"/>
    </w:p>
    <w:bookmarkEnd w:id="29"/>
    <w:bookmarkEnd w:id="30"/>
    <w:bookmarkEnd w:id="31"/>
    <w:p w14:paraId="498F504C">
      <w:pPr>
        <w:spacing w:line="600" w:lineRule="exact"/>
        <w:ind w:firstLine="640" w:firstLineChars="200"/>
        <w:rPr>
          <w:rFonts w:hAnsi="方正仿宋_GBK" w:cs="方正仿宋_GBK"/>
        </w:rPr>
      </w:pPr>
      <w:r>
        <w:rPr>
          <w:rFonts w:hint="eastAsia" w:hAnsi="方正仿宋_GBK" w:cs="方正仿宋_GBK"/>
          <w:b/>
          <w:bCs/>
        </w:rPr>
        <w:t>实施慢性病综合防控策略。</w:t>
      </w:r>
      <w:r>
        <w:rPr>
          <w:rFonts w:hint="eastAsia" w:hAnsi="方正仿宋_GBK" w:cs="方正仿宋_GBK"/>
        </w:rPr>
        <w:t>巩固国家慢性病综合防控示范区建设成果，</w:t>
      </w:r>
      <w:r>
        <w:rPr>
          <w:rFonts w:hint="eastAsia" w:cs="方正仿宋_GBK"/>
        </w:rPr>
        <w:t>健全主要健康危害因素监测体系</w:t>
      </w:r>
      <w:r>
        <w:rPr>
          <w:rFonts w:hint="eastAsia" w:hAnsi="方正仿宋_GBK" w:cs="方正仿宋_GBK"/>
        </w:rPr>
        <w:t>。推进疾病治疗向健康管理转变，实施早诊早治，促进慢性病早期发现，</w:t>
      </w:r>
      <w:r>
        <w:rPr>
          <w:rFonts w:hint="eastAsia" w:cs="方正仿宋_GBK"/>
        </w:rPr>
        <w:t>落实高血压、糖尿病患者健康管理</w:t>
      </w:r>
      <w:r>
        <w:rPr>
          <w:rFonts w:hint="eastAsia" w:hAnsi="方正仿宋_GBK" w:cs="方正仿宋_GBK"/>
        </w:rPr>
        <w:t>。将重点癌症、脑卒中等重大慢性疾病早诊早治技术纳入诊疗常规，提升防治能力，到</w:t>
      </w:r>
      <w:r>
        <w:t>2025</w:t>
      </w:r>
      <w:r>
        <w:rPr>
          <w:rFonts w:hint="eastAsia" w:hAnsi="方正仿宋_GBK" w:cs="方正仿宋_GBK"/>
        </w:rPr>
        <w:t>年，重大慢性疾病过早死亡率下降到</w:t>
      </w:r>
      <w:r>
        <w:t>13.5%</w:t>
      </w:r>
      <w:r>
        <w:rPr>
          <w:rFonts w:hint="eastAsia" w:hAnsi="方正仿宋_GBK" w:cs="方正仿宋_GBK"/>
        </w:rPr>
        <w:t>。</w:t>
      </w:r>
    </w:p>
    <w:p w14:paraId="5B29346A">
      <w:pPr>
        <w:pStyle w:val="2"/>
        <w:ind w:firstLine="481"/>
        <w:rPr>
          <w:rFonts w:ascii="方正仿宋_GBK" w:hAnsi="方正仿宋_GBK" w:eastAsia="方正仿宋_GBK" w:cs="方正仿宋_GBK"/>
          <w:sz w:val="32"/>
          <w:szCs w:val="32"/>
        </w:rPr>
      </w:pPr>
      <w:r>
        <w:rPr>
          <w:rFonts w:hint="eastAsia" w:ascii="方正仿宋_GBK" w:hAnsi="方正仿宋_GBK" w:eastAsia="方正仿宋_GBK" w:cs="方正仿宋_GBK"/>
          <w:b/>
          <w:bCs/>
          <w:sz w:val="32"/>
          <w:szCs w:val="32"/>
        </w:rPr>
        <w:t>加强社会心理服务体系建设</w:t>
      </w:r>
      <w:r>
        <w:rPr>
          <w:rFonts w:hint="eastAsia" w:ascii="方正仿宋_GBK" w:hAnsi="方正仿宋_GBK" w:eastAsia="方正仿宋_GBK" w:cs="方正仿宋_GBK"/>
          <w:sz w:val="32"/>
          <w:szCs w:val="32"/>
        </w:rPr>
        <w:t>。构建覆盖全社会的心理健康服务网络，促进心理健康服务规范化发展，全面提升精神卫生和心理健康服务保障能力。到2025年，每10万人口拥有3.9名精神科医师，居民心理健康素养水平提升到25%。开展心理危机干预和心理援助工作，加强心理健康人才培养。建立精神卫生综合管理机制，严重精神障碍管理率达到95%以上。</w:t>
      </w:r>
    </w:p>
    <w:p w14:paraId="10F0E979">
      <w:pPr>
        <w:tabs>
          <w:tab w:val="left" w:pos="8640"/>
        </w:tabs>
        <w:spacing w:line="600" w:lineRule="exact"/>
        <w:ind w:firstLine="640" w:firstLineChars="200"/>
      </w:pPr>
      <w:r>
        <w:rPr>
          <w:rFonts w:hint="eastAsia" w:hAnsi="方正仿宋_GBK" w:cs="方正仿宋_GBK"/>
          <w:b/>
          <w:bCs/>
        </w:rPr>
        <w:t>强化精神卫生体系建设。</w:t>
      </w:r>
      <w:r>
        <w:rPr>
          <w:rFonts w:hint="eastAsia" w:hAnsi="方正仿宋_GBK" w:cs="方正仿宋_GBK"/>
        </w:rPr>
        <w:t>按照二级精神病专科医院标准，实施精神卫生保健院扩建工程，增加床位</w:t>
      </w:r>
      <w:r>
        <w:t>300</w:t>
      </w:r>
      <w:r>
        <w:rPr>
          <w:rFonts w:hint="eastAsia" w:hAnsi="方正仿宋_GBK" w:cs="方正仿宋_GBK"/>
        </w:rPr>
        <w:t>张。建立重点传染病合并精神障碍患者独立收治病区，探索建立重性精神障碍患者集中康养管理社区。提升和推进精神卫生综合管理工作，配合现代社会治理，完善多部门参与的强制医疗管理机制。</w:t>
      </w:r>
    </w:p>
    <w:p w14:paraId="102F30ED">
      <w:pPr>
        <w:spacing w:line="600" w:lineRule="exact"/>
        <w:ind w:firstLine="640" w:firstLineChars="200"/>
      </w:pPr>
      <w:r>
        <w:rPr>
          <w:rFonts w:hint="eastAsia" w:hAnsi="方正仿宋_GBK" w:cs="方正仿宋_GBK"/>
          <w:b/>
          <w:bCs/>
        </w:rPr>
        <w:t>加强伤害预防和干预</w:t>
      </w:r>
      <w:r>
        <w:rPr>
          <w:rFonts w:hint="eastAsia" w:hAnsi="方正仿宋_GBK" w:cs="方正仿宋_GBK"/>
        </w:rPr>
        <w:t>。加强交通隐患治理，减少交通伤害事件的发生，加强儿童和老年人伤害预防和干预，减少儿童溺水和老年人意外跌倒。</w:t>
      </w:r>
    </w:p>
    <w:p w14:paraId="6A981B17">
      <w:pPr>
        <w:spacing w:line="600" w:lineRule="exact"/>
        <w:jc w:val="center"/>
        <w:rPr>
          <w:rFonts w:eastAsia="方正黑体_GBK"/>
        </w:rPr>
      </w:pPr>
      <w:r>
        <w:rPr>
          <w:rFonts w:hint="eastAsia" w:hAnsi="方正黑体_GBK" w:eastAsia="方正黑体_GBK" w:cs="方正黑体_GBK"/>
        </w:rPr>
        <w:t>专栏</w:t>
      </w:r>
      <w:r>
        <w:rPr>
          <w:rFonts w:eastAsia="方正黑体_GBK"/>
        </w:rPr>
        <w:t xml:space="preserve">3 </w:t>
      </w:r>
      <w:r>
        <w:rPr>
          <w:rFonts w:hint="eastAsia" w:hAnsi="方正黑体_GBK" w:eastAsia="方正黑体_GBK" w:cs="方正黑体_GBK"/>
        </w:rPr>
        <w:t>健康危险因素干预项目</w:t>
      </w:r>
    </w:p>
    <w:p w14:paraId="7BDF5375">
      <w:pPr>
        <w:pBdr>
          <w:top w:val="single" w:color="auto" w:sz="4" w:space="0"/>
          <w:left w:val="single" w:color="auto" w:sz="4" w:space="0"/>
          <w:bottom w:val="single" w:color="auto" w:sz="4" w:space="0"/>
          <w:right w:val="single" w:color="auto" w:sz="4" w:space="0"/>
        </w:pBdr>
        <w:spacing w:line="480" w:lineRule="exact"/>
        <w:ind w:firstLine="560" w:firstLineChars="200"/>
        <w:rPr>
          <w:kern w:val="0"/>
          <w:sz w:val="28"/>
          <w:szCs w:val="28"/>
        </w:rPr>
      </w:pPr>
      <w:r>
        <w:rPr>
          <w:kern w:val="0"/>
          <w:sz w:val="28"/>
          <w:szCs w:val="28"/>
        </w:rPr>
        <w:t>1.</w:t>
      </w:r>
      <w:r>
        <w:rPr>
          <w:rFonts w:hint="eastAsia" w:hAnsi="方正仿宋_GBK" w:cs="方正仿宋_GBK"/>
          <w:kern w:val="0"/>
          <w:sz w:val="28"/>
          <w:szCs w:val="28"/>
        </w:rPr>
        <w:t>健康促进与教育。健康素养促进行动。建立健全健康科普专家库、资源库，健全全媒体健康科普知识发布和传播机制。加强医疗机构健康促进与教育。</w:t>
      </w:r>
    </w:p>
    <w:p w14:paraId="71DB1B2F">
      <w:pPr>
        <w:pBdr>
          <w:top w:val="single" w:color="auto" w:sz="4" w:space="0"/>
          <w:left w:val="single" w:color="auto" w:sz="4" w:space="0"/>
          <w:bottom w:val="single" w:color="auto" w:sz="4" w:space="0"/>
          <w:right w:val="single" w:color="auto" w:sz="4" w:space="0"/>
        </w:pBdr>
        <w:spacing w:line="480" w:lineRule="exact"/>
        <w:ind w:firstLine="560" w:firstLineChars="200"/>
        <w:jc w:val="left"/>
        <w:textAlignment w:val="baseline"/>
        <w:rPr>
          <w:kern w:val="0"/>
          <w:sz w:val="28"/>
          <w:szCs w:val="28"/>
        </w:rPr>
      </w:pPr>
      <w:r>
        <w:rPr>
          <w:kern w:val="0"/>
          <w:sz w:val="28"/>
          <w:szCs w:val="28"/>
        </w:rPr>
        <w:t>2.</w:t>
      </w:r>
      <w:r>
        <w:rPr>
          <w:rFonts w:hint="eastAsia" w:hAnsi="方正仿宋_GBK" w:cs="方正仿宋_GBK"/>
          <w:kern w:val="0"/>
          <w:sz w:val="28"/>
          <w:szCs w:val="28"/>
        </w:rPr>
        <w:t>全民文明健康生活方式。减少烟草危害行动，推广</w:t>
      </w:r>
      <w:r>
        <w:rPr>
          <w:kern w:val="0"/>
          <w:sz w:val="28"/>
          <w:szCs w:val="28"/>
        </w:rPr>
        <w:t>“</w:t>
      </w:r>
      <w:r>
        <w:rPr>
          <w:rFonts w:hint="eastAsia" w:hAnsi="方正仿宋_GBK" w:cs="方正仿宋_GBK"/>
          <w:kern w:val="0"/>
          <w:sz w:val="28"/>
          <w:szCs w:val="28"/>
        </w:rPr>
        <w:t>三减三健</w:t>
      </w:r>
      <w:r>
        <w:rPr>
          <w:kern w:val="0"/>
          <w:sz w:val="28"/>
          <w:szCs w:val="28"/>
        </w:rPr>
        <w:t>”</w:t>
      </w:r>
      <w:r>
        <w:rPr>
          <w:rFonts w:hint="eastAsia" w:hAnsi="方正仿宋_GBK" w:cs="方正仿宋_GBK"/>
          <w:kern w:val="0"/>
          <w:sz w:val="28"/>
          <w:szCs w:val="28"/>
        </w:rPr>
        <w:t>等专项行动。</w:t>
      </w:r>
    </w:p>
    <w:p w14:paraId="7CBF0F15">
      <w:pPr>
        <w:pBdr>
          <w:top w:val="single" w:color="auto" w:sz="4" w:space="0"/>
          <w:left w:val="single" w:color="auto" w:sz="4" w:space="0"/>
          <w:bottom w:val="single" w:color="auto" w:sz="4" w:space="0"/>
          <w:right w:val="single" w:color="auto" w:sz="4" w:space="0"/>
        </w:pBdr>
        <w:spacing w:line="480" w:lineRule="exact"/>
        <w:ind w:firstLine="560" w:firstLineChars="200"/>
        <w:rPr>
          <w:kern w:val="0"/>
          <w:sz w:val="28"/>
          <w:szCs w:val="28"/>
        </w:rPr>
      </w:pPr>
      <w:r>
        <w:rPr>
          <w:kern w:val="0"/>
          <w:sz w:val="28"/>
          <w:szCs w:val="28"/>
        </w:rPr>
        <w:t>3.</w:t>
      </w:r>
      <w:r>
        <w:rPr>
          <w:rFonts w:hint="eastAsia" w:hAnsi="方正仿宋_GBK" w:cs="方正仿宋_GBK"/>
          <w:kern w:val="0"/>
          <w:sz w:val="28"/>
          <w:szCs w:val="28"/>
        </w:rPr>
        <w:t>重大疾病及危害因素监测。人禽流感、</w:t>
      </w:r>
      <w:r>
        <w:rPr>
          <w:kern w:val="0"/>
          <w:sz w:val="28"/>
          <w:szCs w:val="28"/>
        </w:rPr>
        <w:t>SARS</w:t>
      </w:r>
      <w:r>
        <w:rPr>
          <w:rFonts w:hint="eastAsia" w:hAnsi="方正仿宋_GBK" w:cs="方正仿宋_GBK"/>
          <w:kern w:val="0"/>
          <w:sz w:val="28"/>
          <w:szCs w:val="28"/>
        </w:rPr>
        <w:t>、新冠肺炎防控监测，鼠疫防治监测，麻风病监测，流感、手足口病、病毒性腹泻、布病、狂犬病、出血热、登革热等重点传染病防控监测和评估，疟疾等寄生虫病防治监测，青少年、成人、高校大学生烟草流行监测，慢性病与危险因素监测、肿瘤随访登记、死因监测，饮用水和环境卫生及学生常见病监测。完善伤害监测体系，拓展儿童伤害监测。</w:t>
      </w:r>
    </w:p>
    <w:p w14:paraId="5A294E47">
      <w:pPr>
        <w:pBdr>
          <w:top w:val="single" w:color="auto" w:sz="4" w:space="0"/>
          <w:left w:val="single" w:color="auto" w:sz="4" w:space="0"/>
          <w:bottom w:val="single" w:color="auto" w:sz="4" w:space="0"/>
          <w:right w:val="single" w:color="auto" w:sz="4" w:space="0"/>
        </w:pBdr>
        <w:spacing w:line="480" w:lineRule="exact"/>
        <w:ind w:firstLine="560" w:firstLineChars="200"/>
        <w:rPr>
          <w:kern w:val="0"/>
          <w:sz w:val="28"/>
          <w:szCs w:val="28"/>
        </w:rPr>
      </w:pPr>
      <w:r>
        <w:rPr>
          <w:kern w:val="0"/>
          <w:sz w:val="28"/>
          <w:szCs w:val="28"/>
        </w:rPr>
        <w:t>4.</w:t>
      </w:r>
      <w:r>
        <w:rPr>
          <w:rFonts w:hint="eastAsia" w:hAnsi="方正仿宋_GBK" w:cs="方正仿宋_GBK"/>
          <w:kern w:val="0"/>
          <w:sz w:val="28"/>
          <w:szCs w:val="28"/>
        </w:rPr>
        <w:t>重点传染病防控。扩大国家免疫规划，</w:t>
      </w:r>
      <w:r>
        <w:rPr>
          <w:kern w:val="0"/>
          <w:sz w:val="28"/>
          <w:szCs w:val="28"/>
        </w:rPr>
        <w:t>“</w:t>
      </w:r>
      <w:r>
        <w:rPr>
          <w:rFonts w:hint="eastAsia" w:hAnsi="方正仿宋_GBK" w:cs="方正仿宋_GBK"/>
          <w:kern w:val="0"/>
          <w:sz w:val="28"/>
          <w:szCs w:val="28"/>
        </w:rPr>
        <w:t>艾梅乙</w:t>
      </w:r>
      <w:r>
        <w:rPr>
          <w:kern w:val="0"/>
          <w:sz w:val="28"/>
          <w:szCs w:val="28"/>
        </w:rPr>
        <w:t>”</w:t>
      </w:r>
      <w:r>
        <w:rPr>
          <w:rFonts w:hint="eastAsia" w:hAnsi="方正仿宋_GBK" w:cs="方正仿宋_GBK"/>
          <w:kern w:val="0"/>
          <w:sz w:val="28"/>
          <w:szCs w:val="28"/>
        </w:rPr>
        <w:t>防治，结核病防控，鼠疫防控。</w:t>
      </w:r>
    </w:p>
    <w:p w14:paraId="6442C947">
      <w:pPr>
        <w:pBdr>
          <w:top w:val="single" w:color="auto" w:sz="4" w:space="0"/>
          <w:left w:val="single" w:color="auto" w:sz="4" w:space="0"/>
          <w:bottom w:val="single" w:color="auto" w:sz="4" w:space="0"/>
          <w:right w:val="single" w:color="auto" w:sz="4" w:space="0"/>
        </w:pBdr>
        <w:spacing w:line="480" w:lineRule="exact"/>
        <w:ind w:firstLine="560" w:firstLineChars="200"/>
      </w:pPr>
      <w:r>
        <w:rPr>
          <w:kern w:val="0"/>
          <w:sz w:val="28"/>
          <w:szCs w:val="28"/>
        </w:rPr>
        <w:t>5.</w:t>
      </w:r>
      <w:r>
        <w:rPr>
          <w:rFonts w:hint="eastAsia" w:hAnsi="方正仿宋_GBK" w:cs="方正仿宋_GBK"/>
          <w:kern w:val="0"/>
          <w:sz w:val="28"/>
          <w:szCs w:val="28"/>
        </w:rPr>
        <w:t>慢性病综合防控。巩固国家慢性病综合防控示范区，癌症早诊早治、心脑血管疾病、慢性阻塞性肺疾病高危人群筛查干预，三高（高血压、高血糖、高血脂）共管。糖尿病高危人群干预试点，糖尿病患者并发症早期筛查试点。</w:t>
      </w:r>
    </w:p>
    <w:p w14:paraId="13F1AE8E">
      <w:pPr>
        <w:pStyle w:val="5"/>
        <w:spacing w:line="600" w:lineRule="exact"/>
        <w:ind w:firstLine="640" w:firstLineChars="200"/>
        <w:rPr>
          <w:kern w:val="0"/>
        </w:rPr>
      </w:pPr>
      <w:r>
        <w:rPr>
          <w:rFonts w:hint="eastAsia" w:hAnsi="方正仿宋_GBK" w:cs="方正仿宋_GBK"/>
          <w:b/>
          <w:bCs/>
          <w:kern w:val="0"/>
        </w:rPr>
        <w:t>推进环境卫生整治。</w:t>
      </w:r>
      <w:r>
        <w:rPr>
          <w:rFonts w:hint="eastAsia" w:hAnsi="方正仿宋_GBK" w:cs="方正仿宋_GBK"/>
          <w:kern w:val="0"/>
        </w:rPr>
        <w:t>全面改善人居环境，倡导文明健康绿色环保的生活方式，推动爱国卫生从环境卫生治理向全面社会</w:t>
      </w:r>
    </w:p>
    <w:p w14:paraId="6AAF1D48">
      <w:pPr>
        <w:pStyle w:val="5"/>
        <w:spacing w:line="600" w:lineRule="exact"/>
        <w:rPr>
          <w:kern w:val="0"/>
        </w:rPr>
      </w:pPr>
      <w:r>
        <w:rPr>
          <w:rFonts w:hint="eastAsia" w:hAnsi="方正仿宋_GBK" w:cs="方正仿宋_GBK"/>
          <w:kern w:val="0"/>
        </w:rPr>
        <w:t>健康管理转变。统筹推进城乡环境卫生整治，提高环境卫生基础设施现代化水平，完善城乡环境卫生治理长效机制。加强</w:t>
      </w:r>
      <w:r>
        <w:rPr>
          <w:rFonts w:hint="eastAsia" w:hAnsi="方正仿宋_GBK" w:cs="方正仿宋_GBK"/>
        </w:rPr>
        <w:t>卫生城镇创建，</w:t>
      </w:r>
      <w:bookmarkStart w:id="32" w:name="_Hlk83644807"/>
      <w:r>
        <w:rPr>
          <w:rFonts w:hint="eastAsia" w:hAnsi="方正仿宋_GBK" w:cs="方正仿宋_GBK"/>
        </w:rPr>
        <w:t>力争市级卫生乡镇实现全覆盖，国家</w:t>
      </w:r>
      <w:r>
        <w:rPr>
          <w:rFonts w:hint="eastAsia" w:hAnsi="方正仿宋_GBK" w:cs="方正仿宋_GBK"/>
          <w:kern w:val="0"/>
        </w:rPr>
        <w:t>卫生乡镇覆盖率达到</w:t>
      </w:r>
      <w:r>
        <w:rPr>
          <w:kern w:val="0"/>
        </w:rPr>
        <w:t>10%</w:t>
      </w:r>
      <w:bookmarkEnd w:id="32"/>
      <w:r>
        <w:rPr>
          <w:rFonts w:hint="eastAsia" w:hAnsi="方正仿宋_GBK" w:cs="方正仿宋_GBK"/>
        </w:rPr>
        <w:t>。</w:t>
      </w:r>
      <w:r>
        <w:rPr>
          <w:rFonts w:hint="eastAsia" w:hAnsi="方正仿宋_GBK" w:cs="方正仿宋_GBK"/>
          <w:kern w:val="0"/>
        </w:rPr>
        <w:t>广泛开展健康城市建设，持续加强健康村镇、健康社区、健康单位（企业）、健康学校、健康家庭等健康细胞建设。强化以环境治理为主、以专业防治为辅的病媒生物防制工作。</w:t>
      </w:r>
    </w:p>
    <w:p w14:paraId="1CC22884">
      <w:pPr>
        <w:spacing w:line="600" w:lineRule="exact"/>
        <w:ind w:firstLine="640" w:firstLineChars="200"/>
      </w:pPr>
      <w:r>
        <w:rPr>
          <w:rFonts w:hint="eastAsia" w:hAnsi="方正仿宋_GBK" w:cs="方正仿宋_GBK"/>
          <w:b/>
          <w:bCs/>
        </w:rPr>
        <w:t>加强环境健康管理。</w:t>
      </w:r>
      <w:r>
        <w:rPr>
          <w:rFonts w:hint="eastAsia" w:hAnsi="方正仿宋_GBK" w:cs="方正仿宋_GBK"/>
        </w:rPr>
        <w:t>改善大气环境质量，加强细颗粒物和臭氧协同控制，</w:t>
      </w:r>
      <w:r>
        <w:t>PM2.5</w:t>
      </w:r>
      <w:r>
        <w:rPr>
          <w:rFonts w:hint="eastAsia" w:hAnsi="方正仿宋_GBK" w:cs="方正仿宋_GBK"/>
        </w:rPr>
        <w:t>年均浓度稳定达标。深入开展污染防治行动，基本消除重污染天气。改善水环境质量，加强城市黑臭水体治理。开展流域水环境治理试点示范，加强集中式饮用水水源地规范化建设。实现乡镇卫生院（社区卫生服务中心）以上医疗卫生机构医疗废物集中无害化处置全覆盖。</w:t>
      </w:r>
    </w:p>
    <w:p w14:paraId="48A69CB5">
      <w:pPr>
        <w:spacing w:line="600" w:lineRule="exact"/>
        <w:ind w:firstLine="640" w:firstLineChars="200"/>
      </w:pPr>
      <w:r>
        <w:rPr>
          <w:rFonts w:hint="eastAsia" w:hAnsi="方正仿宋_GBK" w:cs="方正仿宋_GBK"/>
          <w:b/>
          <w:bCs/>
        </w:rPr>
        <w:t>创新社会动员机制。</w:t>
      </w:r>
      <w:r>
        <w:rPr>
          <w:rFonts w:hint="eastAsia" w:hAnsi="方正仿宋_GBK" w:cs="方正仿宋_GBK"/>
        </w:rPr>
        <w:t>依托乡镇政府（街道办事处）、</w:t>
      </w:r>
      <w:r>
        <w:rPr>
          <w:rFonts w:hint="eastAsia" w:hAnsi="方正仿宋_GBK" w:cs="方正仿宋_GBK"/>
          <w:kern w:val="0"/>
        </w:rPr>
        <w:t>村（居）民委员会等基层组织及机关、企事业</w:t>
      </w:r>
      <w:r>
        <w:rPr>
          <w:rFonts w:hint="eastAsia" w:hAnsi="方正仿宋_GBK" w:cs="方正仿宋_GBK"/>
        </w:rPr>
        <w:t>单位，发挥村规民约、居民公约的积极作用，推广周末大扫除、卫生清洁日活动等有效经验，发挥群团组织作用，推动爱国卫生运动融入群众日常生活。</w:t>
      </w:r>
    </w:p>
    <w:p w14:paraId="29465C1C">
      <w:pPr>
        <w:spacing w:line="600" w:lineRule="exact"/>
        <w:ind w:firstLine="640" w:firstLineChars="200"/>
      </w:pPr>
      <w:r>
        <w:rPr>
          <w:rFonts w:hint="eastAsia" w:hAnsi="方正仿宋_GBK" w:cs="方正仿宋_GBK"/>
          <w:b/>
          <w:bCs/>
        </w:rPr>
        <w:t>强化职业健康危害源头防控和风险管控。</w:t>
      </w:r>
      <w:r>
        <w:rPr>
          <w:rFonts w:hint="eastAsia" w:hAnsi="方正仿宋_GBK" w:cs="方正仿宋_GBK"/>
        </w:rPr>
        <w:t>建立健全职业病和职业病危害因素监测评估制度，扩大主动监测范围，工作场所职业病危害因素监测合格率达到</w:t>
      </w:r>
      <w:r>
        <w:t>85%</w:t>
      </w:r>
      <w:r>
        <w:rPr>
          <w:rFonts w:hint="eastAsia" w:hAnsi="方正仿宋_GBK" w:cs="方正仿宋_GBK"/>
        </w:rPr>
        <w:t>以上。建立中小微型企业职工健康帮扶机制，支持企业完善职业病防护设施。健全职业病诊断与鉴定制度，强化尘肺病等职业病救治保障。加强职业健康教育和健康促进，提高劳动者职业健康素养。推进健康企业建设，建设一批示范性健康企业。到</w:t>
      </w:r>
      <w:r>
        <w:t>2025</w:t>
      </w:r>
      <w:r>
        <w:rPr>
          <w:rFonts w:hint="eastAsia" w:hAnsi="方正仿宋_GBK" w:cs="方正仿宋_GBK"/>
        </w:rPr>
        <w:t>年，辖区职业健康检查和职业病诊断服务覆盖率达到</w:t>
      </w:r>
      <w:r>
        <w:t>93%</w:t>
      </w:r>
      <w:r>
        <w:rPr>
          <w:rFonts w:hint="eastAsia" w:hAnsi="方正仿宋_GBK" w:cs="方正仿宋_GBK"/>
        </w:rPr>
        <w:t>以上。</w:t>
      </w:r>
    </w:p>
    <w:p w14:paraId="18AC9A16">
      <w:pPr>
        <w:spacing w:line="600" w:lineRule="exact"/>
        <w:ind w:firstLine="640" w:firstLineChars="200"/>
      </w:pPr>
      <w:r>
        <w:rPr>
          <w:rFonts w:hint="eastAsia" w:cs="方正仿宋_GBK"/>
          <w:b/>
          <w:bCs/>
        </w:rPr>
        <w:t>提高职业病防治工作技术支撑能力。</w:t>
      </w:r>
      <w:r>
        <w:rPr>
          <w:rFonts w:hint="eastAsia" w:cs="方正仿宋_GBK"/>
        </w:rPr>
        <w:t>加强职业健康风险评估、职业病危害监测及控制、职业病诊断救治能力建设。开展重点职业病监测与职业健康风险评估、职业性放射性疾病监测与职业健康风险评估、医疗卫生机构与非医疗单位辐射防护监测。加强组织机构和人才队伍、基础设施、职业病危害工程防护和治理能力建设，提升职业病危害因素检测检验能力、职业健康检查和职业病诊断、救治的技术支撑能力。</w:t>
      </w:r>
    </w:p>
    <w:p w14:paraId="78D5051A">
      <w:pPr>
        <w:spacing w:line="600" w:lineRule="exact"/>
        <w:ind w:firstLine="640" w:firstLineChars="200"/>
      </w:pPr>
      <w:r>
        <w:rPr>
          <w:rFonts w:hint="eastAsia" w:ascii="方正仿宋_GBK" w:cs="方正仿宋_GBK"/>
          <w:b/>
          <w:bCs/>
        </w:rPr>
        <w:t>巩固拓展健康扶贫同乡村振兴有效衔接。</w:t>
      </w:r>
      <w:r>
        <w:rPr>
          <w:rFonts w:hint="eastAsia" w:ascii="方正仿宋_GBK" w:cs="方正仿宋_GBK"/>
        </w:rPr>
        <w:t>持续巩固基本医疗有保障成果，</w:t>
      </w:r>
      <w:r>
        <w:rPr>
          <w:rFonts w:hint="eastAsia" w:cs="方正仿宋_GBK"/>
        </w:rPr>
        <w:t>助力乡村振兴。</w:t>
      </w:r>
      <w:r>
        <w:rPr>
          <w:rFonts w:hint="eastAsia" w:ascii="方正仿宋_GBK" w:cs="方正仿宋_GBK"/>
        </w:rPr>
        <w:t>严格落实“四个不摘”要求，保持</w:t>
      </w:r>
      <w:r>
        <w:rPr>
          <w:rFonts w:hint="eastAsia" w:cs="方正仿宋_GBK"/>
        </w:rPr>
        <w:t>现有健康帮扶政策基本稳定，继续实行困难群众基本医疗保险、大病保险、医疗救助政策。持续优化家庭医生签约服务，持续开展</w:t>
      </w:r>
      <w:r>
        <w:t>33</w:t>
      </w:r>
      <w:r>
        <w:rPr>
          <w:rFonts w:hint="eastAsia" w:cs="方正仿宋_GBK"/>
        </w:rPr>
        <w:t>种大病专项救治，严格落实县域内住院</w:t>
      </w:r>
      <w:r>
        <w:t>“</w:t>
      </w:r>
      <w:r>
        <w:rPr>
          <w:rFonts w:hint="eastAsia" w:cs="方正仿宋_GBK"/>
        </w:rPr>
        <w:t>先诊疗后付费</w:t>
      </w:r>
      <w:r>
        <w:t>”</w:t>
      </w:r>
      <w:r>
        <w:rPr>
          <w:rFonts w:hint="eastAsia" w:cs="方正仿宋_GBK"/>
        </w:rPr>
        <w:t>和</w:t>
      </w:r>
      <w:r>
        <w:t>“</w:t>
      </w:r>
      <w:r>
        <w:rPr>
          <w:rFonts w:hint="eastAsia" w:cs="方正仿宋_GBK"/>
        </w:rPr>
        <w:t>一站式</w:t>
      </w:r>
      <w:r>
        <w:t>”</w:t>
      </w:r>
      <w:r>
        <w:rPr>
          <w:rFonts w:hint="eastAsia" w:cs="方正仿宋_GBK"/>
        </w:rPr>
        <w:t>结算，</w:t>
      </w:r>
      <w:r>
        <w:rPr>
          <w:rStyle w:val="26"/>
          <w:rFonts w:hint="eastAsia" w:ascii="Times New Roman" w:hAnsi="Times New Roman" w:eastAsia="方正仿宋_GBK" w:cs="方正仿宋_GBK"/>
          <w:kern w:val="2"/>
          <w:sz w:val="32"/>
          <w:szCs w:val="32"/>
        </w:rPr>
        <w:t>优化县乡村医疗服务</w:t>
      </w:r>
      <w:r>
        <w:rPr>
          <w:rFonts w:hint="eastAsia" w:cs="方正仿宋_GBK"/>
        </w:rPr>
        <w:t>。持续开展</w:t>
      </w:r>
      <w:r>
        <w:t>“</w:t>
      </w:r>
      <w:r>
        <w:rPr>
          <w:rFonts w:hint="eastAsia" w:cs="方正仿宋_GBK"/>
        </w:rPr>
        <w:t>基本医疗有</w:t>
      </w:r>
      <w:r>
        <w:rPr>
          <w:rFonts w:hint="eastAsia" w:ascii="方正仿宋_GBK" w:cs="方正仿宋_GBK"/>
        </w:rPr>
        <w:t>保障”疑似问题摸排，落实防返贫致贫动态监测和帮扶机制，持续开展“基本医疗有保障”巩固情况“回头看”。</w:t>
      </w:r>
    </w:p>
    <w:p w14:paraId="26D9D313">
      <w:pPr>
        <w:pStyle w:val="3"/>
        <w:spacing w:before="0" w:after="0" w:line="600" w:lineRule="exact"/>
        <w:ind w:left="963"/>
        <w:rPr>
          <w:rFonts w:ascii="Times New Roman" w:hAnsi="Times New Roman" w:eastAsia="方正楷体_GBK" w:cs="Times New Roman"/>
        </w:rPr>
      </w:pPr>
      <w:bookmarkStart w:id="33" w:name="_Toc17632"/>
      <w:r>
        <w:rPr>
          <w:rFonts w:hint="eastAsia" w:ascii="Times New Roman" w:hAnsi="Times New Roman" w:eastAsia="方正楷体_GBK" w:cs="方正楷体_GBK"/>
          <w:lang w:val="en-US"/>
        </w:rPr>
        <w:t>（四）</w:t>
      </w:r>
      <w:r>
        <w:rPr>
          <w:rFonts w:hint="eastAsia" w:ascii="Times New Roman" w:hAnsi="Times New Roman" w:eastAsia="方正楷体_GBK" w:cs="方正楷体_GBK"/>
        </w:rPr>
        <w:t>坚持中西医并重，推进中医药事业</w:t>
      </w:r>
      <w:r>
        <w:rPr>
          <w:rFonts w:hint="eastAsia" w:ascii="Times New Roman" w:hAnsi="Times New Roman" w:eastAsia="方正楷体_GBK" w:cs="方正楷体_GBK"/>
          <w:lang w:val="en-US"/>
        </w:rPr>
        <w:t>传承创新</w:t>
      </w:r>
      <w:r>
        <w:rPr>
          <w:rFonts w:hint="eastAsia" w:ascii="Times New Roman" w:hAnsi="Times New Roman" w:eastAsia="方正楷体_GBK" w:cs="方正楷体_GBK"/>
        </w:rPr>
        <w:t>发展</w:t>
      </w:r>
      <w:bookmarkEnd w:id="33"/>
    </w:p>
    <w:p w14:paraId="62BCB8A5">
      <w:pPr>
        <w:pStyle w:val="5"/>
        <w:spacing w:line="600" w:lineRule="exact"/>
        <w:ind w:firstLine="630"/>
      </w:pPr>
      <w:r>
        <w:rPr>
          <w:rFonts w:hint="eastAsia" w:cs="方正仿宋_GBK"/>
          <w:b/>
          <w:bCs/>
        </w:rPr>
        <w:t>推进中医医疗机构建设。</w:t>
      </w:r>
      <w:r>
        <w:rPr>
          <w:rFonts w:hint="eastAsia" w:cs="方正仿宋_GBK"/>
        </w:rPr>
        <w:t>调整完善中医医疗资源布局，推进县中医院门诊住院综合楼、中医特色专科综合楼、慢性病管理中心建设</w:t>
      </w:r>
      <w:r>
        <w:rPr>
          <w:rFonts w:hint="eastAsia" w:hAnsi="方正仿宋_GBK" w:cs="方正仿宋_GBK"/>
        </w:rPr>
        <w:t>，编制床位达到</w:t>
      </w:r>
      <w:r>
        <w:t>750</w:t>
      </w:r>
      <w:r>
        <w:rPr>
          <w:rFonts w:hint="eastAsia" w:hAnsi="方正仿宋_GBK" w:cs="方正仿宋_GBK"/>
        </w:rPr>
        <w:t>张以上，创建三级甲等中医医院。加强奉节县中医院与中医药大学的交流，促成奉节县中医院与成都中医药大学在科研教学、医疗技术、人才、管理等方面的深度合作。加强中医药适宜技术推广</w:t>
      </w:r>
      <w:r>
        <w:rPr>
          <w:rFonts w:hint="eastAsia" w:cs="方正仿宋_GBK"/>
        </w:rPr>
        <w:t>应用，进一步提升基层中医药服务能力。加强综合医院、妇幼保健机构中医药工作。鼓励有资质的中医专业技术人员特别是名老中医开办中医诊所，推动中医门诊部、诊所和中医坐堂诊所规范建设和连锁发展。加强中医养生保健服务技术转化，促进中医养生保健服务健康发展。</w:t>
      </w:r>
      <w:bookmarkStart w:id="34" w:name="_Toc14467"/>
    </w:p>
    <w:bookmarkEnd w:id="34"/>
    <w:p w14:paraId="2313BE24">
      <w:pPr>
        <w:pStyle w:val="5"/>
        <w:spacing w:line="600" w:lineRule="exact"/>
        <w:ind w:firstLine="630"/>
      </w:pPr>
      <w:r>
        <w:rPr>
          <w:rFonts w:hint="eastAsia" w:cs="方正仿宋_GBK"/>
          <w:b/>
          <w:bCs/>
        </w:rPr>
        <w:t>提升中医服务能力</w:t>
      </w:r>
      <w:r>
        <w:rPr>
          <w:rFonts w:hint="eastAsia" w:cs="方正仿宋_GBK"/>
        </w:rPr>
        <w:t>。发挥中医特色和优势，提升重大和疑难疾病临床诊疗水平，构建不同层级分级诊疗网络，建设具有鲜明中医特色的康复治疗中心、老年病治疗中心和治未病健康管理中心。加强中医重点专科建设，创新中医药服务模式，推进中医综合治疗和多专业一体化诊疗服务。加强中医</w:t>
      </w:r>
      <w:r>
        <w:t>“</w:t>
      </w:r>
      <w:r>
        <w:rPr>
          <w:rFonts w:hint="eastAsia" w:cs="方正仿宋_GBK"/>
        </w:rPr>
        <w:t>治未病</w:t>
      </w:r>
      <w:r>
        <w:t>”</w:t>
      </w:r>
      <w:r>
        <w:rPr>
          <w:rFonts w:hint="eastAsia" w:cs="方正仿宋_GBK"/>
        </w:rPr>
        <w:t>服务，发挥中医药在公共卫生、护理康复、养老服务等领域中的作用。强化中药药事规范化管理，发展医疗机构中药制剂。完善中医药服务监管评价机制，优化中医医疗质控体系，实施中医药服务信息公开，规范中医药服务行为。完善中医药事业发展政策和机制。</w:t>
      </w:r>
      <w:bookmarkStart w:id="35" w:name="_Toc25457"/>
    </w:p>
    <w:bookmarkEnd w:id="35"/>
    <w:p w14:paraId="7272F0C8">
      <w:pPr>
        <w:pStyle w:val="5"/>
        <w:spacing w:line="600" w:lineRule="exact"/>
        <w:ind w:firstLine="630"/>
        <w:jc w:val="both"/>
      </w:pPr>
      <w:r>
        <w:rPr>
          <w:rFonts w:hint="eastAsia" w:cs="方正仿宋_GBK"/>
          <w:b/>
          <w:bCs/>
        </w:rPr>
        <w:t>推动中医传承创新</w:t>
      </w:r>
      <w:r>
        <w:rPr>
          <w:rFonts w:hint="eastAsia" w:cs="方正仿宋_GBK"/>
        </w:rPr>
        <w:t>。按照中医药人才培养规律，完善中医药毕业后教育体系和中医药</w:t>
      </w:r>
      <w:r>
        <w:t>“</w:t>
      </w:r>
      <w:r>
        <w:rPr>
          <w:rFonts w:hint="eastAsia" w:cs="方正仿宋_GBK"/>
        </w:rPr>
        <w:t>师承</w:t>
      </w:r>
      <w:r>
        <w:t>”</w:t>
      </w:r>
      <w:r>
        <w:rPr>
          <w:rFonts w:hint="eastAsia" w:cs="方正仿宋_GBK"/>
        </w:rPr>
        <w:t>人才培养模式，探索建立不同类型中医药人才评价、评估标准。支持中医药新药、诊疗设备和技术的研发与推广，开展多样化的中医药服务新模式。实施中医药文化传播行动，广泛开展中医药文化普及群众性活动，到</w:t>
      </w:r>
      <w:r>
        <w:t>2025</w:t>
      </w:r>
      <w:r>
        <w:rPr>
          <w:rFonts w:hint="eastAsia" w:cs="方正仿宋_GBK"/>
        </w:rPr>
        <w:t>年，公民中医药健康文化素养水平提高到</w:t>
      </w:r>
      <w:r>
        <w:t>25%</w:t>
      </w:r>
      <w:r>
        <w:rPr>
          <w:rFonts w:hint="eastAsia" w:cs="方正仿宋_GBK"/>
        </w:rPr>
        <w:t>以上。</w:t>
      </w:r>
      <w:bookmarkStart w:id="36" w:name="_Toc28377"/>
    </w:p>
    <w:p w14:paraId="05FFC73C">
      <w:pPr>
        <w:pStyle w:val="5"/>
        <w:spacing w:line="600" w:lineRule="exact"/>
        <w:ind w:firstLine="630"/>
        <w:jc w:val="both"/>
        <w:rPr>
          <w:rFonts w:eastAsia="方正楷体_GBK"/>
        </w:rPr>
      </w:pPr>
      <w:r>
        <w:rPr>
          <w:rFonts w:hint="eastAsia" w:eastAsia="方正楷体_GBK" w:cs="方正楷体_GBK"/>
        </w:rPr>
        <w:t>（五）全面深化医药卫生体制改革，释放服务新动能</w:t>
      </w:r>
      <w:bookmarkEnd w:id="36"/>
      <w:bookmarkStart w:id="37" w:name="_Toc83307974"/>
      <w:bookmarkStart w:id="38" w:name="_Toc19966"/>
      <w:bookmarkStart w:id="39" w:name="_Toc78987134"/>
    </w:p>
    <w:bookmarkEnd w:id="37"/>
    <w:bookmarkEnd w:id="38"/>
    <w:bookmarkEnd w:id="39"/>
    <w:p w14:paraId="2B37FDEE">
      <w:pPr>
        <w:pStyle w:val="5"/>
        <w:spacing w:line="600" w:lineRule="exact"/>
        <w:ind w:firstLine="630"/>
        <w:jc w:val="both"/>
        <w:rPr>
          <w:rFonts w:eastAsia="方正黑体_GBK"/>
        </w:rPr>
      </w:pPr>
      <w:r>
        <w:rPr>
          <w:rFonts w:hint="eastAsia" w:cs="方正仿宋_GBK"/>
          <w:b/>
          <w:bCs/>
        </w:rPr>
        <w:t>坚持和加强党对公立医院的全面领导</w:t>
      </w:r>
      <w:r>
        <w:rPr>
          <w:rFonts w:hint="eastAsia" w:cs="方正仿宋_GBK"/>
        </w:rPr>
        <w:t>。加强公立医院主体地位，全面执行和落实党委领导下的院长负责制，推动公立医院高质量发展，各级公立医院修订完善医院党委会、院长办公会议事规则，备案率达到</w:t>
      </w:r>
      <w:r>
        <w:t>100%</w:t>
      </w:r>
      <w:r>
        <w:rPr>
          <w:rFonts w:hint="eastAsia" w:cs="方正仿宋_GBK"/>
        </w:rPr>
        <w:t>。加强领导班子和干部人才队伍建设，提升公立医院党组织和党员队伍建设质量，着力提升公立医院基层党建工作水平，把党支部建设成为坚强战斗堡垒，三级公立医院临床医技科室党支部书记由业务骨干担任比例达到</w:t>
      </w:r>
      <w:r>
        <w:t>90%</w:t>
      </w:r>
      <w:r>
        <w:rPr>
          <w:rFonts w:hint="eastAsia" w:cs="方正仿宋_GBK"/>
        </w:rPr>
        <w:t>以上。落实公立医院党建工作责任，建立健全党建工作机制。</w:t>
      </w:r>
    </w:p>
    <w:p w14:paraId="1B8A185A">
      <w:pPr>
        <w:widowControl/>
        <w:spacing w:line="600" w:lineRule="exact"/>
        <w:ind w:firstLine="640" w:firstLineChars="200"/>
        <w:textAlignment w:val="baseline"/>
        <w:rPr>
          <w:rFonts w:hAnsi="方正仿宋_GBK"/>
        </w:rPr>
      </w:pPr>
      <w:r>
        <w:rPr>
          <w:rFonts w:hint="eastAsia" w:hAnsi="方正仿宋_GBK" w:cs="方正仿宋_GBK"/>
          <w:b/>
          <w:bCs/>
        </w:rPr>
        <w:t>全面推开医共体</w:t>
      </w:r>
      <w:r>
        <w:rPr>
          <w:b/>
          <w:bCs/>
        </w:rPr>
        <w:t>“</w:t>
      </w:r>
      <w:r>
        <w:rPr>
          <w:rFonts w:hint="eastAsia" w:hAnsi="方正仿宋_GBK" w:cs="方正仿宋_GBK"/>
          <w:b/>
          <w:bCs/>
        </w:rPr>
        <w:t>三通</w:t>
      </w:r>
      <w:r>
        <w:rPr>
          <w:b/>
          <w:bCs/>
        </w:rPr>
        <w:t>”</w:t>
      </w:r>
      <w:r>
        <w:rPr>
          <w:rFonts w:hint="eastAsia" w:hAnsi="方正仿宋_GBK" w:cs="方正仿宋_GBK"/>
          <w:b/>
          <w:bCs/>
        </w:rPr>
        <w:t>建设。</w:t>
      </w:r>
      <w:r>
        <w:rPr>
          <w:rFonts w:hint="eastAsia" w:hAnsi="方正仿宋_GBK" w:cs="方正仿宋_GBK"/>
        </w:rPr>
        <w:t>加强县域医共体</w:t>
      </w:r>
      <w:r>
        <w:t>“</w:t>
      </w:r>
      <w:r>
        <w:rPr>
          <w:rFonts w:hint="eastAsia" w:hAnsi="方正仿宋_GBK" w:cs="方正仿宋_GBK"/>
        </w:rPr>
        <w:t>三通</w:t>
      </w:r>
      <w:r>
        <w:t>”</w:t>
      </w:r>
      <w:r>
        <w:rPr>
          <w:rFonts w:hint="eastAsia" w:hAnsi="方正仿宋_GBK" w:cs="方正仿宋_GBK"/>
        </w:rPr>
        <w:t>运行监测和绩效评价，持续破解</w:t>
      </w:r>
      <w:r>
        <w:t>“</w:t>
      </w:r>
      <w:r>
        <w:rPr>
          <w:rFonts w:hint="eastAsia" w:hAnsi="方正仿宋_GBK" w:cs="方正仿宋_GBK"/>
        </w:rPr>
        <w:t>医通、人通、财通</w:t>
      </w:r>
      <w:r>
        <w:t>”</w:t>
      </w:r>
      <w:r>
        <w:rPr>
          <w:rFonts w:hint="eastAsia" w:hAnsi="方正仿宋_GBK" w:cs="方正仿宋_GBK"/>
        </w:rPr>
        <w:t>体制机制障碍。落实医共体内实行医保基金</w:t>
      </w:r>
      <w:r>
        <w:t>“</w:t>
      </w:r>
      <w:r>
        <w:rPr>
          <w:rFonts w:hint="eastAsia" w:hAnsi="方正仿宋_GBK" w:cs="方正仿宋_GBK"/>
        </w:rPr>
        <w:t>总额预算、结余留用、合理超支分</w:t>
      </w:r>
    </w:p>
    <w:p w14:paraId="6C821160">
      <w:pPr>
        <w:pStyle w:val="2"/>
        <w:spacing w:line="600" w:lineRule="exact"/>
        <w:jc w:val="both"/>
        <w:rPr>
          <w:rFonts w:ascii="Times New Roman" w:eastAsia="方正仿宋_GBK" w:cs="Times New Roman"/>
          <w:sz w:val="32"/>
          <w:szCs w:val="32"/>
        </w:rPr>
      </w:pPr>
      <w:r>
        <w:rPr>
          <w:rFonts w:hint="eastAsia" w:ascii="Times New Roman" w:hAnsi="方正仿宋_GBK" w:eastAsia="方正仿宋_GBK" w:cs="方正仿宋_GBK"/>
          <w:sz w:val="32"/>
          <w:szCs w:val="32"/>
        </w:rPr>
        <w:t>担</w:t>
      </w:r>
      <w:r>
        <w:rPr>
          <w:rFonts w:ascii="Times New Roman" w:eastAsia="方正仿宋_GBK" w:cs="Times New Roman"/>
          <w:sz w:val="32"/>
          <w:szCs w:val="32"/>
        </w:rPr>
        <w:t>”</w:t>
      </w:r>
      <w:r>
        <w:rPr>
          <w:rFonts w:hint="eastAsia" w:ascii="Times New Roman" w:hAnsi="方正仿宋_GBK" w:eastAsia="方正仿宋_GBK" w:cs="方正仿宋_GBK"/>
          <w:sz w:val="32"/>
          <w:szCs w:val="32"/>
        </w:rPr>
        <w:t>机制。推进</w:t>
      </w:r>
      <w:r>
        <w:rPr>
          <w:rFonts w:ascii="Times New Roman" w:eastAsia="方正仿宋_GBK" w:cs="Times New Roman"/>
          <w:sz w:val="32"/>
          <w:szCs w:val="32"/>
        </w:rPr>
        <w:t>“</w:t>
      </w:r>
      <w:r>
        <w:rPr>
          <w:rFonts w:hint="eastAsia" w:ascii="Times New Roman" w:hAnsi="方正仿宋_GBK" w:eastAsia="方正仿宋_GBK" w:cs="方正仿宋_GBK"/>
          <w:sz w:val="32"/>
          <w:szCs w:val="32"/>
        </w:rPr>
        <w:t>县管乡用、乡聘村用</w:t>
      </w:r>
      <w:r>
        <w:rPr>
          <w:rFonts w:ascii="Times New Roman" w:eastAsia="方正仿宋_GBK" w:cs="Times New Roman"/>
          <w:sz w:val="32"/>
          <w:szCs w:val="32"/>
        </w:rPr>
        <w:t>”</w:t>
      </w:r>
      <w:r>
        <w:rPr>
          <w:rFonts w:hint="eastAsia" w:ascii="Times New Roman" w:hAnsi="方正仿宋_GBK" w:eastAsia="方正仿宋_GBK" w:cs="方正仿宋_GBK"/>
          <w:sz w:val="32"/>
          <w:szCs w:val="32"/>
        </w:rPr>
        <w:t>试点。推动</w:t>
      </w:r>
      <w:r>
        <w:rPr>
          <w:rFonts w:hint="eastAsia" w:ascii="Times New Roman" w:eastAsia="方正仿宋_GBK" w:cs="方正仿宋_GBK"/>
          <w:sz w:val="32"/>
          <w:szCs w:val="32"/>
        </w:rPr>
        <w:t>医防融合工作</w:t>
      </w:r>
    </w:p>
    <w:p w14:paraId="1BF0003F">
      <w:pPr>
        <w:widowControl/>
        <w:spacing w:line="600" w:lineRule="exact"/>
        <w:textAlignment w:val="baseline"/>
      </w:pPr>
      <w:r>
        <w:rPr>
          <w:rFonts w:hint="eastAsia" w:hAnsi="方正仿宋_GBK" w:cs="方正仿宋_GBK"/>
        </w:rPr>
        <w:t>在管理、队伍、服务、信息、绩效等五方面实现融合。</w:t>
      </w:r>
    </w:p>
    <w:p w14:paraId="63B3E919">
      <w:pPr>
        <w:spacing w:line="600" w:lineRule="exact"/>
        <w:ind w:firstLine="640" w:firstLineChars="200"/>
        <w:textAlignment w:val="baseline"/>
      </w:pPr>
      <w:r>
        <w:rPr>
          <w:rFonts w:hint="eastAsia" w:hAnsi="方正仿宋_GBK" w:cs="方正仿宋_GBK"/>
          <w:b/>
          <w:bCs/>
        </w:rPr>
        <w:t>深化人事薪酬制度改革。</w:t>
      </w:r>
      <w:r>
        <w:rPr>
          <w:rFonts w:hint="eastAsia" w:hAnsi="方正仿宋_GBK" w:cs="方正仿宋_GBK"/>
        </w:rPr>
        <w:t>严格落实</w:t>
      </w:r>
      <w:r>
        <w:t>“</w:t>
      </w:r>
      <w:r>
        <w:rPr>
          <w:rFonts w:hint="eastAsia" w:hAnsi="方正仿宋_GBK" w:cs="方正仿宋_GBK"/>
        </w:rPr>
        <w:t>两个允许</w:t>
      </w:r>
      <w:r>
        <w:t>”</w:t>
      </w:r>
      <w:r>
        <w:rPr>
          <w:rFonts w:hint="eastAsia" w:hAnsi="方正仿宋_GBK" w:cs="方正仿宋_GBK"/>
        </w:rPr>
        <w:t>要求。全面推开公立医院薪酬制度改革，动态调整公立医院薪酬水平，合理确定人员支出占公立医院业务支出的比例。稳步推进专业公共卫生机构薪酬制度改革，合理确定专业公共卫生机构薪酬水平，参照同级公立医疗机构超额绩效平均水平核定超额绩效，建立同步调整机制。积极争取开展人</w:t>
      </w:r>
      <w:r>
        <w:rPr>
          <w:rFonts w:hint="eastAsia" w:cs="方正仿宋_GBK"/>
        </w:rPr>
        <w:t>员总量备案管理，积极推进职称评审工作。深化基层运行机制改革，完善乡村基层卫生健康人才激励机制，合理保障基层医务人员薪酬水平。</w:t>
      </w:r>
    </w:p>
    <w:p w14:paraId="65E22662">
      <w:pPr>
        <w:spacing w:line="600" w:lineRule="exact"/>
        <w:ind w:firstLine="640" w:firstLineChars="200"/>
        <w:textAlignment w:val="baseline"/>
      </w:pPr>
      <w:r>
        <w:rPr>
          <w:rFonts w:hint="eastAsia" w:hAnsi="方正仿宋_GBK" w:cs="方正仿宋_GBK"/>
          <w:b/>
          <w:bCs/>
        </w:rPr>
        <w:t>推动药品耗材集中带量采购。</w:t>
      </w:r>
      <w:r>
        <w:rPr>
          <w:rFonts w:hint="eastAsia" w:hAnsi="方正仿宋_GBK" w:cs="方正仿宋_GBK"/>
        </w:rPr>
        <w:t>巩固完善基本药物制度，逐步提高各级医疗卫生机构基本药物配备和使用比例。推动药品集中带量采购工作常态化开展，落实药品集采医保资金结余留用政策。落实医保支付标准与采购价格联动调整机制，实现挂网价、交易价、支付价</w:t>
      </w:r>
      <w:r>
        <w:t>“</w:t>
      </w:r>
      <w:r>
        <w:rPr>
          <w:rFonts w:hint="eastAsia" w:hAnsi="方正仿宋_GBK" w:cs="方正仿宋_GBK"/>
        </w:rPr>
        <w:t>三价合一</w:t>
      </w:r>
      <w:r>
        <w:t>”</w:t>
      </w:r>
      <w:r>
        <w:rPr>
          <w:rFonts w:hint="eastAsia" w:hAnsi="方正仿宋_GBK" w:cs="方正仿宋_GBK"/>
        </w:rPr>
        <w:t>。探索建立短缺药品保供稳价集采机制，持续加强药品价格监测。探索完善耗材交易采购制度，规范采购工作。</w:t>
      </w:r>
    </w:p>
    <w:p w14:paraId="0938C533">
      <w:pPr>
        <w:spacing w:line="600" w:lineRule="exact"/>
        <w:ind w:firstLine="640" w:firstLineChars="200"/>
        <w:textAlignment w:val="baseline"/>
      </w:pPr>
      <w:r>
        <w:rPr>
          <w:rFonts w:hint="eastAsia" w:hAnsi="方正仿宋_GBK" w:cs="方正仿宋_GBK"/>
          <w:b/>
          <w:bCs/>
        </w:rPr>
        <w:t>深化医疗服务价格改革。</w:t>
      </w:r>
      <w:r>
        <w:rPr>
          <w:rFonts w:hint="eastAsia" w:hAnsi="方正仿宋_GBK" w:cs="方正仿宋_GBK"/>
        </w:rPr>
        <w:t>强化基本医疗卫生事业公益属性，建立合理补偿机制，建立健全适应经济社会发展、更好发挥政府作用、医疗机构充分参与、体现技术劳务价值的医疗服务价格形成机制，医疗服务收入占医疗收入的比例达到</w:t>
      </w:r>
      <w:r>
        <w:t>35%</w:t>
      </w:r>
      <w:r>
        <w:rPr>
          <w:rFonts w:hint="eastAsia" w:hAnsi="方正仿宋_GBK" w:cs="方正仿宋_GBK"/>
        </w:rPr>
        <w:t>以上。建立完善医疗服务价格动态调整机制，每年开展一次调价评估，监测公立医疗机构医疗服务价格、成本、费用、收入分配及改革运行情况，作为实施医疗服务价格调整的基础。</w:t>
      </w:r>
    </w:p>
    <w:p w14:paraId="4C4AF9F7">
      <w:pPr>
        <w:widowControl/>
        <w:spacing w:line="600" w:lineRule="exact"/>
        <w:ind w:firstLine="640" w:firstLineChars="200"/>
        <w:textAlignment w:val="baseline"/>
      </w:pPr>
      <w:r>
        <w:rPr>
          <w:rFonts w:hint="eastAsia" w:hAnsi="方正仿宋_GBK" w:cs="方正仿宋_GBK"/>
          <w:b/>
          <w:bCs/>
        </w:rPr>
        <w:t>深化医保支付方式改革。</w:t>
      </w:r>
      <w:r>
        <w:rPr>
          <w:rFonts w:hint="eastAsia" w:hAnsi="方正仿宋_GBK" w:cs="方正仿宋_GBK"/>
        </w:rPr>
        <w:t>持续推进按病种付费为主的多元复合式医保</w:t>
      </w:r>
      <w:r>
        <w:rPr>
          <w:rFonts w:hint="eastAsia" w:cs="方正仿宋_GBK"/>
        </w:rPr>
        <w:t>支付方式改革。按照市级统一安排部署，推动按疾病诊断相关分组（</w:t>
      </w:r>
      <w:r>
        <w:t>DRG</w:t>
      </w:r>
      <w:r>
        <w:rPr>
          <w:rFonts w:hint="eastAsia" w:cs="方正仿宋_GBK"/>
        </w:rPr>
        <w:t>）付费国家试点转入实际付费。全面推开日间手术工作，符合条件的三级医疗机构执行国家公布的日间手术病种。深化城乡居民高血压、糖尿病门诊用药保障机制。将符合条件的互联网医疗服务纳入医保支付范围。</w:t>
      </w:r>
    </w:p>
    <w:p w14:paraId="728956C6">
      <w:pPr>
        <w:spacing w:line="600" w:lineRule="exact"/>
        <w:ind w:firstLine="640" w:firstLineChars="200"/>
      </w:pPr>
      <w:r>
        <w:rPr>
          <w:rFonts w:hint="eastAsia" w:hAnsi="方正仿宋_GBK" w:cs="方正仿宋_GBK"/>
          <w:b/>
          <w:bCs/>
        </w:rPr>
        <w:t>完善卫生健康法治体系。</w:t>
      </w:r>
      <w:r>
        <w:rPr>
          <w:rFonts w:hint="eastAsia" w:hAnsi="方正仿宋_GBK" w:cs="方正仿宋_GBK"/>
          <w:lang w:val="zh-CN"/>
        </w:rPr>
        <w:t>贯彻落实国家基本卫生法律法规，</w:t>
      </w:r>
      <w:r>
        <w:rPr>
          <w:rFonts w:hint="eastAsia" w:hAnsi="方正仿宋_GBK" w:cs="方正仿宋_GBK"/>
        </w:rPr>
        <w:t>加强普法宣传，增强全社会法治意识，强化法制审核工作机制，严格开展合法性审核和公平竞争审查。</w:t>
      </w:r>
    </w:p>
    <w:p w14:paraId="1DB237C7">
      <w:pPr>
        <w:spacing w:line="600" w:lineRule="exact"/>
        <w:ind w:firstLine="640" w:firstLineChars="200"/>
      </w:pPr>
      <w:r>
        <w:rPr>
          <w:rFonts w:hint="eastAsia" w:hAnsi="方正仿宋_GBK" w:cs="方正仿宋_GBK"/>
          <w:b/>
          <w:bCs/>
        </w:rPr>
        <w:t>健全综合监管制度。</w:t>
      </w:r>
      <w:r>
        <w:rPr>
          <w:rFonts w:hint="eastAsia" w:hAnsi="方正仿宋_GBK" w:cs="方正仿宋_GBK"/>
        </w:rPr>
        <w:t>健全部门协调机制，完善政府主导、机构自治、行业自律、社会监督的综合监管体系。推进</w:t>
      </w:r>
      <w:r>
        <w:t>“</w:t>
      </w:r>
      <w:r>
        <w:rPr>
          <w:rFonts w:hint="eastAsia" w:hAnsi="方正仿宋_GBK" w:cs="方正仿宋_GBK"/>
        </w:rPr>
        <w:t>诚信</w:t>
      </w:r>
      <w:r>
        <w:t>+</w:t>
      </w:r>
      <w:r>
        <w:rPr>
          <w:rFonts w:hint="eastAsia" w:hAnsi="方正仿宋_GBK" w:cs="方正仿宋_GBK"/>
        </w:rPr>
        <w:t>综合监管</w:t>
      </w:r>
      <w:r>
        <w:t>”</w:t>
      </w:r>
      <w:r>
        <w:rPr>
          <w:rFonts w:hint="eastAsia" w:hAnsi="方正仿宋_GBK" w:cs="方正仿宋_GBK"/>
        </w:rPr>
        <w:t>试点，全面加强医疗服务多元化监管。建立公立医院动态监测与评估机制，实施公立医院监测数据接入全覆盖。强化医疗服务监管职能，完善机构、人员、技术、装备准入和退出机制。支持社会各界参与监督，加强相关投诉举报平台建设，发挥媒体监督作用。</w:t>
      </w:r>
    </w:p>
    <w:p w14:paraId="6076C2F0">
      <w:pPr>
        <w:spacing w:line="600" w:lineRule="exact"/>
        <w:ind w:firstLine="640" w:firstLineChars="200"/>
      </w:pPr>
      <w:r>
        <w:rPr>
          <w:rFonts w:hint="eastAsia" w:hAnsi="方正仿宋_GBK" w:cs="方正仿宋_GBK"/>
          <w:b/>
          <w:bCs/>
        </w:rPr>
        <w:t>加强监督执法能力建设。</w:t>
      </w:r>
      <w:r>
        <w:rPr>
          <w:rFonts w:hint="eastAsia" w:hAnsi="方正仿宋_GBK" w:cs="方正仿宋_GBK"/>
        </w:rPr>
        <w:t>建设专业高效、统一规范、文明公正的卫</w:t>
      </w:r>
      <w:r>
        <w:rPr>
          <w:rFonts w:hint="eastAsia" w:cs="方正仿宋_GBK"/>
        </w:rPr>
        <w:t>生健康执法监督队伍。持续开展规范化监督执法机构建设，建设实训基地。实施卫生监督智能化监管，推进</w:t>
      </w:r>
      <w:r>
        <w:t>“</w:t>
      </w:r>
      <w:r>
        <w:rPr>
          <w:rFonts w:hint="eastAsia" w:cs="方正仿宋_GBK"/>
        </w:rPr>
        <w:t>智慧卫监</w:t>
      </w:r>
      <w:r>
        <w:t>”</w:t>
      </w:r>
      <w:r>
        <w:rPr>
          <w:rFonts w:hint="eastAsia" w:cs="方正仿宋_GBK"/>
        </w:rPr>
        <w:t>平台建设。推进执法办案质量提升行动，重点加强传染病防控等领域监督执法。</w:t>
      </w:r>
    </w:p>
    <w:p w14:paraId="58114B08">
      <w:pPr>
        <w:pStyle w:val="3"/>
        <w:spacing w:before="0" w:after="0" w:line="600" w:lineRule="exact"/>
        <w:ind w:left="963"/>
        <w:rPr>
          <w:rFonts w:ascii="Times New Roman" w:hAnsi="Times New Roman" w:eastAsia="方正楷体_GBK" w:cs="Times New Roman"/>
        </w:rPr>
      </w:pPr>
      <w:bookmarkStart w:id="40" w:name="_Toc29286"/>
      <w:r>
        <w:rPr>
          <w:rFonts w:hint="eastAsia" w:ascii="Times New Roman" w:hAnsi="Times New Roman" w:eastAsia="方正楷体_GBK" w:cs="方正楷体_GBK"/>
          <w:lang w:val="en-US"/>
        </w:rPr>
        <w:t>（六）</w:t>
      </w:r>
      <w:r>
        <w:rPr>
          <w:rFonts w:hint="eastAsia" w:ascii="Times New Roman" w:hAnsi="Times New Roman" w:eastAsia="方正楷体_GBK" w:cs="方正楷体_GBK"/>
        </w:rPr>
        <w:t>优化生育政策，促进人口均衡发展</w:t>
      </w:r>
      <w:bookmarkEnd w:id="40"/>
    </w:p>
    <w:p w14:paraId="5D84E47E">
      <w:pPr>
        <w:spacing w:line="600" w:lineRule="exact"/>
        <w:ind w:firstLine="640" w:firstLineChars="200"/>
        <w:rPr>
          <w:b/>
          <w:bCs/>
        </w:rPr>
      </w:pPr>
      <w:r>
        <w:rPr>
          <w:rFonts w:hint="eastAsia" w:hAnsi="方正仿宋_GBK" w:cs="方正仿宋_GBK"/>
          <w:b/>
          <w:bCs/>
        </w:rPr>
        <w:t>落实优化生育政策。</w:t>
      </w:r>
      <w:r>
        <w:rPr>
          <w:rFonts w:hint="eastAsia" w:hAnsi="方正仿宋_GBK" w:cs="方正仿宋_GBK"/>
        </w:rPr>
        <w:t>提倡适龄婚育、优生优育，实施三孩生育政策，促进生育政策和相关经济社会政策配套衔接，减轻家庭生育、养育、教育负担。鼓励用人单位制定有利于职工平衡工作与家庭关系的措施。合理配置母婴设施等公共服务资源。</w:t>
      </w:r>
    </w:p>
    <w:p w14:paraId="1BC744B3">
      <w:pPr>
        <w:spacing w:line="600" w:lineRule="exact"/>
        <w:ind w:firstLine="640" w:firstLineChars="200"/>
      </w:pPr>
      <w:r>
        <w:rPr>
          <w:rFonts w:hint="eastAsia" w:hAnsi="方正仿宋_GBK" w:cs="方正仿宋_GBK"/>
          <w:b/>
          <w:bCs/>
        </w:rPr>
        <w:t>建立健全人口服务体系。</w:t>
      </w:r>
      <w:r>
        <w:rPr>
          <w:rFonts w:hint="eastAsia" w:hAnsi="方正仿宋_GBK" w:cs="方正仿宋_GBK"/>
        </w:rPr>
        <w:t>积极应对人口老龄化，促进人口长期均衡发展。以</w:t>
      </w:r>
      <w:r>
        <w:t>“</w:t>
      </w:r>
      <w:r>
        <w:rPr>
          <w:rFonts w:hint="eastAsia" w:hAnsi="方正仿宋_GBK" w:cs="方正仿宋_GBK"/>
        </w:rPr>
        <w:t>一老一小</w:t>
      </w:r>
      <w:r>
        <w:t>”</w:t>
      </w:r>
      <w:r>
        <w:rPr>
          <w:rFonts w:hint="eastAsia" w:hAnsi="方正仿宋_GBK" w:cs="方正仿宋_GBK"/>
        </w:rPr>
        <w:t>为重点，建立健全覆盖全生命周期的人口服务体系。加强基层服务体系和能力建设，增强抚幼养老功能。健全人口与家庭发展基层工作网络，</w:t>
      </w:r>
      <w:r>
        <w:rPr>
          <w:rFonts w:hint="eastAsia" w:cs="方正仿宋_GBK"/>
        </w:rPr>
        <w:t>推动各项服务能力持续提升</w:t>
      </w:r>
      <w:r>
        <w:rPr>
          <w:rFonts w:hint="eastAsia" w:hAnsi="方正仿宋_GBK" w:cs="方正仿宋_GBK"/>
        </w:rPr>
        <w:t>。加强基层计生协会的组织和能力建设。完善人口监测体系，健全人口监测预警制度。推动健康家庭建设。</w:t>
      </w:r>
    </w:p>
    <w:p w14:paraId="21CAFFE7">
      <w:pPr>
        <w:widowControl/>
        <w:spacing w:line="600" w:lineRule="exact"/>
        <w:ind w:firstLine="640" w:firstLineChars="200"/>
        <w:textAlignment w:val="baseline"/>
      </w:pPr>
      <w:r>
        <w:rPr>
          <w:rFonts w:hint="eastAsia" w:hAnsi="方正仿宋_GBK" w:cs="方正仿宋_GBK"/>
          <w:b/>
          <w:bCs/>
        </w:rPr>
        <w:t>加强政策调整有序衔接。</w:t>
      </w:r>
      <w:r>
        <w:rPr>
          <w:rFonts w:hint="eastAsia" w:hAnsi="方正仿宋_GBK" w:cs="方正仿宋_GBK"/>
        </w:rPr>
        <w:t>对全面两孩政策调整前的独生子女家庭和农村计划生育双女家庭，继续实行现行各项奖励扶助制度和优</w:t>
      </w:r>
      <w:r>
        <w:rPr>
          <w:rFonts w:hint="eastAsia" w:cs="方正仿宋_GBK"/>
        </w:rPr>
        <w:t>惠政策。建立健全政府主导、社会组织参与的扶助关怀工作机制。建立定期巡访制度，落实计划生育特殊家庭</w:t>
      </w:r>
      <w:r>
        <w:t>“</w:t>
      </w:r>
      <w:r>
        <w:rPr>
          <w:rFonts w:hint="eastAsia" w:cs="方正仿宋_GBK"/>
        </w:rPr>
        <w:t>双岗</w:t>
      </w:r>
      <w:r>
        <w:t>”</w:t>
      </w:r>
      <w:r>
        <w:rPr>
          <w:rFonts w:hint="eastAsia" w:cs="方正仿宋_GBK"/>
        </w:rPr>
        <w:t>联系人制度。</w:t>
      </w:r>
    </w:p>
    <w:p w14:paraId="523A2514">
      <w:pPr>
        <w:spacing w:line="600" w:lineRule="exact"/>
        <w:ind w:firstLine="640" w:firstLineChars="200"/>
        <w:rPr>
          <w:b/>
          <w:bCs/>
        </w:rPr>
      </w:pPr>
      <w:r>
        <w:rPr>
          <w:rFonts w:hint="eastAsia" w:hAnsi="方正仿宋_GBK" w:cs="方正仿宋_GBK"/>
          <w:b/>
          <w:bCs/>
        </w:rPr>
        <w:t>推进托育服务专业化、规范化发展。</w:t>
      </w:r>
      <w:r>
        <w:rPr>
          <w:rFonts w:hint="eastAsia" w:hAnsi="方正仿宋_GBK" w:cs="方正仿宋_GBK"/>
        </w:rPr>
        <w:t>加快推进托育服务标准化、规范化建设，完善托育机构设置标准和托育机构管理</w:t>
      </w:r>
      <w:r>
        <w:rPr>
          <w:rFonts w:hint="eastAsia" w:cs="方正仿宋_GBK"/>
        </w:rPr>
        <w:t>规范</w:t>
      </w:r>
      <w:r>
        <w:rPr>
          <w:rFonts w:hint="eastAsia" w:hAnsi="方正仿宋_GBK" w:cs="方正仿宋_GBK"/>
        </w:rPr>
        <w:t>，建立健全托育服务机构备案登记制度、信息公示制度和质量评估制度。制定托育从业人员学历教育和相关职业标准，建立综合监管机制，加强社会监督和行业自律，提高保育保教质量和水平。</w:t>
      </w:r>
    </w:p>
    <w:p w14:paraId="37A72059">
      <w:pPr>
        <w:spacing w:line="600" w:lineRule="exact"/>
        <w:ind w:firstLine="640" w:firstLineChars="200"/>
        <w:rPr>
          <w:b/>
          <w:bCs/>
        </w:rPr>
      </w:pPr>
      <w:r>
        <w:rPr>
          <w:rFonts w:hint="eastAsia" w:hAnsi="方正仿宋_GBK" w:cs="方正仿宋_GBK"/>
          <w:b/>
          <w:bCs/>
        </w:rPr>
        <w:t>发展多种形式的婴幼儿照护服务。</w:t>
      </w:r>
      <w:r>
        <w:rPr>
          <w:rFonts w:hint="eastAsia" w:hAnsi="方正仿宋_GBK" w:cs="方正仿宋_GBK"/>
        </w:rPr>
        <w:t>加强社区托育服务设施建设，发展集中管理运营的社区托育服务网络，完善社区婴幼儿活动场所和服务设施。支持隔代照料</w:t>
      </w:r>
      <w:r>
        <w:rPr>
          <w:rFonts w:hint="eastAsia" w:cs="方正仿宋_GBK"/>
        </w:rPr>
        <w:t>、家庭互助等照护模式。支持有条件的用人单位以单独或联合相关单位共同举办的方式，在工作场所为职工提供托育服务。</w:t>
      </w:r>
    </w:p>
    <w:p w14:paraId="794F0B50">
      <w:pPr>
        <w:pStyle w:val="5"/>
        <w:spacing w:line="600" w:lineRule="exact"/>
      </w:pPr>
      <w:r>
        <w:rPr>
          <w:rFonts w:hint="eastAsia" w:hAnsi="方正仿宋_GBK" w:cs="方正仿宋_GBK"/>
          <w:b/>
          <w:bCs/>
          <w:kern w:val="0"/>
        </w:rPr>
        <w:t>　　完善妇幼保健服务网络</w:t>
      </w:r>
      <w:r>
        <w:rPr>
          <w:rFonts w:hint="eastAsia" w:cs="方正仿宋_GBK"/>
          <w:kern w:val="0"/>
        </w:rPr>
        <w:t>。加强县妇幼保健院标准化建设和等级创建工作，实施县妇幼保健院妇产综合楼改造项目，在西部新区选址建设县</w:t>
      </w:r>
      <w:r>
        <w:rPr>
          <w:rFonts w:hint="eastAsia" w:hAnsi="方正仿宋_GBK" w:cs="方正仿宋_GBK"/>
          <w:kern w:val="0"/>
        </w:rPr>
        <w:t>妇女儿童医院建设工程，编制床位达到</w:t>
      </w:r>
      <w:r>
        <w:rPr>
          <w:kern w:val="0"/>
        </w:rPr>
        <w:t>450</w:t>
      </w:r>
      <w:r>
        <w:rPr>
          <w:rFonts w:hint="eastAsia" w:hAnsi="方正仿宋_GBK" w:cs="方正仿宋_GBK"/>
          <w:kern w:val="0"/>
        </w:rPr>
        <w:t>张，开展学科建设和人才储备，为创建三级妇幼保健院奠定坚实基础。</w:t>
      </w:r>
      <w:r>
        <w:rPr>
          <w:rFonts w:hint="eastAsia" w:hAnsi="方正仿宋_GBK" w:cs="方正仿宋_GBK"/>
        </w:rPr>
        <w:t>筑牢妇幼保健服务网底，增加产科、儿科优质资源供给，推进高品质、普惠型产科床位，建成孕产妇和新生重症监护室，加强危重孕产妇和新生儿救治中心能力建设。</w:t>
      </w:r>
    </w:p>
    <w:p w14:paraId="7B45B463">
      <w:pPr>
        <w:pStyle w:val="5"/>
        <w:spacing w:line="600" w:lineRule="exact"/>
        <w:ind w:firstLine="627" w:firstLineChars="196"/>
      </w:pPr>
      <w:r>
        <w:rPr>
          <w:rFonts w:hint="eastAsia" w:hAnsi="方正仿宋_GBK" w:cs="方正仿宋_GBK"/>
          <w:b/>
          <w:bCs/>
        </w:rPr>
        <w:t>促进妇女儿童健康。</w:t>
      </w:r>
      <w:r>
        <w:rPr>
          <w:rFonts w:hint="eastAsia" w:hAnsi="方正仿宋_GBK" w:cs="方正仿宋_GBK"/>
        </w:rPr>
        <w:t>完善妇幼健康服务全周期链条，实施健康儿童行动提升计划和母乳喂养促进行动计划。推进妇女宫颈癌、乳腺癌防治，农村适龄妇女宫颈癌筛查率达到</w:t>
      </w:r>
      <w:r>
        <w:t>70%</w:t>
      </w:r>
      <w:r>
        <w:rPr>
          <w:rFonts w:hint="eastAsia" w:hAnsi="方正仿宋_GBK" w:cs="方正仿宋_GBK"/>
        </w:rPr>
        <w:t>以上，乳腺癌筛查覆盖率逐步提高，推进更年期保健服务。加强出生缺陷综合防治，规范开展三级预防，到</w:t>
      </w:r>
      <w:r>
        <w:t>2025</w:t>
      </w:r>
      <w:r>
        <w:rPr>
          <w:rFonts w:hint="eastAsia" w:hAnsi="方正仿宋_GBK" w:cs="方正仿宋_GBK"/>
        </w:rPr>
        <w:t>年，产前筛查率达到</w:t>
      </w:r>
      <w:r>
        <w:t>80%</w:t>
      </w:r>
      <w:r>
        <w:rPr>
          <w:rFonts w:hint="eastAsia"/>
        </w:rPr>
        <w:t>以上</w:t>
      </w:r>
      <w:r>
        <w:rPr>
          <w:rFonts w:hint="eastAsia" w:hAnsi="方正仿宋_GBK" w:cs="方正仿宋_GBK"/>
        </w:rPr>
        <w:t>，新生儿遗传代谢性疾病筛查率达到</w:t>
      </w:r>
      <w:r>
        <w:t>98%</w:t>
      </w:r>
      <w:r>
        <w:rPr>
          <w:rFonts w:hint="eastAsia" w:hAnsi="方正仿宋_GBK" w:cs="方正仿宋_GBK"/>
        </w:rPr>
        <w:t>以上，新生儿听力筛查率达到</w:t>
      </w:r>
      <w:r>
        <w:t>90%</w:t>
      </w:r>
      <w:r>
        <w:rPr>
          <w:rFonts w:hint="eastAsia" w:hAnsi="方正仿宋_GBK" w:cs="方正仿宋_GBK"/>
        </w:rPr>
        <w:t>以上。强化婴幼儿养育照护指导，促进儿童早期发展。强化儿童保健和重点疾病防控，推进眼保健和心理健康服务。夯实学生常见病防控网络及技术支撑体系，加强学生营养健康膳食评估指导和学校卫生综合评价能力。加强学生近视、肥胖、龋齿、脊柱侧弯等常见病防治，</w:t>
      </w:r>
      <w:r>
        <w:t>12</w:t>
      </w:r>
      <w:r>
        <w:rPr>
          <w:rFonts w:hint="eastAsia" w:hAnsi="方正仿宋_GBK" w:cs="方正仿宋_GBK"/>
        </w:rPr>
        <w:t>岁儿童患龋率控制在</w:t>
      </w:r>
      <w:r>
        <w:t>30%</w:t>
      </w:r>
      <w:r>
        <w:rPr>
          <w:rFonts w:hint="eastAsia" w:hAnsi="方正仿宋_GBK" w:cs="方正仿宋_GBK"/>
        </w:rPr>
        <w:t>以内</w:t>
      </w:r>
      <w:r>
        <w:rPr>
          <w:rFonts w:hint="eastAsia" w:cs="方正仿宋_GBK"/>
        </w:rPr>
        <w:t>。</w:t>
      </w:r>
    </w:p>
    <w:p w14:paraId="72F43D73">
      <w:pPr>
        <w:widowControl/>
        <w:spacing w:line="600" w:lineRule="exact"/>
        <w:ind w:firstLine="640" w:firstLineChars="200"/>
        <w:textAlignment w:val="baseline"/>
        <w:rPr>
          <w:shd w:val="clear" w:color="auto" w:fill="FFFFFF"/>
        </w:rPr>
      </w:pPr>
      <w:r>
        <w:rPr>
          <w:rFonts w:hint="eastAsia" w:cs="方正仿宋_GBK"/>
          <w:b/>
          <w:bCs/>
        </w:rPr>
        <w:t>完善老年健康服务机构建设</w:t>
      </w:r>
      <w:r>
        <w:rPr>
          <w:rFonts w:hint="eastAsia" w:hAnsi="方正仿宋_GBK" w:cs="方正仿宋_GBK"/>
          <w:b/>
          <w:bCs/>
          <w:kern w:val="0"/>
        </w:rPr>
        <w:t>。</w:t>
      </w:r>
      <w:r>
        <w:rPr>
          <w:rFonts w:hint="eastAsia" w:hAnsi="方正仿宋_GBK" w:cs="方正仿宋_GBK"/>
          <w:kern w:val="0"/>
        </w:rPr>
        <w:t>推动二级以上综合医院、中医医院开设老年病科、康复科或治未病科，二级以上综合性医院设立老年医学科</w:t>
      </w:r>
      <w:r>
        <w:rPr>
          <w:rFonts w:hint="eastAsia" w:cs="方正仿宋_GBK"/>
        </w:rPr>
        <w:t>全覆盖</w:t>
      </w:r>
      <w:r>
        <w:rPr>
          <w:rFonts w:hint="eastAsia" w:hAnsi="方正仿宋_GBK" w:cs="方正仿宋_GBK"/>
          <w:kern w:val="0"/>
        </w:rPr>
        <w:t>，引导一批基层医疗卫生机构开设老年、康复、护理等床位。开展老年友善医疗机构创建工作。加强老年医学科建设力度。建立长期照护服务体系，推进安宁疗护工作，保障疾病终末期患者生命</w:t>
      </w:r>
      <w:r>
        <w:rPr>
          <w:rFonts w:hint="eastAsia" w:hAnsi="方正仿宋_GBK" w:cs="方正仿宋_GBK"/>
          <w:shd w:val="clear" w:color="auto" w:fill="FFFFFF"/>
        </w:rPr>
        <w:t>质量。</w:t>
      </w:r>
    </w:p>
    <w:p w14:paraId="0C487743">
      <w:pPr>
        <w:spacing w:line="600" w:lineRule="exact"/>
        <w:ind w:firstLine="640" w:firstLineChars="200"/>
      </w:pPr>
      <w:bookmarkStart w:id="41" w:name="_Toc78987146"/>
      <w:r>
        <w:rPr>
          <w:rFonts w:hint="eastAsia" w:hAnsi="方正仿宋_GBK" w:cs="方正仿宋_GBK"/>
          <w:b/>
          <w:bCs/>
          <w:shd w:val="clear" w:color="auto" w:fill="FFFFFF"/>
        </w:rPr>
        <w:t>推进医养结合协调发展</w:t>
      </w:r>
      <w:bookmarkEnd w:id="41"/>
      <w:r>
        <w:rPr>
          <w:rFonts w:hint="eastAsia" w:hAnsi="方正仿宋_GBK" w:cs="方正仿宋_GBK"/>
          <w:b/>
          <w:bCs/>
          <w:shd w:val="clear" w:color="auto" w:fill="FFFFFF"/>
        </w:rPr>
        <w:t>。</w:t>
      </w:r>
      <w:r>
        <w:rPr>
          <w:rFonts w:hint="eastAsia" w:hAnsi="方正仿宋_GBK" w:cs="方正仿宋_GBK"/>
          <w:shd w:val="clear" w:color="auto" w:fill="FFFFFF"/>
        </w:rPr>
        <w:t>构建以居家社区机构相协调、医养康养相结合的服务体系</w:t>
      </w:r>
      <w:r>
        <w:rPr>
          <w:rFonts w:hint="eastAsia" w:hAnsi="方正仿宋_GBK" w:cs="方正仿宋_GBK"/>
        </w:rPr>
        <w:t>。开展医养结合机构服务质量提升行动，引导</w:t>
      </w:r>
      <w:r>
        <w:t>“</w:t>
      </w:r>
      <w:r>
        <w:rPr>
          <w:rFonts w:hint="eastAsia" w:hAnsi="方正仿宋_GBK" w:cs="方正仿宋_GBK"/>
        </w:rPr>
        <w:t>医中有养</w:t>
      </w:r>
      <w:r>
        <w:t>”“</w:t>
      </w:r>
      <w:r>
        <w:rPr>
          <w:rFonts w:hint="eastAsia" w:hAnsi="方正仿宋_GBK" w:cs="方正仿宋_GBK"/>
        </w:rPr>
        <w:t>养中有医</w:t>
      </w:r>
      <w:r>
        <w:t>”</w:t>
      </w:r>
      <w:r>
        <w:rPr>
          <w:rFonts w:hint="eastAsia" w:hAnsi="方正仿宋_GBK" w:cs="方正仿宋_GBK"/>
        </w:rPr>
        <w:t>的医养结合机构实现差异化发展，为老年人提供多元化、有针对性的健康养老服务。在</w:t>
      </w:r>
      <w:r>
        <w:rPr>
          <w:rFonts w:hint="eastAsia" w:cs="方正仿宋_GBK"/>
        </w:rPr>
        <w:t>兴隆镇创建以中医药服务、康复疗养为特色的医养结合型二级甲等综合性医院，为建设</w:t>
      </w:r>
      <w:r>
        <w:t>“</w:t>
      </w:r>
      <w:r>
        <w:rPr>
          <w:rFonts w:hint="eastAsia" w:cs="方正仿宋_GBK"/>
        </w:rPr>
        <w:t>三峡凉都</w:t>
      </w:r>
      <w:r>
        <w:t>”</w:t>
      </w:r>
      <w:r>
        <w:rPr>
          <w:rFonts w:hint="eastAsia" w:cs="方正仿宋_GBK"/>
        </w:rPr>
        <w:t>提供强大的医疗健康服务保障。</w:t>
      </w:r>
      <w:r>
        <w:rPr>
          <w:rFonts w:hint="eastAsia" w:hAnsi="方正仿宋_GBK" w:cs="方正仿宋_GBK"/>
        </w:rPr>
        <w:t>基层医疗卫生机构探索开展医养结合服务，鼓励社会资本以市场化运作方式举办医养结合机构，支持社会办大型医养结合机构。</w:t>
      </w:r>
    </w:p>
    <w:p w14:paraId="6F93E236">
      <w:pPr>
        <w:widowControl/>
        <w:spacing w:line="600" w:lineRule="exact"/>
        <w:ind w:firstLine="640" w:firstLineChars="200"/>
        <w:textAlignment w:val="baseline"/>
      </w:pPr>
      <w:r>
        <w:rPr>
          <w:rFonts w:hint="eastAsia" w:hAnsi="方正仿宋_GBK" w:cs="方正仿宋_GBK"/>
          <w:b/>
          <w:bCs/>
        </w:rPr>
        <w:t>加强老年健康管理与干预。</w:t>
      </w:r>
      <w:r>
        <w:rPr>
          <w:rFonts w:hint="eastAsia" w:hAnsi="方正仿宋_GBK" w:cs="方正仿宋_GBK"/>
        </w:rPr>
        <w:t>加强老年预防保健，开展老年健康生活方式和可干预危险因素的健康教育，发展适合老年人特点的</w:t>
      </w:r>
      <w:r>
        <w:rPr>
          <w:rFonts w:hint="eastAsia" w:cs="方正仿宋_GBK"/>
        </w:rPr>
        <w:t>体育健身活动。指导开展老年人慢性病和神经退行性病症的早期筛查干预和健康指导，实施老年人失能预防项目和心理健康预防干预计划。</w:t>
      </w:r>
    </w:p>
    <w:p w14:paraId="42F44319">
      <w:pPr>
        <w:pStyle w:val="3"/>
        <w:spacing w:before="0" w:after="0" w:line="600" w:lineRule="exact"/>
        <w:ind w:left="963"/>
        <w:rPr>
          <w:rFonts w:ascii="Times New Roman" w:hAnsi="Times New Roman" w:eastAsia="方正楷体_GBK" w:cs="Times New Roman"/>
        </w:rPr>
      </w:pPr>
      <w:bookmarkStart w:id="42" w:name="_Toc4349"/>
      <w:r>
        <w:rPr>
          <w:rFonts w:hint="eastAsia" w:ascii="Times New Roman" w:hAnsi="Times New Roman" w:eastAsia="方正楷体_GBK" w:cs="方正楷体_GBK"/>
          <w:lang w:val="en-US"/>
        </w:rPr>
        <w:t>（七）顺应</w:t>
      </w:r>
      <w:r>
        <w:rPr>
          <w:rFonts w:hint="eastAsia" w:ascii="Times New Roman" w:hAnsi="Times New Roman" w:eastAsia="方正楷体_GBK" w:cs="方正楷体_GBK"/>
        </w:rPr>
        <w:t>产业发展趋势，促进健康服务业</w:t>
      </w:r>
      <w:r>
        <w:rPr>
          <w:rFonts w:hint="eastAsia" w:ascii="Times New Roman" w:hAnsi="Times New Roman" w:eastAsia="方正楷体_GBK" w:cs="方正楷体_GBK"/>
          <w:lang w:val="en-US"/>
        </w:rPr>
        <w:t>高质量</w:t>
      </w:r>
      <w:r>
        <w:rPr>
          <w:rFonts w:hint="eastAsia" w:ascii="Times New Roman" w:hAnsi="Times New Roman" w:eastAsia="方正楷体_GBK" w:cs="方正楷体_GBK"/>
        </w:rPr>
        <w:t>发展</w:t>
      </w:r>
      <w:bookmarkEnd w:id="42"/>
    </w:p>
    <w:p w14:paraId="5768D9D3">
      <w:pPr>
        <w:spacing w:line="600" w:lineRule="exact"/>
        <w:ind w:firstLine="640" w:firstLineChars="200"/>
      </w:pPr>
      <w:r>
        <w:rPr>
          <w:rFonts w:hint="eastAsia" w:cs="方正仿宋_GBK"/>
          <w:b/>
          <w:bCs/>
        </w:rPr>
        <w:t>鼓励发展社会办医</w:t>
      </w:r>
      <w:r>
        <w:rPr>
          <w:rFonts w:hint="eastAsia" w:cs="方正仿宋_GBK"/>
        </w:rPr>
        <w:t>。深化</w:t>
      </w:r>
      <w:r>
        <w:t>“</w:t>
      </w:r>
      <w:r>
        <w:rPr>
          <w:rFonts w:hint="eastAsia" w:cs="方正仿宋_GBK"/>
        </w:rPr>
        <w:t>放管服</w:t>
      </w:r>
      <w:r>
        <w:t>”</w:t>
      </w:r>
      <w:r>
        <w:rPr>
          <w:rFonts w:hint="eastAsia" w:cs="方正仿宋_GBK"/>
        </w:rPr>
        <w:t>改革，促进社会办医规范发展。</w:t>
      </w:r>
      <w:r>
        <w:rPr>
          <w:rFonts w:hint="eastAsia" w:hAnsi="方正仿宋_GBK" w:cs="方正仿宋_GBK"/>
        </w:rPr>
        <w:t>规划县域内民营医院达到</w:t>
      </w:r>
      <w:r>
        <w:t>11</w:t>
      </w:r>
      <w:r>
        <w:rPr>
          <w:rFonts w:hint="eastAsia" w:hAnsi="方正仿宋_GBK" w:cs="方正仿宋_GBK"/>
        </w:rPr>
        <w:t>个，满足人民群众多层次、多元化医疗服务需求。规范社会资本办医，支持民营医疗机构提档升级，开展等级医院创建，发展一批有规模、有影响、有品牌特色的社会医疗机构。支持社会力量提供体检、医学检验、影像检查、健康管理、医疗旅游、健康咨询、卫生检测和评价服务。支持有资质的医生开办个体诊所，按照国家规范进行设置审批，</w:t>
      </w:r>
      <w:r>
        <w:rPr>
          <w:rFonts w:hint="eastAsia" w:cs="方正仿宋_GBK"/>
        </w:rPr>
        <w:t>实行市场调节，</w:t>
      </w:r>
      <w:r>
        <w:rPr>
          <w:rFonts w:hint="eastAsia" w:hAnsi="方正仿宋_GBK" w:cs="方正仿宋_GBK"/>
          <w:shd w:val="clear" w:color="auto" w:fill="FFFFFF"/>
        </w:rPr>
        <w:t>相互之间</w:t>
      </w:r>
      <w:r>
        <w:rPr>
          <w:rFonts w:hint="eastAsia" w:hAnsi="方正仿宋_GBK" w:cs="方正仿宋_GBK"/>
        </w:rPr>
        <w:t>不得形成毗邻关系、设置不得过于密集。</w:t>
      </w:r>
      <w:r>
        <w:rPr>
          <w:rFonts w:hint="eastAsia" w:cs="方正仿宋_GBK"/>
        </w:rPr>
        <w:t>加强政府监管和服务，推进行业自律和社会监督，提高社会办医疗机构同质化水平。</w:t>
      </w:r>
    </w:p>
    <w:p w14:paraId="7734E456">
      <w:pPr>
        <w:pStyle w:val="4"/>
        <w:keepNext w:val="0"/>
        <w:keepLines w:val="0"/>
        <w:spacing w:before="0" w:after="0" w:line="600" w:lineRule="exact"/>
        <w:ind w:left="0" w:leftChars="0" w:firstLine="640" w:firstLineChars="200"/>
        <w:rPr>
          <w:rFonts w:ascii="方正仿宋_GBK" w:hAnsi="方正仿宋_GBK" w:eastAsia="方正仿宋_GBK" w:cs="Times New Roman"/>
        </w:rPr>
      </w:pPr>
      <w:bookmarkStart w:id="43" w:name="_Toc434"/>
      <w:r>
        <w:rPr>
          <w:rFonts w:hint="eastAsia" w:ascii="方正仿宋_GBK" w:hAnsi="方正仿宋_GBK" w:eastAsia="方正仿宋_GBK" w:cs="方正仿宋_GBK"/>
          <w:b/>
          <w:bCs/>
        </w:rPr>
        <w:t>拓展健康服务新业态</w:t>
      </w:r>
      <w:bookmarkEnd w:id="43"/>
      <w:r>
        <w:rPr>
          <w:rFonts w:hint="eastAsia" w:ascii="方正仿宋_GBK" w:hAnsi="方正仿宋_GBK" w:eastAsia="方正仿宋_GBK" w:cs="方正仿宋_GBK"/>
        </w:rPr>
        <w:t>。全力推动生活性服务业向精细化和高品质转变。大力发展健康服务业，加快发展智慧医疗，鼓励医疗健康“大数据”、移动医疗、远程医疗、智慧保健等新业态发展，抢占新型医疗产业发展高地。推动健康服务与文化旅游、养老、保险、体育融合发展。</w:t>
      </w:r>
    </w:p>
    <w:p w14:paraId="4ED89499">
      <w:pPr>
        <w:pStyle w:val="4"/>
        <w:keepNext w:val="0"/>
        <w:keepLines w:val="0"/>
        <w:spacing w:before="0" w:after="0" w:line="600" w:lineRule="exact"/>
        <w:ind w:left="0" w:leftChars="0" w:firstLine="640" w:firstLineChars="200"/>
        <w:rPr>
          <w:rFonts w:ascii="Times New Roman" w:hAnsi="Times New Roman" w:eastAsia="方正仿宋_GBK" w:cs="Times New Roman"/>
        </w:rPr>
      </w:pPr>
      <w:r>
        <w:rPr>
          <w:rFonts w:hint="eastAsia" w:ascii="Times New Roman" w:hAnsi="Times New Roman" w:eastAsia="方正仿宋_GBK" w:cs="方正仿宋_GBK"/>
          <w:b/>
          <w:bCs/>
          <w:lang w:val="en-US"/>
        </w:rPr>
        <w:t>开展招商引资突破攻坚。</w:t>
      </w:r>
      <w:r>
        <w:rPr>
          <w:rFonts w:hint="eastAsia" w:ascii="Times New Roman" w:hAnsi="Times New Roman" w:eastAsia="方正仿宋_GBK" w:cs="方正仿宋_GBK"/>
        </w:rPr>
        <w:t>全面推动实施招商引资攻坚突破行动，把招商引资作为健康服务业高质量发展的生命线和动力源。以中药材深（精）加工、中西药（试剂）制造、医养结合等为重点方向，大力引进主城都市区及市外项目签约，促进签约项目落地开工。建立招商专班机制，强化项目企业对接、项目洽谈、协议起草、落地服务等工作。建立全员招商机制，发动本系统各单位职工积极参与招商引资，立足各自人脉优势，贡献优质项目信息。大力吸引奉节籍在外创业精英群体返乡创业，依托外地商会、协会招商，密切协作配合驻京津冀招商办、驻长三角招商办、驻粤港澳招商办招商。</w:t>
      </w:r>
    </w:p>
    <w:p w14:paraId="7F28AB4B">
      <w:pPr>
        <w:pStyle w:val="3"/>
        <w:spacing w:before="0" w:after="0" w:line="600" w:lineRule="exact"/>
        <w:ind w:left="963"/>
        <w:rPr>
          <w:rFonts w:ascii="Times New Roman" w:hAnsi="Times New Roman" w:eastAsia="方正楷体_GBK" w:cs="Times New Roman"/>
        </w:rPr>
      </w:pPr>
      <w:bookmarkStart w:id="44" w:name="_Toc5718"/>
      <w:r>
        <w:rPr>
          <w:rFonts w:hint="eastAsia" w:ascii="Times New Roman" w:hAnsi="方正楷体_GBK" w:eastAsia="方正楷体_GBK" w:cs="方正楷体_GBK"/>
        </w:rPr>
        <w:t>（八）强化人才队伍与信息化建设，筑牢发展支撑与保障</w:t>
      </w:r>
      <w:bookmarkEnd w:id="44"/>
      <w:bookmarkStart w:id="45" w:name="_Toc14715"/>
    </w:p>
    <w:bookmarkEnd w:id="45"/>
    <w:p w14:paraId="7CBE898E">
      <w:pPr>
        <w:pStyle w:val="3"/>
        <w:spacing w:before="0" w:after="0" w:line="600" w:lineRule="exact"/>
        <w:ind w:left="96" w:leftChars="30" w:firstLine="627" w:firstLineChars="196"/>
        <w:rPr>
          <w:rFonts w:ascii="Times New Roman" w:hAnsi="Times New Roman" w:eastAsia="方正仿宋_GBK" w:cs="Times New Roman"/>
        </w:rPr>
      </w:pPr>
      <w:r>
        <w:rPr>
          <w:rFonts w:hint="eastAsia" w:ascii="Times New Roman" w:hAnsi="Times New Roman" w:eastAsia="方正仿宋_GBK" w:cs="方正仿宋_GBK"/>
          <w:b/>
          <w:bCs/>
        </w:rPr>
        <w:t>加快短缺领域队伍建设</w:t>
      </w:r>
      <w:r>
        <w:rPr>
          <w:rFonts w:hint="eastAsia" w:ascii="Times New Roman" w:hAnsi="Times New Roman" w:eastAsia="方正仿宋_GBK" w:cs="方正仿宋_GBK"/>
        </w:rPr>
        <w:t>。推行紧缺专业人才职业发展倾斜支持政策，加大儿科、</w:t>
      </w:r>
      <w:r>
        <w:rPr>
          <w:rFonts w:hint="eastAsia" w:ascii="Times New Roman" w:hAnsi="Times New Roman" w:eastAsia="方正仿宋_GBK" w:cs="方正仿宋_GBK"/>
          <w:lang w:val="en-US"/>
        </w:rPr>
        <w:t>麻醉科、精神科、妇产科、</w:t>
      </w:r>
      <w:r>
        <w:rPr>
          <w:rFonts w:hint="eastAsia" w:ascii="Times New Roman" w:hAnsi="Times New Roman" w:eastAsia="方正仿宋_GBK" w:cs="方正仿宋_GBK"/>
        </w:rPr>
        <w:t>肿瘤等紧缺实用型人才考核招聘力度。完善收入分配激励机制，坚持医教结合，加快紧缺专业人才培养。</w:t>
      </w:r>
    </w:p>
    <w:p w14:paraId="41D7CC32">
      <w:pPr>
        <w:pStyle w:val="3"/>
        <w:spacing w:before="0" w:after="0" w:line="600" w:lineRule="exact"/>
        <w:ind w:left="96" w:leftChars="30" w:firstLine="627" w:firstLineChars="196"/>
        <w:rPr>
          <w:rFonts w:ascii="Times New Roman" w:hAnsi="Times New Roman" w:eastAsia="方正仿宋_GBK" w:cs="Times New Roman"/>
        </w:rPr>
      </w:pPr>
      <w:r>
        <w:rPr>
          <w:rFonts w:hint="eastAsia" w:ascii="Times New Roman" w:hAnsi="Times New Roman" w:eastAsia="方正仿宋_GBK" w:cs="方正仿宋_GBK"/>
          <w:b/>
          <w:bCs/>
        </w:rPr>
        <w:t>强化基层人才队伍建设</w:t>
      </w:r>
      <w:r>
        <w:rPr>
          <w:rFonts w:hint="eastAsia" w:ascii="Times New Roman" w:hAnsi="Times New Roman" w:eastAsia="方正仿宋_GBK" w:cs="方正仿宋_GBK"/>
        </w:rPr>
        <w:t>。贯彻落实引导和鼓励医学院校毕</w:t>
      </w:r>
    </w:p>
    <w:p w14:paraId="6B625A78">
      <w:pPr>
        <w:pStyle w:val="4"/>
        <w:keepNext w:val="0"/>
        <w:keepLines w:val="0"/>
        <w:spacing w:before="0" w:after="0" w:line="600" w:lineRule="exact"/>
        <w:ind w:left="0" w:leftChars="0"/>
        <w:rPr>
          <w:rFonts w:ascii="Times New Roman" w:hAnsi="Times New Roman" w:eastAsia="方正仿宋_GBK" w:cs="Times New Roman"/>
          <w:b/>
          <w:bCs/>
        </w:rPr>
      </w:pPr>
      <w:r>
        <w:rPr>
          <w:rFonts w:hint="eastAsia" w:ascii="Times New Roman" w:hAnsi="Times New Roman" w:eastAsia="方正仿宋_GBK" w:cs="方正仿宋_GBK"/>
        </w:rPr>
        <w:t>业生到基层工作的政策，到</w:t>
      </w:r>
      <w:r>
        <w:rPr>
          <w:rFonts w:ascii="Times New Roman" w:hAnsi="Times New Roman" w:eastAsia="方正仿宋_GBK" w:cs="Times New Roman"/>
        </w:rPr>
        <w:t>2025</w:t>
      </w:r>
      <w:r>
        <w:rPr>
          <w:rFonts w:hint="eastAsia" w:ascii="Times New Roman" w:hAnsi="Times New Roman" w:eastAsia="方正仿宋_GBK" w:cs="方正仿宋_GBK"/>
        </w:rPr>
        <w:t>年，每万城乡居民全科医生达到</w:t>
      </w:r>
      <w:r>
        <w:rPr>
          <w:rFonts w:ascii="Times New Roman" w:hAnsi="Times New Roman" w:eastAsia="方正仿宋_GBK" w:cs="Times New Roman"/>
          <w:lang w:val="en-US"/>
        </w:rPr>
        <w:t>4</w:t>
      </w:r>
      <w:r>
        <w:rPr>
          <w:rFonts w:hint="eastAsia" w:ascii="Times New Roman" w:hAnsi="Times New Roman" w:eastAsia="方正仿宋_GBK" w:cs="方正仿宋_GBK"/>
        </w:rPr>
        <w:t>人，利用中央和市级专项资金，加强全科医生培养和培训，加强基层紧缺卫生技术人员培训，提高基层卫生技术人员业务技能。加强基层卫生管理人员培训，提高基层卫生管理水平，稳定乡村医生队伍，探索</w:t>
      </w:r>
      <w:r>
        <w:rPr>
          <w:rFonts w:ascii="Times New Roman" w:hAnsi="Times New Roman" w:eastAsia="方正仿宋_GBK" w:cs="Times New Roman"/>
        </w:rPr>
        <w:t>“</w:t>
      </w:r>
      <w:r>
        <w:rPr>
          <w:rFonts w:hint="eastAsia" w:ascii="Times New Roman" w:hAnsi="Times New Roman" w:eastAsia="方正仿宋_GBK" w:cs="方正仿宋_GBK"/>
        </w:rPr>
        <w:t>乡聘村用</w:t>
      </w:r>
      <w:r>
        <w:rPr>
          <w:rFonts w:ascii="Times New Roman" w:hAnsi="Times New Roman" w:eastAsia="方正仿宋_GBK" w:cs="Times New Roman"/>
        </w:rPr>
        <w:t>”</w:t>
      </w:r>
      <w:r>
        <w:rPr>
          <w:rFonts w:hint="eastAsia" w:ascii="Times New Roman" w:hAnsi="Times New Roman" w:eastAsia="方正仿宋_GBK" w:cs="方正仿宋_GBK"/>
        </w:rPr>
        <w:t>，实行乡村一体化管理，建立健全乡村医生养老保险政策，切实保障乡村医生按照规定享受养老保障待遇。</w:t>
      </w:r>
    </w:p>
    <w:p w14:paraId="3A7EDD50">
      <w:pPr>
        <w:pStyle w:val="2"/>
        <w:spacing w:line="600" w:lineRule="exact"/>
        <w:ind w:firstLine="627" w:firstLineChars="196"/>
        <w:rPr>
          <w:rFonts w:ascii="Times New Roman" w:eastAsia="方正仿宋_GBK" w:cs="Times New Roman"/>
          <w:color w:val="auto"/>
          <w:sz w:val="32"/>
          <w:szCs w:val="32"/>
        </w:rPr>
      </w:pPr>
      <w:r>
        <w:rPr>
          <w:rFonts w:hint="eastAsia" w:ascii="Times New Roman" w:hAnsi="方正仿宋_GBK" w:eastAsia="方正仿宋_GBK" w:cs="方正仿宋_GBK"/>
          <w:b/>
          <w:bCs/>
          <w:color w:val="auto"/>
          <w:sz w:val="32"/>
          <w:szCs w:val="32"/>
        </w:rPr>
        <w:t>大力培养和集聚高端医学人才</w:t>
      </w:r>
      <w:r>
        <w:rPr>
          <w:rFonts w:hint="eastAsia" w:ascii="Times New Roman" w:hAnsi="方正仿宋_GBK" w:eastAsia="方正仿宋_GBK" w:cs="方正仿宋_GBK"/>
          <w:color w:val="auto"/>
          <w:sz w:val="32"/>
          <w:szCs w:val="32"/>
        </w:rPr>
        <w:t>。建立</w:t>
      </w:r>
      <w:r>
        <w:rPr>
          <w:rFonts w:ascii="Times New Roman" w:eastAsia="方正仿宋_GBK" w:cs="Times New Roman"/>
          <w:color w:val="auto"/>
          <w:sz w:val="32"/>
          <w:szCs w:val="32"/>
        </w:rPr>
        <w:t>“</w:t>
      </w:r>
      <w:r>
        <w:rPr>
          <w:rFonts w:hint="eastAsia" w:ascii="Times New Roman" w:hAnsi="方正仿宋_GBK" w:eastAsia="方正仿宋_GBK" w:cs="方正仿宋_GBK"/>
          <w:color w:val="auto"/>
          <w:sz w:val="32"/>
          <w:szCs w:val="32"/>
        </w:rPr>
        <w:t>县管院聘</w:t>
      </w:r>
      <w:r>
        <w:rPr>
          <w:rFonts w:ascii="Times New Roman" w:eastAsia="方正仿宋_GBK" w:cs="Times New Roman"/>
          <w:color w:val="auto"/>
          <w:sz w:val="32"/>
          <w:szCs w:val="32"/>
        </w:rPr>
        <w:t>”</w:t>
      </w:r>
      <w:r>
        <w:rPr>
          <w:rFonts w:hint="eastAsia" w:ascii="Times New Roman" w:hAnsi="方正仿宋_GBK" w:eastAsia="方正仿宋_GBK" w:cs="方正仿宋_GBK"/>
          <w:color w:val="auto"/>
          <w:sz w:val="32"/>
          <w:szCs w:val="32"/>
        </w:rPr>
        <w:t>的高水平人才引进和本土培养政策激励机制，落实高水平人才年薪、安家、科研等财政预算经费。坚持培养和引进并重，引进或本土培养</w:t>
      </w:r>
      <w:r>
        <w:rPr>
          <w:rFonts w:ascii="Times New Roman" w:hAnsi="方正仿宋_GBK" w:eastAsia="方正仿宋_GBK" w:cs="Times New Roman"/>
          <w:color w:val="auto"/>
          <w:sz w:val="32"/>
          <w:szCs w:val="32"/>
        </w:rPr>
        <w:t>6</w:t>
      </w:r>
      <w:r>
        <w:rPr>
          <w:rFonts w:hint="eastAsia" w:ascii="Times New Roman" w:hAnsi="方正仿宋_GBK" w:eastAsia="方正仿宋_GBK" w:cs="方正仿宋_GBK"/>
          <w:color w:val="auto"/>
          <w:sz w:val="32"/>
          <w:szCs w:val="32"/>
        </w:rPr>
        <w:t>名医学博士或正高职称人才，打造高端医学人才队伍。持续实施医学人才培养工程，加大本土人才培训学习力度，重点培养一批医学领军人才和学科带头人，大力培养优秀青年医学人才。探索实施更加开放、灵活和柔性的人才引进、激励政策，实施人才引进计划。加强人才培养、科技发展等方面与市内、国内医疗机构的交流合作。深化重庆医科大学、成都中医药大学等知名院校与本地医疗机构、职业学校的合作力度，深入推进在职人才进修培训、学历提升、科研项目研究、学科建设等合作深度。培养</w:t>
      </w:r>
      <w:r>
        <w:rPr>
          <w:rFonts w:ascii="Times New Roman" w:hAnsi="方正仿宋_GBK" w:eastAsia="方正仿宋_GBK" w:cs="Times New Roman"/>
          <w:color w:val="auto"/>
          <w:sz w:val="32"/>
          <w:szCs w:val="32"/>
        </w:rPr>
        <w:t>6</w:t>
      </w:r>
      <w:r>
        <w:rPr>
          <w:rFonts w:hint="eastAsia" w:ascii="Times New Roman" w:hAnsi="方正仿宋_GBK" w:eastAsia="方正仿宋_GBK" w:cs="方正仿宋_GBK"/>
          <w:color w:val="auto"/>
          <w:sz w:val="32"/>
          <w:szCs w:val="32"/>
        </w:rPr>
        <w:t>名市级名中医，打造名医工作室，新建</w:t>
      </w:r>
      <w:r>
        <w:rPr>
          <w:rFonts w:ascii="Times New Roman" w:eastAsia="方正仿宋_GBK" w:cs="Times New Roman"/>
          <w:color w:val="auto"/>
          <w:sz w:val="32"/>
          <w:szCs w:val="32"/>
        </w:rPr>
        <w:t>5</w:t>
      </w:r>
      <w:r>
        <w:rPr>
          <w:rFonts w:hint="eastAsia" w:ascii="Times New Roman" w:hAnsi="方正仿宋_GBK" w:eastAsia="方正仿宋_GBK" w:cs="方正仿宋_GBK"/>
          <w:color w:val="auto"/>
          <w:sz w:val="32"/>
          <w:szCs w:val="32"/>
        </w:rPr>
        <w:t>个以上市级重点专科。</w:t>
      </w:r>
    </w:p>
    <w:p w14:paraId="107A2612">
      <w:pPr>
        <w:pStyle w:val="2"/>
        <w:jc w:val="center"/>
        <w:rPr>
          <w:rFonts w:ascii="Times New Roman" w:eastAsia="方正黑体_GBK" w:cs="Times New Roman"/>
          <w:color w:val="auto"/>
          <w:sz w:val="32"/>
          <w:szCs w:val="32"/>
        </w:rPr>
      </w:pPr>
      <w:r>
        <w:rPr>
          <w:rFonts w:hint="eastAsia" w:ascii="Times New Roman" w:hAnsi="方正黑体_GBK" w:eastAsia="方正黑体_GBK" w:cs="方正黑体_GBK"/>
          <w:color w:val="auto"/>
          <w:sz w:val="32"/>
          <w:szCs w:val="32"/>
        </w:rPr>
        <w:t>专栏</w:t>
      </w:r>
      <w:r>
        <w:rPr>
          <w:rFonts w:ascii="Times New Roman" w:eastAsia="方正黑体_GBK" w:cs="Times New Roman"/>
          <w:color w:val="auto"/>
          <w:sz w:val="32"/>
          <w:szCs w:val="32"/>
        </w:rPr>
        <w:t xml:space="preserve">4  </w:t>
      </w:r>
      <w:r>
        <w:rPr>
          <w:rFonts w:hint="eastAsia" w:ascii="Times New Roman" w:hAnsi="方正黑体_GBK" w:eastAsia="方正黑体_GBK" w:cs="方正黑体_GBK"/>
          <w:color w:val="auto"/>
          <w:sz w:val="32"/>
          <w:szCs w:val="32"/>
        </w:rPr>
        <w:t>十四五高级人才培养、引进规划表</w:t>
      </w:r>
    </w:p>
    <w:tbl>
      <w:tblPr>
        <w:tblStyle w:val="15"/>
        <w:tblW w:w="86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3"/>
        <w:gridCol w:w="1681"/>
        <w:gridCol w:w="1630"/>
        <w:gridCol w:w="2513"/>
      </w:tblGrid>
      <w:tr w14:paraId="0488E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13" w:type="dxa"/>
          </w:tcPr>
          <w:p w14:paraId="5B54A400">
            <w:pPr>
              <w:widowControl/>
              <w:spacing w:line="460" w:lineRule="exact"/>
              <w:jc w:val="center"/>
              <w:textAlignment w:val="top"/>
              <w:rPr>
                <w:rFonts w:eastAsia="方正黑体_GBK"/>
              </w:rPr>
            </w:pPr>
            <w:r>
              <w:rPr>
                <w:rFonts w:hint="eastAsia" w:hAnsi="方正黑体_GBK" w:eastAsia="方正黑体_GBK" w:cs="方正黑体_GBK"/>
                <w:kern w:val="0"/>
                <w:sz w:val="24"/>
                <w:szCs w:val="24"/>
              </w:rPr>
              <w:t>单位名称</w:t>
            </w:r>
          </w:p>
        </w:tc>
        <w:tc>
          <w:tcPr>
            <w:tcW w:w="1681" w:type="dxa"/>
          </w:tcPr>
          <w:p w14:paraId="161BCC66">
            <w:pPr>
              <w:widowControl/>
              <w:spacing w:line="460" w:lineRule="exact"/>
              <w:jc w:val="center"/>
              <w:textAlignment w:val="top"/>
              <w:rPr>
                <w:rFonts w:eastAsia="方正黑体_GBK"/>
              </w:rPr>
            </w:pPr>
            <w:r>
              <w:rPr>
                <w:rFonts w:hint="eastAsia" w:hAnsi="方正黑体_GBK" w:eastAsia="方正黑体_GBK" w:cs="方正黑体_GBK"/>
                <w:kern w:val="0"/>
                <w:sz w:val="24"/>
                <w:szCs w:val="24"/>
              </w:rPr>
              <w:t>博士研究生</w:t>
            </w:r>
          </w:p>
        </w:tc>
        <w:tc>
          <w:tcPr>
            <w:tcW w:w="1630" w:type="dxa"/>
          </w:tcPr>
          <w:p w14:paraId="3601B6C0">
            <w:pPr>
              <w:widowControl/>
              <w:spacing w:line="460" w:lineRule="exact"/>
              <w:jc w:val="center"/>
              <w:textAlignment w:val="top"/>
              <w:rPr>
                <w:rFonts w:eastAsia="方正黑体_GBK"/>
              </w:rPr>
            </w:pPr>
            <w:r>
              <w:rPr>
                <w:rFonts w:hint="eastAsia" w:hAnsi="方正黑体_GBK" w:eastAsia="方正黑体_GBK" w:cs="方正黑体_GBK"/>
                <w:kern w:val="0"/>
                <w:sz w:val="24"/>
                <w:szCs w:val="24"/>
              </w:rPr>
              <w:t>硕士研究生</w:t>
            </w:r>
          </w:p>
        </w:tc>
        <w:tc>
          <w:tcPr>
            <w:tcW w:w="2513" w:type="dxa"/>
          </w:tcPr>
          <w:p w14:paraId="5AECC065">
            <w:pPr>
              <w:widowControl/>
              <w:spacing w:line="460" w:lineRule="exact"/>
              <w:jc w:val="center"/>
              <w:textAlignment w:val="top"/>
              <w:rPr>
                <w:rFonts w:eastAsia="方正黑体_GBK"/>
              </w:rPr>
            </w:pPr>
            <w:r>
              <w:rPr>
                <w:rFonts w:hint="eastAsia" w:hAnsi="方正黑体_GBK" w:eastAsia="方正黑体_GBK" w:cs="方正黑体_GBK"/>
                <w:kern w:val="0"/>
                <w:sz w:val="24"/>
                <w:szCs w:val="24"/>
              </w:rPr>
              <w:t>培养市级名中医</w:t>
            </w:r>
          </w:p>
        </w:tc>
      </w:tr>
      <w:tr w14:paraId="2D743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13" w:type="dxa"/>
          </w:tcPr>
          <w:p w14:paraId="1EF8D8B4">
            <w:pPr>
              <w:widowControl/>
              <w:spacing w:line="460" w:lineRule="exact"/>
              <w:jc w:val="center"/>
              <w:textAlignment w:val="top"/>
            </w:pPr>
            <w:r>
              <w:rPr>
                <w:rFonts w:hint="eastAsia" w:hAnsi="方正仿宋_GBK" w:cs="方正仿宋_GBK"/>
                <w:kern w:val="0"/>
                <w:sz w:val="24"/>
                <w:szCs w:val="24"/>
              </w:rPr>
              <w:t>县人民医院</w:t>
            </w:r>
          </w:p>
        </w:tc>
        <w:tc>
          <w:tcPr>
            <w:tcW w:w="1681" w:type="dxa"/>
          </w:tcPr>
          <w:p w14:paraId="314B2E30">
            <w:pPr>
              <w:widowControl/>
              <w:spacing w:line="460" w:lineRule="exact"/>
              <w:jc w:val="center"/>
              <w:textAlignment w:val="top"/>
            </w:pPr>
            <w:r>
              <w:rPr>
                <w:kern w:val="0"/>
                <w:sz w:val="24"/>
                <w:szCs w:val="24"/>
              </w:rPr>
              <w:t>3</w:t>
            </w:r>
          </w:p>
        </w:tc>
        <w:tc>
          <w:tcPr>
            <w:tcW w:w="1630" w:type="dxa"/>
          </w:tcPr>
          <w:p w14:paraId="3B25D342">
            <w:pPr>
              <w:widowControl/>
              <w:spacing w:line="460" w:lineRule="exact"/>
              <w:jc w:val="center"/>
              <w:textAlignment w:val="top"/>
            </w:pPr>
            <w:r>
              <w:rPr>
                <w:kern w:val="0"/>
                <w:sz w:val="24"/>
                <w:szCs w:val="24"/>
              </w:rPr>
              <w:t>20</w:t>
            </w:r>
          </w:p>
        </w:tc>
        <w:tc>
          <w:tcPr>
            <w:tcW w:w="2513" w:type="dxa"/>
          </w:tcPr>
          <w:p w14:paraId="674D4475">
            <w:pPr>
              <w:widowControl/>
              <w:spacing w:line="460" w:lineRule="exact"/>
              <w:jc w:val="center"/>
              <w:textAlignment w:val="top"/>
            </w:pPr>
            <w:r>
              <w:rPr>
                <w:kern w:val="0"/>
                <w:sz w:val="24"/>
                <w:szCs w:val="24"/>
              </w:rPr>
              <w:t>1</w:t>
            </w:r>
          </w:p>
        </w:tc>
      </w:tr>
      <w:tr w14:paraId="73338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13" w:type="dxa"/>
          </w:tcPr>
          <w:p w14:paraId="4B44CF23">
            <w:pPr>
              <w:widowControl/>
              <w:spacing w:line="460" w:lineRule="exact"/>
              <w:jc w:val="center"/>
              <w:textAlignment w:val="top"/>
            </w:pPr>
            <w:r>
              <w:rPr>
                <w:rFonts w:hint="eastAsia" w:hAnsi="方正仿宋_GBK" w:cs="方正仿宋_GBK"/>
                <w:kern w:val="0"/>
                <w:sz w:val="24"/>
                <w:szCs w:val="24"/>
              </w:rPr>
              <w:t>县中医院</w:t>
            </w:r>
          </w:p>
        </w:tc>
        <w:tc>
          <w:tcPr>
            <w:tcW w:w="1681" w:type="dxa"/>
          </w:tcPr>
          <w:p w14:paraId="4C25D924">
            <w:pPr>
              <w:widowControl/>
              <w:spacing w:line="460" w:lineRule="exact"/>
              <w:jc w:val="center"/>
              <w:textAlignment w:val="top"/>
            </w:pPr>
            <w:r>
              <w:rPr>
                <w:kern w:val="0"/>
                <w:sz w:val="24"/>
                <w:szCs w:val="24"/>
              </w:rPr>
              <w:t>2</w:t>
            </w:r>
          </w:p>
        </w:tc>
        <w:tc>
          <w:tcPr>
            <w:tcW w:w="1630" w:type="dxa"/>
          </w:tcPr>
          <w:p w14:paraId="2D63DFAD">
            <w:pPr>
              <w:widowControl/>
              <w:spacing w:line="460" w:lineRule="exact"/>
              <w:jc w:val="center"/>
              <w:textAlignment w:val="top"/>
            </w:pPr>
            <w:r>
              <w:rPr>
                <w:kern w:val="0"/>
                <w:sz w:val="24"/>
                <w:szCs w:val="24"/>
              </w:rPr>
              <w:t>6</w:t>
            </w:r>
          </w:p>
        </w:tc>
        <w:tc>
          <w:tcPr>
            <w:tcW w:w="2513" w:type="dxa"/>
          </w:tcPr>
          <w:p w14:paraId="71986C57">
            <w:pPr>
              <w:widowControl/>
              <w:spacing w:line="460" w:lineRule="exact"/>
              <w:jc w:val="center"/>
              <w:textAlignment w:val="top"/>
            </w:pPr>
            <w:r>
              <w:rPr>
                <w:kern w:val="0"/>
                <w:sz w:val="24"/>
                <w:szCs w:val="24"/>
              </w:rPr>
              <w:t>4</w:t>
            </w:r>
          </w:p>
        </w:tc>
      </w:tr>
      <w:tr w14:paraId="45B68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813" w:type="dxa"/>
          </w:tcPr>
          <w:p w14:paraId="1A3EC24C">
            <w:pPr>
              <w:widowControl/>
              <w:spacing w:line="460" w:lineRule="exact"/>
              <w:jc w:val="center"/>
              <w:textAlignment w:val="top"/>
            </w:pPr>
            <w:r>
              <w:rPr>
                <w:rFonts w:hint="eastAsia" w:hAnsi="方正仿宋_GBK" w:cs="方正仿宋_GBK"/>
                <w:kern w:val="0"/>
                <w:sz w:val="24"/>
                <w:szCs w:val="24"/>
              </w:rPr>
              <w:t>县妇幼保健院</w:t>
            </w:r>
          </w:p>
        </w:tc>
        <w:tc>
          <w:tcPr>
            <w:tcW w:w="1681" w:type="dxa"/>
          </w:tcPr>
          <w:p w14:paraId="2421A52D">
            <w:pPr>
              <w:widowControl/>
              <w:spacing w:line="460" w:lineRule="exact"/>
              <w:jc w:val="center"/>
              <w:textAlignment w:val="top"/>
            </w:pPr>
            <w:r>
              <w:rPr>
                <w:kern w:val="0"/>
                <w:sz w:val="24"/>
                <w:szCs w:val="24"/>
              </w:rPr>
              <w:t>1</w:t>
            </w:r>
          </w:p>
        </w:tc>
        <w:tc>
          <w:tcPr>
            <w:tcW w:w="1630" w:type="dxa"/>
          </w:tcPr>
          <w:p w14:paraId="24426723">
            <w:pPr>
              <w:widowControl/>
              <w:spacing w:line="460" w:lineRule="exact"/>
              <w:jc w:val="center"/>
              <w:textAlignment w:val="top"/>
            </w:pPr>
            <w:r>
              <w:rPr>
                <w:kern w:val="0"/>
                <w:sz w:val="24"/>
                <w:szCs w:val="24"/>
              </w:rPr>
              <w:t>3</w:t>
            </w:r>
          </w:p>
        </w:tc>
        <w:tc>
          <w:tcPr>
            <w:tcW w:w="2513" w:type="dxa"/>
          </w:tcPr>
          <w:p w14:paraId="2CD4F461">
            <w:pPr>
              <w:widowControl/>
              <w:spacing w:line="460" w:lineRule="exact"/>
              <w:jc w:val="center"/>
              <w:textAlignment w:val="top"/>
            </w:pPr>
            <w:r>
              <w:rPr>
                <w:kern w:val="0"/>
                <w:sz w:val="24"/>
                <w:szCs w:val="24"/>
              </w:rPr>
              <w:t>1</w:t>
            </w:r>
          </w:p>
        </w:tc>
      </w:tr>
      <w:tr w14:paraId="207B7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813" w:type="dxa"/>
          </w:tcPr>
          <w:p w14:paraId="7903F9C5">
            <w:pPr>
              <w:widowControl/>
              <w:spacing w:line="460" w:lineRule="exact"/>
              <w:jc w:val="center"/>
              <w:textAlignment w:val="top"/>
            </w:pPr>
            <w:r>
              <w:rPr>
                <w:rFonts w:hint="eastAsia" w:hAnsi="方正仿宋_GBK" w:cs="方正仿宋_GBK"/>
                <w:kern w:val="0"/>
                <w:sz w:val="24"/>
                <w:szCs w:val="24"/>
              </w:rPr>
              <w:t>合计</w:t>
            </w:r>
          </w:p>
        </w:tc>
        <w:tc>
          <w:tcPr>
            <w:tcW w:w="1681" w:type="dxa"/>
          </w:tcPr>
          <w:p w14:paraId="7FB0D79A">
            <w:pPr>
              <w:widowControl/>
              <w:spacing w:line="460" w:lineRule="exact"/>
              <w:jc w:val="center"/>
              <w:textAlignment w:val="top"/>
            </w:pPr>
            <w:r>
              <w:rPr>
                <w:kern w:val="0"/>
                <w:sz w:val="24"/>
                <w:szCs w:val="24"/>
              </w:rPr>
              <w:t>6</w:t>
            </w:r>
          </w:p>
        </w:tc>
        <w:tc>
          <w:tcPr>
            <w:tcW w:w="1630" w:type="dxa"/>
          </w:tcPr>
          <w:p w14:paraId="2F3FFAE4">
            <w:pPr>
              <w:widowControl/>
              <w:spacing w:line="460" w:lineRule="exact"/>
              <w:jc w:val="center"/>
              <w:textAlignment w:val="top"/>
            </w:pPr>
            <w:r>
              <w:rPr>
                <w:kern w:val="0"/>
                <w:sz w:val="24"/>
                <w:szCs w:val="24"/>
              </w:rPr>
              <w:t>29</w:t>
            </w:r>
          </w:p>
        </w:tc>
        <w:tc>
          <w:tcPr>
            <w:tcW w:w="2513" w:type="dxa"/>
          </w:tcPr>
          <w:p w14:paraId="595ED741">
            <w:pPr>
              <w:widowControl/>
              <w:spacing w:line="460" w:lineRule="exact"/>
              <w:jc w:val="center"/>
              <w:textAlignment w:val="top"/>
            </w:pPr>
            <w:r>
              <w:rPr>
                <w:kern w:val="0"/>
                <w:sz w:val="24"/>
                <w:szCs w:val="24"/>
              </w:rPr>
              <w:t>6</w:t>
            </w:r>
          </w:p>
        </w:tc>
      </w:tr>
    </w:tbl>
    <w:p w14:paraId="036274EE">
      <w:pPr>
        <w:spacing w:line="600" w:lineRule="exact"/>
        <w:ind w:firstLine="640" w:firstLineChars="200"/>
      </w:pPr>
      <w:r>
        <w:rPr>
          <w:rFonts w:hint="eastAsia" w:cs="方正仿宋_GBK"/>
          <w:b/>
          <w:bCs/>
        </w:rPr>
        <w:t>优化医务人员职业发展环境。</w:t>
      </w:r>
      <w:r>
        <w:rPr>
          <w:rFonts w:hint="eastAsia" w:cs="方正仿宋_GBK"/>
        </w:rPr>
        <w:t>建立适应卫生行业特点的绩效评价和人事薪酬制度。以加强临床实践能力为导向，改革临床医师职称评定制度。合理减轻医护人员工作负荷，维护医务人员身心健康。建设保护医务人员正常执业的法治环境，依法打击涉医违法行为。完善医患纠纷预防处置与风险分担机制，推进医疗责任保险。加强舆论宣传和引导，营造促进医患和谐的舆论氛围。</w:t>
      </w:r>
      <w:bookmarkStart w:id="46" w:name="_Toc22538"/>
    </w:p>
    <w:p w14:paraId="0C40A226">
      <w:pPr>
        <w:spacing w:line="600" w:lineRule="exact"/>
        <w:ind w:firstLine="640" w:firstLineChars="200"/>
      </w:pPr>
      <w:r>
        <w:rPr>
          <w:rFonts w:hint="eastAsia" w:cs="方正仿宋_GBK"/>
          <w:b/>
          <w:bCs/>
        </w:rPr>
        <w:t>加强中等职业卫生学校建设。</w:t>
      </w:r>
      <w:r>
        <w:rPr>
          <w:rFonts w:hint="eastAsia" w:cs="方正仿宋_GBK"/>
        </w:rPr>
        <w:t>优化学校教学环境，推进重庆市三峡卫生学校扩建工程建设进度。深化教育教学改革，修订完善教学与科研管理制度，提高学生知识水平和专业技能。加强德育与心理健康、法制、就业教育相结合，全面提高学生的综合素质。加强师资队伍建设，做好教师培训、培养工作，全面提高教师的综合素质。</w:t>
      </w:r>
    </w:p>
    <w:bookmarkEnd w:id="46"/>
    <w:p w14:paraId="36B24D1B">
      <w:pPr>
        <w:spacing w:line="600" w:lineRule="exact"/>
        <w:ind w:firstLine="640" w:firstLineChars="200"/>
      </w:pPr>
      <w:r>
        <w:rPr>
          <w:rFonts w:hint="eastAsia" w:cs="方正仿宋_GBK"/>
          <w:b/>
          <w:bCs/>
        </w:rPr>
        <w:t>夯实卫生健康数字基础。</w:t>
      </w:r>
      <w:r>
        <w:rPr>
          <w:rFonts w:hint="eastAsia" w:cs="方正仿宋_GBK"/>
        </w:rPr>
        <w:t>完善全员人口信息、电子健康档案和电子病历三大数据库，完善全民健康信息网络和全民健康信息平台，实现互联互通，推进信息共享，支撑业务协同。深化公共卫生、计划生育、医疗服务、医疗保障、药品管理、综合管理、信息惠民、电子政务等应用系统建设。强化全民健康信息标准和安全体系建设。推动医疗卫生机构迁移至</w:t>
      </w:r>
      <w:r>
        <w:t>“</w:t>
      </w:r>
      <w:r>
        <w:rPr>
          <w:rFonts w:hint="eastAsia" w:cs="方正仿宋_GBK"/>
        </w:rPr>
        <w:t>卫生健康云</w:t>
      </w:r>
      <w:r>
        <w:t>”</w:t>
      </w:r>
      <w:r>
        <w:rPr>
          <w:rFonts w:hint="eastAsia" w:cs="方正仿宋_GBK"/>
        </w:rPr>
        <w:t>平台。实施全民健康信息平台升级及基卫公卫融合信息化软件开发项目，加强网络信息系统安全建设。</w:t>
      </w:r>
    </w:p>
    <w:p w14:paraId="3869E687">
      <w:pPr>
        <w:spacing w:line="600" w:lineRule="exact"/>
        <w:ind w:firstLine="640" w:firstLineChars="200"/>
      </w:pPr>
      <w:r>
        <w:rPr>
          <w:rFonts w:hint="eastAsia" w:cs="方正仿宋_GBK"/>
          <w:b/>
          <w:bCs/>
        </w:rPr>
        <w:t>赋能卫生健康数字服务。</w:t>
      </w:r>
      <w:r>
        <w:rPr>
          <w:rFonts w:hint="eastAsia" w:cs="方正仿宋_GBK"/>
        </w:rPr>
        <w:t>提升疾病预防控制信息管理水平，建设传染病智慧化多点触发监测预警系统，增强传染病疫情和突发公共卫生事件早期监测预警能力，强化应急指挥决策和智能化响应。推进智慧医疗发展，推动医疗服务和健康管理模式创新。建立统一的信息惠民服务门户，依托全民健康信息平台和医疗机构网上服务资源，为居民提供咨询、预约、查询、支付等线上健康服务，改善就医体验。大力发展线上医疗服务新业态，稳步推进互联网医院建设，发展个性化健康管理，赋能数字健康产业提档升级。积极创建</w:t>
      </w:r>
      <w:r>
        <w:t>“</w:t>
      </w:r>
      <w:r>
        <w:rPr>
          <w:rFonts w:hint="eastAsia" w:cs="方正仿宋_GBK"/>
        </w:rPr>
        <w:t>智慧医院</w:t>
      </w:r>
      <w:r>
        <w:t>”</w:t>
      </w:r>
      <w:r>
        <w:rPr>
          <w:rFonts w:hint="eastAsia" w:cs="方正仿宋_GBK"/>
        </w:rPr>
        <w:t>，持续提升县人民医院、县中医院、县妇幼保健院的智慧医院建设水平。推动卫生健康数字管理。建立和完善</w:t>
      </w:r>
      <w:r>
        <w:t>“</w:t>
      </w:r>
      <w:r>
        <w:rPr>
          <w:rFonts w:hint="eastAsia" w:cs="方正仿宋_GBK"/>
        </w:rPr>
        <w:t>县</w:t>
      </w:r>
      <w:r>
        <w:t>-</w:t>
      </w:r>
      <w:r>
        <w:rPr>
          <w:rFonts w:hint="eastAsia" w:cs="方正仿宋_GBK"/>
        </w:rPr>
        <w:t>医疗卫生机构</w:t>
      </w:r>
      <w:r>
        <w:t>”</w:t>
      </w:r>
      <w:r>
        <w:rPr>
          <w:rFonts w:hint="eastAsia" w:cs="方正仿宋_GBK"/>
        </w:rPr>
        <w:t>综合管理平台，以信息化支撑卫生健康改革发展。依托全民健康大数据，建设公共卫生、医疗服务、药品耗材、计划生育等全行业管理决策支持系统，支撑政府履行行业监管、绩效评价、政府补偿、人事薪酬等管理职能。推动医疗机构建立综合管理平台，支撑业务管理、经济运行、考核分配等功能，实现全面预算管理。</w:t>
      </w:r>
      <w:bookmarkStart w:id="47" w:name="_Toc21426"/>
      <w:bookmarkStart w:id="48" w:name="_Toc421820662"/>
    </w:p>
    <w:p w14:paraId="2F6AC68C">
      <w:pPr>
        <w:spacing w:line="600" w:lineRule="exact"/>
        <w:ind w:firstLine="640" w:firstLineChars="200"/>
        <w:rPr>
          <w:rFonts w:eastAsia="方正黑体_GBK"/>
        </w:rPr>
      </w:pPr>
      <w:r>
        <w:rPr>
          <w:rFonts w:hint="eastAsia" w:eastAsia="方正黑体_GBK" w:cs="方正黑体_GBK"/>
        </w:rPr>
        <w:t>四、保障措施</w:t>
      </w:r>
      <w:bookmarkEnd w:id="47"/>
      <w:bookmarkEnd w:id="48"/>
      <w:bookmarkStart w:id="49" w:name="_Toc83307993"/>
      <w:bookmarkStart w:id="50" w:name="_Toc17592"/>
      <w:bookmarkStart w:id="51" w:name="_Toc6375"/>
      <w:bookmarkStart w:id="52" w:name="_Toc78987160"/>
      <w:bookmarkStart w:id="53" w:name="_Toc16199"/>
    </w:p>
    <w:p w14:paraId="57DC8FC5">
      <w:pPr>
        <w:spacing w:line="600" w:lineRule="exact"/>
        <w:ind w:firstLine="640" w:firstLineChars="200"/>
        <w:rPr>
          <w:rFonts w:eastAsia="方正楷体_GBK"/>
        </w:rPr>
      </w:pPr>
      <w:r>
        <w:rPr>
          <w:rFonts w:hint="eastAsia" w:eastAsia="方正楷体_GBK" w:cs="方正楷体_GBK"/>
        </w:rPr>
        <w:t>（一）强化组织领导</w:t>
      </w:r>
      <w:bookmarkEnd w:id="49"/>
      <w:bookmarkEnd w:id="50"/>
      <w:bookmarkEnd w:id="51"/>
      <w:bookmarkEnd w:id="52"/>
      <w:bookmarkEnd w:id="53"/>
    </w:p>
    <w:p w14:paraId="12A91CCB">
      <w:pPr>
        <w:spacing w:line="600" w:lineRule="exact"/>
        <w:ind w:firstLine="640" w:firstLineChars="200"/>
      </w:pPr>
      <w:r>
        <w:rPr>
          <w:rFonts w:hint="eastAsia" w:cs="方正仿宋_GBK"/>
        </w:rPr>
        <w:t>县级有关部门要从推进健康中国奉节行动、</w:t>
      </w:r>
      <w:r>
        <w:t>“</w:t>
      </w:r>
      <w:r>
        <w:rPr>
          <w:rFonts w:hint="eastAsia" w:cs="方正仿宋_GBK"/>
        </w:rPr>
        <w:t>一区两群</w:t>
      </w:r>
      <w:r>
        <w:t>”</w:t>
      </w:r>
      <w:r>
        <w:rPr>
          <w:rFonts w:hint="eastAsia" w:cs="方正仿宋_GBK"/>
        </w:rPr>
        <w:t>协调发展的高度，加强联动、各负其责、密切配合、形成合力，卫生健康、医保、发展改革、财政、编制、人力资源和社会保障、教育、科技、经济信息、民政、规划和自然资源等部门按照各自职责，共同推进规划落实。卫生健康部门要建立工作目标责任制，强化规划落实，切实维护规划的权威性和严肃性。</w:t>
      </w:r>
      <w:bookmarkStart w:id="54" w:name="_Toc11339"/>
      <w:bookmarkStart w:id="55" w:name="_Toc78987161"/>
      <w:bookmarkStart w:id="56" w:name="_Toc83307994"/>
      <w:bookmarkStart w:id="57" w:name="_Toc21168"/>
    </w:p>
    <w:bookmarkEnd w:id="54"/>
    <w:bookmarkEnd w:id="55"/>
    <w:bookmarkEnd w:id="56"/>
    <w:bookmarkEnd w:id="57"/>
    <w:p w14:paraId="2C97B32C">
      <w:pPr>
        <w:spacing w:line="600" w:lineRule="exact"/>
      </w:pPr>
      <w:r>
        <w:rPr>
          <w:rFonts w:hint="eastAsia" w:cs="方正仿宋_GBK"/>
        </w:rPr>
        <w:t>完善政府主导的多元化卫生健康筹资机制，统筹公共预算、政府债券等各项资金资源，尽力而为，量力而行，做好资金保障，强化政府对卫生健康基本公共服务的投入责任，建立稳定的公共卫生事业投入机制。引导社会资金参与发展卫生健康事业。</w:t>
      </w:r>
    </w:p>
    <w:p w14:paraId="77E7FB23">
      <w:pPr>
        <w:pStyle w:val="4"/>
        <w:keepNext w:val="0"/>
        <w:keepLines w:val="0"/>
        <w:spacing w:before="0" w:after="0" w:line="560" w:lineRule="exact"/>
        <w:ind w:left="0" w:leftChars="0" w:firstLine="640" w:firstLineChars="200"/>
        <w:rPr>
          <w:rFonts w:ascii="Times New Roman" w:hAnsi="Times New Roman" w:cs="Times New Roman"/>
        </w:rPr>
      </w:pPr>
      <w:bookmarkStart w:id="58" w:name="_Toc90376963"/>
      <w:r>
        <w:rPr>
          <w:rFonts w:hint="eastAsia" w:ascii="Times New Roman" w:hAnsi="Times New Roman" w:cs="方正楷体_GBK"/>
        </w:rPr>
        <w:t>（二）完善配套政策</w:t>
      </w:r>
      <w:bookmarkEnd w:id="58"/>
    </w:p>
    <w:p w14:paraId="08BB7CC2">
      <w:pPr>
        <w:spacing w:line="600" w:lineRule="exact"/>
        <w:ind w:firstLine="640" w:firstLineChars="200"/>
      </w:pPr>
      <w:r>
        <w:rPr>
          <w:rFonts w:hint="eastAsia" w:cs="方正仿宋_GBK"/>
        </w:rPr>
        <w:t>完善各类公立和公益性医疗卫生健康机构的财政补偿政策，健全政府购买卫生健康服务的机制。调整和完善政府卫生投入结构，重点支持基层卫生、公共卫生、基本医疗保障等，切实加强卫生健康基础设施建设、卫生健康科技创新和卫生健康人才培养等工作。提升基层医疗机构财政保障水平，综合各基层医疗机构区域位置、服务人口、技术实力、医疗收入等情况，从基本工资、绩效工资、</w:t>
      </w:r>
      <w:r>
        <w:t>“</w:t>
      </w:r>
      <w:r>
        <w:rPr>
          <w:rFonts w:hint="eastAsia" w:cs="方正仿宋_GBK"/>
        </w:rPr>
        <w:t>五险两金</w:t>
      </w:r>
      <w:r>
        <w:t>”</w:t>
      </w:r>
      <w:r>
        <w:rPr>
          <w:rFonts w:hint="eastAsia" w:cs="方正仿宋_GBK"/>
        </w:rPr>
        <w:t>、退休人员及遗嘱等方面，逐步加大财政分类定额保障力度。</w:t>
      </w:r>
    </w:p>
    <w:p w14:paraId="357443FC">
      <w:pPr>
        <w:pStyle w:val="4"/>
        <w:spacing w:before="0" w:after="0" w:line="600" w:lineRule="exact"/>
        <w:ind w:left="640"/>
        <w:rPr>
          <w:rFonts w:ascii="Times New Roman" w:hAnsi="Times New Roman" w:cs="Times New Roman"/>
        </w:rPr>
      </w:pPr>
      <w:bookmarkStart w:id="59" w:name="_Toc18578"/>
      <w:bookmarkStart w:id="60" w:name="_Toc78987162"/>
      <w:bookmarkStart w:id="61" w:name="_Toc5993"/>
      <w:bookmarkStart w:id="62" w:name="_Toc83307995"/>
      <w:r>
        <w:rPr>
          <w:rFonts w:hint="eastAsia" w:ascii="Times New Roman" w:cs="方正楷体_GBK"/>
        </w:rPr>
        <w:t>（三）营造良好</w:t>
      </w:r>
      <w:bookmarkEnd w:id="59"/>
      <w:bookmarkEnd w:id="60"/>
      <w:r>
        <w:rPr>
          <w:rFonts w:hint="eastAsia" w:ascii="Times New Roman" w:cs="方正楷体_GBK"/>
        </w:rPr>
        <w:t>氛围</w:t>
      </w:r>
      <w:bookmarkEnd w:id="61"/>
      <w:bookmarkEnd w:id="62"/>
    </w:p>
    <w:p w14:paraId="6FB86618">
      <w:pPr>
        <w:spacing w:line="600" w:lineRule="exact"/>
        <w:ind w:firstLine="640" w:firstLineChars="200"/>
      </w:pPr>
      <w:r>
        <w:rPr>
          <w:rFonts w:hint="eastAsia" w:cs="方正仿宋_GBK"/>
        </w:rPr>
        <w:t>加强党的全面领导，加强行风建设，完善重大案件问责、违规事件通报、不良执业行为记录等制度。弘扬和践行社会主义核心价值观，强化医德医风建设和行业自律，规范诊疗服务行为。加强行业信用制度建设，完善行风评议和患者就医体验满意度第三方评价机制。注重宣传倡导，提高居民科学就医意识和能力，引导公众合理利用医疗卫生资源。提升医务人员合理薪酬待遇、发展空间、执业环境和社会地位，关心爱护医务人员身心健康，营造全社会尊医重卫的良好风气。深化</w:t>
      </w:r>
      <w:r>
        <w:t>“</w:t>
      </w:r>
      <w:r>
        <w:rPr>
          <w:rFonts w:hint="eastAsia" w:cs="方正仿宋_GBK"/>
        </w:rPr>
        <w:t>平安医院</w:t>
      </w:r>
      <w:r>
        <w:t>”</w:t>
      </w:r>
      <w:r>
        <w:rPr>
          <w:rFonts w:hint="eastAsia" w:cs="方正仿宋_GBK"/>
        </w:rPr>
        <w:t>建设，严厉依法打击涉医违法犯罪行为特别是伤害医务人员的暴力犯罪行为，保护医务人员安全。推进院内调解、人民调解、司法调解和医疗责任险机制建设，构建和谐医患关系。</w:t>
      </w:r>
    </w:p>
    <w:p w14:paraId="5608E401">
      <w:pPr>
        <w:pStyle w:val="4"/>
        <w:spacing w:before="0" w:after="0" w:line="600" w:lineRule="exact"/>
        <w:ind w:left="640"/>
        <w:rPr>
          <w:rFonts w:ascii="Times New Roman" w:hAnsi="Times New Roman" w:cs="Times New Roman"/>
        </w:rPr>
      </w:pPr>
      <w:bookmarkStart w:id="63" w:name="_Toc78987163"/>
      <w:bookmarkStart w:id="64" w:name="_Toc24892"/>
      <w:bookmarkStart w:id="65" w:name="_Toc83307996"/>
      <w:bookmarkStart w:id="66" w:name="_Toc15165"/>
      <w:r>
        <w:rPr>
          <w:rFonts w:hint="eastAsia" w:ascii="Times New Roman" w:cs="方正楷体_GBK"/>
        </w:rPr>
        <w:t>（四）加强监测评估</w:t>
      </w:r>
      <w:bookmarkEnd w:id="63"/>
      <w:bookmarkEnd w:id="64"/>
      <w:bookmarkEnd w:id="65"/>
      <w:bookmarkEnd w:id="66"/>
    </w:p>
    <w:p w14:paraId="23BBCA6D">
      <w:pPr>
        <w:spacing w:line="600" w:lineRule="exact"/>
        <w:ind w:firstLine="640" w:firstLineChars="200"/>
      </w:pPr>
      <w:r>
        <w:rPr>
          <w:rFonts w:hint="eastAsia" w:cs="方正仿宋_GBK"/>
        </w:rPr>
        <w:t>做好规划重点任务分解，对主要指标设置年度目标，明确职责，认真组织落实，有序推进各项重点工作任务，推动将主要指标和重点任务纳入年度重点工作。统筹健康中国奉节行动相关监测评价，健全规划实施情况监测评估机制，加强规划实施中的督导，定期对规划实施进度及效果开展阶段评估，科学制定方案，按要求开展规划年度监测、中期评估和终期评估，及时发现规划实施中的问题，确保规划目标和各项重点工作任务顺利如期实现。</w:t>
      </w:r>
    </w:p>
    <w:p w14:paraId="06D058B0">
      <w:pPr>
        <w:spacing w:line="600" w:lineRule="exact"/>
      </w:pPr>
    </w:p>
    <w:p w14:paraId="5B73B28B">
      <w:pPr>
        <w:pStyle w:val="2"/>
        <w:spacing w:line="600" w:lineRule="exact"/>
        <w:ind w:firstLine="640" w:firstLineChars="200"/>
        <w:rPr>
          <w:rFonts w:ascii="Times New Roman" w:eastAsia="方正仿宋_GBK" w:cs="Times New Roman"/>
          <w:sz w:val="32"/>
          <w:szCs w:val="32"/>
        </w:rPr>
      </w:pPr>
      <w:r>
        <w:rPr>
          <w:rFonts w:hint="eastAsia" w:ascii="Times New Roman" w:hAnsi="方正仿宋_GBK" w:eastAsia="方正仿宋_GBK" w:cs="方正仿宋_GBK"/>
          <w:sz w:val="32"/>
          <w:szCs w:val="32"/>
        </w:rPr>
        <w:t>附件：</w:t>
      </w:r>
      <w:r>
        <w:rPr>
          <w:rFonts w:ascii="Times New Roman" w:eastAsia="方正仿宋_GBK" w:cs="Times New Roman"/>
          <w:sz w:val="32"/>
          <w:szCs w:val="32"/>
        </w:rPr>
        <w:t>1.</w:t>
      </w:r>
      <w:r>
        <w:rPr>
          <w:rFonts w:hint="eastAsia" w:ascii="Times New Roman" w:hAnsi="方正仿宋_GBK" w:eastAsia="方正仿宋_GBK" w:cs="方正仿宋_GBK"/>
          <w:sz w:val="32"/>
          <w:szCs w:val="32"/>
        </w:rPr>
        <w:t>卫生健康单位布局暨项目规划示意图</w:t>
      </w:r>
    </w:p>
    <w:p w14:paraId="499AD9CD">
      <w:pPr>
        <w:pStyle w:val="2"/>
        <w:spacing w:line="520" w:lineRule="exact"/>
        <w:ind w:firstLine="1600" w:firstLineChars="500"/>
        <w:rPr>
          <w:rFonts w:ascii="Times New Roman" w:eastAsia="方正仿宋_GBK" w:cs="Times New Roman"/>
          <w:sz w:val="32"/>
          <w:szCs w:val="32"/>
        </w:rPr>
      </w:pPr>
      <w:r>
        <w:rPr>
          <w:rFonts w:ascii="Times New Roman" w:eastAsia="方正仿宋_GBK" w:cs="Times New Roman"/>
          <w:sz w:val="32"/>
          <w:szCs w:val="32"/>
        </w:rPr>
        <w:t>2.</w:t>
      </w:r>
      <w:r>
        <w:rPr>
          <w:rFonts w:hint="eastAsia" w:ascii="Times New Roman" w:hAnsi="方正仿宋_GBK" w:eastAsia="方正仿宋_GBK" w:cs="方正仿宋_GBK"/>
          <w:sz w:val="32"/>
          <w:szCs w:val="32"/>
        </w:rPr>
        <w:t>奉节县卫生健康事业发展</w:t>
      </w:r>
      <w:r>
        <w:rPr>
          <w:rFonts w:hint="eastAsia" w:ascii="Times New Roman" w:hAnsi="方正仿宋_GBK" w:eastAsia="方正仿宋_GBK" w:cs="方正仿宋_GBK"/>
          <w:sz w:val="32"/>
          <w:szCs w:val="32"/>
          <w:lang w:eastAsia="zh-CN"/>
        </w:rPr>
        <w:t>“十四五”规划</w:t>
      </w:r>
      <w:r>
        <w:rPr>
          <w:rFonts w:hint="eastAsia" w:ascii="Times New Roman" w:hAnsi="方正仿宋_GBK" w:eastAsia="方正仿宋_GBK" w:cs="方正仿宋_GBK"/>
          <w:sz w:val="32"/>
          <w:szCs w:val="32"/>
        </w:rPr>
        <w:t>项目库</w:t>
      </w:r>
    </w:p>
    <w:p w14:paraId="7268B3DD">
      <w:pPr>
        <w:pStyle w:val="2"/>
        <w:spacing w:line="520" w:lineRule="exact"/>
        <w:rPr>
          <w:rFonts w:ascii="方正黑体_GBK" w:hAnsi="方正黑体_GBK" w:eastAsia="方正黑体_GBK" w:cs="方正黑体_GBK"/>
          <w:sz w:val="32"/>
          <w:szCs w:val="32"/>
        </w:rPr>
      </w:pPr>
    </w:p>
    <w:p w14:paraId="7B5ADAB9">
      <w:pPr>
        <w:pStyle w:val="2"/>
        <w:spacing w:line="520" w:lineRule="exact"/>
        <w:rPr>
          <w:rFonts w:ascii="方正黑体_GBK" w:hAnsi="方正黑体_GBK" w:eastAsia="方正黑体_GBK" w:cs="方正黑体_GBK"/>
          <w:sz w:val="32"/>
          <w:szCs w:val="32"/>
        </w:rPr>
      </w:pPr>
    </w:p>
    <w:p w14:paraId="6C761961">
      <w:pPr>
        <w:pStyle w:val="2"/>
        <w:spacing w:line="520" w:lineRule="exact"/>
        <w:rPr>
          <w:rFonts w:ascii="方正黑体_GBK" w:hAnsi="方正黑体_GBK" w:eastAsia="方正黑体_GBK" w:cs="方正黑体_GBK"/>
          <w:sz w:val="32"/>
          <w:szCs w:val="32"/>
        </w:rPr>
      </w:pPr>
    </w:p>
    <w:p w14:paraId="27562C4F">
      <w:pPr>
        <w:pStyle w:val="2"/>
        <w:spacing w:line="520" w:lineRule="exact"/>
        <w:rPr>
          <w:rFonts w:ascii="方正黑体_GBK" w:hAnsi="方正黑体_GBK" w:eastAsia="方正黑体_GBK" w:cs="方正黑体_GBK"/>
          <w:sz w:val="32"/>
          <w:szCs w:val="32"/>
        </w:rPr>
      </w:pPr>
    </w:p>
    <w:p w14:paraId="1595479E">
      <w:pPr>
        <w:pStyle w:val="2"/>
        <w:spacing w:line="520" w:lineRule="exact"/>
        <w:rPr>
          <w:rFonts w:ascii="方正黑体_GBK" w:hAnsi="方正黑体_GBK" w:eastAsia="方正黑体_GBK" w:cs="方正黑体_GBK"/>
          <w:sz w:val="32"/>
          <w:szCs w:val="32"/>
        </w:rPr>
      </w:pPr>
    </w:p>
    <w:p w14:paraId="288B5CFE">
      <w:pPr>
        <w:pStyle w:val="2"/>
        <w:spacing w:line="520" w:lineRule="exact"/>
        <w:rPr>
          <w:rFonts w:ascii="方正黑体_GBK" w:hAnsi="方正黑体_GBK" w:eastAsia="方正黑体_GBK" w:cs="Times New Roman"/>
          <w:sz w:val="32"/>
          <w:szCs w:val="32"/>
        </w:rPr>
      </w:pPr>
      <w:r>
        <w:rPr>
          <w:rFonts w:hint="eastAsia" w:ascii="方正黑体_GBK" w:hAnsi="方正黑体_GBK" w:eastAsia="方正黑体_GBK" w:cs="方正黑体_GBK"/>
          <w:sz w:val="32"/>
          <w:szCs w:val="32"/>
        </w:rPr>
        <w:t>附录</w:t>
      </w:r>
    </w:p>
    <w:p w14:paraId="68B61762">
      <w:pPr>
        <w:spacing w:line="520" w:lineRule="exact"/>
        <w:jc w:val="center"/>
        <w:rPr>
          <w:rFonts w:eastAsia="方正小标宋_GBK"/>
          <w:sz w:val="44"/>
          <w:szCs w:val="44"/>
        </w:rPr>
      </w:pPr>
      <w:r>
        <w:rPr>
          <w:rFonts w:hint="eastAsia" w:eastAsia="方正小标宋_GBK" w:cs="方正小标宋_GBK"/>
          <w:sz w:val="44"/>
          <w:szCs w:val="44"/>
        </w:rPr>
        <w:t>名词解释</w:t>
      </w:r>
    </w:p>
    <w:p w14:paraId="58896456">
      <w:pPr>
        <w:pStyle w:val="9"/>
        <w:spacing w:line="520" w:lineRule="exact"/>
        <w:ind w:firstLine="560" w:firstLineChars="200"/>
        <w:jc w:val="both"/>
        <w:rPr>
          <w:rFonts w:ascii="Times New Roman" w:eastAsia="方正仿宋_GBK" w:cs="Times New Roman"/>
          <w:b/>
          <w:bCs/>
          <w:color w:val="auto"/>
          <w:sz w:val="28"/>
          <w:szCs w:val="28"/>
        </w:rPr>
      </w:pPr>
    </w:p>
    <w:p w14:paraId="7E25DF69">
      <w:pPr>
        <w:pStyle w:val="9"/>
        <w:spacing w:line="520" w:lineRule="exact"/>
        <w:ind w:firstLine="560" w:firstLineChars="200"/>
        <w:jc w:val="both"/>
        <w:rPr>
          <w:rFonts w:ascii="Times New Roman" w:eastAsia="方正仿宋_GBK" w:cs="Times New Roman"/>
          <w:color w:val="auto"/>
          <w:sz w:val="28"/>
          <w:szCs w:val="28"/>
        </w:rPr>
      </w:pPr>
      <w:r>
        <w:rPr>
          <w:rFonts w:ascii="Times New Roman" w:eastAsia="方正仿宋_GBK" w:cs="Times New Roman"/>
          <w:b/>
          <w:bCs/>
          <w:color w:val="auto"/>
          <w:sz w:val="28"/>
          <w:szCs w:val="28"/>
        </w:rPr>
        <w:t>1.</w:t>
      </w:r>
      <w:r>
        <w:rPr>
          <w:rFonts w:hint="eastAsia" w:ascii="Times New Roman" w:hAnsi="方正仿宋_GBK" w:eastAsia="方正仿宋_GBK" w:cs="方正仿宋_GBK"/>
          <w:b/>
          <w:bCs/>
          <w:color w:val="auto"/>
          <w:sz w:val="28"/>
          <w:szCs w:val="28"/>
        </w:rPr>
        <w:t>婴儿死亡率：</w:t>
      </w:r>
      <w:r>
        <w:rPr>
          <w:rFonts w:hint="eastAsia" w:ascii="Times New Roman" w:hAnsi="方正仿宋_GBK" w:eastAsia="方正仿宋_GBK" w:cs="方正仿宋_GBK"/>
          <w:color w:val="auto"/>
          <w:sz w:val="28"/>
          <w:szCs w:val="28"/>
        </w:rPr>
        <w:t>辖区某年婴儿死亡数</w:t>
      </w:r>
      <w:r>
        <w:rPr>
          <w:rFonts w:ascii="Times New Roman" w:eastAsia="方正仿宋_GBK" w:cs="Times New Roman"/>
          <w:color w:val="auto"/>
          <w:sz w:val="28"/>
          <w:szCs w:val="28"/>
        </w:rPr>
        <w:t>/</w:t>
      </w:r>
      <w:r>
        <w:rPr>
          <w:rFonts w:hint="eastAsia" w:ascii="Times New Roman" w:hAnsi="方正仿宋_GBK" w:eastAsia="方正仿宋_GBK" w:cs="方正仿宋_GBK"/>
          <w:color w:val="auto"/>
          <w:sz w:val="28"/>
          <w:szCs w:val="28"/>
        </w:rPr>
        <w:t>某年活产数</w:t>
      </w:r>
      <w:r>
        <w:rPr>
          <w:rFonts w:ascii="Times New Roman" w:eastAsia="方正仿宋_GBK" w:cs="Times New Roman"/>
          <w:color w:val="auto"/>
          <w:sz w:val="28"/>
          <w:szCs w:val="28"/>
        </w:rPr>
        <w:t>×1000‰</w:t>
      </w:r>
      <w:r>
        <w:rPr>
          <w:rFonts w:hint="eastAsia" w:ascii="Times New Roman" w:hAnsi="方正仿宋_GBK" w:eastAsia="方正仿宋_GBK" w:cs="方正仿宋_GBK"/>
          <w:color w:val="auto"/>
          <w:sz w:val="28"/>
          <w:szCs w:val="28"/>
        </w:rPr>
        <w:t>，是指出生不满</w:t>
      </w:r>
      <w:r>
        <w:rPr>
          <w:rFonts w:ascii="Times New Roman" w:eastAsia="方正仿宋_GBK" w:cs="Times New Roman"/>
          <w:color w:val="auto"/>
          <w:sz w:val="28"/>
          <w:szCs w:val="28"/>
        </w:rPr>
        <w:t>1</w:t>
      </w:r>
      <w:r>
        <w:rPr>
          <w:rFonts w:hint="eastAsia" w:ascii="Times New Roman" w:hAnsi="方正仿宋_GBK" w:eastAsia="方正仿宋_GBK" w:cs="方正仿宋_GBK"/>
          <w:color w:val="auto"/>
          <w:sz w:val="28"/>
          <w:szCs w:val="28"/>
        </w:rPr>
        <w:t>周岁的活产婴儿死亡的概率。活产是指妊娠满</w:t>
      </w:r>
      <w:r>
        <w:rPr>
          <w:rFonts w:ascii="Times New Roman" w:eastAsia="方正仿宋_GBK" w:cs="Times New Roman"/>
          <w:color w:val="auto"/>
          <w:sz w:val="28"/>
          <w:szCs w:val="28"/>
        </w:rPr>
        <w:t>28</w:t>
      </w:r>
      <w:r>
        <w:rPr>
          <w:rFonts w:hint="eastAsia" w:ascii="Times New Roman" w:hAnsi="方正仿宋_GBK" w:eastAsia="方正仿宋_GBK" w:cs="方正仿宋_GBK"/>
          <w:color w:val="auto"/>
          <w:sz w:val="28"/>
          <w:szCs w:val="28"/>
        </w:rPr>
        <w:t>周，胎儿娩出后有心跳、呼吸、脐带搏动、随意肌收缩</w:t>
      </w:r>
      <w:r>
        <w:rPr>
          <w:rFonts w:ascii="Times New Roman" w:eastAsia="方正仿宋_GBK" w:cs="Times New Roman"/>
          <w:color w:val="auto"/>
          <w:sz w:val="28"/>
          <w:szCs w:val="28"/>
        </w:rPr>
        <w:t>4</w:t>
      </w:r>
      <w:r>
        <w:rPr>
          <w:rFonts w:hint="eastAsia" w:ascii="Times New Roman" w:hAnsi="方正仿宋_GBK" w:eastAsia="方正仿宋_GBK" w:cs="方正仿宋_GBK"/>
          <w:color w:val="auto"/>
          <w:sz w:val="28"/>
          <w:szCs w:val="28"/>
        </w:rPr>
        <w:t>项生命指标之一者，如孕周不清楚，可以出生体重（</w:t>
      </w:r>
      <w:r>
        <w:rPr>
          <w:rFonts w:ascii="Times New Roman" w:eastAsia="方正仿宋_GBK" w:cs="Times New Roman"/>
          <w:color w:val="auto"/>
          <w:sz w:val="28"/>
          <w:szCs w:val="28"/>
        </w:rPr>
        <w:t>≥1000</w:t>
      </w:r>
      <w:r>
        <w:rPr>
          <w:rFonts w:hint="eastAsia" w:ascii="Times New Roman" w:hAnsi="方正仿宋_GBK" w:eastAsia="方正仿宋_GBK" w:cs="方正仿宋_GBK"/>
          <w:color w:val="auto"/>
          <w:sz w:val="28"/>
          <w:szCs w:val="28"/>
        </w:rPr>
        <w:t>克）为参考标准。</w:t>
      </w:r>
    </w:p>
    <w:p w14:paraId="7AB7BB48">
      <w:pPr>
        <w:pStyle w:val="9"/>
        <w:spacing w:line="520" w:lineRule="exact"/>
        <w:ind w:firstLine="560" w:firstLineChars="200"/>
        <w:jc w:val="both"/>
        <w:rPr>
          <w:rFonts w:ascii="Times New Roman" w:eastAsia="方正仿宋_GBK" w:cs="Times New Roman"/>
          <w:color w:val="auto"/>
          <w:sz w:val="28"/>
          <w:szCs w:val="28"/>
        </w:rPr>
      </w:pPr>
      <w:r>
        <w:rPr>
          <w:rFonts w:ascii="Times New Roman" w:eastAsia="方正仿宋_GBK" w:cs="Times New Roman"/>
          <w:b/>
          <w:bCs/>
          <w:color w:val="auto"/>
          <w:sz w:val="28"/>
          <w:szCs w:val="28"/>
        </w:rPr>
        <w:t>2.</w:t>
      </w:r>
      <w:r>
        <w:rPr>
          <w:rFonts w:hint="eastAsia" w:ascii="Times New Roman" w:hAnsi="方正仿宋_GBK" w:eastAsia="方正仿宋_GBK" w:cs="方正仿宋_GBK"/>
          <w:b/>
          <w:bCs/>
          <w:color w:val="auto"/>
          <w:sz w:val="28"/>
          <w:szCs w:val="28"/>
        </w:rPr>
        <w:t>孕产妇死亡率：</w:t>
      </w:r>
      <w:r>
        <w:rPr>
          <w:rFonts w:hint="eastAsia" w:ascii="Times New Roman" w:hAnsi="方正仿宋_GBK" w:eastAsia="方正仿宋_GBK" w:cs="方正仿宋_GBK"/>
          <w:color w:val="auto"/>
          <w:sz w:val="28"/>
          <w:szCs w:val="28"/>
        </w:rPr>
        <w:t>辖区某年孕产妇死亡人数</w:t>
      </w:r>
      <w:r>
        <w:rPr>
          <w:rFonts w:ascii="Times New Roman" w:eastAsia="方正仿宋_GBK" w:cs="Times New Roman"/>
          <w:color w:val="auto"/>
          <w:sz w:val="28"/>
          <w:szCs w:val="28"/>
        </w:rPr>
        <w:t>/</w:t>
      </w:r>
      <w:r>
        <w:rPr>
          <w:rFonts w:hint="eastAsia" w:ascii="Times New Roman" w:hAnsi="方正仿宋_GBK" w:eastAsia="方正仿宋_GBK" w:cs="方正仿宋_GBK"/>
          <w:color w:val="auto"/>
          <w:sz w:val="28"/>
          <w:szCs w:val="28"/>
        </w:rPr>
        <w:t>某年活产数</w:t>
      </w:r>
      <w:r>
        <w:rPr>
          <w:rFonts w:ascii="Times New Roman" w:eastAsia="方正仿宋_GBK" w:cs="Times New Roman"/>
          <w:color w:val="auto"/>
          <w:sz w:val="28"/>
          <w:szCs w:val="28"/>
        </w:rPr>
        <w:t>×10</w:t>
      </w:r>
      <w:r>
        <w:rPr>
          <w:rFonts w:hint="eastAsia" w:ascii="Times New Roman" w:hAnsi="方正仿宋_GBK" w:eastAsia="方正仿宋_GBK" w:cs="方正仿宋_GBK"/>
          <w:color w:val="auto"/>
          <w:sz w:val="28"/>
          <w:szCs w:val="28"/>
        </w:rPr>
        <w:t>万</w:t>
      </w:r>
      <w:r>
        <w:rPr>
          <w:rFonts w:ascii="Times New Roman" w:eastAsia="方正仿宋_GBK" w:cs="Times New Roman"/>
          <w:color w:val="auto"/>
          <w:sz w:val="28"/>
          <w:szCs w:val="28"/>
        </w:rPr>
        <w:t>/10</w:t>
      </w:r>
      <w:r>
        <w:rPr>
          <w:rFonts w:hint="eastAsia" w:ascii="Times New Roman" w:hAnsi="方正仿宋_GBK" w:eastAsia="方正仿宋_GBK" w:cs="方正仿宋_GBK"/>
          <w:color w:val="auto"/>
          <w:sz w:val="28"/>
          <w:szCs w:val="28"/>
        </w:rPr>
        <w:t>万，是指妇女在妊娠期至妊娠结束后</w:t>
      </w:r>
      <w:r>
        <w:rPr>
          <w:rFonts w:ascii="Times New Roman" w:eastAsia="方正仿宋_GBK" w:cs="Times New Roman"/>
          <w:color w:val="auto"/>
          <w:sz w:val="28"/>
          <w:szCs w:val="28"/>
        </w:rPr>
        <w:t>42</w:t>
      </w:r>
      <w:r>
        <w:rPr>
          <w:rFonts w:hint="eastAsia" w:ascii="Times New Roman" w:hAnsi="方正仿宋_GBK" w:eastAsia="方正仿宋_GBK" w:cs="方正仿宋_GBK"/>
          <w:color w:val="auto"/>
          <w:sz w:val="28"/>
          <w:szCs w:val="28"/>
        </w:rPr>
        <w:t>天内，由于任何与妊娠或妊娠处理有关的或因此而加重了的原因导致的死亡概率。活产是指妊娠满</w:t>
      </w:r>
      <w:r>
        <w:rPr>
          <w:rFonts w:ascii="Times New Roman" w:eastAsia="方正仿宋_GBK" w:cs="Times New Roman"/>
          <w:color w:val="auto"/>
          <w:sz w:val="28"/>
          <w:szCs w:val="28"/>
        </w:rPr>
        <w:t>28</w:t>
      </w:r>
      <w:r>
        <w:rPr>
          <w:rFonts w:hint="eastAsia" w:ascii="Times New Roman" w:hAnsi="方正仿宋_GBK" w:eastAsia="方正仿宋_GBK" w:cs="方正仿宋_GBK"/>
          <w:color w:val="auto"/>
          <w:sz w:val="28"/>
          <w:szCs w:val="28"/>
        </w:rPr>
        <w:t>周，胎儿娩出后有心跳、呼吸、脐带搏动、随意肌收缩</w:t>
      </w:r>
      <w:r>
        <w:rPr>
          <w:rFonts w:ascii="Times New Roman" w:eastAsia="方正仿宋_GBK" w:cs="Times New Roman"/>
          <w:color w:val="auto"/>
          <w:sz w:val="28"/>
          <w:szCs w:val="28"/>
        </w:rPr>
        <w:t>4</w:t>
      </w:r>
      <w:r>
        <w:rPr>
          <w:rFonts w:hint="eastAsia" w:ascii="Times New Roman" w:hAnsi="方正仿宋_GBK" w:eastAsia="方正仿宋_GBK" w:cs="方正仿宋_GBK"/>
          <w:color w:val="auto"/>
          <w:sz w:val="28"/>
          <w:szCs w:val="28"/>
        </w:rPr>
        <w:t>项生命指标之一者，如孕周不清楚，可以出生体重（</w:t>
      </w:r>
      <w:r>
        <w:rPr>
          <w:rFonts w:ascii="Times New Roman" w:eastAsia="方正仿宋_GBK" w:cs="Times New Roman"/>
          <w:color w:val="auto"/>
          <w:sz w:val="28"/>
          <w:szCs w:val="28"/>
        </w:rPr>
        <w:t>≥1000</w:t>
      </w:r>
      <w:r>
        <w:rPr>
          <w:rFonts w:hint="eastAsia" w:ascii="Times New Roman" w:hAnsi="方正仿宋_GBK" w:eastAsia="方正仿宋_GBK" w:cs="方正仿宋_GBK"/>
          <w:color w:val="auto"/>
          <w:sz w:val="28"/>
          <w:szCs w:val="28"/>
        </w:rPr>
        <w:t>克）为参考标准。</w:t>
      </w:r>
    </w:p>
    <w:p w14:paraId="20BD22B6">
      <w:pPr>
        <w:pStyle w:val="9"/>
        <w:spacing w:line="520" w:lineRule="exact"/>
        <w:ind w:firstLine="560" w:firstLineChars="200"/>
        <w:jc w:val="both"/>
        <w:rPr>
          <w:rFonts w:ascii="Times New Roman" w:eastAsia="方正仿宋_GBK" w:cs="Times New Roman"/>
          <w:color w:val="auto"/>
          <w:sz w:val="28"/>
          <w:szCs w:val="28"/>
        </w:rPr>
      </w:pPr>
      <w:r>
        <w:rPr>
          <w:rFonts w:ascii="Times New Roman" w:eastAsia="方正仿宋_GBK" w:cs="Times New Roman"/>
          <w:b/>
          <w:bCs/>
          <w:color w:val="auto"/>
          <w:sz w:val="28"/>
          <w:szCs w:val="28"/>
        </w:rPr>
        <w:t>3.</w:t>
      </w:r>
      <w:r>
        <w:rPr>
          <w:rFonts w:hint="eastAsia" w:ascii="Times New Roman" w:hAnsi="方正仿宋_GBK" w:eastAsia="方正仿宋_GBK" w:cs="方正仿宋_GBK"/>
          <w:b/>
          <w:bCs/>
          <w:color w:val="auto"/>
          <w:sz w:val="28"/>
          <w:szCs w:val="28"/>
        </w:rPr>
        <w:t>重大慢性病过早死亡率：</w:t>
      </w:r>
      <w:r>
        <w:rPr>
          <w:rFonts w:ascii="Times New Roman" w:eastAsia="方正仿宋_GBK" w:cs="Times New Roman"/>
          <w:color w:val="auto"/>
          <w:sz w:val="28"/>
          <w:szCs w:val="28"/>
        </w:rPr>
        <w:t>30—70</w:t>
      </w:r>
      <w:r>
        <w:rPr>
          <w:rFonts w:hint="eastAsia" w:ascii="Times New Roman" w:hAnsi="方正仿宋_GBK" w:eastAsia="方正仿宋_GBK" w:cs="方正仿宋_GBK"/>
          <w:color w:val="auto"/>
          <w:sz w:val="28"/>
          <w:szCs w:val="28"/>
        </w:rPr>
        <w:t>岁（不包括</w:t>
      </w:r>
      <w:r>
        <w:rPr>
          <w:rFonts w:ascii="Times New Roman" w:eastAsia="方正仿宋_GBK" w:cs="Times New Roman"/>
          <w:color w:val="auto"/>
          <w:sz w:val="28"/>
          <w:szCs w:val="28"/>
        </w:rPr>
        <w:t>70</w:t>
      </w:r>
      <w:r>
        <w:rPr>
          <w:rFonts w:hint="eastAsia" w:ascii="Times New Roman" w:hAnsi="方正仿宋_GBK" w:eastAsia="方正仿宋_GBK" w:cs="方正仿宋_GBK"/>
          <w:color w:val="auto"/>
          <w:sz w:val="28"/>
          <w:szCs w:val="28"/>
        </w:rPr>
        <w:t>岁）人群因重大慢性病（心脑血管疾病、癌症、慢性呼吸系统疾病和糖尿病）导致的死亡概率。</w:t>
      </w:r>
    </w:p>
    <w:p w14:paraId="465D9251">
      <w:pPr>
        <w:pStyle w:val="9"/>
        <w:spacing w:line="520" w:lineRule="exact"/>
        <w:ind w:firstLine="560" w:firstLineChars="200"/>
        <w:jc w:val="both"/>
        <w:rPr>
          <w:rFonts w:ascii="Times New Roman" w:eastAsia="方正仿宋_GBK" w:cs="Times New Roman"/>
          <w:color w:val="auto"/>
          <w:sz w:val="28"/>
          <w:szCs w:val="28"/>
        </w:rPr>
      </w:pPr>
      <w:r>
        <w:rPr>
          <w:rFonts w:ascii="Times New Roman" w:eastAsia="方正仿宋_GBK" w:cs="Times New Roman"/>
          <w:b/>
          <w:bCs/>
          <w:color w:val="auto"/>
          <w:sz w:val="28"/>
          <w:szCs w:val="28"/>
        </w:rPr>
        <w:t>4.</w:t>
      </w:r>
      <w:r>
        <w:rPr>
          <w:rFonts w:hint="eastAsia" w:ascii="Times New Roman" w:hAnsi="方正仿宋_GBK" w:eastAsia="方正仿宋_GBK" w:cs="方正仿宋_GBK"/>
          <w:b/>
          <w:bCs/>
          <w:color w:val="auto"/>
          <w:sz w:val="28"/>
          <w:szCs w:val="28"/>
        </w:rPr>
        <w:t>居民健康素养水平：</w:t>
      </w:r>
      <w:r>
        <w:rPr>
          <w:rFonts w:hint="eastAsia" w:ascii="Times New Roman" w:hAnsi="方正仿宋_GBK" w:eastAsia="方正仿宋_GBK" w:cs="方正仿宋_GBK"/>
          <w:color w:val="auto"/>
          <w:sz w:val="28"/>
          <w:szCs w:val="28"/>
        </w:rPr>
        <w:t>指该区域内具备基本健康素养的人在总人群中所占的比例。健康素养是指个人获取和理解基本健康信息和服务，并运用这些信息和服务做出正确决策，以维护和促进自身健康的能力。</w:t>
      </w:r>
    </w:p>
    <w:p w14:paraId="10509BF0">
      <w:pPr>
        <w:pStyle w:val="9"/>
        <w:spacing w:line="520" w:lineRule="exact"/>
        <w:ind w:firstLine="560" w:firstLineChars="200"/>
        <w:rPr>
          <w:rFonts w:ascii="Times New Roman" w:eastAsia="方正仿宋_GBK" w:cs="Times New Roman"/>
          <w:color w:val="auto"/>
          <w:sz w:val="28"/>
          <w:szCs w:val="28"/>
        </w:rPr>
      </w:pPr>
      <w:r>
        <w:rPr>
          <w:rFonts w:ascii="Times New Roman" w:eastAsia="方正仿宋_GBK" w:cs="Times New Roman"/>
          <w:b/>
          <w:bCs/>
          <w:color w:val="auto"/>
          <w:sz w:val="28"/>
          <w:szCs w:val="28"/>
        </w:rPr>
        <w:t>5.</w:t>
      </w:r>
      <w:r>
        <w:rPr>
          <w:rFonts w:hint="eastAsia" w:ascii="Times New Roman" w:hAnsi="方正仿宋_GBK" w:eastAsia="方正仿宋_GBK" w:cs="方正仿宋_GBK"/>
          <w:b/>
          <w:bCs/>
          <w:color w:val="auto"/>
          <w:sz w:val="28"/>
          <w:szCs w:val="28"/>
        </w:rPr>
        <w:t>两个允许：</w:t>
      </w:r>
      <w:r>
        <w:rPr>
          <w:rFonts w:hint="eastAsia" w:ascii="Times New Roman" w:hAnsi="方正仿宋_GBK" w:eastAsia="方正仿宋_GBK" w:cs="方正仿宋_GBK"/>
          <w:color w:val="auto"/>
          <w:sz w:val="28"/>
          <w:szCs w:val="28"/>
        </w:rPr>
        <w:t>即允许医疗卫生机构突破现行事业单位工资调控水平</w:t>
      </w:r>
      <w:r>
        <w:rPr>
          <w:rFonts w:ascii="Times New Roman" w:eastAsia="方正仿宋_GBK" w:cs="Times New Roman"/>
          <w:color w:val="auto"/>
          <w:sz w:val="28"/>
          <w:szCs w:val="28"/>
        </w:rPr>
        <w:t>,</w:t>
      </w:r>
      <w:r>
        <w:rPr>
          <w:rFonts w:hint="eastAsia" w:ascii="Times New Roman" w:hAnsi="方正仿宋_GBK" w:eastAsia="方正仿宋_GBK" w:cs="方正仿宋_GBK"/>
          <w:color w:val="auto"/>
          <w:sz w:val="28"/>
          <w:szCs w:val="28"/>
        </w:rPr>
        <w:t>允许医疗服务收入扣除成本并按规定提取各项基金后主要用于人员奖励。</w:t>
      </w:r>
    </w:p>
    <w:p w14:paraId="2C02835B">
      <w:pPr>
        <w:pStyle w:val="9"/>
        <w:spacing w:line="520" w:lineRule="exact"/>
        <w:ind w:firstLine="560" w:firstLineChars="200"/>
        <w:rPr>
          <w:rFonts w:ascii="Times New Roman" w:cs="Times New Roman"/>
          <w:sz w:val="28"/>
          <w:szCs w:val="28"/>
        </w:rPr>
      </w:pPr>
      <w:r>
        <w:rPr>
          <w:rFonts w:ascii="Times New Roman" w:eastAsia="方正仿宋_GBK" w:cs="Times New Roman"/>
          <w:b/>
          <w:bCs/>
          <w:color w:val="auto"/>
          <w:sz w:val="28"/>
          <w:szCs w:val="28"/>
        </w:rPr>
        <w:t>6.“</w:t>
      </w:r>
      <w:r>
        <w:rPr>
          <w:rFonts w:hint="eastAsia" w:ascii="Times New Roman" w:hAnsi="方正仿宋_GBK" w:eastAsia="方正仿宋_GBK" w:cs="方正仿宋_GBK"/>
          <w:b/>
          <w:bCs/>
          <w:color w:val="auto"/>
          <w:sz w:val="28"/>
          <w:szCs w:val="28"/>
        </w:rPr>
        <w:t>双岗</w:t>
      </w:r>
      <w:r>
        <w:rPr>
          <w:rFonts w:ascii="Times New Roman" w:eastAsia="方正仿宋_GBK" w:cs="Times New Roman"/>
          <w:b/>
          <w:bCs/>
          <w:color w:val="auto"/>
          <w:sz w:val="28"/>
          <w:szCs w:val="28"/>
        </w:rPr>
        <w:t>”</w:t>
      </w:r>
      <w:r>
        <w:rPr>
          <w:rFonts w:hint="eastAsia" w:ascii="Times New Roman" w:hAnsi="方正仿宋_GBK" w:eastAsia="方正仿宋_GBK" w:cs="方正仿宋_GBK"/>
          <w:b/>
          <w:bCs/>
          <w:color w:val="auto"/>
          <w:sz w:val="28"/>
          <w:szCs w:val="28"/>
        </w:rPr>
        <w:t>联系人制度</w:t>
      </w:r>
      <w:r>
        <w:rPr>
          <w:rFonts w:hint="eastAsia" w:ascii="Times New Roman" w:hAnsi="方正仿宋_GBK" w:eastAsia="方正仿宋_GBK" w:cs="方正仿宋_GBK"/>
          <w:color w:val="auto"/>
          <w:sz w:val="28"/>
          <w:szCs w:val="28"/>
        </w:rPr>
        <w:t>：为每一户计划生育特殊家庭确定一名乡镇领导干部和一名村委会干部作为帮扶</w:t>
      </w:r>
      <w:r>
        <w:rPr>
          <w:rFonts w:ascii="Times New Roman" w:eastAsia="方正仿宋_GBK" w:cs="Times New Roman"/>
          <w:color w:val="auto"/>
          <w:sz w:val="28"/>
          <w:szCs w:val="28"/>
        </w:rPr>
        <w:t>“</w:t>
      </w:r>
      <w:r>
        <w:rPr>
          <w:rFonts w:hint="eastAsia" w:ascii="Times New Roman" w:hAnsi="方正仿宋_GBK" w:eastAsia="方正仿宋_GBK" w:cs="方正仿宋_GBK"/>
          <w:color w:val="auto"/>
          <w:sz w:val="28"/>
          <w:szCs w:val="28"/>
        </w:rPr>
        <w:t>双岗</w:t>
      </w:r>
      <w:r>
        <w:rPr>
          <w:rFonts w:ascii="Times New Roman" w:eastAsia="方正仿宋_GBK" w:cs="Times New Roman"/>
          <w:color w:val="auto"/>
          <w:sz w:val="28"/>
          <w:szCs w:val="28"/>
        </w:rPr>
        <w:t>”</w:t>
      </w:r>
      <w:r>
        <w:rPr>
          <w:rFonts w:hint="eastAsia" w:ascii="Times New Roman" w:hAnsi="方正仿宋_GBK" w:eastAsia="方正仿宋_GBK" w:cs="方正仿宋_GBK"/>
          <w:color w:val="auto"/>
          <w:sz w:val="28"/>
          <w:szCs w:val="28"/>
        </w:rPr>
        <w:t>联系人，并确定</w:t>
      </w:r>
      <w:r>
        <w:rPr>
          <w:rFonts w:ascii="Times New Roman" w:eastAsia="方正仿宋_GBK" w:cs="Times New Roman"/>
          <w:color w:val="auto"/>
          <w:sz w:val="28"/>
          <w:szCs w:val="28"/>
        </w:rPr>
        <w:t>1-2</w:t>
      </w:r>
      <w:r>
        <w:rPr>
          <w:rFonts w:hint="eastAsia" w:ascii="Times New Roman" w:hAnsi="方正仿宋_GBK" w:eastAsia="方正仿宋_GBK" w:cs="方正仿宋_GBK"/>
          <w:color w:val="auto"/>
          <w:sz w:val="28"/>
          <w:szCs w:val="28"/>
        </w:rPr>
        <w:t>名计生协会会员、家庭医生或志愿者作为帮扶联系人。</w:t>
      </w:r>
    </w:p>
    <w:p w14:paraId="28342552">
      <w:pPr>
        <w:pStyle w:val="8"/>
        <w:rPr>
          <w:rFonts w:ascii="方正黑体_GBK" w:hAnsi="方正黑体_GBK" w:eastAsia="方正黑体_GBK"/>
          <w:sz w:val="32"/>
          <w:szCs w:val="32"/>
        </w:rPr>
      </w:pPr>
      <w:r>
        <w:rPr>
          <w:rFonts w:hint="eastAsia" w:ascii="方正黑体_GBK" w:hAnsi="方正黑体_GBK" w:eastAsia="方正黑体_GBK" w:cs="方正黑体_GBK"/>
          <w:sz w:val="32"/>
          <w:szCs w:val="32"/>
        </w:rPr>
        <w:t>附件</w:t>
      </w:r>
      <w:r>
        <w:rPr>
          <w:rFonts w:eastAsia="方正黑体_GBK"/>
          <w:sz w:val="32"/>
          <w:szCs w:val="32"/>
        </w:rPr>
        <w:t>1</w:t>
      </w:r>
    </w:p>
    <w:p w14:paraId="74EA1684">
      <w:pPr>
        <w:pStyle w:val="2"/>
        <w:jc w:val="center"/>
        <w:rPr>
          <w:rFonts w:ascii="Times New Roman" w:eastAsia="方正小标宋_GBK" w:cs="Times New Roman"/>
          <w:sz w:val="44"/>
          <w:szCs w:val="44"/>
        </w:rPr>
      </w:pPr>
      <w:r>
        <w:drawing>
          <wp:anchor distT="0" distB="0" distL="114300" distR="114300" simplePos="0" relativeHeight="251659264" behindDoc="1" locked="0" layoutInCell="1" allowOverlap="1">
            <wp:simplePos x="0" y="0"/>
            <wp:positionH relativeFrom="column">
              <wp:posOffset>-9525</wp:posOffset>
            </wp:positionH>
            <wp:positionV relativeFrom="paragraph">
              <wp:posOffset>536575</wp:posOffset>
            </wp:positionV>
            <wp:extent cx="5587365" cy="7189470"/>
            <wp:effectExtent l="0" t="0" r="0" b="0"/>
            <wp:wrapTight wrapText="bothSides">
              <wp:wrapPolygon>
                <wp:start x="0" y="0"/>
                <wp:lineTo x="0" y="21520"/>
                <wp:lineTo x="21504" y="21520"/>
                <wp:lineTo x="21504" y="0"/>
                <wp:lineTo x="0" y="0"/>
              </wp:wrapPolygon>
            </wp:wrapTight>
            <wp:docPr id="3" name="图片 3" descr="微信图片_2022022410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2241042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587365" cy="7189470"/>
                    </a:xfrm>
                    <a:prstGeom prst="rect">
                      <a:avLst/>
                    </a:prstGeom>
                    <a:noFill/>
                    <a:ln>
                      <a:noFill/>
                    </a:ln>
                  </pic:spPr>
                </pic:pic>
              </a:graphicData>
            </a:graphic>
          </wp:anchor>
        </w:drawing>
      </w:r>
      <w:r>
        <w:rPr>
          <w:rFonts w:hint="eastAsia" w:ascii="Times New Roman" w:hAnsi="方正小标宋_GBK" w:eastAsia="方正小标宋_GBK" w:cs="方正小标宋_GBK"/>
          <w:sz w:val="44"/>
          <w:szCs w:val="44"/>
        </w:rPr>
        <w:t>卫生健康单位布局暨项目规划示意图</w:t>
      </w:r>
    </w:p>
    <w:p w14:paraId="5E382028">
      <w:pPr>
        <w:sectPr>
          <w:pgSz w:w="11906" w:h="16838"/>
          <w:pgMar w:top="2098" w:right="1588" w:bottom="1985" w:left="1474" w:header="1418" w:footer="1304" w:gutter="0"/>
          <w:cols w:space="720" w:num="1"/>
          <w:docGrid w:type="linesAndChars" w:linePitch="318" w:charSpace="0"/>
        </w:sectPr>
      </w:pPr>
    </w:p>
    <w:p w14:paraId="50586BB5">
      <w:pPr>
        <w:spacing w:line="400" w:lineRule="exact"/>
        <w:rPr>
          <w:rFonts w:eastAsia="方正黑体_GBK"/>
        </w:rPr>
      </w:pPr>
      <w:r>
        <w:rPr>
          <w:rFonts w:eastAsia="方正黑体_GBK"/>
        </w:rPr>
        <w:t>附件2</w:t>
      </w:r>
    </w:p>
    <w:p w14:paraId="1473BCD1">
      <w:pPr>
        <w:pStyle w:val="2"/>
        <w:spacing w:line="520" w:lineRule="exact"/>
        <w:jc w:val="center"/>
      </w:pPr>
      <w:r>
        <w:rPr>
          <w:rFonts w:hint="eastAsia" w:ascii="方正小标宋_GBK" w:hAnsi="方正小标宋_GBK" w:eastAsia="方正小标宋_GBK" w:cs="方正小标宋_GBK"/>
          <w:sz w:val="40"/>
          <w:szCs w:val="40"/>
        </w:rPr>
        <w:t>奉节县卫生健康事业发展</w:t>
      </w:r>
      <w:r>
        <w:rPr>
          <w:rFonts w:hint="eastAsia" w:ascii="方正小标宋_GBK" w:hAnsi="方正小标宋_GBK" w:eastAsia="方正小标宋_GBK" w:cs="方正小标宋_GBK"/>
          <w:sz w:val="40"/>
          <w:szCs w:val="40"/>
          <w:lang w:eastAsia="zh-CN"/>
        </w:rPr>
        <w:t>“十四五”规划</w:t>
      </w:r>
      <w:r>
        <w:rPr>
          <w:rFonts w:hint="eastAsia" w:ascii="方正小标宋_GBK" w:hAnsi="方正小标宋_GBK" w:eastAsia="方正小标宋_GBK" w:cs="方正小标宋_GBK"/>
          <w:sz w:val="40"/>
          <w:szCs w:val="40"/>
        </w:rPr>
        <w:t>项目库</w:t>
      </w:r>
    </w:p>
    <w:tbl>
      <w:tblPr>
        <w:tblStyle w:val="15"/>
        <w:tblpPr w:leftFromText="180" w:rightFromText="180" w:vertAnchor="page" w:horzAnchor="page" w:tblpXSpec="center" w:tblpY="2801"/>
        <w:tblOverlap w:val="never"/>
        <w:tblW w:w="14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46"/>
        <w:gridCol w:w="1965"/>
        <w:gridCol w:w="1509"/>
        <w:gridCol w:w="1080"/>
        <w:gridCol w:w="900"/>
        <w:gridCol w:w="5400"/>
        <w:gridCol w:w="1080"/>
        <w:gridCol w:w="1260"/>
      </w:tblGrid>
      <w:tr w14:paraId="52C58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0" w:hRule="atLeast"/>
          <w:jc w:val="center"/>
        </w:trPr>
        <w:tc>
          <w:tcPr>
            <w:tcW w:w="84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0C886D3">
            <w:pPr>
              <w:widowControl/>
              <w:jc w:val="center"/>
              <w:textAlignment w:val="center"/>
              <w:rPr>
                <w:rFonts w:ascii="方正仿宋_GBK"/>
                <w:b/>
                <w:bCs/>
                <w:sz w:val="20"/>
                <w:szCs w:val="20"/>
              </w:rPr>
            </w:pPr>
            <w:r>
              <w:rPr>
                <w:rFonts w:hint="eastAsia" w:ascii="方正仿宋_GBK" w:hAnsi="方正仿宋_GBK" w:cs="方正仿宋_GBK"/>
                <w:b/>
                <w:bCs/>
                <w:kern w:val="0"/>
                <w:sz w:val="20"/>
                <w:szCs w:val="20"/>
              </w:rPr>
              <w:t>序号</w:t>
            </w:r>
          </w:p>
        </w:tc>
        <w:tc>
          <w:tcPr>
            <w:tcW w:w="19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9B77465">
            <w:pPr>
              <w:widowControl/>
              <w:jc w:val="center"/>
              <w:textAlignment w:val="center"/>
              <w:rPr>
                <w:rFonts w:ascii="方正仿宋_GBK"/>
                <w:b/>
                <w:bCs/>
                <w:sz w:val="20"/>
                <w:szCs w:val="20"/>
              </w:rPr>
            </w:pPr>
            <w:r>
              <w:rPr>
                <w:rFonts w:hint="eastAsia" w:ascii="方正仿宋_GBK" w:hAnsi="方正仿宋_GBK" w:cs="方正仿宋_GBK"/>
                <w:b/>
                <w:bCs/>
                <w:kern w:val="0"/>
                <w:sz w:val="20"/>
                <w:szCs w:val="20"/>
              </w:rPr>
              <w:t>项目名称</w:t>
            </w:r>
          </w:p>
        </w:tc>
        <w:tc>
          <w:tcPr>
            <w:tcW w:w="15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43CD70E">
            <w:pPr>
              <w:widowControl/>
              <w:jc w:val="center"/>
              <w:textAlignment w:val="center"/>
              <w:rPr>
                <w:rFonts w:ascii="方正仿宋_GBK"/>
                <w:b/>
                <w:bCs/>
                <w:sz w:val="20"/>
                <w:szCs w:val="20"/>
              </w:rPr>
            </w:pPr>
            <w:r>
              <w:rPr>
                <w:rFonts w:hint="eastAsia" w:ascii="方正仿宋_GBK" w:hAnsi="方正仿宋_GBK" w:cs="方正仿宋_GBK"/>
                <w:b/>
                <w:bCs/>
                <w:kern w:val="0"/>
                <w:sz w:val="20"/>
                <w:szCs w:val="20"/>
              </w:rPr>
              <w:t>项目</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D0AD64A">
            <w:pPr>
              <w:widowControl/>
              <w:jc w:val="center"/>
              <w:textAlignment w:val="center"/>
              <w:rPr>
                <w:rFonts w:ascii="方正仿宋_GBK"/>
                <w:b/>
                <w:bCs/>
                <w:sz w:val="20"/>
                <w:szCs w:val="20"/>
              </w:rPr>
            </w:pPr>
            <w:r>
              <w:rPr>
                <w:rFonts w:hint="eastAsia" w:ascii="方正仿宋_GBK" w:hAnsi="方正仿宋_GBK" w:cs="方正仿宋_GBK"/>
                <w:b/>
                <w:bCs/>
                <w:kern w:val="0"/>
                <w:sz w:val="20"/>
                <w:szCs w:val="20"/>
              </w:rPr>
              <w:t>项目建设地</w:t>
            </w:r>
          </w:p>
        </w:tc>
        <w:tc>
          <w:tcPr>
            <w:tcW w:w="9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8116622">
            <w:pPr>
              <w:widowControl/>
              <w:jc w:val="center"/>
              <w:textAlignment w:val="center"/>
              <w:rPr>
                <w:rFonts w:ascii="方正仿宋_GBK"/>
                <w:b/>
                <w:bCs/>
                <w:sz w:val="20"/>
                <w:szCs w:val="20"/>
              </w:rPr>
            </w:pPr>
            <w:r>
              <w:rPr>
                <w:rFonts w:hint="eastAsia" w:ascii="方正仿宋_GBK" w:hAnsi="方正仿宋_GBK" w:cs="方正仿宋_GBK"/>
                <w:b/>
                <w:bCs/>
                <w:kern w:val="0"/>
                <w:sz w:val="20"/>
                <w:szCs w:val="20"/>
              </w:rPr>
              <w:t>建设</w:t>
            </w:r>
          </w:p>
        </w:tc>
        <w:tc>
          <w:tcPr>
            <w:tcW w:w="5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175FABA">
            <w:pPr>
              <w:widowControl/>
              <w:jc w:val="center"/>
              <w:textAlignment w:val="center"/>
              <w:rPr>
                <w:rFonts w:ascii="方正仿宋_GBK"/>
                <w:b/>
                <w:bCs/>
                <w:sz w:val="20"/>
                <w:szCs w:val="20"/>
              </w:rPr>
            </w:pPr>
            <w:r>
              <w:rPr>
                <w:rFonts w:hint="eastAsia" w:ascii="方正仿宋_GBK" w:hAnsi="方正仿宋_GBK" w:cs="方正仿宋_GBK"/>
                <w:b/>
                <w:bCs/>
                <w:kern w:val="0"/>
                <w:sz w:val="20"/>
                <w:szCs w:val="20"/>
              </w:rPr>
              <w:t>拟建主要内容及规模</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77DDF92">
            <w:pPr>
              <w:widowControl/>
              <w:jc w:val="center"/>
              <w:textAlignment w:val="center"/>
              <w:rPr>
                <w:rFonts w:ascii="方正仿宋_GBK"/>
                <w:b/>
                <w:bCs/>
                <w:sz w:val="20"/>
                <w:szCs w:val="20"/>
              </w:rPr>
            </w:pPr>
            <w:r>
              <w:rPr>
                <w:rFonts w:hint="eastAsia" w:ascii="方正仿宋_GBK" w:hAnsi="方正仿宋_GBK" w:cs="方正仿宋_GBK"/>
                <w:b/>
                <w:bCs/>
                <w:kern w:val="0"/>
                <w:sz w:val="20"/>
                <w:szCs w:val="20"/>
              </w:rPr>
              <w:t>投资估算（万元）</w:t>
            </w:r>
          </w:p>
        </w:tc>
        <w:tc>
          <w:tcPr>
            <w:tcW w:w="12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59379E4">
            <w:pPr>
              <w:widowControl/>
              <w:jc w:val="center"/>
              <w:textAlignment w:val="center"/>
              <w:rPr>
                <w:rFonts w:ascii="方正仿宋_GBK"/>
                <w:b/>
                <w:bCs/>
                <w:sz w:val="20"/>
                <w:szCs w:val="20"/>
              </w:rPr>
            </w:pPr>
            <w:r>
              <w:rPr>
                <w:rFonts w:hint="eastAsia" w:ascii="方正仿宋_GBK" w:hAnsi="方正仿宋_GBK" w:cs="方正仿宋_GBK"/>
                <w:b/>
                <w:bCs/>
                <w:kern w:val="0"/>
                <w:sz w:val="20"/>
                <w:szCs w:val="20"/>
              </w:rPr>
              <w:t>建设年限</w:t>
            </w:r>
          </w:p>
        </w:tc>
      </w:tr>
      <w:tr w14:paraId="7F807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0" w:hRule="atLeast"/>
          <w:jc w:val="center"/>
        </w:trPr>
        <w:tc>
          <w:tcPr>
            <w:tcW w:w="84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3717E87">
            <w:pPr>
              <w:widowControl/>
              <w:jc w:val="center"/>
              <w:textAlignment w:val="center"/>
              <w:rPr>
                <w:rFonts w:ascii="方正仿宋_GBK"/>
                <w:sz w:val="20"/>
                <w:szCs w:val="20"/>
              </w:rPr>
            </w:pPr>
            <w:r>
              <w:rPr>
                <w:rFonts w:hint="eastAsia" w:ascii="方正仿宋_GBK" w:hAnsi="方正仿宋_GBK" w:cs="方正仿宋_GBK"/>
                <w:kern w:val="0"/>
                <w:sz w:val="20"/>
                <w:szCs w:val="20"/>
              </w:rPr>
              <w:t>合计</w:t>
            </w:r>
          </w:p>
        </w:tc>
        <w:tc>
          <w:tcPr>
            <w:tcW w:w="19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0B88831">
            <w:pPr>
              <w:jc w:val="center"/>
              <w:rPr>
                <w:rFonts w:ascii="方正仿宋_GBK"/>
                <w:sz w:val="20"/>
                <w:szCs w:val="20"/>
              </w:rPr>
            </w:pPr>
          </w:p>
        </w:tc>
        <w:tc>
          <w:tcPr>
            <w:tcW w:w="15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EBC791B">
            <w:pPr>
              <w:jc w:val="center"/>
              <w:rPr>
                <w:rFonts w:ascii="方正仿宋_GBK"/>
                <w:sz w:val="20"/>
                <w:szCs w:val="20"/>
              </w:rPr>
            </w:pP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26C7376">
            <w:pPr>
              <w:jc w:val="center"/>
              <w:rPr>
                <w:rFonts w:ascii="方正仿宋_GBK"/>
                <w:sz w:val="20"/>
                <w:szCs w:val="20"/>
              </w:rPr>
            </w:pPr>
          </w:p>
        </w:tc>
        <w:tc>
          <w:tcPr>
            <w:tcW w:w="9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ECFBBE5">
            <w:pPr>
              <w:jc w:val="center"/>
              <w:rPr>
                <w:rFonts w:ascii="方正仿宋_GBK"/>
                <w:sz w:val="20"/>
                <w:szCs w:val="20"/>
              </w:rPr>
            </w:pPr>
          </w:p>
        </w:tc>
        <w:tc>
          <w:tcPr>
            <w:tcW w:w="5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E1B634F">
            <w:pPr>
              <w:jc w:val="center"/>
              <w:rPr>
                <w:rFonts w:ascii="方正仿宋_GBK"/>
                <w:sz w:val="20"/>
                <w:szCs w:val="20"/>
              </w:rPr>
            </w:pP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C3C260A">
            <w:pPr>
              <w:widowControl/>
              <w:jc w:val="center"/>
              <w:textAlignment w:val="center"/>
              <w:rPr>
                <w:rFonts w:ascii="方正仿宋_GBK"/>
                <w:sz w:val="20"/>
                <w:szCs w:val="20"/>
              </w:rPr>
            </w:pPr>
            <w:r>
              <w:rPr>
                <w:rFonts w:ascii="方正仿宋_GBK" w:hAnsi="方正仿宋_GBK" w:cs="方正仿宋_GBK"/>
                <w:kern w:val="0"/>
                <w:sz w:val="20"/>
                <w:szCs w:val="20"/>
              </w:rPr>
              <w:t>299405</w:t>
            </w:r>
          </w:p>
        </w:tc>
        <w:tc>
          <w:tcPr>
            <w:tcW w:w="12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0D44E1F">
            <w:pPr>
              <w:jc w:val="center"/>
              <w:rPr>
                <w:rFonts w:ascii="方正仿宋_GBK"/>
                <w:sz w:val="20"/>
                <w:szCs w:val="20"/>
              </w:rPr>
            </w:pPr>
          </w:p>
        </w:tc>
      </w:tr>
      <w:tr w14:paraId="61000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0" w:hRule="atLeast"/>
          <w:jc w:val="center"/>
        </w:trPr>
        <w:tc>
          <w:tcPr>
            <w:tcW w:w="84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89B627E">
            <w:pPr>
              <w:widowControl/>
              <w:jc w:val="center"/>
              <w:textAlignment w:val="center"/>
              <w:rPr>
                <w:rFonts w:ascii="方正仿宋_GBK"/>
                <w:sz w:val="20"/>
                <w:szCs w:val="20"/>
              </w:rPr>
            </w:pPr>
            <w:r>
              <w:rPr>
                <w:rFonts w:ascii="方正仿宋_GBK" w:hAnsi="方正仿宋_GBK" w:cs="方正仿宋_GBK"/>
                <w:kern w:val="0"/>
                <w:sz w:val="20"/>
                <w:szCs w:val="20"/>
              </w:rPr>
              <w:t>1</w:t>
            </w:r>
          </w:p>
        </w:tc>
        <w:tc>
          <w:tcPr>
            <w:tcW w:w="19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D32CD59">
            <w:pPr>
              <w:widowControl/>
              <w:jc w:val="center"/>
              <w:textAlignment w:val="center"/>
              <w:rPr>
                <w:rFonts w:ascii="方正仿宋_GBK"/>
                <w:sz w:val="20"/>
                <w:szCs w:val="20"/>
              </w:rPr>
            </w:pPr>
            <w:r>
              <w:rPr>
                <w:rFonts w:hint="eastAsia" w:ascii="方正仿宋_GBK" w:hAnsi="方正仿宋_GBK" w:cs="方正仿宋_GBK"/>
                <w:kern w:val="0"/>
                <w:sz w:val="20"/>
                <w:szCs w:val="20"/>
              </w:rPr>
              <w:t>重庆市三峡卫生学校扩建工程（一期）</w:t>
            </w:r>
          </w:p>
        </w:tc>
        <w:tc>
          <w:tcPr>
            <w:tcW w:w="15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BF31AAD">
            <w:pPr>
              <w:widowControl/>
              <w:jc w:val="center"/>
              <w:textAlignment w:val="center"/>
              <w:rPr>
                <w:rFonts w:ascii="方正仿宋_GBK"/>
                <w:sz w:val="20"/>
                <w:szCs w:val="20"/>
              </w:rPr>
            </w:pPr>
            <w:r>
              <w:rPr>
                <w:rFonts w:hint="eastAsia" w:ascii="方正仿宋_GBK" w:hAnsi="方正仿宋_GBK" w:cs="方正仿宋_GBK"/>
                <w:kern w:val="0"/>
                <w:sz w:val="20"/>
                <w:szCs w:val="20"/>
              </w:rPr>
              <w:t>三峡卫校</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CA152AC">
            <w:pPr>
              <w:widowControl/>
              <w:jc w:val="center"/>
              <w:textAlignment w:val="center"/>
              <w:rPr>
                <w:rFonts w:ascii="方正仿宋_GBK"/>
                <w:sz w:val="20"/>
                <w:szCs w:val="20"/>
              </w:rPr>
            </w:pPr>
            <w:r>
              <w:rPr>
                <w:rFonts w:hint="eastAsia" w:ascii="方正仿宋_GBK" w:hAnsi="方正仿宋_GBK" w:cs="方正仿宋_GBK"/>
                <w:kern w:val="0"/>
                <w:sz w:val="20"/>
                <w:szCs w:val="20"/>
              </w:rPr>
              <w:t>夔州街道胡家坝社区</w:t>
            </w:r>
          </w:p>
        </w:tc>
        <w:tc>
          <w:tcPr>
            <w:tcW w:w="9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29635FC">
            <w:pPr>
              <w:widowControl/>
              <w:jc w:val="center"/>
              <w:textAlignment w:val="center"/>
              <w:rPr>
                <w:rFonts w:ascii="方正仿宋_GBK"/>
                <w:sz w:val="20"/>
                <w:szCs w:val="20"/>
              </w:rPr>
            </w:pPr>
            <w:r>
              <w:rPr>
                <w:rFonts w:hint="eastAsia" w:ascii="方正仿宋_GBK" w:hAnsi="方正仿宋_GBK" w:cs="方正仿宋_GBK"/>
                <w:kern w:val="0"/>
                <w:sz w:val="20"/>
                <w:szCs w:val="20"/>
              </w:rPr>
              <w:t>续建</w:t>
            </w:r>
          </w:p>
        </w:tc>
        <w:tc>
          <w:tcPr>
            <w:tcW w:w="5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21F7CB2">
            <w:pPr>
              <w:widowControl/>
              <w:jc w:val="center"/>
              <w:textAlignment w:val="center"/>
              <w:rPr>
                <w:rFonts w:ascii="方正仿宋_GBK"/>
                <w:sz w:val="20"/>
                <w:szCs w:val="20"/>
              </w:rPr>
            </w:pPr>
            <w:r>
              <w:rPr>
                <w:rFonts w:hint="eastAsia" w:ascii="方正仿宋_GBK" w:hAnsi="方正仿宋_GBK" w:cs="方正仿宋_GBK"/>
                <w:kern w:val="0"/>
                <w:sz w:val="20"/>
                <w:szCs w:val="20"/>
              </w:rPr>
              <w:t>占地</w:t>
            </w:r>
            <w:r>
              <w:rPr>
                <w:rFonts w:ascii="方正仿宋_GBK" w:hAnsi="方正仿宋_GBK" w:cs="方正仿宋_GBK"/>
                <w:kern w:val="0"/>
                <w:sz w:val="20"/>
                <w:szCs w:val="20"/>
              </w:rPr>
              <w:t>37</w:t>
            </w:r>
            <w:r>
              <w:rPr>
                <w:rFonts w:hint="eastAsia" w:ascii="方正仿宋_GBK" w:hAnsi="方正仿宋_GBK" w:cs="方正仿宋_GBK"/>
                <w:kern w:val="0"/>
                <w:sz w:val="20"/>
                <w:szCs w:val="20"/>
              </w:rPr>
              <w:t>亩，新建</w:t>
            </w:r>
            <w:r>
              <w:rPr>
                <w:rFonts w:ascii="方正仿宋_GBK" w:hAnsi="方正仿宋_GBK" w:cs="方正仿宋_GBK"/>
                <w:kern w:val="0"/>
                <w:sz w:val="20"/>
                <w:szCs w:val="20"/>
              </w:rPr>
              <w:t>1</w:t>
            </w:r>
            <w:r>
              <w:rPr>
                <w:rFonts w:hint="eastAsia" w:ascii="方正仿宋_GBK" w:hAnsi="方正仿宋_GBK" w:cs="方正仿宋_GBK"/>
                <w:kern w:val="0"/>
                <w:sz w:val="20"/>
                <w:szCs w:val="20"/>
              </w:rPr>
              <w:t>号教学楼、</w:t>
            </w:r>
            <w:r>
              <w:rPr>
                <w:rFonts w:ascii="方正仿宋_GBK" w:hAnsi="方正仿宋_GBK" w:cs="方正仿宋_GBK"/>
                <w:kern w:val="0"/>
                <w:sz w:val="20"/>
                <w:szCs w:val="20"/>
              </w:rPr>
              <w:t>2</w:t>
            </w:r>
            <w:r>
              <w:rPr>
                <w:rFonts w:hint="eastAsia" w:ascii="方正仿宋_GBK" w:hAnsi="方正仿宋_GBK" w:cs="方正仿宋_GBK"/>
                <w:kern w:val="0"/>
                <w:sz w:val="20"/>
                <w:szCs w:val="20"/>
              </w:rPr>
              <w:t>号教学大楼及综合楼</w:t>
            </w:r>
            <w:r>
              <w:rPr>
                <w:rFonts w:ascii="方正仿宋_GBK" w:hAnsi="方正仿宋_GBK" w:cs="方正仿宋_GBK"/>
                <w:kern w:val="0"/>
                <w:sz w:val="20"/>
                <w:szCs w:val="20"/>
              </w:rPr>
              <w:t>30218</w:t>
            </w:r>
            <w:r>
              <w:rPr>
                <w:rFonts w:hint="eastAsia" w:ascii="方正仿宋_GBK" w:hAnsi="方正仿宋_GBK" w:cs="方正仿宋_GBK"/>
                <w:kern w:val="0"/>
                <w:sz w:val="20"/>
                <w:szCs w:val="20"/>
              </w:rPr>
              <w:t>㎡。</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335A4F9">
            <w:pPr>
              <w:widowControl/>
              <w:jc w:val="center"/>
              <w:textAlignment w:val="center"/>
              <w:rPr>
                <w:rFonts w:ascii="方正仿宋_GBK"/>
                <w:sz w:val="20"/>
                <w:szCs w:val="20"/>
              </w:rPr>
            </w:pPr>
            <w:r>
              <w:rPr>
                <w:rFonts w:ascii="方正仿宋_GBK" w:hAnsi="方正仿宋_GBK" w:cs="方正仿宋_GBK"/>
                <w:kern w:val="0"/>
                <w:sz w:val="20"/>
                <w:szCs w:val="20"/>
              </w:rPr>
              <w:t>13579</w:t>
            </w:r>
          </w:p>
        </w:tc>
        <w:tc>
          <w:tcPr>
            <w:tcW w:w="12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4A01482">
            <w:pPr>
              <w:widowControl/>
              <w:jc w:val="center"/>
              <w:textAlignment w:val="center"/>
              <w:rPr>
                <w:rFonts w:ascii="方正仿宋_GBK"/>
                <w:sz w:val="20"/>
                <w:szCs w:val="20"/>
              </w:rPr>
            </w:pPr>
            <w:r>
              <w:rPr>
                <w:rFonts w:ascii="方正仿宋_GBK" w:hAnsi="方正仿宋_GBK" w:cs="方正仿宋_GBK"/>
                <w:kern w:val="0"/>
                <w:sz w:val="20"/>
                <w:szCs w:val="20"/>
              </w:rPr>
              <w:t>2022-2023</w:t>
            </w:r>
          </w:p>
        </w:tc>
      </w:tr>
      <w:tr w14:paraId="5669E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0" w:hRule="atLeast"/>
          <w:jc w:val="center"/>
        </w:trPr>
        <w:tc>
          <w:tcPr>
            <w:tcW w:w="84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341E6BE">
            <w:pPr>
              <w:widowControl/>
              <w:jc w:val="center"/>
              <w:textAlignment w:val="center"/>
              <w:rPr>
                <w:rFonts w:ascii="方正仿宋_GBK"/>
                <w:sz w:val="20"/>
                <w:szCs w:val="20"/>
              </w:rPr>
            </w:pPr>
            <w:r>
              <w:rPr>
                <w:rFonts w:ascii="方正仿宋_GBK" w:hAnsi="方正仿宋_GBK" w:cs="方正仿宋_GBK"/>
                <w:kern w:val="0"/>
                <w:sz w:val="20"/>
                <w:szCs w:val="20"/>
              </w:rPr>
              <w:t>2</w:t>
            </w:r>
          </w:p>
        </w:tc>
        <w:tc>
          <w:tcPr>
            <w:tcW w:w="19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37FF885">
            <w:pPr>
              <w:widowControl/>
              <w:jc w:val="center"/>
              <w:textAlignment w:val="center"/>
              <w:rPr>
                <w:rFonts w:ascii="方正仿宋_GBK"/>
                <w:sz w:val="20"/>
                <w:szCs w:val="20"/>
              </w:rPr>
            </w:pPr>
            <w:r>
              <w:rPr>
                <w:rFonts w:hint="eastAsia" w:ascii="方正仿宋_GBK" w:hAnsi="方正仿宋_GBK" w:cs="方正仿宋_GBK"/>
                <w:kern w:val="0"/>
                <w:sz w:val="20"/>
                <w:szCs w:val="20"/>
              </w:rPr>
              <w:t>重庆市三峡卫生学校学生宿舍楼建设工程</w:t>
            </w:r>
          </w:p>
        </w:tc>
        <w:tc>
          <w:tcPr>
            <w:tcW w:w="15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166E97D">
            <w:pPr>
              <w:widowControl/>
              <w:jc w:val="center"/>
              <w:textAlignment w:val="center"/>
              <w:rPr>
                <w:rFonts w:ascii="方正仿宋_GBK"/>
                <w:sz w:val="20"/>
                <w:szCs w:val="20"/>
              </w:rPr>
            </w:pPr>
            <w:r>
              <w:rPr>
                <w:rFonts w:hint="eastAsia" w:ascii="方正仿宋_GBK" w:hAnsi="方正仿宋_GBK" w:cs="方正仿宋_GBK"/>
                <w:kern w:val="0"/>
                <w:sz w:val="20"/>
                <w:szCs w:val="20"/>
              </w:rPr>
              <w:t>三峡卫校</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9238483">
            <w:pPr>
              <w:widowControl/>
              <w:jc w:val="center"/>
              <w:textAlignment w:val="center"/>
              <w:rPr>
                <w:rFonts w:ascii="方正仿宋_GBK"/>
                <w:sz w:val="20"/>
                <w:szCs w:val="20"/>
              </w:rPr>
            </w:pPr>
            <w:r>
              <w:rPr>
                <w:rFonts w:hint="eastAsia" w:ascii="方正仿宋_GBK" w:hAnsi="方正仿宋_GBK" w:cs="方正仿宋_GBK"/>
                <w:kern w:val="0"/>
                <w:sz w:val="20"/>
                <w:szCs w:val="20"/>
              </w:rPr>
              <w:t>夔州街道胡家坝社区</w:t>
            </w:r>
          </w:p>
        </w:tc>
        <w:tc>
          <w:tcPr>
            <w:tcW w:w="9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552F318">
            <w:pPr>
              <w:widowControl/>
              <w:jc w:val="center"/>
              <w:textAlignment w:val="center"/>
              <w:rPr>
                <w:rFonts w:ascii="方正仿宋_GBK"/>
                <w:sz w:val="20"/>
                <w:szCs w:val="20"/>
              </w:rPr>
            </w:pPr>
            <w:r>
              <w:rPr>
                <w:rFonts w:hint="eastAsia" w:ascii="方正仿宋_GBK" w:hAnsi="方正仿宋_GBK" w:cs="方正仿宋_GBK"/>
                <w:kern w:val="0"/>
                <w:sz w:val="20"/>
                <w:szCs w:val="20"/>
              </w:rPr>
              <w:t>新建</w:t>
            </w:r>
          </w:p>
        </w:tc>
        <w:tc>
          <w:tcPr>
            <w:tcW w:w="5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596C240">
            <w:pPr>
              <w:widowControl/>
              <w:jc w:val="center"/>
              <w:textAlignment w:val="center"/>
              <w:rPr>
                <w:rFonts w:ascii="方正仿宋_GBK"/>
                <w:sz w:val="20"/>
                <w:szCs w:val="20"/>
              </w:rPr>
            </w:pPr>
            <w:r>
              <w:rPr>
                <w:rFonts w:hint="eastAsia" w:ascii="方正仿宋_GBK" w:hAnsi="方正仿宋_GBK" w:cs="方正仿宋_GBK"/>
                <w:kern w:val="0"/>
                <w:sz w:val="20"/>
                <w:szCs w:val="20"/>
              </w:rPr>
              <w:t>新建</w:t>
            </w:r>
            <w:r>
              <w:rPr>
                <w:rFonts w:ascii="方正仿宋_GBK" w:hAnsi="方正仿宋_GBK" w:cs="方正仿宋_GBK"/>
                <w:kern w:val="0"/>
                <w:sz w:val="20"/>
                <w:szCs w:val="20"/>
              </w:rPr>
              <w:t>2</w:t>
            </w:r>
            <w:r>
              <w:rPr>
                <w:rFonts w:hint="eastAsia" w:ascii="方正仿宋_GBK" w:hAnsi="方正仿宋_GBK" w:cs="方正仿宋_GBK"/>
                <w:kern w:val="0"/>
                <w:sz w:val="20"/>
                <w:szCs w:val="20"/>
              </w:rPr>
              <w:t>栋学生宿舍楼（每栋宿舍</w:t>
            </w:r>
            <w:r>
              <w:rPr>
                <w:rFonts w:ascii="方正仿宋_GBK" w:hAnsi="方正仿宋_GBK" w:cs="方正仿宋_GBK"/>
                <w:kern w:val="0"/>
                <w:sz w:val="20"/>
                <w:szCs w:val="20"/>
              </w:rPr>
              <w:t>6</w:t>
            </w:r>
            <w:r>
              <w:rPr>
                <w:rFonts w:hint="eastAsia" w:ascii="方正仿宋_GBK" w:hAnsi="方正仿宋_GBK" w:cs="方正仿宋_GBK"/>
                <w:kern w:val="0"/>
                <w:sz w:val="20"/>
                <w:szCs w:val="20"/>
              </w:rPr>
              <w:t>层、每间宿舍为</w:t>
            </w:r>
            <w:r>
              <w:rPr>
                <w:rFonts w:ascii="方正仿宋_GBK" w:hAnsi="方正仿宋_GBK" w:cs="方正仿宋_GBK"/>
                <w:kern w:val="0"/>
                <w:sz w:val="20"/>
                <w:szCs w:val="20"/>
              </w:rPr>
              <w:t>8</w:t>
            </w:r>
            <w:r>
              <w:rPr>
                <w:rFonts w:hint="eastAsia" w:ascii="方正仿宋_GBK" w:hAnsi="方正仿宋_GBK" w:cs="方正仿宋_GBK"/>
                <w:kern w:val="0"/>
                <w:sz w:val="20"/>
                <w:szCs w:val="20"/>
              </w:rPr>
              <w:t>人间）及附属设施设备，建筑面积</w:t>
            </w:r>
            <w:r>
              <w:rPr>
                <w:rFonts w:ascii="方正仿宋_GBK" w:hAnsi="方正仿宋_GBK" w:cs="方正仿宋_GBK"/>
                <w:kern w:val="0"/>
                <w:sz w:val="20"/>
                <w:szCs w:val="20"/>
              </w:rPr>
              <w:t>10000</w:t>
            </w:r>
            <w:r>
              <w:rPr>
                <w:rFonts w:hint="eastAsia" w:ascii="方正仿宋_GBK" w:hAnsi="方正仿宋_GBK" w:cs="方正仿宋_GBK"/>
                <w:kern w:val="0"/>
                <w:sz w:val="20"/>
                <w:szCs w:val="20"/>
              </w:rPr>
              <w:t>㎡。</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A540BE8">
            <w:pPr>
              <w:widowControl/>
              <w:jc w:val="center"/>
              <w:textAlignment w:val="center"/>
              <w:rPr>
                <w:rFonts w:ascii="方正仿宋_GBK"/>
                <w:sz w:val="20"/>
                <w:szCs w:val="20"/>
              </w:rPr>
            </w:pPr>
            <w:r>
              <w:rPr>
                <w:rFonts w:ascii="方正仿宋_GBK" w:hAnsi="方正仿宋_GBK" w:cs="方正仿宋_GBK"/>
                <w:kern w:val="0"/>
                <w:sz w:val="20"/>
                <w:szCs w:val="20"/>
              </w:rPr>
              <w:t>4000</w:t>
            </w:r>
          </w:p>
        </w:tc>
        <w:tc>
          <w:tcPr>
            <w:tcW w:w="12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BA584A8">
            <w:pPr>
              <w:widowControl/>
              <w:jc w:val="center"/>
              <w:textAlignment w:val="center"/>
              <w:rPr>
                <w:rFonts w:ascii="方正仿宋_GBK"/>
                <w:sz w:val="20"/>
                <w:szCs w:val="20"/>
              </w:rPr>
            </w:pPr>
            <w:r>
              <w:rPr>
                <w:rFonts w:ascii="方正仿宋_GBK" w:hAnsi="方正仿宋_GBK" w:cs="方正仿宋_GBK"/>
                <w:kern w:val="0"/>
                <w:sz w:val="20"/>
                <w:szCs w:val="20"/>
              </w:rPr>
              <w:t>2023-2025</w:t>
            </w:r>
          </w:p>
        </w:tc>
      </w:tr>
      <w:tr w14:paraId="7D499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0" w:hRule="atLeast"/>
          <w:jc w:val="center"/>
        </w:trPr>
        <w:tc>
          <w:tcPr>
            <w:tcW w:w="84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167C303">
            <w:pPr>
              <w:widowControl/>
              <w:jc w:val="center"/>
              <w:textAlignment w:val="center"/>
              <w:rPr>
                <w:rFonts w:ascii="方正仿宋_GBK"/>
                <w:sz w:val="20"/>
                <w:szCs w:val="20"/>
              </w:rPr>
            </w:pPr>
            <w:r>
              <w:rPr>
                <w:rFonts w:ascii="方正仿宋_GBK" w:hAnsi="方正仿宋_GBK" w:cs="方正仿宋_GBK"/>
                <w:kern w:val="0"/>
                <w:sz w:val="20"/>
                <w:szCs w:val="20"/>
              </w:rPr>
              <w:t>3</w:t>
            </w:r>
          </w:p>
        </w:tc>
        <w:tc>
          <w:tcPr>
            <w:tcW w:w="19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8D7AA1D">
            <w:pPr>
              <w:widowControl/>
              <w:jc w:val="center"/>
              <w:textAlignment w:val="center"/>
              <w:rPr>
                <w:rFonts w:ascii="方正仿宋_GBK"/>
                <w:sz w:val="20"/>
                <w:szCs w:val="20"/>
              </w:rPr>
            </w:pPr>
            <w:r>
              <w:rPr>
                <w:rFonts w:hint="eastAsia" w:ascii="方正仿宋_GBK" w:hAnsi="方正仿宋_GBK" w:cs="方正仿宋_GBK"/>
                <w:kern w:val="0"/>
                <w:sz w:val="20"/>
                <w:szCs w:val="20"/>
              </w:rPr>
              <w:t>县疾控中心迁建工程</w:t>
            </w:r>
          </w:p>
        </w:tc>
        <w:tc>
          <w:tcPr>
            <w:tcW w:w="15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57012F9">
            <w:pPr>
              <w:widowControl/>
              <w:jc w:val="center"/>
              <w:textAlignment w:val="center"/>
              <w:rPr>
                <w:rFonts w:ascii="方正仿宋_GBK"/>
                <w:sz w:val="20"/>
                <w:szCs w:val="20"/>
              </w:rPr>
            </w:pPr>
            <w:r>
              <w:rPr>
                <w:rFonts w:hint="eastAsia" w:ascii="方正仿宋_GBK" w:hAnsi="方正仿宋_GBK" w:cs="方正仿宋_GBK"/>
                <w:kern w:val="0"/>
                <w:sz w:val="20"/>
                <w:szCs w:val="20"/>
              </w:rPr>
              <w:t>县疾控中心</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0DD09F6">
            <w:pPr>
              <w:widowControl/>
              <w:jc w:val="center"/>
              <w:textAlignment w:val="center"/>
              <w:rPr>
                <w:rFonts w:ascii="方正仿宋_GBK"/>
                <w:sz w:val="20"/>
                <w:szCs w:val="20"/>
              </w:rPr>
            </w:pPr>
            <w:r>
              <w:rPr>
                <w:rFonts w:hint="eastAsia" w:ascii="方正仿宋_GBK" w:hAnsi="方正仿宋_GBK" w:cs="方正仿宋_GBK"/>
                <w:kern w:val="0"/>
                <w:sz w:val="20"/>
                <w:szCs w:val="20"/>
              </w:rPr>
              <w:t>夔州街道冒峰社区</w:t>
            </w:r>
          </w:p>
        </w:tc>
        <w:tc>
          <w:tcPr>
            <w:tcW w:w="9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D1D6469">
            <w:pPr>
              <w:widowControl/>
              <w:jc w:val="center"/>
              <w:textAlignment w:val="center"/>
              <w:rPr>
                <w:rFonts w:ascii="方正仿宋_GBK"/>
                <w:sz w:val="20"/>
                <w:szCs w:val="20"/>
              </w:rPr>
            </w:pPr>
            <w:r>
              <w:rPr>
                <w:rFonts w:hint="eastAsia" w:ascii="方正仿宋_GBK" w:hAnsi="方正仿宋_GBK" w:cs="方正仿宋_GBK"/>
                <w:kern w:val="0"/>
                <w:sz w:val="20"/>
                <w:szCs w:val="20"/>
              </w:rPr>
              <w:t>新建</w:t>
            </w:r>
          </w:p>
        </w:tc>
        <w:tc>
          <w:tcPr>
            <w:tcW w:w="5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FAE2343">
            <w:pPr>
              <w:widowControl/>
              <w:jc w:val="center"/>
              <w:textAlignment w:val="center"/>
              <w:rPr>
                <w:rFonts w:ascii="方正仿宋_GBK"/>
                <w:sz w:val="20"/>
                <w:szCs w:val="20"/>
              </w:rPr>
            </w:pPr>
            <w:r>
              <w:rPr>
                <w:rFonts w:hint="eastAsia" w:ascii="方正仿宋_GBK" w:hAnsi="方正仿宋_GBK" w:cs="方正仿宋_GBK"/>
                <w:kern w:val="0"/>
                <w:sz w:val="20"/>
                <w:szCs w:val="20"/>
              </w:rPr>
              <w:t>规划用地</w:t>
            </w:r>
            <w:r>
              <w:rPr>
                <w:rFonts w:ascii="方正仿宋_GBK" w:hAnsi="方正仿宋_GBK" w:cs="方正仿宋_GBK"/>
                <w:kern w:val="0"/>
                <w:sz w:val="20"/>
                <w:szCs w:val="20"/>
              </w:rPr>
              <w:t>21</w:t>
            </w:r>
            <w:r>
              <w:rPr>
                <w:rFonts w:hint="eastAsia" w:ascii="方正仿宋_GBK" w:hAnsi="方正仿宋_GBK" w:cs="方正仿宋_GBK"/>
                <w:kern w:val="0"/>
                <w:sz w:val="20"/>
                <w:szCs w:val="20"/>
              </w:rPr>
              <w:t>亩，总建筑</w:t>
            </w:r>
            <w:r>
              <w:rPr>
                <w:rFonts w:ascii="方正仿宋_GBK" w:hAnsi="方正仿宋_GBK" w:cs="方正仿宋_GBK"/>
                <w:kern w:val="0"/>
                <w:sz w:val="20"/>
                <w:szCs w:val="20"/>
              </w:rPr>
              <w:t>18000</w:t>
            </w:r>
            <w:r>
              <w:rPr>
                <w:rFonts w:hint="eastAsia" w:ascii="方正仿宋_GBK" w:hAnsi="方正仿宋_GBK" w:cs="方正仿宋_GBK"/>
                <w:kern w:val="0"/>
                <w:sz w:val="20"/>
                <w:szCs w:val="20"/>
              </w:rPr>
              <w:t>㎡及信息化等附属设施设备。其中：办公用房</w:t>
            </w:r>
            <w:r>
              <w:rPr>
                <w:rFonts w:ascii="方正仿宋_GBK" w:hAnsi="方正仿宋_GBK" w:cs="方正仿宋_GBK"/>
                <w:kern w:val="0"/>
                <w:sz w:val="20"/>
                <w:szCs w:val="20"/>
              </w:rPr>
              <w:t>8500</w:t>
            </w:r>
            <w:r>
              <w:rPr>
                <w:rFonts w:hint="eastAsia" w:ascii="方正仿宋_GBK" w:hAnsi="方正仿宋_GBK" w:cs="方正仿宋_GBK"/>
                <w:kern w:val="0"/>
                <w:sz w:val="20"/>
                <w:szCs w:val="20"/>
              </w:rPr>
              <w:t>㎡，实验用房</w:t>
            </w:r>
            <w:r>
              <w:rPr>
                <w:rFonts w:ascii="方正仿宋_GBK" w:hAnsi="方正仿宋_GBK" w:cs="方正仿宋_GBK"/>
                <w:kern w:val="0"/>
                <w:sz w:val="20"/>
                <w:szCs w:val="20"/>
              </w:rPr>
              <w:t>5000</w:t>
            </w:r>
            <w:r>
              <w:rPr>
                <w:rFonts w:hint="eastAsia" w:ascii="方正仿宋_GBK" w:hAnsi="方正仿宋_GBK" w:cs="方正仿宋_GBK"/>
                <w:kern w:val="0"/>
                <w:sz w:val="20"/>
                <w:szCs w:val="20"/>
              </w:rPr>
              <w:t>㎡，卫生应急物资仓库及培训用房</w:t>
            </w:r>
            <w:r>
              <w:rPr>
                <w:rFonts w:ascii="方正仿宋_GBK" w:hAnsi="方正仿宋_GBK" w:cs="方正仿宋_GBK"/>
                <w:kern w:val="0"/>
                <w:sz w:val="20"/>
                <w:szCs w:val="20"/>
              </w:rPr>
              <w:t>4500</w:t>
            </w:r>
            <w:r>
              <w:rPr>
                <w:rFonts w:hint="eastAsia" w:ascii="方正仿宋_GBK" w:hAnsi="方正仿宋_GBK" w:cs="方正仿宋_GBK"/>
                <w:kern w:val="0"/>
                <w:sz w:val="20"/>
                <w:szCs w:val="20"/>
              </w:rPr>
              <w:t>㎡。</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2E9BB62">
            <w:pPr>
              <w:widowControl/>
              <w:jc w:val="center"/>
              <w:textAlignment w:val="center"/>
              <w:rPr>
                <w:rFonts w:ascii="方正仿宋_GBK"/>
                <w:sz w:val="20"/>
                <w:szCs w:val="20"/>
              </w:rPr>
            </w:pPr>
            <w:r>
              <w:rPr>
                <w:rFonts w:ascii="方正仿宋_GBK" w:hAnsi="方正仿宋_GBK" w:cs="方正仿宋_GBK"/>
                <w:kern w:val="0"/>
                <w:sz w:val="20"/>
                <w:szCs w:val="20"/>
              </w:rPr>
              <w:t>15000</w:t>
            </w:r>
          </w:p>
        </w:tc>
        <w:tc>
          <w:tcPr>
            <w:tcW w:w="12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CAD3470">
            <w:pPr>
              <w:widowControl/>
              <w:jc w:val="center"/>
              <w:textAlignment w:val="center"/>
              <w:rPr>
                <w:rFonts w:ascii="方正仿宋_GBK"/>
                <w:sz w:val="20"/>
                <w:szCs w:val="20"/>
              </w:rPr>
            </w:pPr>
            <w:r>
              <w:rPr>
                <w:rFonts w:ascii="方正仿宋_GBK" w:hAnsi="方正仿宋_GBK" w:cs="方正仿宋_GBK"/>
                <w:kern w:val="0"/>
                <w:sz w:val="20"/>
                <w:szCs w:val="20"/>
              </w:rPr>
              <w:t>2023-2025</w:t>
            </w:r>
          </w:p>
        </w:tc>
      </w:tr>
      <w:tr w14:paraId="22361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0" w:hRule="atLeast"/>
          <w:jc w:val="center"/>
        </w:trPr>
        <w:tc>
          <w:tcPr>
            <w:tcW w:w="84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63D6D00">
            <w:pPr>
              <w:widowControl/>
              <w:jc w:val="center"/>
              <w:textAlignment w:val="center"/>
              <w:rPr>
                <w:rFonts w:ascii="方正仿宋_GBK"/>
                <w:sz w:val="20"/>
                <w:szCs w:val="20"/>
              </w:rPr>
            </w:pPr>
            <w:r>
              <w:rPr>
                <w:rFonts w:ascii="方正仿宋_GBK" w:hAnsi="方正仿宋_GBK" w:cs="方正仿宋_GBK"/>
                <w:kern w:val="0"/>
                <w:sz w:val="20"/>
                <w:szCs w:val="20"/>
              </w:rPr>
              <w:t>4</w:t>
            </w:r>
          </w:p>
        </w:tc>
        <w:tc>
          <w:tcPr>
            <w:tcW w:w="19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7F298E4">
            <w:pPr>
              <w:widowControl/>
              <w:jc w:val="center"/>
              <w:textAlignment w:val="center"/>
              <w:rPr>
                <w:rFonts w:ascii="方正仿宋_GBK"/>
                <w:sz w:val="20"/>
                <w:szCs w:val="20"/>
              </w:rPr>
            </w:pPr>
            <w:r>
              <w:rPr>
                <w:rFonts w:hint="eastAsia" w:ascii="方正仿宋_GBK" w:hAnsi="方正仿宋_GBK" w:cs="方正仿宋_GBK"/>
                <w:kern w:val="0"/>
                <w:sz w:val="20"/>
                <w:szCs w:val="20"/>
              </w:rPr>
              <w:t>重庆市奉节中心血站改扩建工程</w:t>
            </w:r>
          </w:p>
        </w:tc>
        <w:tc>
          <w:tcPr>
            <w:tcW w:w="15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F76BAA5">
            <w:pPr>
              <w:widowControl/>
              <w:jc w:val="center"/>
              <w:textAlignment w:val="center"/>
              <w:rPr>
                <w:rFonts w:ascii="方正仿宋_GBK"/>
                <w:sz w:val="20"/>
                <w:szCs w:val="20"/>
              </w:rPr>
            </w:pPr>
            <w:r>
              <w:rPr>
                <w:rFonts w:hint="eastAsia" w:ascii="方正仿宋_GBK" w:hAnsi="方正仿宋_GBK" w:cs="方正仿宋_GBK"/>
                <w:kern w:val="0"/>
                <w:sz w:val="20"/>
                <w:szCs w:val="20"/>
              </w:rPr>
              <w:t>奉节中心血站</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4BE2EDB">
            <w:pPr>
              <w:widowControl/>
              <w:jc w:val="center"/>
              <w:textAlignment w:val="center"/>
              <w:rPr>
                <w:rFonts w:ascii="方正仿宋_GBK"/>
                <w:sz w:val="20"/>
                <w:szCs w:val="20"/>
              </w:rPr>
            </w:pPr>
            <w:r>
              <w:rPr>
                <w:rFonts w:hint="eastAsia" w:ascii="方正仿宋_GBK" w:hAnsi="方正仿宋_GBK" w:cs="方正仿宋_GBK"/>
                <w:kern w:val="0"/>
                <w:sz w:val="20"/>
                <w:szCs w:val="20"/>
              </w:rPr>
              <w:t>夔州街道魏家社区</w:t>
            </w:r>
          </w:p>
        </w:tc>
        <w:tc>
          <w:tcPr>
            <w:tcW w:w="9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E672BEE">
            <w:pPr>
              <w:widowControl/>
              <w:jc w:val="center"/>
              <w:textAlignment w:val="center"/>
              <w:rPr>
                <w:rFonts w:ascii="方正仿宋_GBK"/>
                <w:sz w:val="20"/>
                <w:szCs w:val="20"/>
              </w:rPr>
            </w:pPr>
            <w:r>
              <w:rPr>
                <w:rFonts w:hint="eastAsia" w:ascii="方正仿宋_GBK" w:hAnsi="方正仿宋_GBK" w:cs="方正仿宋_GBK"/>
                <w:kern w:val="0"/>
                <w:sz w:val="20"/>
                <w:szCs w:val="20"/>
              </w:rPr>
              <w:t>改扩建</w:t>
            </w:r>
          </w:p>
        </w:tc>
        <w:tc>
          <w:tcPr>
            <w:tcW w:w="5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7D6EC34">
            <w:pPr>
              <w:widowControl/>
              <w:jc w:val="center"/>
              <w:textAlignment w:val="center"/>
              <w:rPr>
                <w:rFonts w:ascii="方正仿宋_GBK"/>
                <w:sz w:val="20"/>
                <w:szCs w:val="20"/>
              </w:rPr>
            </w:pPr>
            <w:r>
              <w:rPr>
                <w:rFonts w:hint="eastAsia" w:ascii="方正仿宋_GBK" w:hAnsi="方正仿宋_GBK" w:cs="方正仿宋_GBK"/>
                <w:kern w:val="0"/>
                <w:sz w:val="20"/>
                <w:szCs w:val="20"/>
              </w:rPr>
              <w:t>新建业务用房</w:t>
            </w:r>
            <w:r>
              <w:rPr>
                <w:rFonts w:ascii="方正仿宋_GBK" w:hAnsi="方正仿宋_GBK" w:cs="方正仿宋_GBK"/>
                <w:kern w:val="0"/>
                <w:sz w:val="20"/>
                <w:szCs w:val="20"/>
              </w:rPr>
              <w:t>5000</w:t>
            </w:r>
            <w:r>
              <w:rPr>
                <w:rFonts w:hint="eastAsia" w:ascii="方正仿宋_GBK" w:hAnsi="方正仿宋_GBK" w:cs="方正仿宋_GBK"/>
                <w:kern w:val="0"/>
                <w:sz w:val="20"/>
                <w:szCs w:val="20"/>
              </w:rPr>
              <w:t>㎡，改建业务用房</w:t>
            </w:r>
            <w:r>
              <w:rPr>
                <w:rFonts w:ascii="方正仿宋_GBK" w:hAnsi="方正仿宋_GBK" w:cs="方正仿宋_GBK"/>
                <w:kern w:val="0"/>
                <w:sz w:val="20"/>
                <w:szCs w:val="20"/>
              </w:rPr>
              <w:t>2577</w:t>
            </w:r>
            <w:r>
              <w:rPr>
                <w:rFonts w:hint="eastAsia" w:ascii="方正仿宋_GBK" w:hAnsi="方正仿宋_GBK" w:cs="方正仿宋_GBK"/>
                <w:kern w:val="0"/>
                <w:sz w:val="20"/>
                <w:szCs w:val="20"/>
              </w:rPr>
              <w:t>㎡及附属设施。</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91F6773">
            <w:pPr>
              <w:widowControl/>
              <w:jc w:val="center"/>
              <w:textAlignment w:val="center"/>
              <w:rPr>
                <w:rFonts w:ascii="方正仿宋_GBK"/>
                <w:sz w:val="20"/>
                <w:szCs w:val="20"/>
              </w:rPr>
            </w:pPr>
            <w:r>
              <w:rPr>
                <w:rFonts w:ascii="方正仿宋_GBK" w:hAnsi="方正仿宋_GBK" w:cs="方正仿宋_GBK"/>
                <w:kern w:val="0"/>
                <w:sz w:val="20"/>
                <w:szCs w:val="20"/>
              </w:rPr>
              <w:t>6000</w:t>
            </w:r>
          </w:p>
        </w:tc>
        <w:tc>
          <w:tcPr>
            <w:tcW w:w="12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1AA0F4F">
            <w:pPr>
              <w:widowControl/>
              <w:jc w:val="center"/>
              <w:textAlignment w:val="center"/>
              <w:rPr>
                <w:rFonts w:ascii="方正仿宋_GBK"/>
                <w:sz w:val="20"/>
                <w:szCs w:val="20"/>
              </w:rPr>
            </w:pPr>
            <w:r>
              <w:rPr>
                <w:rFonts w:ascii="方正仿宋_GBK" w:hAnsi="方正仿宋_GBK" w:cs="方正仿宋_GBK"/>
                <w:kern w:val="0"/>
                <w:sz w:val="20"/>
                <w:szCs w:val="20"/>
              </w:rPr>
              <w:t>2023-2025</w:t>
            </w:r>
          </w:p>
        </w:tc>
      </w:tr>
      <w:tr w14:paraId="7B34B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0" w:hRule="atLeast"/>
          <w:jc w:val="center"/>
        </w:trPr>
        <w:tc>
          <w:tcPr>
            <w:tcW w:w="84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D4D8942">
            <w:pPr>
              <w:widowControl/>
              <w:jc w:val="center"/>
              <w:textAlignment w:val="center"/>
              <w:rPr>
                <w:rFonts w:ascii="方正仿宋_GBK"/>
                <w:sz w:val="20"/>
                <w:szCs w:val="20"/>
              </w:rPr>
            </w:pPr>
            <w:r>
              <w:rPr>
                <w:rFonts w:ascii="方正仿宋_GBK" w:hAnsi="方正仿宋_GBK" w:cs="方正仿宋_GBK"/>
                <w:kern w:val="0"/>
                <w:sz w:val="20"/>
                <w:szCs w:val="20"/>
              </w:rPr>
              <w:t>5</w:t>
            </w:r>
          </w:p>
        </w:tc>
        <w:tc>
          <w:tcPr>
            <w:tcW w:w="19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25D2699">
            <w:pPr>
              <w:widowControl/>
              <w:jc w:val="center"/>
              <w:textAlignment w:val="center"/>
              <w:rPr>
                <w:rFonts w:ascii="方正仿宋_GBK"/>
                <w:sz w:val="20"/>
                <w:szCs w:val="20"/>
              </w:rPr>
            </w:pPr>
            <w:r>
              <w:rPr>
                <w:rFonts w:hint="eastAsia" w:ascii="方正仿宋_GBK" w:hAnsi="方正仿宋_GBK" w:cs="方正仿宋_GBK"/>
                <w:kern w:val="0"/>
                <w:sz w:val="20"/>
                <w:szCs w:val="20"/>
              </w:rPr>
              <w:t>县中医院扩建工程门诊住院综合楼</w:t>
            </w:r>
          </w:p>
        </w:tc>
        <w:tc>
          <w:tcPr>
            <w:tcW w:w="15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C48322F">
            <w:pPr>
              <w:widowControl/>
              <w:jc w:val="center"/>
              <w:textAlignment w:val="center"/>
              <w:rPr>
                <w:rFonts w:ascii="方正仿宋_GBK"/>
                <w:sz w:val="20"/>
                <w:szCs w:val="20"/>
              </w:rPr>
            </w:pPr>
            <w:r>
              <w:rPr>
                <w:rFonts w:hint="eastAsia" w:ascii="方正仿宋_GBK" w:hAnsi="方正仿宋_GBK" w:cs="方正仿宋_GBK"/>
                <w:kern w:val="0"/>
                <w:sz w:val="20"/>
                <w:szCs w:val="20"/>
              </w:rPr>
              <w:t>县中医院</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255FC97">
            <w:pPr>
              <w:widowControl/>
              <w:jc w:val="center"/>
              <w:textAlignment w:val="center"/>
              <w:rPr>
                <w:rFonts w:ascii="方正仿宋_GBK"/>
                <w:sz w:val="20"/>
                <w:szCs w:val="20"/>
              </w:rPr>
            </w:pPr>
            <w:r>
              <w:rPr>
                <w:rFonts w:hint="eastAsia" w:ascii="方正仿宋_GBK" w:hAnsi="方正仿宋_GBK" w:cs="方正仿宋_GBK"/>
                <w:kern w:val="0"/>
                <w:sz w:val="20"/>
                <w:szCs w:val="20"/>
              </w:rPr>
              <w:t>夔州街道冒峰社区</w:t>
            </w:r>
          </w:p>
        </w:tc>
        <w:tc>
          <w:tcPr>
            <w:tcW w:w="9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D8E0463">
            <w:pPr>
              <w:widowControl/>
              <w:jc w:val="center"/>
              <w:textAlignment w:val="center"/>
              <w:rPr>
                <w:rFonts w:ascii="方正仿宋_GBK"/>
                <w:sz w:val="20"/>
                <w:szCs w:val="20"/>
              </w:rPr>
            </w:pPr>
            <w:r>
              <w:rPr>
                <w:rFonts w:hint="eastAsia" w:ascii="方正仿宋_GBK" w:hAnsi="方正仿宋_GBK" w:cs="方正仿宋_GBK"/>
                <w:kern w:val="0"/>
                <w:sz w:val="20"/>
                <w:szCs w:val="20"/>
              </w:rPr>
              <w:t>续建</w:t>
            </w:r>
          </w:p>
        </w:tc>
        <w:tc>
          <w:tcPr>
            <w:tcW w:w="5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11C9AF9">
            <w:pPr>
              <w:widowControl/>
              <w:jc w:val="center"/>
              <w:textAlignment w:val="center"/>
              <w:rPr>
                <w:rFonts w:ascii="方正仿宋_GBK"/>
                <w:sz w:val="20"/>
                <w:szCs w:val="20"/>
              </w:rPr>
            </w:pPr>
            <w:r>
              <w:rPr>
                <w:rFonts w:hint="eastAsia" w:ascii="方正仿宋_GBK" w:hAnsi="方正仿宋_GBK" w:cs="方正仿宋_GBK"/>
                <w:kern w:val="0"/>
                <w:sz w:val="20"/>
                <w:szCs w:val="20"/>
              </w:rPr>
              <w:t>建筑面积</w:t>
            </w:r>
            <w:r>
              <w:rPr>
                <w:rFonts w:ascii="方正仿宋_GBK" w:hAnsi="方正仿宋_GBK" w:cs="方正仿宋_GBK"/>
                <w:kern w:val="0"/>
                <w:sz w:val="20"/>
                <w:szCs w:val="20"/>
              </w:rPr>
              <w:t>40366</w:t>
            </w:r>
            <w:r>
              <w:rPr>
                <w:rFonts w:hint="eastAsia" w:ascii="方正仿宋_GBK" w:hAnsi="方正仿宋_GBK" w:cs="方正仿宋_GBK"/>
                <w:kern w:val="0"/>
                <w:sz w:val="20"/>
                <w:szCs w:val="20"/>
              </w:rPr>
              <w:t>㎡，内容包括场地平整、土建工程、电气工程、给排水工程、暖通工程、消防工程、综合布线及环境保护、边坡支护工程。</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B03E5A6">
            <w:pPr>
              <w:widowControl/>
              <w:jc w:val="center"/>
              <w:textAlignment w:val="center"/>
              <w:rPr>
                <w:rFonts w:ascii="方正仿宋_GBK"/>
                <w:sz w:val="20"/>
                <w:szCs w:val="20"/>
              </w:rPr>
            </w:pPr>
            <w:r>
              <w:rPr>
                <w:rFonts w:ascii="方正仿宋_GBK" w:hAnsi="方正仿宋_GBK" w:cs="方正仿宋_GBK"/>
                <w:kern w:val="0"/>
                <w:sz w:val="20"/>
                <w:szCs w:val="20"/>
              </w:rPr>
              <w:t>15000</w:t>
            </w:r>
          </w:p>
        </w:tc>
        <w:tc>
          <w:tcPr>
            <w:tcW w:w="12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493B8FB">
            <w:pPr>
              <w:widowControl/>
              <w:jc w:val="center"/>
              <w:textAlignment w:val="center"/>
              <w:rPr>
                <w:rFonts w:ascii="方正仿宋_GBK"/>
                <w:sz w:val="20"/>
                <w:szCs w:val="20"/>
              </w:rPr>
            </w:pPr>
            <w:r>
              <w:rPr>
                <w:rFonts w:ascii="方正仿宋_GBK" w:hAnsi="方正仿宋_GBK" w:cs="方正仿宋_GBK"/>
                <w:kern w:val="0"/>
                <w:sz w:val="20"/>
                <w:szCs w:val="20"/>
              </w:rPr>
              <w:t>2020-2022</w:t>
            </w:r>
          </w:p>
        </w:tc>
      </w:tr>
      <w:tr w14:paraId="6EACA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0" w:hRule="atLeast"/>
          <w:jc w:val="center"/>
        </w:trPr>
        <w:tc>
          <w:tcPr>
            <w:tcW w:w="84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75FB7BF">
            <w:pPr>
              <w:widowControl/>
              <w:jc w:val="center"/>
              <w:textAlignment w:val="center"/>
              <w:rPr>
                <w:rFonts w:ascii="方正仿宋_GBK"/>
                <w:sz w:val="20"/>
                <w:szCs w:val="20"/>
              </w:rPr>
            </w:pPr>
            <w:r>
              <w:rPr>
                <w:rFonts w:ascii="方正仿宋_GBK" w:hAnsi="方正仿宋_GBK" w:cs="方正仿宋_GBK"/>
                <w:kern w:val="0"/>
                <w:sz w:val="20"/>
                <w:szCs w:val="20"/>
              </w:rPr>
              <w:t>6</w:t>
            </w:r>
          </w:p>
        </w:tc>
        <w:tc>
          <w:tcPr>
            <w:tcW w:w="19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7AB815F">
            <w:pPr>
              <w:widowControl/>
              <w:jc w:val="center"/>
              <w:textAlignment w:val="center"/>
              <w:rPr>
                <w:rFonts w:ascii="方正仿宋_GBK"/>
                <w:sz w:val="20"/>
                <w:szCs w:val="20"/>
              </w:rPr>
            </w:pPr>
            <w:r>
              <w:rPr>
                <w:rFonts w:hint="eastAsia" w:ascii="方正仿宋_GBK" w:hAnsi="方正仿宋_GBK" w:cs="方正仿宋_GBK"/>
                <w:kern w:val="0"/>
                <w:sz w:val="20"/>
                <w:szCs w:val="20"/>
              </w:rPr>
              <w:t>县中医院扩建工程医疗智能信息建设工程</w:t>
            </w:r>
          </w:p>
        </w:tc>
        <w:tc>
          <w:tcPr>
            <w:tcW w:w="15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2A6A5DB">
            <w:pPr>
              <w:widowControl/>
              <w:jc w:val="center"/>
              <w:textAlignment w:val="center"/>
              <w:rPr>
                <w:rFonts w:ascii="方正仿宋_GBK"/>
                <w:sz w:val="20"/>
                <w:szCs w:val="20"/>
              </w:rPr>
            </w:pPr>
            <w:r>
              <w:rPr>
                <w:rFonts w:hint="eastAsia" w:ascii="方正仿宋_GBK" w:hAnsi="方正仿宋_GBK" w:cs="方正仿宋_GBK"/>
                <w:kern w:val="0"/>
                <w:sz w:val="20"/>
                <w:szCs w:val="20"/>
              </w:rPr>
              <w:t>县中医院</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61E725F">
            <w:pPr>
              <w:widowControl/>
              <w:jc w:val="center"/>
              <w:textAlignment w:val="center"/>
              <w:rPr>
                <w:rFonts w:ascii="方正仿宋_GBK"/>
                <w:sz w:val="20"/>
                <w:szCs w:val="20"/>
              </w:rPr>
            </w:pPr>
            <w:r>
              <w:rPr>
                <w:rFonts w:hint="eastAsia" w:ascii="方正仿宋_GBK" w:hAnsi="方正仿宋_GBK" w:cs="方正仿宋_GBK"/>
                <w:kern w:val="0"/>
                <w:sz w:val="20"/>
                <w:szCs w:val="20"/>
              </w:rPr>
              <w:t>夔州街道冒峰社区</w:t>
            </w:r>
          </w:p>
        </w:tc>
        <w:tc>
          <w:tcPr>
            <w:tcW w:w="9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B0D0A77">
            <w:pPr>
              <w:widowControl/>
              <w:jc w:val="center"/>
              <w:textAlignment w:val="center"/>
              <w:rPr>
                <w:rFonts w:ascii="方正仿宋_GBK"/>
                <w:sz w:val="20"/>
                <w:szCs w:val="20"/>
              </w:rPr>
            </w:pPr>
            <w:r>
              <w:rPr>
                <w:rFonts w:hint="eastAsia" w:ascii="方正仿宋_GBK" w:hAnsi="方正仿宋_GBK" w:cs="方正仿宋_GBK"/>
                <w:kern w:val="0"/>
                <w:sz w:val="20"/>
                <w:szCs w:val="20"/>
              </w:rPr>
              <w:t>新建</w:t>
            </w:r>
          </w:p>
        </w:tc>
        <w:tc>
          <w:tcPr>
            <w:tcW w:w="5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68FF849">
            <w:pPr>
              <w:widowControl/>
              <w:jc w:val="center"/>
              <w:textAlignment w:val="center"/>
              <w:rPr>
                <w:rFonts w:ascii="方正仿宋_GBK"/>
                <w:sz w:val="20"/>
                <w:szCs w:val="20"/>
              </w:rPr>
            </w:pPr>
            <w:r>
              <w:rPr>
                <w:rFonts w:hint="eastAsia" w:ascii="方正仿宋_GBK" w:hAnsi="方正仿宋_GBK" w:cs="方正仿宋_GBK"/>
                <w:kern w:val="0"/>
                <w:sz w:val="20"/>
                <w:szCs w:val="20"/>
              </w:rPr>
              <w:t>数字智能化全科检测系统、信息化终端体系等智能化诊断治疗设备若干套；智能化供氧保障体系、病房医疗设施设备、特殊科室等智能化配套设施若干套。</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72CD500">
            <w:pPr>
              <w:widowControl/>
              <w:jc w:val="center"/>
              <w:textAlignment w:val="center"/>
              <w:rPr>
                <w:rFonts w:ascii="方正仿宋_GBK"/>
                <w:sz w:val="20"/>
                <w:szCs w:val="20"/>
              </w:rPr>
            </w:pPr>
            <w:r>
              <w:rPr>
                <w:rFonts w:ascii="方正仿宋_GBK" w:hAnsi="方正仿宋_GBK" w:cs="方正仿宋_GBK"/>
                <w:kern w:val="0"/>
                <w:sz w:val="20"/>
                <w:szCs w:val="20"/>
              </w:rPr>
              <w:t>32865</w:t>
            </w:r>
          </w:p>
        </w:tc>
        <w:tc>
          <w:tcPr>
            <w:tcW w:w="12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4709D1F">
            <w:pPr>
              <w:widowControl/>
              <w:jc w:val="center"/>
              <w:textAlignment w:val="center"/>
              <w:rPr>
                <w:rFonts w:ascii="方正仿宋_GBK"/>
                <w:sz w:val="20"/>
                <w:szCs w:val="20"/>
              </w:rPr>
            </w:pPr>
            <w:r>
              <w:rPr>
                <w:rFonts w:ascii="方正仿宋_GBK" w:hAnsi="方正仿宋_GBK" w:cs="方正仿宋_GBK"/>
                <w:kern w:val="0"/>
                <w:sz w:val="20"/>
                <w:szCs w:val="20"/>
              </w:rPr>
              <w:t>2022-2023</w:t>
            </w:r>
          </w:p>
        </w:tc>
      </w:tr>
      <w:tr w14:paraId="7A74A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0" w:hRule="atLeast"/>
          <w:jc w:val="center"/>
        </w:trPr>
        <w:tc>
          <w:tcPr>
            <w:tcW w:w="84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E2EC518">
            <w:pPr>
              <w:widowControl/>
              <w:jc w:val="center"/>
              <w:textAlignment w:val="center"/>
              <w:rPr>
                <w:rFonts w:ascii="方正仿宋_GBK"/>
                <w:sz w:val="20"/>
                <w:szCs w:val="20"/>
              </w:rPr>
            </w:pPr>
            <w:r>
              <w:rPr>
                <w:rFonts w:ascii="方正仿宋_GBK" w:hAnsi="方正仿宋_GBK" w:cs="方正仿宋_GBK"/>
                <w:kern w:val="0"/>
                <w:sz w:val="20"/>
                <w:szCs w:val="20"/>
              </w:rPr>
              <w:t>7</w:t>
            </w:r>
          </w:p>
        </w:tc>
        <w:tc>
          <w:tcPr>
            <w:tcW w:w="19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86EE2CE">
            <w:pPr>
              <w:widowControl/>
              <w:jc w:val="center"/>
              <w:textAlignment w:val="center"/>
              <w:rPr>
                <w:rFonts w:ascii="方正仿宋_GBK"/>
                <w:sz w:val="20"/>
                <w:szCs w:val="20"/>
              </w:rPr>
            </w:pPr>
            <w:r>
              <w:rPr>
                <w:rFonts w:hint="eastAsia" w:ascii="方正仿宋_GBK" w:hAnsi="方正仿宋_GBK" w:cs="方正仿宋_GBK"/>
                <w:kern w:val="0"/>
                <w:sz w:val="20"/>
                <w:szCs w:val="20"/>
              </w:rPr>
              <w:t>县人民医院老院区业务用房改造项目</w:t>
            </w:r>
          </w:p>
        </w:tc>
        <w:tc>
          <w:tcPr>
            <w:tcW w:w="15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BEACD11">
            <w:pPr>
              <w:widowControl/>
              <w:jc w:val="center"/>
              <w:textAlignment w:val="center"/>
              <w:rPr>
                <w:rFonts w:ascii="方正仿宋_GBK"/>
                <w:sz w:val="20"/>
                <w:szCs w:val="20"/>
              </w:rPr>
            </w:pPr>
            <w:r>
              <w:rPr>
                <w:rFonts w:hint="eastAsia" w:ascii="方正仿宋_GBK" w:hAnsi="方正仿宋_GBK" w:cs="方正仿宋_GBK"/>
                <w:kern w:val="0"/>
                <w:sz w:val="20"/>
                <w:szCs w:val="20"/>
              </w:rPr>
              <w:t>县人民医院</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586475E">
            <w:pPr>
              <w:widowControl/>
              <w:jc w:val="center"/>
              <w:textAlignment w:val="center"/>
              <w:rPr>
                <w:rFonts w:ascii="方正仿宋_GBK"/>
                <w:sz w:val="20"/>
                <w:szCs w:val="20"/>
              </w:rPr>
            </w:pPr>
            <w:r>
              <w:rPr>
                <w:rFonts w:hint="eastAsia" w:ascii="方正仿宋_GBK" w:hAnsi="方正仿宋_GBK" w:cs="方正仿宋_GBK"/>
                <w:kern w:val="0"/>
                <w:sz w:val="20"/>
                <w:szCs w:val="20"/>
              </w:rPr>
              <w:t>鱼复街道康宁社区</w:t>
            </w:r>
          </w:p>
        </w:tc>
        <w:tc>
          <w:tcPr>
            <w:tcW w:w="9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0923C4A">
            <w:pPr>
              <w:widowControl/>
              <w:jc w:val="center"/>
              <w:textAlignment w:val="center"/>
              <w:rPr>
                <w:rFonts w:ascii="方正仿宋_GBK"/>
                <w:sz w:val="20"/>
                <w:szCs w:val="20"/>
              </w:rPr>
            </w:pPr>
            <w:r>
              <w:rPr>
                <w:rFonts w:hint="eastAsia" w:ascii="方正仿宋_GBK" w:hAnsi="方正仿宋_GBK" w:cs="方正仿宋_GBK"/>
                <w:kern w:val="0"/>
                <w:sz w:val="20"/>
                <w:szCs w:val="20"/>
              </w:rPr>
              <w:t>改建</w:t>
            </w:r>
          </w:p>
        </w:tc>
        <w:tc>
          <w:tcPr>
            <w:tcW w:w="5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4EC0563">
            <w:pPr>
              <w:widowControl/>
              <w:jc w:val="center"/>
              <w:textAlignment w:val="center"/>
              <w:rPr>
                <w:rFonts w:ascii="方正仿宋_GBK"/>
                <w:sz w:val="20"/>
                <w:szCs w:val="20"/>
              </w:rPr>
            </w:pPr>
            <w:r>
              <w:rPr>
                <w:rFonts w:hint="eastAsia" w:ascii="方正仿宋_GBK" w:hAnsi="方正仿宋_GBK" w:cs="方正仿宋_GBK"/>
                <w:kern w:val="0"/>
                <w:sz w:val="20"/>
                <w:szCs w:val="20"/>
              </w:rPr>
              <w:t>改造一、二病区业务用房</w:t>
            </w:r>
            <w:r>
              <w:rPr>
                <w:rFonts w:ascii="方正仿宋_GBK" w:hAnsi="方正仿宋_GBK" w:cs="方正仿宋_GBK"/>
                <w:kern w:val="0"/>
                <w:sz w:val="20"/>
                <w:szCs w:val="20"/>
              </w:rPr>
              <w:t>34364</w:t>
            </w:r>
            <w:r>
              <w:rPr>
                <w:rFonts w:hint="eastAsia" w:ascii="方正仿宋_GBK" w:hAnsi="方正仿宋_GBK" w:cs="方正仿宋_GBK"/>
                <w:kern w:val="0"/>
                <w:sz w:val="20"/>
                <w:szCs w:val="20"/>
              </w:rPr>
              <w:t>㎡，包括护士站、处置间、卫生间、内外墙、地面、门窗、病房及公共区域吊顶等。</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3C5AE21">
            <w:pPr>
              <w:widowControl/>
              <w:jc w:val="center"/>
              <w:textAlignment w:val="center"/>
              <w:rPr>
                <w:rFonts w:ascii="方正仿宋_GBK"/>
                <w:sz w:val="20"/>
                <w:szCs w:val="20"/>
              </w:rPr>
            </w:pPr>
            <w:r>
              <w:rPr>
                <w:rFonts w:ascii="方正仿宋_GBK" w:hAnsi="方正仿宋_GBK" w:cs="方正仿宋_GBK"/>
                <w:kern w:val="0"/>
                <w:sz w:val="20"/>
                <w:szCs w:val="20"/>
              </w:rPr>
              <w:t>3500</w:t>
            </w:r>
          </w:p>
        </w:tc>
        <w:tc>
          <w:tcPr>
            <w:tcW w:w="12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C7CE7D9">
            <w:pPr>
              <w:widowControl/>
              <w:jc w:val="center"/>
              <w:textAlignment w:val="center"/>
              <w:rPr>
                <w:rFonts w:ascii="方正仿宋_GBK"/>
                <w:sz w:val="20"/>
                <w:szCs w:val="20"/>
              </w:rPr>
            </w:pPr>
            <w:r>
              <w:rPr>
                <w:rFonts w:ascii="方正仿宋_GBK" w:hAnsi="方正仿宋_GBK" w:cs="方正仿宋_GBK"/>
                <w:kern w:val="0"/>
                <w:sz w:val="20"/>
                <w:szCs w:val="20"/>
              </w:rPr>
              <w:t>2021-2022</w:t>
            </w:r>
          </w:p>
        </w:tc>
      </w:tr>
      <w:tr w14:paraId="70262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0" w:hRule="atLeast"/>
          <w:jc w:val="center"/>
        </w:trPr>
        <w:tc>
          <w:tcPr>
            <w:tcW w:w="84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1878363">
            <w:pPr>
              <w:widowControl/>
              <w:jc w:val="center"/>
              <w:textAlignment w:val="center"/>
              <w:rPr>
                <w:rFonts w:ascii="方正仿宋_GBK"/>
                <w:sz w:val="20"/>
                <w:szCs w:val="20"/>
              </w:rPr>
            </w:pPr>
            <w:r>
              <w:rPr>
                <w:rFonts w:ascii="方正仿宋_GBK" w:hAnsi="方正仿宋_GBK" w:cs="方正仿宋_GBK"/>
                <w:kern w:val="0"/>
                <w:sz w:val="20"/>
                <w:szCs w:val="20"/>
              </w:rPr>
              <w:t>8</w:t>
            </w:r>
          </w:p>
        </w:tc>
        <w:tc>
          <w:tcPr>
            <w:tcW w:w="19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C2E1344">
            <w:pPr>
              <w:widowControl/>
              <w:jc w:val="center"/>
              <w:textAlignment w:val="center"/>
              <w:rPr>
                <w:rFonts w:ascii="方正仿宋_GBK"/>
                <w:sz w:val="20"/>
                <w:szCs w:val="20"/>
              </w:rPr>
            </w:pPr>
            <w:r>
              <w:rPr>
                <w:rFonts w:hint="eastAsia" w:ascii="方正仿宋_GBK" w:hAnsi="方正仿宋_GBK" w:cs="方正仿宋_GBK"/>
                <w:kern w:val="0"/>
                <w:sz w:val="20"/>
                <w:szCs w:val="20"/>
              </w:rPr>
              <w:t>县妇幼保健院妇产综合楼改造项目</w:t>
            </w:r>
          </w:p>
        </w:tc>
        <w:tc>
          <w:tcPr>
            <w:tcW w:w="15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D24EAC4">
            <w:pPr>
              <w:widowControl/>
              <w:jc w:val="center"/>
              <w:textAlignment w:val="center"/>
              <w:rPr>
                <w:rFonts w:ascii="方正仿宋_GBK"/>
                <w:sz w:val="20"/>
                <w:szCs w:val="20"/>
              </w:rPr>
            </w:pPr>
            <w:r>
              <w:rPr>
                <w:rFonts w:hint="eastAsia" w:ascii="方正仿宋_GBK" w:hAnsi="方正仿宋_GBK" w:cs="方正仿宋_GBK"/>
                <w:kern w:val="0"/>
                <w:sz w:val="20"/>
                <w:szCs w:val="20"/>
              </w:rPr>
              <w:t>县妇幼保健院</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DA8386F">
            <w:pPr>
              <w:widowControl/>
              <w:jc w:val="center"/>
              <w:textAlignment w:val="center"/>
              <w:rPr>
                <w:rFonts w:ascii="方正仿宋_GBK"/>
                <w:sz w:val="20"/>
                <w:szCs w:val="20"/>
              </w:rPr>
            </w:pPr>
            <w:r>
              <w:rPr>
                <w:rFonts w:hint="eastAsia" w:ascii="方正仿宋_GBK" w:hAnsi="方正仿宋_GBK" w:cs="方正仿宋_GBK"/>
                <w:kern w:val="0"/>
                <w:sz w:val="20"/>
                <w:szCs w:val="20"/>
              </w:rPr>
              <w:t>鱼复街道明良社区</w:t>
            </w:r>
          </w:p>
        </w:tc>
        <w:tc>
          <w:tcPr>
            <w:tcW w:w="9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584AC4B">
            <w:pPr>
              <w:widowControl/>
              <w:jc w:val="center"/>
              <w:textAlignment w:val="center"/>
              <w:rPr>
                <w:rFonts w:ascii="方正仿宋_GBK"/>
                <w:sz w:val="20"/>
                <w:szCs w:val="20"/>
              </w:rPr>
            </w:pPr>
            <w:r>
              <w:rPr>
                <w:rFonts w:hint="eastAsia" w:ascii="方正仿宋_GBK" w:hAnsi="方正仿宋_GBK" w:cs="方正仿宋_GBK"/>
                <w:kern w:val="0"/>
                <w:sz w:val="20"/>
                <w:szCs w:val="20"/>
              </w:rPr>
              <w:t>改建</w:t>
            </w:r>
          </w:p>
        </w:tc>
        <w:tc>
          <w:tcPr>
            <w:tcW w:w="5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13E0347">
            <w:pPr>
              <w:widowControl/>
              <w:jc w:val="center"/>
              <w:textAlignment w:val="center"/>
              <w:rPr>
                <w:rFonts w:ascii="方正仿宋_GBK"/>
                <w:sz w:val="20"/>
                <w:szCs w:val="20"/>
              </w:rPr>
            </w:pPr>
            <w:r>
              <w:rPr>
                <w:rFonts w:hint="eastAsia" w:ascii="方正仿宋_GBK" w:hAnsi="方正仿宋_GBK" w:cs="方正仿宋_GBK"/>
                <w:kern w:val="0"/>
                <w:sz w:val="20"/>
                <w:szCs w:val="20"/>
              </w:rPr>
              <w:t>改造原中国工商银行奉节支行办公楼</w:t>
            </w:r>
            <w:r>
              <w:rPr>
                <w:rFonts w:ascii="方正仿宋_GBK" w:hAnsi="方正仿宋_GBK" w:cs="方正仿宋_GBK"/>
                <w:kern w:val="0"/>
                <w:sz w:val="20"/>
                <w:szCs w:val="20"/>
              </w:rPr>
              <w:t>5600</w:t>
            </w:r>
            <w:r>
              <w:rPr>
                <w:rFonts w:hint="eastAsia" w:ascii="方正仿宋_GBK" w:hAnsi="方正仿宋_GBK" w:cs="方正仿宋_GBK"/>
                <w:kern w:val="0"/>
                <w:sz w:val="20"/>
                <w:szCs w:val="20"/>
              </w:rPr>
              <w:t>㎡，完善附属设备设施，新增床位</w:t>
            </w:r>
            <w:r>
              <w:rPr>
                <w:rFonts w:ascii="方正仿宋_GBK" w:hAnsi="方正仿宋_GBK" w:cs="方正仿宋_GBK"/>
                <w:kern w:val="0"/>
                <w:sz w:val="20"/>
                <w:szCs w:val="20"/>
              </w:rPr>
              <w:t>80</w:t>
            </w:r>
            <w:r>
              <w:rPr>
                <w:rFonts w:hint="eastAsia" w:ascii="方正仿宋_GBK" w:hAnsi="方正仿宋_GBK" w:cs="方正仿宋_GBK"/>
                <w:kern w:val="0"/>
                <w:sz w:val="20"/>
                <w:szCs w:val="20"/>
              </w:rPr>
              <w:t>张。</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CB45EC4">
            <w:pPr>
              <w:widowControl/>
              <w:jc w:val="center"/>
              <w:textAlignment w:val="center"/>
              <w:rPr>
                <w:rFonts w:ascii="方正仿宋_GBK"/>
                <w:sz w:val="20"/>
                <w:szCs w:val="20"/>
              </w:rPr>
            </w:pPr>
            <w:r>
              <w:rPr>
                <w:rFonts w:ascii="方正仿宋_GBK" w:hAnsi="方正仿宋_GBK" w:cs="方正仿宋_GBK"/>
                <w:kern w:val="0"/>
                <w:sz w:val="20"/>
                <w:szCs w:val="20"/>
              </w:rPr>
              <w:t>1000</w:t>
            </w:r>
          </w:p>
        </w:tc>
        <w:tc>
          <w:tcPr>
            <w:tcW w:w="12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C0DF7FC">
            <w:pPr>
              <w:widowControl/>
              <w:jc w:val="center"/>
              <w:textAlignment w:val="center"/>
              <w:rPr>
                <w:rFonts w:ascii="方正仿宋_GBK"/>
                <w:sz w:val="20"/>
                <w:szCs w:val="20"/>
              </w:rPr>
            </w:pPr>
            <w:r>
              <w:rPr>
                <w:rFonts w:ascii="方正仿宋_GBK" w:hAnsi="方正仿宋_GBK" w:cs="方正仿宋_GBK"/>
                <w:kern w:val="0"/>
                <w:sz w:val="20"/>
                <w:szCs w:val="20"/>
              </w:rPr>
              <w:t>2022-2023</w:t>
            </w:r>
          </w:p>
        </w:tc>
      </w:tr>
      <w:tr w14:paraId="315A9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0" w:hRule="atLeast"/>
          <w:jc w:val="center"/>
        </w:trPr>
        <w:tc>
          <w:tcPr>
            <w:tcW w:w="84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5911D48">
            <w:pPr>
              <w:widowControl/>
              <w:jc w:val="center"/>
              <w:textAlignment w:val="center"/>
              <w:rPr>
                <w:rFonts w:ascii="方正仿宋_GBK"/>
                <w:sz w:val="20"/>
                <w:szCs w:val="20"/>
              </w:rPr>
            </w:pPr>
            <w:r>
              <w:rPr>
                <w:rFonts w:ascii="方正仿宋_GBK" w:hAnsi="方正仿宋_GBK" w:cs="方正仿宋_GBK"/>
                <w:kern w:val="0"/>
                <w:sz w:val="20"/>
                <w:szCs w:val="20"/>
              </w:rPr>
              <w:t>9</w:t>
            </w:r>
          </w:p>
        </w:tc>
        <w:tc>
          <w:tcPr>
            <w:tcW w:w="19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DE5E325">
            <w:pPr>
              <w:widowControl/>
              <w:jc w:val="center"/>
              <w:textAlignment w:val="center"/>
              <w:rPr>
                <w:rFonts w:ascii="方正仿宋_GBK"/>
                <w:sz w:val="20"/>
                <w:szCs w:val="20"/>
              </w:rPr>
            </w:pPr>
            <w:r>
              <w:rPr>
                <w:rFonts w:hint="eastAsia" w:ascii="方正仿宋_GBK" w:hAnsi="方正仿宋_GBK" w:cs="方正仿宋_GBK"/>
                <w:kern w:val="0"/>
                <w:sz w:val="20"/>
                <w:szCs w:val="20"/>
              </w:rPr>
              <w:t>县中医院门诊住院综合楼改造提升工程</w:t>
            </w:r>
          </w:p>
        </w:tc>
        <w:tc>
          <w:tcPr>
            <w:tcW w:w="15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0FD51D6">
            <w:pPr>
              <w:widowControl/>
              <w:jc w:val="center"/>
              <w:textAlignment w:val="center"/>
              <w:rPr>
                <w:rFonts w:ascii="方正仿宋_GBK"/>
                <w:sz w:val="20"/>
                <w:szCs w:val="20"/>
              </w:rPr>
            </w:pPr>
            <w:r>
              <w:rPr>
                <w:rFonts w:hint="eastAsia" w:ascii="方正仿宋_GBK" w:hAnsi="方正仿宋_GBK" w:cs="方正仿宋_GBK"/>
                <w:kern w:val="0"/>
                <w:sz w:val="20"/>
                <w:szCs w:val="20"/>
              </w:rPr>
              <w:t>县中医院</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2E78BC0">
            <w:pPr>
              <w:widowControl/>
              <w:jc w:val="center"/>
              <w:textAlignment w:val="center"/>
              <w:rPr>
                <w:rFonts w:ascii="方正仿宋_GBK"/>
                <w:sz w:val="20"/>
                <w:szCs w:val="20"/>
              </w:rPr>
            </w:pPr>
            <w:r>
              <w:rPr>
                <w:rFonts w:hint="eastAsia" w:ascii="方正仿宋_GBK" w:hAnsi="方正仿宋_GBK" w:cs="方正仿宋_GBK"/>
                <w:kern w:val="0"/>
                <w:sz w:val="20"/>
                <w:szCs w:val="20"/>
              </w:rPr>
              <w:t>夔州街道冒峰社区</w:t>
            </w:r>
          </w:p>
        </w:tc>
        <w:tc>
          <w:tcPr>
            <w:tcW w:w="9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E08F788">
            <w:pPr>
              <w:widowControl/>
              <w:jc w:val="center"/>
              <w:textAlignment w:val="center"/>
              <w:rPr>
                <w:rFonts w:ascii="方正仿宋_GBK"/>
                <w:sz w:val="20"/>
                <w:szCs w:val="20"/>
              </w:rPr>
            </w:pPr>
            <w:r>
              <w:rPr>
                <w:rFonts w:hint="eastAsia" w:ascii="方正仿宋_GBK" w:hAnsi="方正仿宋_GBK" w:cs="方正仿宋_GBK"/>
                <w:kern w:val="0"/>
                <w:sz w:val="20"/>
                <w:szCs w:val="20"/>
              </w:rPr>
              <w:t>改建</w:t>
            </w:r>
          </w:p>
        </w:tc>
        <w:tc>
          <w:tcPr>
            <w:tcW w:w="5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B0AE0A5">
            <w:pPr>
              <w:widowControl/>
              <w:jc w:val="center"/>
              <w:textAlignment w:val="center"/>
              <w:rPr>
                <w:rFonts w:ascii="方正仿宋_GBK"/>
                <w:sz w:val="20"/>
                <w:szCs w:val="20"/>
              </w:rPr>
            </w:pPr>
            <w:r>
              <w:rPr>
                <w:rFonts w:hint="eastAsia" w:ascii="方正仿宋_GBK" w:hAnsi="方正仿宋_GBK" w:cs="方正仿宋_GBK"/>
                <w:kern w:val="0"/>
                <w:sz w:val="20"/>
                <w:szCs w:val="20"/>
              </w:rPr>
              <w:t>改造提升业务用房</w:t>
            </w:r>
            <w:r>
              <w:rPr>
                <w:rFonts w:ascii="方正仿宋_GBK" w:hAnsi="方正仿宋_GBK" w:cs="方正仿宋_GBK"/>
                <w:kern w:val="0"/>
                <w:sz w:val="20"/>
                <w:szCs w:val="20"/>
              </w:rPr>
              <w:t>34586</w:t>
            </w:r>
            <w:r>
              <w:rPr>
                <w:rFonts w:hint="eastAsia" w:ascii="方正仿宋_GBK" w:hAnsi="方正仿宋_GBK" w:cs="方正仿宋_GBK"/>
                <w:kern w:val="0"/>
                <w:sz w:val="20"/>
                <w:szCs w:val="20"/>
              </w:rPr>
              <w:t>㎡，采购医疗设备</w:t>
            </w:r>
            <w:r>
              <w:rPr>
                <w:rFonts w:ascii="方正仿宋_GBK" w:hAnsi="方正仿宋_GBK" w:cs="方正仿宋_GBK"/>
                <w:kern w:val="0"/>
                <w:sz w:val="20"/>
                <w:szCs w:val="20"/>
              </w:rPr>
              <w:t>375</w:t>
            </w:r>
            <w:r>
              <w:rPr>
                <w:rFonts w:hint="eastAsia" w:ascii="方正仿宋_GBK" w:hAnsi="方正仿宋_GBK" w:cs="方正仿宋_GBK"/>
                <w:kern w:val="0"/>
                <w:sz w:val="20"/>
                <w:szCs w:val="20"/>
              </w:rPr>
              <w:t>台套。</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710983D">
            <w:pPr>
              <w:widowControl/>
              <w:jc w:val="center"/>
              <w:textAlignment w:val="center"/>
              <w:rPr>
                <w:rFonts w:ascii="方正仿宋_GBK"/>
                <w:sz w:val="20"/>
                <w:szCs w:val="20"/>
              </w:rPr>
            </w:pPr>
            <w:r>
              <w:rPr>
                <w:rFonts w:ascii="方正仿宋_GBK" w:hAnsi="方正仿宋_GBK" w:cs="方正仿宋_GBK"/>
                <w:kern w:val="0"/>
                <w:sz w:val="20"/>
                <w:szCs w:val="20"/>
              </w:rPr>
              <w:t>7215</w:t>
            </w:r>
          </w:p>
        </w:tc>
        <w:tc>
          <w:tcPr>
            <w:tcW w:w="12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B7F3686">
            <w:pPr>
              <w:widowControl/>
              <w:jc w:val="center"/>
              <w:textAlignment w:val="center"/>
              <w:rPr>
                <w:rFonts w:ascii="方正仿宋_GBK"/>
                <w:sz w:val="20"/>
                <w:szCs w:val="20"/>
              </w:rPr>
            </w:pPr>
            <w:r>
              <w:rPr>
                <w:rFonts w:ascii="方正仿宋_GBK" w:hAnsi="方正仿宋_GBK" w:cs="方正仿宋_GBK"/>
                <w:kern w:val="0"/>
                <w:sz w:val="20"/>
                <w:szCs w:val="20"/>
              </w:rPr>
              <w:t>2022-2023</w:t>
            </w:r>
          </w:p>
        </w:tc>
      </w:tr>
      <w:tr w14:paraId="5E9FB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0" w:hRule="atLeast"/>
          <w:jc w:val="center"/>
        </w:trPr>
        <w:tc>
          <w:tcPr>
            <w:tcW w:w="84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D180522">
            <w:pPr>
              <w:widowControl/>
              <w:jc w:val="center"/>
              <w:textAlignment w:val="center"/>
              <w:rPr>
                <w:rFonts w:ascii="方正仿宋_GBK"/>
                <w:sz w:val="20"/>
                <w:szCs w:val="20"/>
              </w:rPr>
            </w:pPr>
            <w:r>
              <w:rPr>
                <w:rFonts w:ascii="方正仿宋_GBK" w:hAnsi="方正仿宋_GBK" w:cs="方正仿宋_GBK"/>
                <w:kern w:val="0"/>
                <w:sz w:val="20"/>
                <w:szCs w:val="20"/>
              </w:rPr>
              <w:t>10</w:t>
            </w:r>
          </w:p>
        </w:tc>
        <w:tc>
          <w:tcPr>
            <w:tcW w:w="19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B89AB68">
            <w:pPr>
              <w:widowControl/>
              <w:jc w:val="center"/>
              <w:textAlignment w:val="center"/>
              <w:rPr>
                <w:rFonts w:ascii="方正仿宋_GBK"/>
                <w:sz w:val="20"/>
                <w:szCs w:val="20"/>
              </w:rPr>
            </w:pPr>
            <w:r>
              <w:rPr>
                <w:rFonts w:hint="eastAsia" w:ascii="方正仿宋_GBK" w:hAnsi="方正仿宋_GBK" w:cs="方正仿宋_GBK"/>
                <w:kern w:val="0"/>
                <w:sz w:val="20"/>
                <w:szCs w:val="20"/>
              </w:rPr>
              <w:t>县人民医院核医学楼建设工程</w:t>
            </w:r>
          </w:p>
        </w:tc>
        <w:tc>
          <w:tcPr>
            <w:tcW w:w="15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0D1E34B">
            <w:pPr>
              <w:widowControl/>
              <w:jc w:val="center"/>
              <w:textAlignment w:val="center"/>
              <w:rPr>
                <w:rFonts w:ascii="方正仿宋_GBK"/>
                <w:sz w:val="20"/>
                <w:szCs w:val="20"/>
              </w:rPr>
            </w:pPr>
            <w:r>
              <w:rPr>
                <w:rFonts w:hint="eastAsia" w:ascii="方正仿宋_GBK" w:hAnsi="方正仿宋_GBK" w:cs="方正仿宋_GBK"/>
                <w:kern w:val="0"/>
                <w:sz w:val="20"/>
                <w:szCs w:val="20"/>
              </w:rPr>
              <w:t>县人民医院</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BA592BF">
            <w:pPr>
              <w:widowControl/>
              <w:jc w:val="center"/>
              <w:textAlignment w:val="center"/>
              <w:rPr>
                <w:rFonts w:ascii="方正仿宋_GBK"/>
                <w:sz w:val="20"/>
                <w:szCs w:val="20"/>
              </w:rPr>
            </w:pPr>
            <w:r>
              <w:rPr>
                <w:rFonts w:hint="eastAsia" w:ascii="方正仿宋_GBK" w:hAnsi="方正仿宋_GBK" w:cs="方正仿宋_GBK"/>
                <w:kern w:val="0"/>
                <w:sz w:val="20"/>
                <w:szCs w:val="20"/>
              </w:rPr>
              <w:t>鱼复街道康宁社区</w:t>
            </w:r>
          </w:p>
        </w:tc>
        <w:tc>
          <w:tcPr>
            <w:tcW w:w="9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BA2D4FD">
            <w:pPr>
              <w:widowControl/>
              <w:jc w:val="center"/>
              <w:textAlignment w:val="center"/>
              <w:rPr>
                <w:rFonts w:ascii="方正仿宋_GBK"/>
                <w:sz w:val="20"/>
                <w:szCs w:val="20"/>
              </w:rPr>
            </w:pPr>
            <w:r>
              <w:rPr>
                <w:rFonts w:hint="eastAsia" w:ascii="方正仿宋_GBK" w:hAnsi="方正仿宋_GBK" w:cs="方正仿宋_GBK"/>
                <w:kern w:val="0"/>
                <w:sz w:val="20"/>
                <w:szCs w:val="20"/>
              </w:rPr>
              <w:t>新建</w:t>
            </w:r>
          </w:p>
        </w:tc>
        <w:tc>
          <w:tcPr>
            <w:tcW w:w="5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7E60258">
            <w:pPr>
              <w:widowControl/>
              <w:jc w:val="center"/>
              <w:textAlignment w:val="center"/>
              <w:rPr>
                <w:rFonts w:ascii="方正仿宋_GBK"/>
                <w:sz w:val="20"/>
                <w:szCs w:val="20"/>
              </w:rPr>
            </w:pPr>
            <w:r>
              <w:rPr>
                <w:rFonts w:hint="eastAsia" w:ascii="方正仿宋_GBK" w:hAnsi="方正仿宋_GBK" w:cs="方正仿宋_GBK"/>
                <w:kern w:val="0"/>
                <w:sz w:val="20"/>
                <w:szCs w:val="20"/>
              </w:rPr>
              <w:t>在老院区旁建设业务用房</w:t>
            </w:r>
            <w:r>
              <w:rPr>
                <w:rFonts w:ascii="方正仿宋_GBK" w:hAnsi="方正仿宋_GBK" w:cs="方正仿宋_GBK"/>
                <w:kern w:val="0"/>
                <w:sz w:val="20"/>
                <w:szCs w:val="20"/>
              </w:rPr>
              <w:t>3850</w:t>
            </w:r>
            <w:r>
              <w:rPr>
                <w:rFonts w:hint="eastAsia" w:ascii="方正仿宋_GBK" w:hAnsi="方正仿宋_GBK" w:cs="方正仿宋_GBK"/>
                <w:kern w:val="0"/>
                <w:sz w:val="20"/>
                <w:szCs w:val="20"/>
              </w:rPr>
              <w:t>㎡，建设内容包括核防护区、机房区、注射区、留观区、功能用房及停车场等配套设施。</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DFBF704">
            <w:pPr>
              <w:widowControl/>
              <w:jc w:val="center"/>
              <w:textAlignment w:val="center"/>
              <w:rPr>
                <w:rFonts w:ascii="方正仿宋_GBK"/>
                <w:sz w:val="20"/>
                <w:szCs w:val="20"/>
              </w:rPr>
            </w:pPr>
            <w:r>
              <w:rPr>
                <w:rFonts w:ascii="方正仿宋_GBK" w:hAnsi="方正仿宋_GBK" w:cs="方正仿宋_GBK"/>
                <w:kern w:val="0"/>
                <w:sz w:val="20"/>
                <w:szCs w:val="20"/>
              </w:rPr>
              <w:t>2600</w:t>
            </w:r>
          </w:p>
        </w:tc>
        <w:tc>
          <w:tcPr>
            <w:tcW w:w="12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2460F4A">
            <w:pPr>
              <w:widowControl/>
              <w:jc w:val="center"/>
              <w:textAlignment w:val="center"/>
              <w:rPr>
                <w:rFonts w:ascii="方正仿宋_GBK"/>
                <w:sz w:val="20"/>
                <w:szCs w:val="20"/>
              </w:rPr>
            </w:pPr>
            <w:r>
              <w:rPr>
                <w:rFonts w:ascii="方正仿宋_GBK" w:hAnsi="方正仿宋_GBK" w:cs="方正仿宋_GBK"/>
                <w:kern w:val="0"/>
                <w:sz w:val="20"/>
                <w:szCs w:val="20"/>
              </w:rPr>
              <w:t>2022-2023</w:t>
            </w:r>
          </w:p>
        </w:tc>
      </w:tr>
      <w:tr w14:paraId="6FE8D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0" w:hRule="atLeast"/>
          <w:jc w:val="center"/>
        </w:trPr>
        <w:tc>
          <w:tcPr>
            <w:tcW w:w="84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0C9D551">
            <w:pPr>
              <w:widowControl/>
              <w:jc w:val="center"/>
              <w:textAlignment w:val="center"/>
              <w:rPr>
                <w:rFonts w:ascii="方正仿宋_GBK"/>
                <w:sz w:val="20"/>
                <w:szCs w:val="20"/>
              </w:rPr>
            </w:pPr>
            <w:r>
              <w:rPr>
                <w:rFonts w:ascii="方正仿宋_GBK" w:hAnsi="方正仿宋_GBK" w:cs="方正仿宋_GBK"/>
                <w:kern w:val="0"/>
                <w:sz w:val="20"/>
                <w:szCs w:val="20"/>
              </w:rPr>
              <w:t>11</w:t>
            </w:r>
          </w:p>
        </w:tc>
        <w:tc>
          <w:tcPr>
            <w:tcW w:w="19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7DAAB82">
            <w:pPr>
              <w:widowControl/>
              <w:jc w:val="center"/>
              <w:textAlignment w:val="center"/>
              <w:rPr>
                <w:rFonts w:ascii="方正仿宋_GBK"/>
                <w:sz w:val="20"/>
                <w:szCs w:val="20"/>
              </w:rPr>
            </w:pPr>
            <w:r>
              <w:rPr>
                <w:rFonts w:hint="eastAsia" w:ascii="方正仿宋_GBK" w:hAnsi="方正仿宋_GBK" w:cs="方正仿宋_GBK"/>
                <w:kern w:val="0"/>
                <w:sz w:val="20"/>
                <w:szCs w:val="20"/>
              </w:rPr>
              <w:t>县人民医院科研教学楼</w:t>
            </w:r>
          </w:p>
        </w:tc>
        <w:tc>
          <w:tcPr>
            <w:tcW w:w="15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4007448">
            <w:pPr>
              <w:widowControl/>
              <w:jc w:val="center"/>
              <w:textAlignment w:val="center"/>
              <w:rPr>
                <w:rFonts w:ascii="方正仿宋_GBK"/>
                <w:sz w:val="20"/>
                <w:szCs w:val="20"/>
              </w:rPr>
            </w:pPr>
            <w:r>
              <w:rPr>
                <w:rFonts w:hint="eastAsia" w:ascii="方正仿宋_GBK" w:hAnsi="方正仿宋_GBK" w:cs="方正仿宋_GBK"/>
                <w:kern w:val="0"/>
                <w:sz w:val="20"/>
                <w:szCs w:val="20"/>
              </w:rPr>
              <w:t>县人民医院</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B10A0BF">
            <w:pPr>
              <w:widowControl/>
              <w:jc w:val="center"/>
              <w:textAlignment w:val="center"/>
              <w:rPr>
                <w:rFonts w:ascii="方正仿宋_GBK"/>
                <w:sz w:val="20"/>
                <w:szCs w:val="20"/>
              </w:rPr>
            </w:pPr>
            <w:r>
              <w:rPr>
                <w:rFonts w:hint="eastAsia" w:ascii="方正仿宋_GBK" w:hAnsi="方正仿宋_GBK" w:cs="方正仿宋_GBK"/>
                <w:kern w:val="0"/>
                <w:sz w:val="20"/>
                <w:szCs w:val="20"/>
              </w:rPr>
              <w:t>鱼复街道</w:t>
            </w:r>
          </w:p>
        </w:tc>
        <w:tc>
          <w:tcPr>
            <w:tcW w:w="9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093B5DC">
            <w:pPr>
              <w:widowControl/>
              <w:jc w:val="center"/>
              <w:textAlignment w:val="center"/>
              <w:rPr>
                <w:rFonts w:ascii="方正仿宋_GBK"/>
                <w:sz w:val="20"/>
                <w:szCs w:val="20"/>
              </w:rPr>
            </w:pPr>
            <w:r>
              <w:rPr>
                <w:rFonts w:hint="eastAsia" w:ascii="方正仿宋_GBK" w:hAnsi="方正仿宋_GBK" w:cs="方正仿宋_GBK"/>
                <w:kern w:val="0"/>
                <w:sz w:val="20"/>
                <w:szCs w:val="20"/>
              </w:rPr>
              <w:t>新建</w:t>
            </w:r>
          </w:p>
        </w:tc>
        <w:tc>
          <w:tcPr>
            <w:tcW w:w="5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6D26818">
            <w:pPr>
              <w:widowControl/>
              <w:jc w:val="center"/>
              <w:textAlignment w:val="center"/>
              <w:rPr>
                <w:rFonts w:ascii="方正仿宋_GBK"/>
                <w:sz w:val="20"/>
                <w:szCs w:val="20"/>
              </w:rPr>
            </w:pPr>
            <w:r>
              <w:rPr>
                <w:rFonts w:hint="eastAsia" w:ascii="方正仿宋_GBK" w:hAnsi="方正仿宋_GBK" w:cs="方正仿宋_GBK"/>
                <w:kern w:val="0"/>
                <w:sz w:val="20"/>
                <w:szCs w:val="20"/>
              </w:rPr>
              <w:t>建设业务用房</w:t>
            </w:r>
            <w:r>
              <w:rPr>
                <w:rFonts w:ascii="方正仿宋_GBK" w:hAnsi="方正仿宋_GBK" w:cs="方正仿宋_GBK"/>
                <w:kern w:val="0"/>
                <w:sz w:val="20"/>
                <w:szCs w:val="20"/>
              </w:rPr>
              <w:t>17958</w:t>
            </w:r>
            <w:r>
              <w:rPr>
                <w:rFonts w:hint="eastAsia" w:ascii="方正仿宋_GBK" w:hAnsi="方正仿宋_GBK" w:cs="方正仿宋_GBK"/>
                <w:kern w:val="0"/>
                <w:sz w:val="20"/>
                <w:szCs w:val="20"/>
              </w:rPr>
              <w:t>平方米，包括培训综合楼、学术交流中心及停车场等。</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BBFD64E">
            <w:pPr>
              <w:widowControl/>
              <w:jc w:val="center"/>
              <w:textAlignment w:val="center"/>
              <w:rPr>
                <w:rFonts w:ascii="方正仿宋_GBK"/>
                <w:sz w:val="20"/>
                <w:szCs w:val="20"/>
              </w:rPr>
            </w:pPr>
            <w:r>
              <w:rPr>
                <w:rFonts w:ascii="方正仿宋_GBK" w:hAnsi="方正仿宋_GBK" w:cs="方正仿宋_GBK"/>
                <w:kern w:val="0"/>
                <w:sz w:val="20"/>
                <w:szCs w:val="20"/>
              </w:rPr>
              <w:t>10774</w:t>
            </w:r>
          </w:p>
        </w:tc>
        <w:tc>
          <w:tcPr>
            <w:tcW w:w="12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978772E">
            <w:pPr>
              <w:widowControl/>
              <w:jc w:val="center"/>
              <w:textAlignment w:val="center"/>
              <w:rPr>
                <w:rFonts w:ascii="方正仿宋_GBK"/>
                <w:sz w:val="20"/>
                <w:szCs w:val="20"/>
              </w:rPr>
            </w:pPr>
            <w:r>
              <w:rPr>
                <w:rFonts w:ascii="方正仿宋_GBK" w:hAnsi="方正仿宋_GBK" w:cs="方正仿宋_GBK"/>
                <w:kern w:val="0"/>
                <w:sz w:val="20"/>
                <w:szCs w:val="20"/>
              </w:rPr>
              <w:t>2023-2025</w:t>
            </w:r>
          </w:p>
        </w:tc>
      </w:tr>
      <w:tr w14:paraId="0DFC6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0" w:hRule="atLeast"/>
          <w:jc w:val="center"/>
        </w:trPr>
        <w:tc>
          <w:tcPr>
            <w:tcW w:w="84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0E207C6">
            <w:pPr>
              <w:widowControl/>
              <w:jc w:val="center"/>
              <w:textAlignment w:val="center"/>
              <w:rPr>
                <w:rFonts w:ascii="方正仿宋_GBK"/>
                <w:sz w:val="20"/>
                <w:szCs w:val="20"/>
              </w:rPr>
            </w:pPr>
            <w:r>
              <w:rPr>
                <w:rFonts w:ascii="方正仿宋_GBK" w:hAnsi="方正仿宋_GBK" w:cs="方正仿宋_GBK"/>
                <w:kern w:val="0"/>
                <w:sz w:val="20"/>
                <w:szCs w:val="20"/>
              </w:rPr>
              <w:t>12</w:t>
            </w:r>
          </w:p>
        </w:tc>
        <w:tc>
          <w:tcPr>
            <w:tcW w:w="19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6907519">
            <w:pPr>
              <w:widowControl/>
              <w:jc w:val="center"/>
              <w:textAlignment w:val="center"/>
              <w:rPr>
                <w:rFonts w:ascii="方正仿宋_GBK"/>
                <w:sz w:val="20"/>
                <w:szCs w:val="20"/>
              </w:rPr>
            </w:pPr>
            <w:r>
              <w:rPr>
                <w:rFonts w:hint="eastAsia" w:ascii="方正仿宋_GBK" w:hAnsi="方正仿宋_GBK" w:cs="方正仿宋_GBK"/>
                <w:kern w:val="0"/>
                <w:sz w:val="20"/>
                <w:szCs w:val="20"/>
              </w:rPr>
              <w:t>县人民医院传染病分院</w:t>
            </w:r>
          </w:p>
        </w:tc>
        <w:tc>
          <w:tcPr>
            <w:tcW w:w="15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7478FB1">
            <w:pPr>
              <w:widowControl/>
              <w:jc w:val="center"/>
              <w:textAlignment w:val="center"/>
              <w:rPr>
                <w:rFonts w:ascii="方正仿宋_GBK"/>
                <w:sz w:val="20"/>
                <w:szCs w:val="20"/>
              </w:rPr>
            </w:pPr>
            <w:r>
              <w:rPr>
                <w:rFonts w:hint="eastAsia" w:ascii="方正仿宋_GBK" w:hAnsi="方正仿宋_GBK" w:cs="方正仿宋_GBK"/>
                <w:kern w:val="0"/>
                <w:sz w:val="20"/>
                <w:szCs w:val="20"/>
              </w:rPr>
              <w:t>县人民医院</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894C164">
            <w:pPr>
              <w:widowControl/>
              <w:jc w:val="center"/>
              <w:textAlignment w:val="center"/>
              <w:rPr>
                <w:rFonts w:ascii="方正仿宋_GBK"/>
                <w:sz w:val="20"/>
                <w:szCs w:val="20"/>
              </w:rPr>
            </w:pPr>
            <w:r>
              <w:rPr>
                <w:rFonts w:hint="eastAsia" w:ascii="方正仿宋_GBK" w:hAnsi="方正仿宋_GBK" w:cs="方正仿宋_GBK"/>
                <w:kern w:val="0"/>
                <w:sz w:val="20"/>
                <w:szCs w:val="20"/>
              </w:rPr>
              <w:t>鱼复街道康宁社区</w:t>
            </w:r>
          </w:p>
        </w:tc>
        <w:tc>
          <w:tcPr>
            <w:tcW w:w="9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1F18D8B">
            <w:pPr>
              <w:widowControl/>
              <w:jc w:val="center"/>
              <w:textAlignment w:val="center"/>
              <w:rPr>
                <w:rFonts w:ascii="方正仿宋_GBK"/>
                <w:sz w:val="20"/>
                <w:szCs w:val="20"/>
              </w:rPr>
            </w:pPr>
            <w:r>
              <w:rPr>
                <w:rFonts w:hint="eastAsia" w:ascii="方正仿宋_GBK" w:hAnsi="方正仿宋_GBK" w:cs="方正仿宋_GBK"/>
                <w:kern w:val="0"/>
                <w:sz w:val="20"/>
                <w:szCs w:val="20"/>
              </w:rPr>
              <w:t>新建</w:t>
            </w:r>
          </w:p>
        </w:tc>
        <w:tc>
          <w:tcPr>
            <w:tcW w:w="5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50A0927">
            <w:pPr>
              <w:widowControl/>
              <w:jc w:val="center"/>
              <w:textAlignment w:val="center"/>
              <w:rPr>
                <w:rFonts w:ascii="方正仿宋_GBK"/>
                <w:sz w:val="20"/>
                <w:szCs w:val="20"/>
              </w:rPr>
            </w:pPr>
            <w:r>
              <w:rPr>
                <w:rFonts w:hint="eastAsia" w:ascii="方正仿宋_GBK" w:hAnsi="方正仿宋_GBK" w:cs="方正仿宋_GBK"/>
                <w:kern w:val="0"/>
                <w:sz w:val="20"/>
                <w:szCs w:val="20"/>
              </w:rPr>
              <w:t>建设业务用房</w:t>
            </w:r>
            <w:r>
              <w:rPr>
                <w:rFonts w:ascii="方正仿宋_GBK" w:hAnsi="方正仿宋_GBK" w:cs="方正仿宋_GBK"/>
                <w:kern w:val="0"/>
                <w:sz w:val="20"/>
                <w:szCs w:val="20"/>
              </w:rPr>
              <w:t>18000</w:t>
            </w:r>
            <w:r>
              <w:rPr>
                <w:rFonts w:hint="eastAsia" w:ascii="方正仿宋_GBK" w:hAnsi="方正仿宋_GBK" w:cs="方正仿宋_GBK"/>
                <w:kern w:val="0"/>
                <w:sz w:val="20"/>
                <w:szCs w:val="20"/>
              </w:rPr>
              <w:t>㎡，设置床位</w:t>
            </w:r>
            <w:r>
              <w:rPr>
                <w:rFonts w:ascii="方正仿宋_GBK" w:hAnsi="方正仿宋_GBK" w:cs="方正仿宋_GBK"/>
                <w:kern w:val="0"/>
                <w:sz w:val="20"/>
                <w:szCs w:val="20"/>
              </w:rPr>
              <w:t>250</w:t>
            </w:r>
            <w:r>
              <w:rPr>
                <w:rFonts w:hint="eastAsia" w:ascii="方正仿宋_GBK" w:hAnsi="方正仿宋_GBK" w:cs="方正仿宋_GBK"/>
                <w:kern w:val="0"/>
                <w:sz w:val="20"/>
                <w:szCs w:val="20"/>
              </w:rPr>
              <w:t>张，包括门（急）诊部、住院部等业务用房及附属设施；采购配套医疗设备。</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20AD642">
            <w:pPr>
              <w:widowControl/>
              <w:jc w:val="center"/>
              <w:textAlignment w:val="center"/>
              <w:rPr>
                <w:rFonts w:ascii="方正仿宋_GBK"/>
                <w:sz w:val="20"/>
                <w:szCs w:val="20"/>
              </w:rPr>
            </w:pPr>
            <w:r>
              <w:rPr>
                <w:rFonts w:ascii="方正仿宋_GBK" w:hAnsi="方正仿宋_GBK" w:cs="方正仿宋_GBK"/>
                <w:kern w:val="0"/>
                <w:sz w:val="20"/>
                <w:szCs w:val="20"/>
              </w:rPr>
              <w:t>18000</w:t>
            </w:r>
          </w:p>
        </w:tc>
        <w:tc>
          <w:tcPr>
            <w:tcW w:w="12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B3DF6BC">
            <w:pPr>
              <w:widowControl/>
              <w:jc w:val="center"/>
              <w:textAlignment w:val="center"/>
              <w:rPr>
                <w:rFonts w:ascii="方正仿宋_GBK"/>
                <w:sz w:val="20"/>
                <w:szCs w:val="20"/>
              </w:rPr>
            </w:pPr>
            <w:r>
              <w:rPr>
                <w:rFonts w:ascii="方正仿宋_GBK" w:hAnsi="方正仿宋_GBK" w:cs="方正仿宋_GBK"/>
                <w:kern w:val="0"/>
                <w:sz w:val="20"/>
                <w:szCs w:val="20"/>
              </w:rPr>
              <w:t>2023-2025</w:t>
            </w:r>
          </w:p>
        </w:tc>
      </w:tr>
      <w:tr w14:paraId="48A2B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0" w:hRule="atLeast"/>
          <w:jc w:val="center"/>
        </w:trPr>
        <w:tc>
          <w:tcPr>
            <w:tcW w:w="84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58C8580">
            <w:pPr>
              <w:widowControl/>
              <w:jc w:val="center"/>
              <w:textAlignment w:val="center"/>
              <w:rPr>
                <w:rFonts w:ascii="方正仿宋_GBK"/>
                <w:sz w:val="20"/>
                <w:szCs w:val="20"/>
              </w:rPr>
            </w:pPr>
            <w:r>
              <w:rPr>
                <w:rFonts w:ascii="方正仿宋_GBK" w:hAnsi="方正仿宋_GBK" w:cs="方正仿宋_GBK"/>
                <w:kern w:val="0"/>
                <w:sz w:val="20"/>
                <w:szCs w:val="20"/>
              </w:rPr>
              <w:t>13</w:t>
            </w:r>
          </w:p>
        </w:tc>
        <w:tc>
          <w:tcPr>
            <w:tcW w:w="19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935C9B1">
            <w:pPr>
              <w:widowControl/>
              <w:jc w:val="center"/>
              <w:textAlignment w:val="center"/>
              <w:rPr>
                <w:rFonts w:ascii="方正仿宋_GBK"/>
                <w:sz w:val="20"/>
                <w:szCs w:val="20"/>
              </w:rPr>
            </w:pPr>
            <w:r>
              <w:rPr>
                <w:rFonts w:hint="eastAsia" w:ascii="方正仿宋_GBK" w:hAnsi="方正仿宋_GBK" w:cs="方正仿宋_GBK"/>
                <w:kern w:val="0"/>
                <w:sz w:val="20"/>
                <w:szCs w:val="20"/>
              </w:rPr>
              <w:t>县中医院扩建工程中医特色专科综合楼</w:t>
            </w:r>
          </w:p>
        </w:tc>
        <w:tc>
          <w:tcPr>
            <w:tcW w:w="15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A80670C">
            <w:pPr>
              <w:widowControl/>
              <w:jc w:val="center"/>
              <w:textAlignment w:val="center"/>
              <w:rPr>
                <w:rFonts w:ascii="方正仿宋_GBK"/>
                <w:sz w:val="20"/>
                <w:szCs w:val="20"/>
              </w:rPr>
            </w:pPr>
            <w:r>
              <w:rPr>
                <w:rFonts w:hint="eastAsia" w:ascii="方正仿宋_GBK" w:hAnsi="方正仿宋_GBK" w:cs="方正仿宋_GBK"/>
                <w:kern w:val="0"/>
                <w:sz w:val="20"/>
                <w:szCs w:val="20"/>
              </w:rPr>
              <w:t>县中医院</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DBC2A54">
            <w:pPr>
              <w:widowControl/>
              <w:jc w:val="center"/>
              <w:textAlignment w:val="center"/>
              <w:rPr>
                <w:rFonts w:ascii="方正仿宋_GBK"/>
                <w:sz w:val="20"/>
                <w:szCs w:val="20"/>
              </w:rPr>
            </w:pPr>
            <w:r>
              <w:rPr>
                <w:rFonts w:hint="eastAsia" w:ascii="方正仿宋_GBK" w:hAnsi="方正仿宋_GBK" w:cs="方正仿宋_GBK"/>
                <w:kern w:val="0"/>
                <w:sz w:val="20"/>
                <w:szCs w:val="20"/>
              </w:rPr>
              <w:t>夔州街道冒峰社区</w:t>
            </w:r>
          </w:p>
        </w:tc>
        <w:tc>
          <w:tcPr>
            <w:tcW w:w="9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5B01992">
            <w:pPr>
              <w:widowControl/>
              <w:jc w:val="center"/>
              <w:textAlignment w:val="center"/>
              <w:rPr>
                <w:rFonts w:ascii="方正仿宋_GBK"/>
                <w:sz w:val="20"/>
                <w:szCs w:val="20"/>
              </w:rPr>
            </w:pPr>
            <w:r>
              <w:rPr>
                <w:rFonts w:hint="eastAsia" w:ascii="方正仿宋_GBK" w:hAnsi="方正仿宋_GBK" w:cs="方正仿宋_GBK"/>
                <w:kern w:val="0"/>
                <w:sz w:val="20"/>
                <w:szCs w:val="20"/>
              </w:rPr>
              <w:t>新建</w:t>
            </w:r>
          </w:p>
        </w:tc>
        <w:tc>
          <w:tcPr>
            <w:tcW w:w="5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23DFAA7">
            <w:pPr>
              <w:widowControl/>
              <w:jc w:val="center"/>
              <w:textAlignment w:val="center"/>
              <w:rPr>
                <w:rFonts w:ascii="方正仿宋_GBK"/>
                <w:sz w:val="20"/>
                <w:szCs w:val="20"/>
              </w:rPr>
            </w:pPr>
            <w:r>
              <w:rPr>
                <w:rFonts w:hint="eastAsia" w:ascii="方正仿宋_GBK" w:hAnsi="方正仿宋_GBK" w:cs="方正仿宋_GBK"/>
                <w:kern w:val="0"/>
                <w:sz w:val="20"/>
                <w:szCs w:val="20"/>
              </w:rPr>
              <w:t>建设业务用房</w:t>
            </w:r>
            <w:r>
              <w:rPr>
                <w:rFonts w:ascii="方正仿宋_GBK" w:hAnsi="方正仿宋_GBK" w:cs="方正仿宋_GBK"/>
                <w:kern w:val="0"/>
                <w:sz w:val="20"/>
                <w:szCs w:val="20"/>
              </w:rPr>
              <w:t>14913</w:t>
            </w:r>
            <w:r>
              <w:rPr>
                <w:rFonts w:hint="eastAsia" w:ascii="方正仿宋_GBK" w:hAnsi="方正仿宋_GBK" w:cs="方正仿宋_GBK"/>
                <w:kern w:val="0"/>
                <w:sz w:val="20"/>
                <w:szCs w:val="20"/>
              </w:rPr>
              <w:t>㎡平米（含车库</w:t>
            </w:r>
            <w:r>
              <w:rPr>
                <w:rFonts w:ascii="方正仿宋_GBK" w:hAnsi="方正仿宋_GBK" w:cs="方正仿宋_GBK"/>
                <w:kern w:val="0"/>
                <w:sz w:val="20"/>
                <w:szCs w:val="20"/>
              </w:rPr>
              <w:t>21238</w:t>
            </w:r>
            <w:r>
              <w:rPr>
                <w:rFonts w:hint="eastAsia" w:ascii="方正仿宋_GBK" w:hAnsi="方正仿宋_GBK" w:cs="方正仿宋_GBK"/>
                <w:kern w:val="0"/>
                <w:sz w:val="20"/>
                <w:szCs w:val="20"/>
              </w:rPr>
              <w:t>㎡），包括场地平整、土建及装饰工程、电气工程、排水工程、暖通工程。</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B40FCE1">
            <w:pPr>
              <w:widowControl/>
              <w:jc w:val="center"/>
              <w:textAlignment w:val="center"/>
              <w:rPr>
                <w:rFonts w:ascii="方正仿宋_GBK"/>
                <w:sz w:val="20"/>
                <w:szCs w:val="20"/>
              </w:rPr>
            </w:pPr>
            <w:r>
              <w:rPr>
                <w:rFonts w:ascii="方正仿宋_GBK" w:hAnsi="方正仿宋_GBK" w:cs="方正仿宋_GBK"/>
                <w:kern w:val="0"/>
                <w:sz w:val="20"/>
                <w:szCs w:val="20"/>
              </w:rPr>
              <w:t>12500</w:t>
            </w:r>
          </w:p>
        </w:tc>
        <w:tc>
          <w:tcPr>
            <w:tcW w:w="12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BD5AD50">
            <w:pPr>
              <w:widowControl/>
              <w:jc w:val="center"/>
              <w:textAlignment w:val="center"/>
              <w:rPr>
                <w:rFonts w:ascii="方正仿宋_GBK"/>
                <w:sz w:val="20"/>
                <w:szCs w:val="20"/>
              </w:rPr>
            </w:pPr>
            <w:r>
              <w:rPr>
                <w:rFonts w:ascii="方正仿宋_GBK" w:hAnsi="方正仿宋_GBK" w:cs="方正仿宋_GBK"/>
                <w:kern w:val="0"/>
                <w:sz w:val="20"/>
                <w:szCs w:val="20"/>
              </w:rPr>
              <w:t>2022-2025</w:t>
            </w:r>
          </w:p>
        </w:tc>
      </w:tr>
      <w:tr w14:paraId="28912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3" w:hRule="atLeast"/>
          <w:jc w:val="center"/>
        </w:trPr>
        <w:tc>
          <w:tcPr>
            <w:tcW w:w="84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D27DFC0">
            <w:pPr>
              <w:widowControl/>
              <w:jc w:val="center"/>
              <w:textAlignment w:val="center"/>
              <w:rPr>
                <w:rFonts w:ascii="方正仿宋_GBK"/>
                <w:sz w:val="20"/>
                <w:szCs w:val="20"/>
              </w:rPr>
            </w:pPr>
            <w:r>
              <w:rPr>
                <w:rFonts w:ascii="方正仿宋_GBK" w:hAnsi="方正仿宋_GBK" w:cs="方正仿宋_GBK"/>
                <w:kern w:val="0"/>
                <w:sz w:val="20"/>
                <w:szCs w:val="20"/>
              </w:rPr>
              <w:t>14</w:t>
            </w:r>
          </w:p>
        </w:tc>
        <w:tc>
          <w:tcPr>
            <w:tcW w:w="19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72DB149">
            <w:pPr>
              <w:widowControl/>
              <w:jc w:val="center"/>
              <w:textAlignment w:val="center"/>
              <w:rPr>
                <w:rFonts w:ascii="方正仿宋_GBK"/>
                <w:sz w:val="20"/>
                <w:szCs w:val="20"/>
              </w:rPr>
            </w:pPr>
            <w:r>
              <w:rPr>
                <w:rFonts w:hint="eastAsia" w:ascii="方正仿宋_GBK" w:hAnsi="方正仿宋_GBK" w:cs="方正仿宋_GBK"/>
                <w:kern w:val="0"/>
                <w:sz w:val="20"/>
                <w:szCs w:val="20"/>
              </w:rPr>
              <w:t>县中医院扩建工程慢性病管理中心</w:t>
            </w:r>
          </w:p>
        </w:tc>
        <w:tc>
          <w:tcPr>
            <w:tcW w:w="15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9291E98">
            <w:pPr>
              <w:widowControl/>
              <w:jc w:val="center"/>
              <w:textAlignment w:val="center"/>
              <w:rPr>
                <w:rFonts w:ascii="方正仿宋_GBK"/>
                <w:sz w:val="20"/>
                <w:szCs w:val="20"/>
              </w:rPr>
            </w:pPr>
            <w:r>
              <w:rPr>
                <w:rFonts w:hint="eastAsia" w:ascii="方正仿宋_GBK" w:hAnsi="方正仿宋_GBK" w:cs="方正仿宋_GBK"/>
                <w:kern w:val="0"/>
                <w:sz w:val="20"/>
                <w:szCs w:val="20"/>
              </w:rPr>
              <w:t>县中医院</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6820F27">
            <w:pPr>
              <w:widowControl/>
              <w:jc w:val="center"/>
              <w:textAlignment w:val="center"/>
              <w:rPr>
                <w:rFonts w:ascii="方正仿宋_GBK"/>
                <w:sz w:val="20"/>
                <w:szCs w:val="20"/>
              </w:rPr>
            </w:pPr>
            <w:r>
              <w:rPr>
                <w:rFonts w:hint="eastAsia" w:ascii="方正仿宋_GBK" w:hAnsi="方正仿宋_GBK" w:cs="方正仿宋_GBK"/>
                <w:kern w:val="0"/>
                <w:sz w:val="20"/>
                <w:szCs w:val="20"/>
              </w:rPr>
              <w:t>夔州街道冒峰社区</w:t>
            </w:r>
          </w:p>
        </w:tc>
        <w:tc>
          <w:tcPr>
            <w:tcW w:w="9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AE12224">
            <w:pPr>
              <w:widowControl/>
              <w:jc w:val="center"/>
              <w:textAlignment w:val="center"/>
              <w:rPr>
                <w:rFonts w:ascii="方正仿宋_GBK"/>
                <w:sz w:val="20"/>
                <w:szCs w:val="20"/>
              </w:rPr>
            </w:pPr>
            <w:r>
              <w:rPr>
                <w:rFonts w:hint="eastAsia" w:ascii="方正仿宋_GBK" w:hAnsi="方正仿宋_GBK" w:cs="方正仿宋_GBK"/>
                <w:kern w:val="0"/>
                <w:sz w:val="20"/>
                <w:szCs w:val="20"/>
              </w:rPr>
              <w:t>新建</w:t>
            </w:r>
          </w:p>
        </w:tc>
        <w:tc>
          <w:tcPr>
            <w:tcW w:w="5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F0CAF99">
            <w:pPr>
              <w:widowControl/>
              <w:jc w:val="center"/>
              <w:textAlignment w:val="center"/>
              <w:rPr>
                <w:rFonts w:ascii="方正仿宋_GBK"/>
                <w:sz w:val="20"/>
                <w:szCs w:val="20"/>
              </w:rPr>
            </w:pPr>
            <w:r>
              <w:rPr>
                <w:rFonts w:hint="eastAsia" w:ascii="方正仿宋_GBK" w:hAnsi="方正仿宋_GBK" w:cs="方正仿宋_GBK"/>
                <w:kern w:val="0"/>
                <w:sz w:val="20"/>
                <w:szCs w:val="20"/>
              </w:rPr>
              <w:t>建设业务用房</w:t>
            </w:r>
            <w:r>
              <w:rPr>
                <w:rFonts w:ascii="方正仿宋_GBK" w:hAnsi="方正仿宋_GBK" w:cs="方正仿宋_GBK"/>
                <w:kern w:val="0"/>
                <w:sz w:val="20"/>
                <w:szCs w:val="20"/>
              </w:rPr>
              <w:t>14116</w:t>
            </w:r>
            <w:r>
              <w:rPr>
                <w:rFonts w:hint="eastAsia" w:ascii="方正仿宋_GBK" w:hAnsi="方正仿宋_GBK" w:cs="方正仿宋_GBK"/>
                <w:kern w:val="0"/>
                <w:sz w:val="20"/>
                <w:szCs w:val="20"/>
              </w:rPr>
              <w:t>㎡（含车库</w:t>
            </w:r>
            <w:r>
              <w:rPr>
                <w:rFonts w:ascii="方正仿宋_GBK" w:hAnsi="方正仿宋_GBK" w:cs="方正仿宋_GBK"/>
                <w:kern w:val="0"/>
                <w:sz w:val="20"/>
                <w:szCs w:val="20"/>
              </w:rPr>
              <w:t>36215</w:t>
            </w:r>
            <w:r>
              <w:rPr>
                <w:rFonts w:hint="eastAsia" w:ascii="方正仿宋_GBK" w:hAnsi="方正仿宋_GBK" w:cs="方正仿宋_GBK"/>
                <w:kern w:val="0"/>
                <w:sz w:val="20"/>
                <w:szCs w:val="20"/>
              </w:rPr>
              <w:t>㎡），包括土建及装饰工程、电气暖通等配套设施，信息系统及医疗设备购置。</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37A1BDF">
            <w:pPr>
              <w:widowControl/>
              <w:jc w:val="center"/>
              <w:textAlignment w:val="center"/>
              <w:rPr>
                <w:rFonts w:ascii="方正仿宋_GBK"/>
                <w:sz w:val="20"/>
                <w:szCs w:val="20"/>
              </w:rPr>
            </w:pPr>
            <w:r>
              <w:rPr>
                <w:rFonts w:ascii="方正仿宋_GBK" w:hAnsi="方正仿宋_GBK" w:cs="方正仿宋_GBK"/>
                <w:kern w:val="0"/>
                <w:sz w:val="20"/>
                <w:szCs w:val="20"/>
              </w:rPr>
              <w:t>34300</w:t>
            </w:r>
          </w:p>
        </w:tc>
        <w:tc>
          <w:tcPr>
            <w:tcW w:w="12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4C0914C">
            <w:pPr>
              <w:widowControl/>
              <w:jc w:val="center"/>
              <w:textAlignment w:val="center"/>
              <w:rPr>
                <w:rFonts w:ascii="方正仿宋_GBK"/>
                <w:sz w:val="20"/>
                <w:szCs w:val="20"/>
              </w:rPr>
            </w:pPr>
            <w:r>
              <w:rPr>
                <w:rFonts w:ascii="方正仿宋_GBK" w:hAnsi="方正仿宋_GBK" w:cs="方正仿宋_GBK"/>
                <w:kern w:val="0"/>
                <w:sz w:val="20"/>
                <w:szCs w:val="20"/>
              </w:rPr>
              <w:t>2022-2025</w:t>
            </w:r>
          </w:p>
        </w:tc>
      </w:tr>
      <w:tr w14:paraId="68B93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1" w:hRule="atLeast"/>
          <w:jc w:val="center"/>
        </w:trPr>
        <w:tc>
          <w:tcPr>
            <w:tcW w:w="84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34CDF77">
            <w:pPr>
              <w:widowControl/>
              <w:jc w:val="center"/>
              <w:textAlignment w:val="center"/>
              <w:rPr>
                <w:rFonts w:ascii="方正仿宋_GBK"/>
                <w:sz w:val="20"/>
                <w:szCs w:val="20"/>
              </w:rPr>
            </w:pPr>
            <w:r>
              <w:rPr>
                <w:rFonts w:ascii="方正仿宋_GBK" w:hAnsi="方正仿宋_GBK" w:cs="方正仿宋_GBK"/>
                <w:kern w:val="0"/>
                <w:sz w:val="20"/>
                <w:szCs w:val="20"/>
              </w:rPr>
              <w:t>15</w:t>
            </w:r>
          </w:p>
        </w:tc>
        <w:tc>
          <w:tcPr>
            <w:tcW w:w="19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3B77037">
            <w:pPr>
              <w:widowControl/>
              <w:jc w:val="center"/>
              <w:textAlignment w:val="center"/>
              <w:rPr>
                <w:rFonts w:ascii="方正仿宋_GBK"/>
                <w:sz w:val="20"/>
                <w:szCs w:val="20"/>
              </w:rPr>
            </w:pPr>
            <w:r>
              <w:rPr>
                <w:rFonts w:hint="eastAsia" w:ascii="方正仿宋_GBK" w:hAnsi="方正仿宋_GBK" w:cs="方正仿宋_GBK"/>
                <w:kern w:val="0"/>
                <w:sz w:val="20"/>
                <w:szCs w:val="20"/>
              </w:rPr>
              <w:t>县中医院感染性疾病科建设</w:t>
            </w:r>
          </w:p>
        </w:tc>
        <w:tc>
          <w:tcPr>
            <w:tcW w:w="15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FCB9665">
            <w:pPr>
              <w:widowControl/>
              <w:jc w:val="center"/>
              <w:textAlignment w:val="center"/>
              <w:rPr>
                <w:rFonts w:ascii="方正仿宋_GBK"/>
                <w:sz w:val="20"/>
                <w:szCs w:val="20"/>
              </w:rPr>
            </w:pPr>
            <w:r>
              <w:rPr>
                <w:rFonts w:hint="eastAsia" w:ascii="方正仿宋_GBK" w:hAnsi="方正仿宋_GBK" w:cs="方正仿宋_GBK"/>
                <w:kern w:val="0"/>
                <w:sz w:val="20"/>
                <w:szCs w:val="20"/>
              </w:rPr>
              <w:t>县中医院</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5911182">
            <w:pPr>
              <w:widowControl/>
              <w:jc w:val="center"/>
              <w:textAlignment w:val="center"/>
              <w:rPr>
                <w:rFonts w:ascii="方正仿宋_GBK"/>
                <w:sz w:val="20"/>
                <w:szCs w:val="20"/>
              </w:rPr>
            </w:pPr>
            <w:r>
              <w:rPr>
                <w:rFonts w:hint="eastAsia" w:ascii="方正仿宋_GBK" w:hAnsi="方正仿宋_GBK" w:cs="方正仿宋_GBK"/>
                <w:kern w:val="0"/>
                <w:sz w:val="20"/>
                <w:szCs w:val="20"/>
              </w:rPr>
              <w:t>夔州街道冒峰社区</w:t>
            </w:r>
          </w:p>
        </w:tc>
        <w:tc>
          <w:tcPr>
            <w:tcW w:w="9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E803646">
            <w:pPr>
              <w:widowControl/>
              <w:jc w:val="center"/>
              <w:textAlignment w:val="center"/>
              <w:rPr>
                <w:rFonts w:ascii="方正仿宋_GBK"/>
                <w:sz w:val="20"/>
                <w:szCs w:val="20"/>
              </w:rPr>
            </w:pPr>
            <w:r>
              <w:rPr>
                <w:rFonts w:hint="eastAsia" w:ascii="方正仿宋_GBK" w:hAnsi="方正仿宋_GBK" w:cs="方正仿宋_GBK"/>
                <w:kern w:val="0"/>
                <w:sz w:val="20"/>
                <w:szCs w:val="20"/>
              </w:rPr>
              <w:t>新建</w:t>
            </w:r>
          </w:p>
        </w:tc>
        <w:tc>
          <w:tcPr>
            <w:tcW w:w="5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5B889FE">
            <w:pPr>
              <w:widowControl/>
              <w:jc w:val="center"/>
              <w:textAlignment w:val="center"/>
              <w:rPr>
                <w:rFonts w:ascii="方正仿宋_GBK"/>
                <w:sz w:val="20"/>
                <w:szCs w:val="20"/>
              </w:rPr>
            </w:pPr>
            <w:r>
              <w:rPr>
                <w:rFonts w:hint="eastAsia" w:ascii="方正仿宋_GBK" w:hAnsi="方正仿宋_GBK" w:cs="方正仿宋_GBK"/>
                <w:kern w:val="0"/>
                <w:sz w:val="20"/>
                <w:szCs w:val="20"/>
              </w:rPr>
              <w:t>占地</w:t>
            </w:r>
            <w:r>
              <w:rPr>
                <w:rFonts w:ascii="方正仿宋_GBK" w:hAnsi="方正仿宋_GBK" w:cs="方正仿宋_GBK"/>
                <w:kern w:val="0"/>
                <w:sz w:val="20"/>
                <w:szCs w:val="20"/>
              </w:rPr>
              <w:t>5.16</w:t>
            </w:r>
            <w:r>
              <w:rPr>
                <w:rFonts w:hint="eastAsia" w:ascii="方正仿宋_GBK" w:hAnsi="方正仿宋_GBK" w:cs="方正仿宋_GBK"/>
                <w:kern w:val="0"/>
                <w:sz w:val="20"/>
                <w:szCs w:val="20"/>
              </w:rPr>
              <w:t>亩，建设业务用房</w:t>
            </w:r>
            <w:r>
              <w:rPr>
                <w:rFonts w:ascii="方正仿宋_GBK" w:hAnsi="方正仿宋_GBK" w:cs="方正仿宋_GBK"/>
                <w:kern w:val="0"/>
                <w:sz w:val="20"/>
                <w:szCs w:val="20"/>
              </w:rPr>
              <w:t>4045</w:t>
            </w:r>
            <w:r>
              <w:rPr>
                <w:rFonts w:hint="eastAsia" w:ascii="方正仿宋_GBK" w:hAnsi="方正仿宋_GBK" w:cs="方正仿宋_GBK"/>
                <w:kern w:val="0"/>
                <w:sz w:val="20"/>
                <w:szCs w:val="20"/>
              </w:rPr>
              <w:t>㎡，包括地下车库、电气给排水、环境绿化工程等配套工程及医疗设备采购。</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C419B0D">
            <w:pPr>
              <w:widowControl/>
              <w:jc w:val="center"/>
              <w:textAlignment w:val="center"/>
              <w:rPr>
                <w:rFonts w:ascii="方正仿宋_GBK"/>
                <w:sz w:val="20"/>
                <w:szCs w:val="20"/>
              </w:rPr>
            </w:pPr>
            <w:r>
              <w:rPr>
                <w:rFonts w:ascii="方正仿宋_GBK" w:hAnsi="方正仿宋_GBK" w:cs="方正仿宋_GBK"/>
                <w:kern w:val="0"/>
                <w:sz w:val="20"/>
                <w:szCs w:val="20"/>
              </w:rPr>
              <w:t>4033</w:t>
            </w:r>
          </w:p>
        </w:tc>
        <w:tc>
          <w:tcPr>
            <w:tcW w:w="12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4E92213">
            <w:pPr>
              <w:widowControl/>
              <w:jc w:val="center"/>
              <w:textAlignment w:val="center"/>
              <w:rPr>
                <w:rFonts w:ascii="方正仿宋_GBK"/>
                <w:sz w:val="20"/>
                <w:szCs w:val="20"/>
              </w:rPr>
            </w:pPr>
            <w:r>
              <w:rPr>
                <w:rFonts w:ascii="方正仿宋_GBK" w:hAnsi="方正仿宋_GBK" w:cs="方正仿宋_GBK"/>
                <w:kern w:val="0"/>
                <w:sz w:val="20"/>
                <w:szCs w:val="20"/>
              </w:rPr>
              <w:t>2023-2025</w:t>
            </w:r>
          </w:p>
        </w:tc>
      </w:tr>
      <w:tr w14:paraId="467DB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0" w:hRule="atLeast"/>
          <w:jc w:val="center"/>
        </w:trPr>
        <w:tc>
          <w:tcPr>
            <w:tcW w:w="84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45B2C51">
            <w:pPr>
              <w:widowControl/>
              <w:jc w:val="center"/>
              <w:textAlignment w:val="center"/>
              <w:rPr>
                <w:rFonts w:ascii="方正仿宋_GBK"/>
                <w:sz w:val="20"/>
                <w:szCs w:val="20"/>
              </w:rPr>
            </w:pPr>
            <w:r>
              <w:rPr>
                <w:rFonts w:ascii="方正仿宋_GBK" w:hAnsi="方正仿宋_GBK" w:cs="方正仿宋_GBK"/>
                <w:kern w:val="0"/>
                <w:sz w:val="20"/>
                <w:szCs w:val="20"/>
              </w:rPr>
              <w:t>16</w:t>
            </w:r>
          </w:p>
        </w:tc>
        <w:tc>
          <w:tcPr>
            <w:tcW w:w="19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60C1B74">
            <w:pPr>
              <w:widowControl/>
              <w:jc w:val="center"/>
              <w:textAlignment w:val="center"/>
              <w:rPr>
                <w:rFonts w:ascii="方正仿宋_GBK"/>
                <w:sz w:val="20"/>
                <w:szCs w:val="20"/>
              </w:rPr>
            </w:pPr>
            <w:r>
              <w:rPr>
                <w:rFonts w:hint="eastAsia" w:ascii="方正仿宋_GBK" w:hAnsi="方正仿宋_GBK" w:cs="方正仿宋_GBK"/>
                <w:kern w:val="0"/>
                <w:sz w:val="20"/>
                <w:szCs w:val="20"/>
              </w:rPr>
              <w:t>县妇女儿童医院建设工程</w:t>
            </w:r>
          </w:p>
        </w:tc>
        <w:tc>
          <w:tcPr>
            <w:tcW w:w="15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BEC4606">
            <w:pPr>
              <w:widowControl/>
              <w:jc w:val="center"/>
              <w:textAlignment w:val="center"/>
              <w:rPr>
                <w:rFonts w:ascii="方正仿宋_GBK"/>
                <w:sz w:val="20"/>
                <w:szCs w:val="20"/>
              </w:rPr>
            </w:pPr>
            <w:r>
              <w:rPr>
                <w:rFonts w:hint="eastAsia" w:ascii="方正仿宋_GBK" w:hAnsi="方正仿宋_GBK" w:cs="方正仿宋_GBK"/>
                <w:kern w:val="0"/>
                <w:sz w:val="20"/>
                <w:szCs w:val="20"/>
              </w:rPr>
              <w:t>县妇幼保健院</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67FB40A">
            <w:pPr>
              <w:widowControl/>
              <w:jc w:val="center"/>
              <w:textAlignment w:val="center"/>
              <w:rPr>
                <w:rFonts w:ascii="方正仿宋_GBK"/>
                <w:sz w:val="20"/>
                <w:szCs w:val="20"/>
              </w:rPr>
            </w:pPr>
            <w:r>
              <w:rPr>
                <w:rFonts w:hint="eastAsia" w:ascii="方正仿宋_GBK" w:hAnsi="方正仿宋_GBK" w:cs="方正仿宋_GBK"/>
                <w:kern w:val="0"/>
                <w:sz w:val="20"/>
                <w:szCs w:val="20"/>
              </w:rPr>
              <w:t>夔州街道国际商贸城旁</w:t>
            </w:r>
          </w:p>
        </w:tc>
        <w:tc>
          <w:tcPr>
            <w:tcW w:w="9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58D607F">
            <w:pPr>
              <w:widowControl/>
              <w:jc w:val="center"/>
              <w:textAlignment w:val="center"/>
              <w:rPr>
                <w:rFonts w:ascii="方正仿宋_GBK"/>
                <w:sz w:val="20"/>
                <w:szCs w:val="20"/>
              </w:rPr>
            </w:pPr>
            <w:r>
              <w:rPr>
                <w:rFonts w:hint="eastAsia" w:ascii="方正仿宋_GBK" w:hAnsi="方正仿宋_GBK" w:cs="方正仿宋_GBK"/>
                <w:kern w:val="0"/>
                <w:sz w:val="20"/>
                <w:szCs w:val="20"/>
              </w:rPr>
              <w:t>新建</w:t>
            </w:r>
          </w:p>
        </w:tc>
        <w:tc>
          <w:tcPr>
            <w:tcW w:w="5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DDF0D67">
            <w:pPr>
              <w:widowControl/>
              <w:jc w:val="center"/>
              <w:textAlignment w:val="center"/>
              <w:rPr>
                <w:rFonts w:ascii="方正仿宋_GBK"/>
                <w:sz w:val="20"/>
                <w:szCs w:val="20"/>
              </w:rPr>
            </w:pPr>
            <w:r>
              <w:rPr>
                <w:rFonts w:hint="eastAsia" w:ascii="方正仿宋_GBK" w:hAnsi="方正仿宋_GBK" w:cs="方正仿宋_GBK"/>
                <w:kern w:val="0"/>
                <w:sz w:val="20"/>
                <w:szCs w:val="20"/>
              </w:rPr>
              <w:t>用地</w:t>
            </w:r>
            <w:r>
              <w:rPr>
                <w:rFonts w:ascii="方正仿宋_GBK" w:hAnsi="方正仿宋_GBK" w:cs="方正仿宋_GBK"/>
                <w:kern w:val="0"/>
                <w:sz w:val="20"/>
                <w:szCs w:val="20"/>
              </w:rPr>
              <w:t>60</w:t>
            </w:r>
            <w:r>
              <w:rPr>
                <w:rFonts w:hint="eastAsia" w:ascii="方正仿宋_GBK" w:hAnsi="方正仿宋_GBK" w:cs="方正仿宋_GBK"/>
                <w:kern w:val="0"/>
                <w:sz w:val="20"/>
                <w:szCs w:val="20"/>
              </w:rPr>
              <w:t>亩，设置床位</w:t>
            </w:r>
            <w:r>
              <w:rPr>
                <w:rFonts w:ascii="方正仿宋_GBK" w:hAnsi="方正仿宋_GBK" w:cs="方正仿宋_GBK"/>
                <w:kern w:val="0"/>
                <w:sz w:val="20"/>
                <w:szCs w:val="20"/>
              </w:rPr>
              <w:t>450</w:t>
            </w:r>
            <w:r>
              <w:rPr>
                <w:rFonts w:hint="eastAsia" w:ascii="方正仿宋_GBK" w:hAnsi="方正仿宋_GBK" w:cs="方正仿宋_GBK"/>
                <w:kern w:val="0"/>
                <w:sz w:val="20"/>
                <w:szCs w:val="20"/>
              </w:rPr>
              <w:t>张，总建筑</w:t>
            </w:r>
            <w:r>
              <w:rPr>
                <w:rFonts w:ascii="方正仿宋_GBK" w:hAnsi="方正仿宋_GBK" w:cs="方正仿宋_GBK"/>
                <w:kern w:val="0"/>
                <w:sz w:val="20"/>
                <w:szCs w:val="20"/>
              </w:rPr>
              <w:t>70100</w:t>
            </w:r>
            <w:r>
              <w:rPr>
                <w:rFonts w:hint="eastAsia" w:ascii="方正仿宋_GBK" w:hAnsi="方正仿宋_GBK" w:cs="方正仿宋_GBK"/>
                <w:kern w:val="0"/>
                <w:sz w:val="20"/>
                <w:szCs w:val="20"/>
              </w:rPr>
              <w:t>㎡。其中：门急诊、住院部、发热门诊等地上建筑</w:t>
            </w:r>
            <w:r>
              <w:rPr>
                <w:rFonts w:ascii="方正仿宋_GBK" w:hAnsi="方正仿宋_GBK" w:cs="方正仿宋_GBK"/>
                <w:kern w:val="0"/>
                <w:sz w:val="20"/>
                <w:szCs w:val="20"/>
              </w:rPr>
              <w:t>42500</w:t>
            </w:r>
            <w:r>
              <w:rPr>
                <w:rFonts w:hint="eastAsia" w:ascii="方正仿宋_GBK" w:hAnsi="方正仿宋_GBK" w:cs="方正仿宋_GBK"/>
                <w:kern w:val="0"/>
                <w:sz w:val="20"/>
                <w:szCs w:val="20"/>
              </w:rPr>
              <w:t>㎡，停车、配电、消防等地下建筑</w:t>
            </w:r>
            <w:r>
              <w:rPr>
                <w:rFonts w:ascii="方正仿宋_GBK" w:hAnsi="方正仿宋_GBK" w:cs="方正仿宋_GBK"/>
                <w:kern w:val="0"/>
                <w:sz w:val="20"/>
                <w:szCs w:val="20"/>
              </w:rPr>
              <w:t>27600</w:t>
            </w:r>
            <w:r>
              <w:rPr>
                <w:rFonts w:hint="eastAsia" w:ascii="方正仿宋_GBK" w:hAnsi="方正仿宋_GBK" w:cs="方正仿宋_GBK"/>
                <w:kern w:val="0"/>
                <w:sz w:val="20"/>
                <w:szCs w:val="20"/>
              </w:rPr>
              <w:t>㎡。配置</w:t>
            </w:r>
            <w:r>
              <w:rPr>
                <w:rFonts w:ascii="方正仿宋_GBK" w:hAnsi="方正仿宋_GBK" w:cs="方正仿宋_GBK"/>
                <w:kern w:val="0"/>
                <w:sz w:val="20"/>
                <w:szCs w:val="20"/>
              </w:rPr>
              <w:t>CT</w:t>
            </w:r>
            <w:r>
              <w:rPr>
                <w:rFonts w:hint="eastAsia" w:ascii="方正仿宋_GBK" w:hAnsi="方正仿宋_GBK" w:cs="方正仿宋_GBK"/>
                <w:kern w:val="0"/>
                <w:sz w:val="20"/>
                <w:szCs w:val="20"/>
              </w:rPr>
              <w:t>、</w:t>
            </w:r>
            <w:r>
              <w:rPr>
                <w:rFonts w:ascii="方正仿宋_GBK" w:hAnsi="方正仿宋_GBK" w:cs="方正仿宋_GBK"/>
                <w:kern w:val="0"/>
                <w:sz w:val="20"/>
                <w:szCs w:val="20"/>
              </w:rPr>
              <w:t>DR</w:t>
            </w:r>
            <w:r>
              <w:rPr>
                <w:rFonts w:hint="eastAsia" w:ascii="方正仿宋_GBK" w:hAnsi="方正仿宋_GBK" w:cs="方正仿宋_GBK"/>
                <w:kern w:val="0"/>
                <w:sz w:val="20"/>
                <w:szCs w:val="20"/>
              </w:rPr>
              <w:t>、核磁共振、</w:t>
            </w:r>
            <w:r>
              <w:rPr>
                <w:rFonts w:ascii="方正仿宋_GBK" w:hAnsi="方正仿宋_GBK" w:cs="方正仿宋_GBK"/>
                <w:kern w:val="0"/>
                <w:sz w:val="20"/>
                <w:szCs w:val="20"/>
              </w:rPr>
              <w:t>B</w:t>
            </w:r>
            <w:r>
              <w:rPr>
                <w:rFonts w:hint="eastAsia" w:ascii="方正仿宋_GBK" w:hAnsi="方正仿宋_GBK" w:cs="方正仿宋_GBK"/>
                <w:kern w:val="0"/>
                <w:sz w:val="20"/>
                <w:szCs w:val="20"/>
              </w:rPr>
              <w:t>超等医疗设备。</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8E5DF9A">
            <w:pPr>
              <w:widowControl/>
              <w:jc w:val="center"/>
              <w:textAlignment w:val="center"/>
              <w:rPr>
                <w:rFonts w:ascii="方正仿宋_GBK"/>
                <w:sz w:val="20"/>
                <w:szCs w:val="20"/>
              </w:rPr>
            </w:pPr>
            <w:r>
              <w:rPr>
                <w:rFonts w:ascii="方正仿宋_GBK" w:hAnsi="方正仿宋_GBK" w:cs="方正仿宋_GBK"/>
                <w:kern w:val="0"/>
                <w:sz w:val="20"/>
                <w:szCs w:val="20"/>
              </w:rPr>
              <w:t>50990</w:t>
            </w:r>
          </w:p>
        </w:tc>
        <w:tc>
          <w:tcPr>
            <w:tcW w:w="12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FFA5795">
            <w:pPr>
              <w:widowControl/>
              <w:jc w:val="center"/>
              <w:textAlignment w:val="center"/>
              <w:rPr>
                <w:rFonts w:ascii="方正仿宋_GBK"/>
                <w:sz w:val="20"/>
                <w:szCs w:val="20"/>
              </w:rPr>
            </w:pPr>
            <w:r>
              <w:rPr>
                <w:rFonts w:ascii="方正仿宋_GBK" w:hAnsi="方正仿宋_GBK" w:cs="方正仿宋_GBK"/>
                <w:kern w:val="0"/>
                <w:sz w:val="20"/>
                <w:szCs w:val="20"/>
              </w:rPr>
              <w:t>2023-2025</w:t>
            </w:r>
          </w:p>
        </w:tc>
      </w:tr>
      <w:tr w14:paraId="395CD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0" w:hRule="atLeast"/>
          <w:jc w:val="center"/>
        </w:trPr>
        <w:tc>
          <w:tcPr>
            <w:tcW w:w="84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7D9D736">
            <w:pPr>
              <w:widowControl/>
              <w:jc w:val="center"/>
              <w:textAlignment w:val="center"/>
              <w:rPr>
                <w:rFonts w:ascii="方正仿宋_GBK"/>
                <w:sz w:val="20"/>
                <w:szCs w:val="20"/>
              </w:rPr>
            </w:pPr>
            <w:r>
              <w:rPr>
                <w:rFonts w:ascii="方正仿宋_GBK" w:hAnsi="方正仿宋_GBK" w:cs="方正仿宋_GBK"/>
                <w:kern w:val="0"/>
                <w:sz w:val="20"/>
                <w:szCs w:val="20"/>
              </w:rPr>
              <w:t>17</w:t>
            </w:r>
          </w:p>
        </w:tc>
        <w:tc>
          <w:tcPr>
            <w:tcW w:w="19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D9D2A85">
            <w:pPr>
              <w:widowControl/>
              <w:jc w:val="center"/>
              <w:textAlignment w:val="center"/>
              <w:rPr>
                <w:rFonts w:ascii="方正仿宋_GBK"/>
                <w:sz w:val="20"/>
                <w:szCs w:val="20"/>
              </w:rPr>
            </w:pPr>
            <w:r>
              <w:rPr>
                <w:rFonts w:hint="eastAsia" w:ascii="方正仿宋_GBK" w:hAnsi="方正仿宋_GBK" w:cs="方正仿宋_GBK"/>
                <w:kern w:val="0"/>
                <w:sz w:val="20"/>
                <w:szCs w:val="20"/>
              </w:rPr>
              <w:t>县精神卫生保健院扩建工程</w:t>
            </w:r>
          </w:p>
        </w:tc>
        <w:tc>
          <w:tcPr>
            <w:tcW w:w="15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0E43124">
            <w:pPr>
              <w:widowControl/>
              <w:jc w:val="center"/>
              <w:textAlignment w:val="center"/>
              <w:rPr>
                <w:rFonts w:ascii="方正仿宋_GBK"/>
                <w:sz w:val="20"/>
                <w:szCs w:val="20"/>
              </w:rPr>
            </w:pPr>
            <w:r>
              <w:rPr>
                <w:rFonts w:hint="eastAsia" w:ascii="方正仿宋_GBK" w:hAnsi="方正仿宋_GBK" w:cs="方正仿宋_GBK"/>
                <w:kern w:val="0"/>
                <w:sz w:val="20"/>
                <w:szCs w:val="20"/>
              </w:rPr>
              <w:t>县人民医院</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E7C00FC">
            <w:pPr>
              <w:widowControl/>
              <w:jc w:val="center"/>
              <w:textAlignment w:val="center"/>
              <w:rPr>
                <w:rFonts w:ascii="方正仿宋_GBK"/>
                <w:sz w:val="20"/>
                <w:szCs w:val="20"/>
              </w:rPr>
            </w:pPr>
            <w:r>
              <w:rPr>
                <w:rFonts w:hint="eastAsia" w:ascii="方正仿宋_GBK" w:hAnsi="方正仿宋_GBK" w:cs="方正仿宋_GBK"/>
                <w:kern w:val="0"/>
                <w:sz w:val="20"/>
                <w:szCs w:val="20"/>
              </w:rPr>
              <w:t>永乐镇</w:t>
            </w:r>
          </w:p>
        </w:tc>
        <w:tc>
          <w:tcPr>
            <w:tcW w:w="9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8171366">
            <w:pPr>
              <w:widowControl/>
              <w:jc w:val="center"/>
              <w:textAlignment w:val="center"/>
              <w:rPr>
                <w:rFonts w:ascii="方正仿宋_GBK"/>
                <w:sz w:val="20"/>
                <w:szCs w:val="20"/>
              </w:rPr>
            </w:pPr>
            <w:r>
              <w:rPr>
                <w:rFonts w:hint="eastAsia" w:ascii="方正仿宋_GBK" w:hAnsi="方正仿宋_GBK" w:cs="方正仿宋_GBK"/>
                <w:kern w:val="0"/>
                <w:sz w:val="20"/>
                <w:szCs w:val="20"/>
              </w:rPr>
              <w:t>改扩建</w:t>
            </w:r>
          </w:p>
        </w:tc>
        <w:tc>
          <w:tcPr>
            <w:tcW w:w="5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751026C">
            <w:pPr>
              <w:widowControl/>
              <w:jc w:val="center"/>
              <w:textAlignment w:val="center"/>
              <w:rPr>
                <w:rFonts w:ascii="方正仿宋_GBK"/>
                <w:sz w:val="20"/>
                <w:szCs w:val="20"/>
              </w:rPr>
            </w:pPr>
            <w:r>
              <w:rPr>
                <w:rFonts w:hint="eastAsia" w:ascii="方正仿宋_GBK" w:hAnsi="方正仿宋_GBK" w:cs="方正仿宋_GBK"/>
                <w:kern w:val="0"/>
                <w:sz w:val="20"/>
                <w:szCs w:val="20"/>
              </w:rPr>
              <w:t>占地</w:t>
            </w:r>
            <w:r>
              <w:rPr>
                <w:rFonts w:ascii="方正仿宋_GBK" w:hAnsi="方正仿宋_GBK" w:cs="方正仿宋_GBK"/>
                <w:kern w:val="0"/>
                <w:sz w:val="20"/>
                <w:szCs w:val="20"/>
              </w:rPr>
              <w:t>45</w:t>
            </w:r>
            <w:r>
              <w:rPr>
                <w:rFonts w:hint="eastAsia" w:ascii="方正仿宋_GBK" w:hAnsi="方正仿宋_GBK" w:cs="方正仿宋_GBK"/>
                <w:kern w:val="0"/>
                <w:sz w:val="20"/>
                <w:szCs w:val="20"/>
              </w:rPr>
              <w:t>亩，增加床位</w:t>
            </w:r>
            <w:r>
              <w:rPr>
                <w:rFonts w:ascii="方正仿宋_GBK" w:hAnsi="方正仿宋_GBK" w:cs="方正仿宋_GBK"/>
                <w:kern w:val="0"/>
                <w:sz w:val="20"/>
                <w:szCs w:val="20"/>
              </w:rPr>
              <w:t>300</w:t>
            </w:r>
            <w:r>
              <w:rPr>
                <w:rFonts w:hint="eastAsia" w:ascii="方正仿宋_GBK" w:hAnsi="方正仿宋_GBK" w:cs="方正仿宋_GBK"/>
                <w:kern w:val="0"/>
                <w:sz w:val="20"/>
                <w:szCs w:val="20"/>
              </w:rPr>
              <w:t>张，建设业务用房</w:t>
            </w:r>
            <w:r>
              <w:rPr>
                <w:rFonts w:ascii="方正仿宋_GBK" w:hAnsi="方正仿宋_GBK" w:cs="方正仿宋_GBK"/>
                <w:kern w:val="0"/>
                <w:sz w:val="20"/>
                <w:szCs w:val="20"/>
              </w:rPr>
              <w:t>30000</w:t>
            </w:r>
            <w:r>
              <w:rPr>
                <w:rFonts w:hint="eastAsia" w:ascii="方正仿宋_GBK" w:hAnsi="方正仿宋_GBK" w:cs="方正仿宋_GBK"/>
                <w:kern w:val="0"/>
                <w:sz w:val="20"/>
                <w:szCs w:val="20"/>
              </w:rPr>
              <w:t>㎡</w:t>
            </w:r>
            <w:r>
              <w:rPr>
                <w:rFonts w:ascii="方正仿宋_GBK" w:hAnsi="方正仿宋_GBK" w:cs="方正仿宋_GBK"/>
                <w:kern w:val="0"/>
                <w:sz w:val="20"/>
                <w:szCs w:val="20"/>
              </w:rPr>
              <w:t xml:space="preserve"> </w:t>
            </w:r>
            <w:r>
              <w:rPr>
                <w:rFonts w:hint="eastAsia" w:ascii="方正仿宋_GBK" w:hAnsi="方正仿宋_GBK" w:cs="方正仿宋_GBK"/>
                <w:kern w:val="0"/>
                <w:sz w:val="20"/>
                <w:szCs w:val="20"/>
              </w:rPr>
              <w:t>。包括门急诊、住院等业务用房；室外活动场地、停车场、污水处理等附属设施。</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D384334">
            <w:pPr>
              <w:widowControl/>
              <w:jc w:val="center"/>
              <w:textAlignment w:val="center"/>
              <w:rPr>
                <w:rFonts w:ascii="方正仿宋_GBK"/>
                <w:sz w:val="20"/>
                <w:szCs w:val="20"/>
              </w:rPr>
            </w:pPr>
            <w:r>
              <w:rPr>
                <w:rFonts w:ascii="方正仿宋_GBK" w:hAnsi="方正仿宋_GBK" w:cs="方正仿宋_GBK"/>
                <w:kern w:val="0"/>
                <w:sz w:val="20"/>
                <w:szCs w:val="20"/>
              </w:rPr>
              <w:t>9000</w:t>
            </w:r>
          </w:p>
        </w:tc>
        <w:tc>
          <w:tcPr>
            <w:tcW w:w="12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70198BB">
            <w:pPr>
              <w:widowControl/>
              <w:jc w:val="center"/>
              <w:textAlignment w:val="center"/>
              <w:rPr>
                <w:rFonts w:ascii="方正仿宋_GBK"/>
                <w:sz w:val="20"/>
                <w:szCs w:val="20"/>
              </w:rPr>
            </w:pPr>
            <w:r>
              <w:rPr>
                <w:rFonts w:ascii="方正仿宋_GBK" w:hAnsi="方正仿宋_GBK" w:cs="方正仿宋_GBK"/>
                <w:kern w:val="0"/>
                <w:sz w:val="20"/>
                <w:szCs w:val="20"/>
              </w:rPr>
              <w:t>2023-2025</w:t>
            </w:r>
          </w:p>
        </w:tc>
      </w:tr>
      <w:tr w14:paraId="58DB5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0" w:hRule="atLeast"/>
          <w:jc w:val="center"/>
        </w:trPr>
        <w:tc>
          <w:tcPr>
            <w:tcW w:w="84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C497031">
            <w:pPr>
              <w:widowControl/>
              <w:jc w:val="center"/>
              <w:textAlignment w:val="center"/>
              <w:rPr>
                <w:rFonts w:ascii="方正仿宋_GBK"/>
                <w:sz w:val="20"/>
                <w:szCs w:val="20"/>
              </w:rPr>
            </w:pPr>
            <w:r>
              <w:rPr>
                <w:rFonts w:ascii="方正仿宋_GBK" w:hAnsi="方正仿宋_GBK" w:cs="方正仿宋_GBK"/>
                <w:kern w:val="0"/>
                <w:sz w:val="20"/>
                <w:szCs w:val="20"/>
              </w:rPr>
              <w:t>18</w:t>
            </w:r>
          </w:p>
        </w:tc>
        <w:tc>
          <w:tcPr>
            <w:tcW w:w="19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5C57BE8">
            <w:pPr>
              <w:widowControl/>
              <w:jc w:val="center"/>
              <w:textAlignment w:val="center"/>
              <w:rPr>
                <w:rFonts w:ascii="方正仿宋_GBK"/>
                <w:sz w:val="20"/>
                <w:szCs w:val="20"/>
              </w:rPr>
            </w:pPr>
            <w:r>
              <w:rPr>
                <w:rFonts w:hint="eastAsia" w:ascii="方正仿宋_GBK" w:hAnsi="方正仿宋_GBK" w:cs="方正仿宋_GBK"/>
                <w:kern w:val="0"/>
                <w:sz w:val="20"/>
                <w:szCs w:val="20"/>
              </w:rPr>
              <w:t>基层卫生机构医疗设备配置项目</w:t>
            </w:r>
          </w:p>
        </w:tc>
        <w:tc>
          <w:tcPr>
            <w:tcW w:w="15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D065156">
            <w:pPr>
              <w:widowControl/>
              <w:jc w:val="center"/>
              <w:textAlignment w:val="center"/>
              <w:rPr>
                <w:rFonts w:ascii="方正仿宋_GBK"/>
                <w:sz w:val="20"/>
                <w:szCs w:val="20"/>
              </w:rPr>
            </w:pPr>
            <w:r>
              <w:rPr>
                <w:rFonts w:hint="eastAsia" w:ascii="方正仿宋_GBK" w:hAnsi="方正仿宋_GBK" w:cs="方正仿宋_GBK"/>
                <w:kern w:val="0"/>
                <w:sz w:val="20"/>
                <w:szCs w:val="20"/>
              </w:rPr>
              <w:t>各基层医疗机构</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689D792">
            <w:pPr>
              <w:widowControl/>
              <w:jc w:val="center"/>
              <w:textAlignment w:val="center"/>
              <w:rPr>
                <w:rFonts w:ascii="方正仿宋_GBK"/>
                <w:sz w:val="20"/>
                <w:szCs w:val="20"/>
              </w:rPr>
            </w:pPr>
            <w:r>
              <w:rPr>
                <w:rFonts w:hint="eastAsia" w:ascii="方正仿宋_GBK" w:hAnsi="方正仿宋_GBK" w:cs="方正仿宋_GBK"/>
                <w:kern w:val="0"/>
                <w:sz w:val="20"/>
                <w:szCs w:val="20"/>
              </w:rPr>
              <w:t>各乡镇（街道）</w:t>
            </w:r>
          </w:p>
        </w:tc>
        <w:tc>
          <w:tcPr>
            <w:tcW w:w="9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767564A">
            <w:pPr>
              <w:widowControl/>
              <w:jc w:val="center"/>
              <w:textAlignment w:val="center"/>
              <w:rPr>
                <w:rFonts w:ascii="方正仿宋_GBK"/>
                <w:sz w:val="20"/>
                <w:szCs w:val="20"/>
              </w:rPr>
            </w:pPr>
            <w:r>
              <w:rPr>
                <w:rFonts w:hint="eastAsia" w:ascii="方正仿宋_GBK" w:hAnsi="方正仿宋_GBK" w:cs="方正仿宋_GBK"/>
                <w:kern w:val="0"/>
                <w:sz w:val="20"/>
                <w:szCs w:val="20"/>
              </w:rPr>
              <w:t>新建</w:t>
            </w:r>
          </w:p>
        </w:tc>
        <w:tc>
          <w:tcPr>
            <w:tcW w:w="5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9D81EED">
            <w:pPr>
              <w:widowControl/>
              <w:jc w:val="center"/>
              <w:textAlignment w:val="center"/>
              <w:rPr>
                <w:rFonts w:ascii="方正仿宋_GBK"/>
                <w:sz w:val="20"/>
                <w:szCs w:val="20"/>
              </w:rPr>
            </w:pPr>
            <w:r>
              <w:rPr>
                <w:rFonts w:hint="eastAsia" w:ascii="方正仿宋_GBK" w:hAnsi="方正仿宋_GBK" w:cs="方正仿宋_GBK"/>
                <w:kern w:val="0"/>
                <w:sz w:val="20"/>
                <w:szCs w:val="20"/>
              </w:rPr>
              <w:t>配置基层卫生机构急需、老化常规医疗设备，包括</w:t>
            </w:r>
            <w:r>
              <w:rPr>
                <w:rFonts w:ascii="方正仿宋_GBK" w:hAnsi="方正仿宋_GBK" w:cs="方正仿宋_GBK"/>
                <w:kern w:val="0"/>
                <w:sz w:val="20"/>
                <w:szCs w:val="20"/>
              </w:rPr>
              <w:t>DR</w:t>
            </w:r>
            <w:r>
              <w:rPr>
                <w:rFonts w:hint="eastAsia" w:ascii="方正仿宋_GBK" w:hAnsi="方正仿宋_GBK" w:cs="方正仿宋_GBK"/>
                <w:kern w:val="0"/>
                <w:sz w:val="20"/>
                <w:szCs w:val="20"/>
              </w:rPr>
              <w:t>医学影像设备、彩超诊断设备、胃镜、</w:t>
            </w:r>
            <w:r>
              <w:rPr>
                <w:rFonts w:ascii="方正仿宋_GBK" w:hAnsi="方正仿宋_GBK" w:cs="方正仿宋_GBK"/>
                <w:kern w:val="0"/>
                <w:sz w:val="20"/>
                <w:szCs w:val="20"/>
              </w:rPr>
              <w:t>CT</w:t>
            </w:r>
            <w:r>
              <w:rPr>
                <w:rFonts w:hint="eastAsia" w:ascii="方正仿宋_GBK" w:hAnsi="方正仿宋_GBK" w:cs="方正仿宋_GBK"/>
                <w:kern w:val="0"/>
                <w:sz w:val="20"/>
                <w:szCs w:val="20"/>
              </w:rPr>
              <w:t>影像检查设备等进行配置。</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B78D905">
            <w:pPr>
              <w:widowControl/>
              <w:jc w:val="center"/>
              <w:textAlignment w:val="center"/>
              <w:rPr>
                <w:rFonts w:ascii="方正仿宋_GBK"/>
                <w:sz w:val="20"/>
                <w:szCs w:val="20"/>
              </w:rPr>
            </w:pPr>
            <w:r>
              <w:rPr>
                <w:rFonts w:ascii="方正仿宋_GBK" w:hAnsi="方正仿宋_GBK" w:cs="方正仿宋_GBK"/>
                <w:kern w:val="0"/>
                <w:sz w:val="20"/>
                <w:szCs w:val="20"/>
              </w:rPr>
              <w:t>5340</w:t>
            </w:r>
          </w:p>
        </w:tc>
        <w:tc>
          <w:tcPr>
            <w:tcW w:w="12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1550B96">
            <w:pPr>
              <w:widowControl/>
              <w:jc w:val="center"/>
              <w:textAlignment w:val="center"/>
              <w:rPr>
                <w:rFonts w:ascii="方正仿宋_GBK"/>
                <w:sz w:val="20"/>
                <w:szCs w:val="20"/>
              </w:rPr>
            </w:pPr>
            <w:r>
              <w:rPr>
                <w:rFonts w:ascii="方正仿宋_GBK" w:hAnsi="方正仿宋_GBK" w:cs="方正仿宋_GBK"/>
                <w:kern w:val="0"/>
                <w:sz w:val="20"/>
                <w:szCs w:val="20"/>
              </w:rPr>
              <w:t>2022-2022</w:t>
            </w:r>
          </w:p>
        </w:tc>
      </w:tr>
      <w:tr w14:paraId="38C85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0" w:hRule="atLeast"/>
          <w:jc w:val="center"/>
        </w:trPr>
        <w:tc>
          <w:tcPr>
            <w:tcW w:w="84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0E8F092">
            <w:pPr>
              <w:widowControl/>
              <w:jc w:val="center"/>
              <w:textAlignment w:val="center"/>
              <w:rPr>
                <w:rFonts w:ascii="方正仿宋_GBK"/>
                <w:sz w:val="20"/>
                <w:szCs w:val="20"/>
              </w:rPr>
            </w:pPr>
            <w:r>
              <w:rPr>
                <w:rFonts w:ascii="方正仿宋_GBK" w:hAnsi="方正仿宋_GBK" w:cs="方正仿宋_GBK"/>
                <w:kern w:val="0"/>
                <w:sz w:val="20"/>
                <w:szCs w:val="20"/>
              </w:rPr>
              <w:t>19</w:t>
            </w:r>
          </w:p>
        </w:tc>
        <w:tc>
          <w:tcPr>
            <w:tcW w:w="19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5E125A7">
            <w:pPr>
              <w:widowControl/>
              <w:jc w:val="center"/>
              <w:textAlignment w:val="center"/>
              <w:rPr>
                <w:rFonts w:ascii="方正仿宋_GBK"/>
                <w:sz w:val="20"/>
                <w:szCs w:val="20"/>
              </w:rPr>
            </w:pPr>
            <w:r>
              <w:rPr>
                <w:rFonts w:hint="eastAsia" w:ascii="方正仿宋_GBK" w:hAnsi="方正仿宋_GBK" w:cs="方正仿宋_GBK"/>
                <w:kern w:val="0"/>
                <w:sz w:val="20"/>
                <w:szCs w:val="20"/>
              </w:rPr>
              <w:t>鹤峰乡卫生院提升改造工程</w:t>
            </w:r>
          </w:p>
        </w:tc>
        <w:tc>
          <w:tcPr>
            <w:tcW w:w="15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4D55161">
            <w:pPr>
              <w:widowControl/>
              <w:jc w:val="center"/>
              <w:textAlignment w:val="center"/>
              <w:rPr>
                <w:rFonts w:ascii="方正仿宋_GBK"/>
                <w:sz w:val="20"/>
                <w:szCs w:val="20"/>
              </w:rPr>
            </w:pPr>
            <w:r>
              <w:rPr>
                <w:rFonts w:hint="eastAsia" w:ascii="方正仿宋_GBK" w:hAnsi="方正仿宋_GBK" w:cs="方正仿宋_GBK"/>
                <w:kern w:val="0"/>
                <w:sz w:val="20"/>
                <w:szCs w:val="20"/>
              </w:rPr>
              <w:t>鹤峰乡卫生院</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1AA83F7">
            <w:pPr>
              <w:widowControl/>
              <w:jc w:val="center"/>
              <w:textAlignment w:val="center"/>
              <w:rPr>
                <w:rFonts w:ascii="方正仿宋_GBK"/>
                <w:sz w:val="20"/>
                <w:szCs w:val="20"/>
              </w:rPr>
            </w:pPr>
            <w:r>
              <w:rPr>
                <w:rFonts w:hint="eastAsia" w:ascii="方正仿宋_GBK" w:hAnsi="方正仿宋_GBK" w:cs="方正仿宋_GBK"/>
                <w:kern w:val="0"/>
                <w:sz w:val="20"/>
                <w:szCs w:val="20"/>
              </w:rPr>
              <w:t>鹤峰乡莲花社区</w:t>
            </w:r>
          </w:p>
        </w:tc>
        <w:tc>
          <w:tcPr>
            <w:tcW w:w="9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6147F56">
            <w:pPr>
              <w:widowControl/>
              <w:jc w:val="center"/>
              <w:textAlignment w:val="center"/>
              <w:rPr>
                <w:rFonts w:ascii="方正仿宋_GBK"/>
                <w:sz w:val="20"/>
                <w:szCs w:val="20"/>
              </w:rPr>
            </w:pPr>
            <w:r>
              <w:rPr>
                <w:rFonts w:hint="eastAsia" w:ascii="方正仿宋_GBK" w:hAnsi="方正仿宋_GBK" w:cs="方正仿宋_GBK"/>
                <w:kern w:val="0"/>
                <w:sz w:val="20"/>
                <w:szCs w:val="20"/>
              </w:rPr>
              <w:t>改建</w:t>
            </w:r>
          </w:p>
        </w:tc>
        <w:tc>
          <w:tcPr>
            <w:tcW w:w="5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30B2E6F">
            <w:pPr>
              <w:widowControl/>
              <w:jc w:val="center"/>
              <w:textAlignment w:val="center"/>
              <w:rPr>
                <w:rFonts w:ascii="方正仿宋_GBK"/>
                <w:sz w:val="20"/>
                <w:szCs w:val="20"/>
              </w:rPr>
            </w:pPr>
            <w:r>
              <w:rPr>
                <w:rFonts w:hint="eastAsia" w:ascii="方正仿宋_GBK" w:hAnsi="方正仿宋_GBK" w:cs="方正仿宋_GBK"/>
                <w:kern w:val="0"/>
                <w:sz w:val="20"/>
                <w:szCs w:val="20"/>
              </w:rPr>
              <w:t>改扩建业务用房</w:t>
            </w:r>
            <w:r>
              <w:rPr>
                <w:rFonts w:ascii="方正仿宋_GBK" w:hAnsi="方正仿宋_GBK" w:cs="方正仿宋_GBK"/>
                <w:kern w:val="0"/>
                <w:sz w:val="20"/>
                <w:szCs w:val="20"/>
              </w:rPr>
              <w:t>3200</w:t>
            </w:r>
            <w:r>
              <w:rPr>
                <w:rFonts w:hint="eastAsia" w:ascii="方正仿宋_GBK" w:hAnsi="方正仿宋_GBK" w:cs="方正仿宋_GBK"/>
                <w:kern w:val="0"/>
                <w:sz w:val="20"/>
                <w:szCs w:val="20"/>
              </w:rPr>
              <w:t>㎡，完善电梯、医废处置等附属设施；配齐ＤＲ、预防接种、病房等设备。</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EA0368B">
            <w:pPr>
              <w:widowControl/>
              <w:jc w:val="center"/>
              <w:textAlignment w:val="center"/>
              <w:rPr>
                <w:rFonts w:ascii="方正仿宋_GBK"/>
                <w:sz w:val="20"/>
                <w:szCs w:val="20"/>
              </w:rPr>
            </w:pPr>
            <w:r>
              <w:rPr>
                <w:rFonts w:ascii="方正仿宋_GBK" w:hAnsi="方正仿宋_GBK" w:cs="方正仿宋_GBK"/>
                <w:kern w:val="0"/>
                <w:sz w:val="20"/>
                <w:szCs w:val="20"/>
              </w:rPr>
              <w:t>699</w:t>
            </w:r>
          </w:p>
        </w:tc>
        <w:tc>
          <w:tcPr>
            <w:tcW w:w="12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271E451">
            <w:pPr>
              <w:widowControl/>
              <w:jc w:val="center"/>
              <w:textAlignment w:val="center"/>
              <w:rPr>
                <w:rFonts w:ascii="方正仿宋_GBK"/>
                <w:sz w:val="20"/>
                <w:szCs w:val="20"/>
              </w:rPr>
            </w:pPr>
            <w:r>
              <w:rPr>
                <w:rFonts w:ascii="方正仿宋_GBK" w:hAnsi="方正仿宋_GBK" w:cs="方正仿宋_GBK"/>
                <w:kern w:val="0"/>
                <w:sz w:val="20"/>
                <w:szCs w:val="20"/>
              </w:rPr>
              <w:t>2022-2023</w:t>
            </w:r>
          </w:p>
        </w:tc>
      </w:tr>
      <w:tr w14:paraId="11ECB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0" w:hRule="atLeast"/>
          <w:jc w:val="center"/>
        </w:trPr>
        <w:tc>
          <w:tcPr>
            <w:tcW w:w="84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F7EA7E3">
            <w:pPr>
              <w:widowControl/>
              <w:jc w:val="center"/>
              <w:textAlignment w:val="center"/>
              <w:rPr>
                <w:rFonts w:ascii="方正仿宋_GBK"/>
                <w:sz w:val="20"/>
                <w:szCs w:val="20"/>
              </w:rPr>
            </w:pPr>
            <w:r>
              <w:rPr>
                <w:rFonts w:ascii="方正仿宋_GBK" w:hAnsi="方正仿宋_GBK" w:cs="方正仿宋_GBK"/>
                <w:kern w:val="0"/>
                <w:sz w:val="20"/>
                <w:szCs w:val="20"/>
              </w:rPr>
              <w:t>20</w:t>
            </w:r>
          </w:p>
        </w:tc>
        <w:tc>
          <w:tcPr>
            <w:tcW w:w="19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94AF110">
            <w:pPr>
              <w:widowControl/>
              <w:jc w:val="center"/>
              <w:textAlignment w:val="center"/>
              <w:rPr>
                <w:rFonts w:ascii="方正仿宋_GBK"/>
                <w:sz w:val="20"/>
                <w:szCs w:val="20"/>
              </w:rPr>
            </w:pPr>
            <w:r>
              <w:rPr>
                <w:rFonts w:hint="eastAsia" w:ascii="方正仿宋_GBK" w:hAnsi="方正仿宋_GBK" w:cs="方正仿宋_GBK"/>
                <w:kern w:val="0"/>
                <w:sz w:val="20"/>
                <w:szCs w:val="20"/>
              </w:rPr>
              <w:t>羊市镇中心卫生院建设工程</w:t>
            </w:r>
          </w:p>
        </w:tc>
        <w:tc>
          <w:tcPr>
            <w:tcW w:w="15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56325DB">
            <w:pPr>
              <w:widowControl/>
              <w:jc w:val="center"/>
              <w:textAlignment w:val="center"/>
              <w:rPr>
                <w:rFonts w:ascii="方正仿宋_GBK"/>
                <w:sz w:val="20"/>
                <w:szCs w:val="20"/>
              </w:rPr>
            </w:pPr>
            <w:r>
              <w:rPr>
                <w:rFonts w:hint="eastAsia" w:ascii="方正仿宋_GBK" w:hAnsi="方正仿宋_GBK" w:cs="方正仿宋_GBK"/>
                <w:kern w:val="0"/>
                <w:sz w:val="20"/>
                <w:szCs w:val="20"/>
              </w:rPr>
              <w:t>羊市镇中心卫生院</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DF5CC97">
            <w:pPr>
              <w:widowControl/>
              <w:jc w:val="center"/>
              <w:textAlignment w:val="center"/>
              <w:rPr>
                <w:rFonts w:ascii="方正仿宋_GBK"/>
                <w:sz w:val="20"/>
                <w:szCs w:val="20"/>
              </w:rPr>
            </w:pPr>
            <w:r>
              <w:rPr>
                <w:rFonts w:hint="eastAsia" w:ascii="方正仿宋_GBK" w:hAnsi="方正仿宋_GBK" w:cs="方正仿宋_GBK"/>
                <w:kern w:val="0"/>
                <w:sz w:val="20"/>
                <w:szCs w:val="20"/>
              </w:rPr>
              <w:t>羊市镇</w:t>
            </w:r>
          </w:p>
        </w:tc>
        <w:tc>
          <w:tcPr>
            <w:tcW w:w="9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04A9C42">
            <w:pPr>
              <w:widowControl/>
              <w:jc w:val="center"/>
              <w:textAlignment w:val="center"/>
              <w:rPr>
                <w:rFonts w:ascii="方正仿宋_GBK"/>
                <w:sz w:val="20"/>
                <w:szCs w:val="20"/>
              </w:rPr>
            </w:pPr>
            <w:r>
              <w:rPr>
                <w:rFonts w:hint="eastAsia" w:ascii="方正仿宋_GBK" w:hAnsi="方正仿宋_GBK" w:cs="方正仿宋_GBK"/>
                <w:kern w:val="0"/>
                <w:sz w:val="20"/>
                <w:szCs w:val="20"/>
              </w:rPr>
              <w:t>新建</w:t>
            </w:r>
          </w:p>
        </w:tc>
        <w:tc>
          <w:tcPr>
            <w:tcW w:w="5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F0D2B8F">
            <w:pPr>
              <w:widowControl/>
              <w:jc w:val="center"/>
              <w:textAlignment w:val="center"/>
              <w:rPr>
                <w:rFonts w:ascii="方正仿宋_GBK"/>
                <w:sz w:val="20"/>
                <w:szCs w:val="20"/>
              </w:rPr>
            </w:pPr>
            <w:r>
              <w:rPr>
                <w:rFonts w:hint="eastAsia" w:ascii="方正仿宋_GBK" w:hAnsi="方正仿宋_GBK" w:cs="方正仿宋_GBK"/>
                <w:kern w:val="0"/>
                <w:sz w:val="20"/>
                <w:szCs w:val="20"/>
              </w:rPr>
              <w:t>占地</w:t>
            </w:r>
            <w:r>
              <w:rPr>
                <w:rFonts w:ascii="方正仿宋_GBK" w:hAnsi="方正仿宋_GBK" w:cs="方正仿宋_GBK"/>
                <w:kern w:val="0"/>
                <w:sz w:val="20"/>
                <w:szCs w:val="20"/>
              </w:rPr>
              <w:t>7.36</w:t>
            </w:r>
            <w:r>
              <w:rPr>
                <w:rFonts w:hint="eastAsia" w:ascii="方正仿宋_GBK" w:hAnsi="方正仿宋_GBK" w:cs="方正仿宋_GBK"/>
                <w:kern w:val="0"/>
                <w:sz w:val="20"/>
                <w:szCs w:val="20"/>
              </w:rPr>
              <w:t>亩，建筑面积</w:t>
            </w:r>
            <w:r>
              <w:rPr>
                <w:rFonts w:ascii="方正仿宋_GBK" w:hAnsi="方正仿宋_GBK" w:cs="方正仿宋_GBK"/>
                <w:kern w:val="0"/>
                <w:sz w:val="20"/>
                <w:szCs w:val="20"/>
              </w:rPr>
              <w:t>3000</w:t>
            </w:r>
            <w:r>
              <w:rPr>
                <w:rFonts w:hint="eastAsia" w:ascii="方正仿宋_GBK" w:hAnsi="方正仿宋_GBK" w:cs="方正仿宋_GBK"/>
                <w:kern w:val="0"/>
                <w:sz w:val="20"/>
                <w:szCs w:val="20"/>
              </w:rPr>
              <w:t>㎡，配置</w:t>
            </w:r>
            <w:r>
              <w:rPr>
                <w:rFonts w:ascii="方正仿宋_GBK" w:hAnsi="方正仿宋_GBK" w:cs="方正仿宋_GBK"/>
                <w:kern w:val="0"/>
                <w:sz w:val="20"/>
                <w:szCs w:val="20"/>
              </w:rPr>
              <w:t>56</w:t>
            </w:r>
            <w:r>
              <w:rPr>
                <w:rFonts w:hint="eastAsia" w:ascii="方正仿宋_GBK" w:hAnsi="方正仿宋_GBK" w:cs="方正仿宋_GBK"/>
                <w:kern w:val="0"/>
                <w:sz w:val="20"/>
                <w:szCs w:val="20"/>
              </w:rPr>
              <w:t>张病床、中心供氧、呼叫系统等。</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69148A8">
            <w:pPr>
              <w:widowControl/>
              <w:jc w:val="center"/>
              <w:textAlignment w:val="center"/>
              <w:rPr>
                <w:rFonts w:ascii="方正仿宋_GBK"/>
                <w:sz w:val="20"/>
                <w:szCs w:val="20"/>
              </w:rPr>
            </w:pPr>
            <w:r>
              <w:rPr>
                <w:rFonts w:ascii="方正仿宋_GBK" w:hAnsi="方正仿宋_GBK" w:cs="方正仿宋_GBK"/>
                <w:kern w:val="0"/>
                <w:sz w:val="20"/>
                <w:szCs w:val="20"/>
              </w:rPr>
              <w:t>1250</w:t>
            </w:r>
          </w:p>
        </w:tc>
        <w:tc>
          <w:tcPr>
            <w:tcW w:w="12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8D13A5B">
            <w:pPr>
              <w:widowControl/>
              <w:jc w:val="center"/>
              <w:textAlignment w:val="center"/>
              <w:rPr>
                <w:rFonts w:ascii="方正仿宋_GBK"/>
                <w:sz w:val="20"/>
                <w:szCs w:val="20"/>
              </w:rPr>
            </w:pPr>
            <w:r>
              <w:rPr>
                <w:rFonts w:ascii="方正仿宋_GBK" w:hAnsi="方正仿宋_GBK" w:cs="方正仿宋_GBK"/>
                <w:kern w:val="0"/>
                <w:sz w:val="20"/>
                <w:szCs w:val="20"/>
              </w:rPr>
              <w:t>2023-2024</w:t>
            </w:r>
          </w:p>
        </w:tc>
      </w:tr>
      <w:tr w14:paraId="070CC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0" w:hRule="atLeast"/>
          <w:jc w:val="center"/>
        </w:trPr>
        <w:tc>
          <w:tcPr>
            <w:tcW w:w="84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453444C">
            <w:pPr>
              <w:widowControl/>
              <w:jc w:val="center"/>
              <w:textAlignment w:val="center"/>
              <w:rPr>
                <w:rFonts w:ascii="方正仿宋_GBK"/>
                <w:sz w:val="20"/>
                <w:szCs w:val="20"/>
              </w:rPr>
            </w:pPr>
            <w:r>
              <w:rPr>
                <w:rFonts w:ascii="方正仿宋_GBK" w:hAnsi="方正仿宋_GBK" w:cs="方正仿宋_GBK"/>
                <w:kern w:val="0"/>
                <w:sz w:val="20"/>
                <w:szCs w:val="20"/>
              </w:rPr>
              <w:t>21</w:t>
            </w:r>
          </w:p>
        </w:tc>
        <w:tc>
          <w:tcPr>
            <w:tcW w:w="19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D8FDB0E">
            <w:pPr>
              <w:widowControl/>
              <w:jc w:val="center"/>
              <w:textAlignment w:val="center"/>
              <w:rPr>
                <w:rFonts w:ascii="方正仿宋_GBK"/>
                <w:sz w:val="20"/>
                <w:szCs w:val="20"/>
              </w:rPr>
            </w:pPr>
            <w:r>
              <w:rPr>
                <w:rFonts w:hint="eastAsia" w:ascii="方正仿宋_GBK" w:hAnsi="方正仿宋_GBK" w:cs="方正仿宋_GBK"/>
                <w:kern w:val="0"/>
                <w:sz w:val="20"/>
                <w:szCs w:val="20"/>
              </w:rPr>
              <w:t>夔州街道社区卫生服务中心建设工程</w:t>
            </w:r>
          </w:p>
        </w:tc>
        <w:tc>
          <w:tcPr>
            <w:tcW w:w="15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9BF9FC7">
            <w:pPr>
              <w:widowControl/>
              <w:jc w:val="center"/>
              <w:textAlignment w:val="center"/>
              <w:rPr>
                <w:rFonts w:ascii="方正仿宋_GBK"/>
                <w:sz w:val="20"/>
                <w:szCs w:val="20"/>
              </w:rPr>
            </w:pPr>
            <w:r>
              <w:rPr>
                <w:rFonts w:hint="eastAsia" w:ascii="方正仿宋_GBK" w:hAnsi="方正仿宋_GBK" w:cs="方正仿宋_GBK"/>
                <w:kern w:val="0"/>
                <w:sz w:val="20"/>
                <w:szCs w:val="20"/>
              </w:rPr>
              <w:t>夔州社区卫生服务中心</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807A226">
            <w:pPr>
              <w:widowControl/>
              <w:jc w:val="center"/>
              <w:textAlignment w:val="center"/>
              <w:rPr>
                <w:rFonts w:ascii="方正仿宋_GBK"/>
                <w:sz w:val="20"/>
                <w:szCs w:val="20"/>
              </w:rPr>
            </w:pPr>
            <w:r>
              <w:rPr>
                <w:rFonts w:hint="eastAsia" w:ascii="方正仿宋_GBK" w:hAnsi="方正仿宋_GBK" w:cs="方正仿宋_GBK"/>
                <w:kern w:val="0"/>
                <w:sz w:val="20"/>
                <w:szCs w:val="20"/>
              </w:rPr>
              <w:t>朱衣镇</w:t>
            </w:r>
          </w:p>
        </w:tc>
        <w:tc>
          <w:tcPr>
            <w:tcW w:w="9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F55DB4D">
            <w:pPr>
              <w:widowControl/>
              <w:jc w:val="center"/>
              <w:textAlignment w:val="center"/>
              <w:rPr>
                <w:rFonts w:ascii="方正仿宋_GBK"/>
                <w:sz w:val="20"/>
                <w:szCs w:val="20"/>
              </w:rPr>
            </w:pPr>
            <w:r>
              <w:rPr>
                <w:rFonts w:hint="eastAsia" w:ascii="方正仿宋_GBK" w:hAnsi="方正仿宋_GBK" w:cs="方正仿宋_GBK"/>
                <w:kern w:val="0"/>
                <w:sz w:val="20"/>
                <w:szCs w:val="20"/>
              </w:rPr>
              <w:t>新建</w:t>
            </w:r>
          </w:p>
        </w:tc>
        <w:tc>
          <w:tcPr>
            <w:tcW w:w="5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0730CAA">
            <w:pPr>
              <w:widowControl/>
              <w:jc w:val="center"/>
              <w:textAlignment w:val="center"/>
              <w:rPr>
                <w:rFonts w:ascii="方正仿宋_GBK"/>
                <w:sz w:val="20"/>
                <w:szCs w:val="20"/>
              </w:rPr>
            </w:pPr>
            <w:r>
              <w:rPr>
                <w:rFonts w:hint="eastAsia" w:ascii="方正仿宋_GBK" w:hAnsi="方正仿宋_GBK" w:cs="方正仿宋_GBK"/>
                <w:kern w:val="0"/>
                <w:sz w:val="20"/>
                <w:szCs w:val="20"/>
              </w:rPr>
              <w:t>占地</w:t>
            </w:r>
            <w:r>
              <w:rPr>
                <w:rFonts w:ascii="方正仿宋_GBK" w:hAnsi="方正仿宋_GBK" w:cs="方正仿宋_GBK"/>
                <w:kern w:val="0"/>
                <w:sz w:val="20"/>
                <w:szCs w:val="20"/>
              </w:rPr>
              <w:t>20</w:t>
            </w:r>
            <w:r>
              <w:rPr>
                <w:rFonts w:hint="eastAsia" w:ascii="方正仿宋_GBK" w:hAnsi="方正仿宋_GBK" w:cs="方正仿宋_GBK"/>
                <w:kern w:val="0"/>
                <w:sz w:val="20"/>
                <w:szCs w:val="20"/>
              </w:rPr>
              <w:t>亩，建设业务用房</w:t>
            </w:r>
            <w:r>
              <w:rPr>
                <w:rFonts w:ascii="方正仿宋_GBK" w:hAnsi="方正仿宋_GBK" w:cs="方正仿宋_GBK"/>
                <w:kern w:val="0"/>
                <w:sz w:val="20"/>
                <w:szCs w:val="20"/>
              </w:rPr>
              <w:t>10000</w:t>
            </w:r>
            <w:r>
              <w:rPr>
                <w:rFonts w:hint="eastAsia" w:ascii="方正仿宋_GBK" w:hAnsi="方正仿宋_GBK" w:cs="方正仿宋_GBK"/>
                <w:kern w:val="0"/>
                <w:sz w:val="20"/>
                <w:szCs w:val="20"/>
              </w:rPr>
              <w:t>㎡，建设食堂、车位、污水处理等附属设施，配齐相关医疗设备。</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74F0AE1">
            <w:pPr>
              <w:widowControl/>
              <w:jc w:val="center"/>
              <w:textAlignment w:val="center"/>
              <w:rPr>
                <w:rFonts w:ascii="方正仿宋_GBK"/>
                <w:sz w:val="20"/>
                <w:szCs w:val="20"/>
              </w:rPr>
            </w:pPr>
            <w:r>
              <w:rPr>
                <w:rFonts w:ascii="方正仿宋_GBK" w:hAnsi="方正仿宋_GBK" w:cs="方正仿宋_GBK"/>
                <w:kern w:val="0"/>
                <w:sz w:val="20"/>
                <w:szCs w:val="20"/>
              </w:rPr>
              <w:t>5700</w:t>
            </w:r>
          </w:p>
        </w:tc>
        <w:tc>
          <w:tcPr>
            <w:tcW w:w="12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D0F7BBA">
            <w:pPr>
              <w:widowControl/>
              <w:jc w:val="center"/>
              <w:textAlignment w:val="center"/>
              <w:rPr>
                <w:rFonts w:ascii="方正仿宋_GBK"/>
                <w:sz w:val="20"/>
                <w:szCs w:val="20"/>
              </w:rPr>
            </w:pPr>
            <w:r>
              <w:rPr>
                <w:rFonts w:ascii="方正仿宋_GBK" w:hAnsi="方正仿宋_GBK" w:cs="方正仿宋_GBK"/>
                <w:kern w:val="0"/>
                <w:sz w:val="20"/>
                <w:szCs w:val="20"/>
              </w:rPr>
              <w:t>2023-2024</w:t>
            </w:r>
          </w:p>
        </w:tc>
      </w:tr>
      <w:tr w14:paraId="739A6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0" w:hRule="atLeast"/>
          <w:jc w:val="center"/>
        </w:trPr>
        <w:tc>
          <w:tcPr>
            <w:tcW w:w="84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7D39196">
            <w:pPr>
              <w:widowControl/>
              <w:jc w:val="center"/>
              <w:textAlignment w:val="center"/>
              <w:rPr>
                <w:rFonts w:ascii="方正仿宋_GBK"/>
                <w:sz w:val="20"/>
                <w:szCs w:val="20"/>
              </w:rPr>
            </w:pPr>
            <w:r>
              <w:rPr>
                <w:rFonts w:ascii="方正仿宋_GBK" w:hAnsi="方正仿宋_GBK" w:cs="方正仿宋_GBK"/>
                <w:kern w:val="0"/>
                <w:sz w:val="20"/>
                <w:szCs w:val="20"/>
              </w:rPr>
              <w:t>22</w:t>
            </w:r>
          </w:p>
        </w:tc>
        <w:tc>
          <w:tcPr>
            <w:tcW w:w="19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66CF932">
            <w:pPr>
              <w:widowControl/>
              <w:jc w:val="center"/>
              <w:textAlignment w:val="center"/>
              <w:rPr>
                <w:rFonts w:ascii="方正仿宋_GBK"/>
                <w:sz w:val="20"/>
                <w:szCs w:val="20"/>
              </w:rPr>
            </w:pPr>
            <w:r>
              <w:rPr>
                <w:rFonts w:hint="eastAsia" w:ascii="方正仿宋_GBK" w:hAnsi="方正仿宋_GBK" w:cs="方正仿宋_GBK"/>
                <w:kern w:val="0"/>
                <w:sz w:val="20"/>
                <w:szCs w:val="20"/>
              </w:rPr>
              <w:t>兴隆镇中心卫生院建设工程</w:t>
            </w:r>
          </w:p>
        </w:tc>
        <w:tc>
          <w:tcPr>
            <w:tcW w:w="15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E092CB1">
            <w:pPr>
              <w:widowControl/>
              <w:jc w:val="center"/>
              <w:textAlignment w:val="center"/>
              <w:rPr>
                <w:rFonts w:ascii="方正仿宋_GBK"/>
                <w:sz w:val="20"/>
                <w:szCs w:val="20"/>
              </w:rPr>
            </w:pPr>
            <w:r>
              <w:rPr>
                <w:rFonts w:hint="eastAsia" w:ascii="方正仿宋_GBK" w:hAnsi="方正仿宋_GBK" w:cs="方正仿宋_GBK"/>
                <w:kern w:val="0"/>
                <w:sz w:val="20"/>
                <w:szCs w:val="20"/>
              </w:rPr>
              <w:t>兴隆镇中心卫生院</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D6B62B6">
            <w:pPr>
              <w:widowControl/>
              <w:jc w:val="center"/>
              <w:textAlignment w:val="center"/>
              <w:rPr>
                <w:rFonts w:ascii="方正仿宋_GBK"/>
                <w:sz w:val="20"/>
                <w:szCs w:val="20"/>
              </w:rPr>
            </w:pPr>
            <w:r>
              <w:rPr>
                <w:rFonts w:hint="eastAsia" w:ascii="方正仿宋_GBK" w:hAnsi="方正仿宋_GBK" w:cs="方正仿宋_GBK"/>
                <w:kern w:val="0"/>
                <w:sz w:val="20"/>
                <w:szCs w:val="20"/>
              </w:rPr>
              <w:t>兴隆镇</w:t>
            </w:r>
          </w:p>
        </w:tc>
        <w:tc>
          <w:tcPr>
            <w:tcW w:w="9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EF2847E">
            <w:pPr>
              <w:widowControl/>
              <w:jc w:val="center"/>
              <w:textAlignment w:val="center"/>
              <w:rPr>
                <w:rFonts w:ascii="方正仿宋_GBK"/>
                <w:sz w:val="20"/>
                <w:szCs w:val="20"/>
              </w:rPr>
            </w:pPr>
            <w:r>
              <w:rPr>
                <w:rFonts w:hint="eastAsia" w:ascii="方正仿宋_GBK" w:hAnsi="方正仿宋_GBK" w:cs="方正仿宋_GBK"/>
                <w:kern w:val="0"/>
                <w:sz w:val="20"/>
                <w:szCs w:val="20"/>
              </w:rPr>
              <w:t>新建</w:t>
            </w:r>
          </w:p>
        </w:tc>
        <w:tc>
          <w:tcPr>
            <w:tcW w:w="5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EB9081F">
            <w:pPr>
              <w:widowControl/>
              <w:jc w:val="center"/>
              <w:textAlignment w:val="center"/>
              <w:rPr>
                <w:rFonts w:ascii="方正仿宋_GBK"/>
                <w:sz w:val="20"/>
                <w:szCs w:val="20"/>
              </w:rPr>
            </w:pPr>
            <w:r>
              <w:rPr>
                <w:rFonts w:hint="eastAsia" w:ascii="方正仿宋_GBK" w:hAnsi="方正仿宋_GBK" w:cs="方正仿宋_GBK"/>
                <w:kern w:val="0"/>
                <w:sz w:val="20"/>
                <w:szCs w:val="20"/>
              </w:rPr>
              <w:t>用地</w:t>
            </w:r>
            <w:r>
              <w:rPr>
                <w:rFonts w:ascii="方正仿宋_GBK" w:hAnsi="方正仿宋_GBK" w:cs="方正仿宋_GBK"/>
                <w:kern w:val="0"/>
                <w:sz w:val="20"/>
                <w:szCs w:val="20"/>
              </w:rPr>
              <w:t>43.1</w:t>
            </w:r>
            <w:r>
              <w:rPr>
                <w:rFonts w:hint="eastAsia" w:ascii="方正仿宋_GBK" w:hAnsi="方正仿宋_GBK" w:cs="方正仿宋_GBK"/>
                <w:kern w:val="0"/>
                <w:sz w:val="20"/>
                <w:szCs w:val="20"/>
              </w:rPr>
              <w:t>亩，总建筑面积</w:t>
            </w:r>
            <w:r>
              <w:rPr>
                <w:rFonts w:ascii="方正仿宋_GBK" w:hAnsi="方正仿宋_GBK" w:cs="方正仿宋_GBK"/>
                <w:kern w:val="0"/>
                <w:sz w:val="20"/>
                <w:szCs w:val="20"/>
              </w:rPr>
              <w:t>33225</w:t>
            </w:r>
            <w:r>
              <w:rPr>
                <w:rFonts w:hint="eastAsia" w:ascii="方正仿宋_GBK" w:hAnsi="方正仿宋_GBK" w:cs="方正仿宋_GBK"/>
                <w:kern w:val="0"/>
                <w:sz w:val="20"/>
                <w:szCs w:val="20"/>
              </w:rPr>
              <w:t>㎡，其中：业务用房</w:t>
            </w:r>
            <w:r>
              <w:rPr>
                <w:rFonts w:ascii="方正仿宋_GBK" w:hAnsi="方正仿宋_GBK" w:cs="方正仿宋_GBK"/>
                <w:kern w:val="0"/>
                <w:sz w:val="20"/>
                <w:szCs w:val="20"/>
              </w:rPr>
              <w:t>28500</w:t>
            </w:r>
            <w:r>
              <w:rPr>
                <w:rFonts w:hint="eastAsia" w:ascii="方正仿宋_GBK" w:hAnsi="方正仿宋_GBK" w:cs="方正仿宋_GBK"/>
                <w:kern w:val="0"/>
                <w:sz w:val="20"/>
                <w:szCs w:val="20"/>
              </w:rPr>
              <w:t>㎡、地下停车等</w:t>
            </w:r>
            <w:r>
              <w:rPr>
                <w:rFonts w:ascii="方正仿宋_GBK" w:hAnsi="方正仿宋_GBK" w:cs="方正仿宋_GBK"/>
                <w:kern w:val="0"/>
                <w:sz w:val="20"/>
                <w:szCs w:val="20"/>
              </w:rPr>
              <w:t>4725</w:t>
            </w:r>
            <w:r>
              <w:rPr>
                <w:rFonts w:hint="eastAsia" w:ascii="方正仿宋_GBK" w:hAnsi="方正仿宋_GBK" w:cs="方正仿宋_GBK"/>
                <w:kern w:val="0"/>
                <w:sz w:val="20"/>
                <w:szCs w:val="20"/>
              </w:rPr>
              <w:t>㎡（</w:t>
            </w:r>
            <w:r>
              <w:rPr>
                <w:rFonts w:ascii="方正仿宋_GBK" w:hAnsi="方正仿宋_GBK" w:cs="方正仿宋_GBK"/>
                <w:kern w:val="0"/>
                <w:sz w:val="20"/>
                <w:szCs w:val="20"/>
              </w:rPr>
              <w:t>135</w:t>
            </w:r>
            <w:r>
              <w:rPr>
                <w:rFonts w:hint="eastAsia" w:ascii="方正仿宋_GBK" w:hAnsi="方正仿宋_GBK" w:cs="方正仿宋_GBK"/>
                <w:kern w:val="0"/>
                <w:sz w:val="20"/>
                <w:szCs w:val="20"/>
              </w:rPr>
              <w:t>个车位，</w:t>
            </w:r>
            <w:r>
              <w:rPr>
                <w:rFonts w:ascii="方正仿宋_GBK" w:hAnsi="方正仿宋_GBK" w:cs="方正仿宋_GBK"/>
                <w:kern w:val="0"/>
                <w:sz w:val="20"/>
                <w:szCs w:val="20"/>
              </w:rPr>
              <w:t>35</w:t>
            </w:r>
            <w:r>
              <w:rPr>
                <w:rFonts w:hint="eastAsia" w:ascii="方正仿宋_GBK" w:hAnsi="方正仿宋_GBK" w:cs="方正仿宋_GBK"/>
                <w:kern w:val="0"/>
                <w:sz w:val="20"/>
                <w:szCs w:val="20"/>
              </w:rPr>
              <w:t>㎡</w:t>
            </w:r>
            <w:r>
              <w:rPr>
                <w:rFonts w:ascii="方正仿宋_GBK" w:hAnsi="方正仿宋_GBK" w:cs="方正仿宋_GBK"/>
                <w:kern w:val="0"/>
                <w:sz w:val="20"/>
                <w:szCs w:val="20"/>
              </w:rPr>
              <w:t>/</w:t>
            </w:r>
            <w:r>
              <w:rPr>
                <w:rFonts w:hint="eastAsia" w:ascii="方正仿宋_GBK" w:hAnsi="方正仿宋_GBK" w:cs="方正仿宋_GBK"/>
                <w:kern w:val="0"/>
                <w:sz w:val="20"/>
                <w:szCs w:val="20"/>
              </w:rPr>
              <w:t>车位）。</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587AC79">
            <w:pPr>
              <w:widowControl/>
              <w:jc w:val="center"/>
              <w:textAlignment w:val="center"/>
              <w:rPr>
                <w:rFonts w:ascii="方正仿宋_GBK"/>
                <w:sz w:val="20"/>
                <w:szCs w:val="20"/>
              </w:rPr>
            </w:pPr>
            <w:r>
              <w:rPr>
                <w:rFonts w:ascii="方正仿宋_GBK" w:hAnsi="方正仿宋_GBK" w:cs="方正仿宋_GBK"/>
                <w:kern w:val="0"/>
                <w:sz w:val="20"/>
                <w:szCs w:val="20"/>
              </w:rPr>
              <w:t>20000</w:t>
            </w:r>
          </w:p>
        </w:tc>
        <w:tc>
          <w:tcPr>
            <w:tcW w:w="12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3E2A43F">
            <w:pPr>
              <w:widowControl/>
              <w:jc w:val="center"/>
              <w:textAlignment w:val="center"/>
              <w:rPr>
                <w:rFonts w:ascii="方正仿宋_GBK"/>
                <w:sz w:val="20"/>
                <w:szCs w:val="20"/>
              </w:rPr>
            </w:pPr>
            <w:r>
              <w:rPr>
                <w:rFonts w:ascii="方正仿宋_GBK" w:hAnsi="方正仿宋_GBK" w:cs="方正仿宋_GBK"/>
                <w:kern w:val="0"/>
                <w:sz w:val="20"/>
                <w:szCs w:val="20"/>
              </w:rPr>
              <w:t>2023-2025</w:t>
            </w:r>
          </w:p>
        </w:tc>
      </w:tr>
      <w:tr w14:paraId="28790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0" w:hRule="atLeast"/>
          <w:jc w:val="center"/>
        </w:trPr>
        <w:tc>
          <w:tcPr>
            <w:tcW w:w="84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61780CD">
            <w:pPr>
              <w:widowControl/>
              <w:jc w:val="center"/>
              <w:textAlignment w:val="center"/>
              <w:rPr>
                <w:rFonts w:ascii="方正仿宋_GBK"/>
                <w:sz w:val="20"/>
                <w:szCs w:val="20"/>
              </w:rPr>
            </w:pPr>
            <w:r>
              <w:rPr>
                <w:rFonts w:ascii="方正仿宋_GBK" w:hAnsi="方正仿宋_GBK" w:cs="方正仿宋_GBK"/>
                <w:kern w:val="0"/>
                <w:sz w:val="20"/>
                <w:szCs w:val="20"/>
              </w:rPr>
              <w:t>23</w:t>
            </w:r>
          </w:p>
        </w:tc>
        <w:tc>
          <w:tcPr>
            <w:tcW w:w="19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BC8DFC2">
            <w:pPr>
              <w:widowControl/>
              <w:jc w:val="center"/>
              <w:textAlignment w:val="center"/>
              <w:rPr>
                <w:rFonts w:ascii="方正仿宋_GBK"/>
                <w:sz w:val="20"/>
                <w:szCs w:val="20"/>
              </w:rPr>
            </w:pPr>
            <w:r>
              <w:rPr>
                <w:rFonts w:hint="eastAsia" w:ascii="方正仿宋_GBK" w:hAnsi="方正仿宋_GBK" w:cs="方正仿宋_GBK"/>
                <w:kern w:val="0"/>
                <w:sz w:val="20"/>
                <w:szCs w:val="20"/>
              </w:rPr>
              <w:t>康乐镇中心卫生院迁建工程</w:t>
            </w:r>
          </w:p>
        </w:tc>
        <w:tc>
          <w:tcPr>
            <w:tcW w:w="15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A4D8811">
            <w:pPr>
              <w:widowControl/>
              <w:jc w:val="center"/>
              <w:textAlignment w:val="center"/>
              <w:rPr>
                <w:rFonts w:ascii="方正仿宋_GBK"/>
                <w:sz w:val="20"/>
                <w:szCs w:val="20"/>
              </w:rPr>
            </w:pPr>
            <w:r>
              <w:rPr>
                <w:rFonts w:hint="eastAsia" w:ascii="方正仿宋_GBK" w:hAnsi="方正仿宋_GBK" w:cs="方正仿宋_GBK"/>
                <w:kern w:val="0"/>
                <w:sz w:val="20"/>
                <w:szCs w:val="20"/>
              </w:rPr>
              <w:t>康乐镇中心卫生院</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D8BD7EA">
            <w:pPr>
              <w:widowControl/>
              <w:jc w:val="center"/>
              <w:textAlignment w:val="center"/>
              <w:rPr>
                <w:rFonts w:ascii="方正仿宋_GBK"/>
                <w:sz w:val="20"/>
                <w:szCs w:val="20"/>
              </w:rPr>
            </w:pPr>
            <w:r>
              <w:rPr>
                <w:rFonts w:hint="eastAsia" w:ascii="方正仿宋_GBK" w:hAnsi="方正仿宋_GBK" w:cs="方正仿宋_GBK"/>
                <w:kern w:val="0"/>
                <w:sz w:val="20"/>
                <w:szCs w:val="20"/>
              </w:rPr>
              <w:t>康乐镇</w:t>
            </w:r>
          </w:p>
        </w:tc>
        <w:tc>
          <w:tcPr>
            <w:tcW w:w="9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74FCD06">
            <w:pPr>
              <w:widowControl/>
              <w:jc w:val="center"/>
              <w:textAlignment w:val="center"/>
              <w:rPr>
                <w:rFonts w:ascii="方正仿宋_GBK"/>
                <w:sz w:val="20"/>
                <w:szCs w:val="20"/>
              </w:rPr>
            </w:pPr>
            <w:r>
              <w:rPr>
                <w:rFonts w:hint="eastAsia" w:ascii="方正仿宋_GBK" w:hAnsi="方正仿宋_GBK" w:cs="方正仿宋_GBK"/>
                <w:kern w:val="0"/>
                <w:sz w:val="20"/>
                <w:szCs w:val="20"/>
              </w:rPr>
              <w:t>新建</w:t>
            </w:r>
          </w:p>
        </w:tc>
        <w:tc>
          <w:tcPr>
            <w:tcW w:w="5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7879D90">
            <w:pPr>
              <w:widowControl/>
              <w:jc w:val="center"/>
              <w:textAlignment w:val="center"/>
              <w:rPr>
                <w:rFonts w:ascii="方正仿宋_GBK"/>
                <w:sz w:val="20"/>
                <w:szCs w:val="20"/>
              </w:rPr>
            </w:pPr>
            <w:r>
              <w:rPr>
                <w:rFonts w:hint="eastAsia" w:ascii="方正仿宋_GBK" w:hAnsi="方正仿宋_GBK" w:cs="方正仿宋_GBK"/>
                <w:kern w:val="0"/>
                <w:sz w:val="20"/>
                <w:szCs w:val="20"/>
              </w:rPr>
              <w:t>规划用地</w:t>
            </w:r>
            <w:r>
              <w:rPr>
                <w:rFonts w:ascii="方正仿宋_GBK" w:hAnsi="方正仿宋_GBK" w:cs="方正仿宋_GBK"/>
                <w:kern w:val="0"/>
                <w:sz w:val="20"/>
                <w:szCs w:val="20"/>
              </w:rPr>
              <w:t>15</w:t>
            </w:r>
            <w:r>
              <w:rPr>
                <w:rFonts w:hint="eastAsia" w:ascii="方正仿宋_GBK" w:hAnsi="方正仿宋_GBK" w:cs="方正仿宋_GBK"/>
                <w:kern w:val="0"/>
                <w:sz w:val="20"/>
                <w:szCs w:val="20"/>
              </w:rPr>
              <w:t>亩，新建业务用房</w:t>
            </w:r>
            <w:r>
              <w:rPr>
                <w:rFonts w:ascii="方正仿宋_GBK" w:hAnsi="方正仿宋_GBK" w:cs="方正仿宋_GBK"/>
                <w:kern w:val="0"/>
                <w:sz w:val="20"/>
                <w:szCs w:val="20"/>
              </w:rPr>
              <w:t>8500</w:t>
            </w:r>
            <w:r>
              <w:rPr>
                <w:rFonts w:hint="eastAsia" w:ascii="方正仿宋_GBK" w:hAnsi="方正仿宋_GBK" w:cs="方正仿宋_GBK"/>
                <w:kern w:val="0"/>
                <w:sz w:val="20"/>
                <w:szCs w:val="20"/>
              </w:rPr>
              <w:t>㎡及附属设备设施。</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472F7D3">
            <w:pPr>
              <w:widowControl/>
              <w:jc w:val="center"/>
              <w:textAlignment w:val="center"/>
              <w:rPr>
                <w:rFonts w:ascii="方正仿宋_GBK"/>
                <w:sz w:val="20"/>
                <w:szCs w:val="20"/>
              </w:rPr>
            </w:pPr>
            <w:r>
              <w:rPr>
                <w:rFonts w:ascii="方正仿宋_GBK" w:hAnsi="方正仿宋_GBK" w:cs="方正仿宋_GBK"/>
                <w:kern w:val="0"/>
                <w:sz w:val="20"/>
                <w:szCs w:val="20"/>
              </w:rPr>
              <w:t>4000</w:t>
            </w:r>
          </w:p>
        </w:tc>
        <w:tc>
          <w:tcPr>
            <w:tcW w:w="12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2E2D352">
            <w:pPr>
              <w:widowControl/>
              <w:jc w:val="center"/>
              <w:textAlignment w:val="center"/>
              <w:rPr>
                <w:rFonts w:ascii="方正仿宋_GBK"/>
                <w:sz w:val="20"/>
                <w:szCs w:val="20"/>
              </w:rPr>
            </w:pPr>
            <w:r>
              <w:rPr>
                <w:rFonts w:ascii="方正仿宋_GBK" w:hAnsi="方正仿宋_GBK" w:cs="方正仿宋_GBK"/>
                <w:kern w:val="0"/>
                <w:sz w:val="20"/>
                <w:szCs w:val="20"/>
              </w:rPr>
              <w:t>2023-2025</w:t>
            </w:r>
          </w:p>
        </w:tc>
      </w:tr>
      <w:tr w14:paraId="2EA4A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0" w:hRule="atLeast"/>
          <w:jc w:val="center"/>
        </w:trPr>
        <w:tc>
          <w:tcPr>
            <w:tcW w:w="84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2FA56C9">
            <w:pPr>
              <w:widowControl/>
              <w:jc w:val="center"/>
              <w:textAlignment w:val="center"/>
              <w:rPr>
                <w:rFonts w:ascii="方正仿宋_GBK"/>
                <w:sz w:val="20"/>
                <w:szCs w:val="20"/>
              </w:rPr>
            </w:pPr>
            <w:r>
              <w:rPr>
                <w:rFonts w:ascii="方正仿宋_GBK" w:hAnsi="方正仿宋_GBK" w:cs="方正仿宋_GBK"/>
                <w:kern w:val="0"/>
                <w:sz w:val="20"/>
                <w:szCs w:val="20"/>
              </w:rPr>
              <w:t>24</w:t>
            </w:r>
          </w:p>
        </w:tc>
        <w:tc>
          <w:tcPr>
            <w:tcW w:w="19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A3780FC">
            <w:pPr>
              <w:widowControl/>
              <w:jc w:val="center"/>
              <w:textAlignment w:val="center"/>
              <w:rPr>
                <w:rFonts w:ascii="方正仿宋_GBK"/>
                <w:sz w:val="20"/>
                <w:szCs w:val="20"/>
              </w:rPr>
            </w:pPr>
            <w:r>
              <w:rPr>
                <w:rFonts w:hint="eastAsia" w:ascii="方正仿宋_GBK" w:hAnsi="方正仿宋_GBK" w:cs="方正仿宋_GBK"/>
                <w:kern w:val="0"/>
                <w:sz w:val="20"/>
                <w:szCs w:val="20"/>
              </w:rPr>
              <w:t>吐祥镇中心卫生院迁建工程</w:t>
            </w:r>
          </w:p>
        </w:tc>
        <w:tc>
          <w:tcPr>
            <w:tcW w:w="15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66D215F">
            <w:pPr>
              <w:widowControl/>
              <w:jc w:val="center"/>
              <w:textAlignment w:val="center"/>
              <w:rPr>
                <w:rFonts w:ascii="方正仿宋_GBK"/>
                <w:sz w:val="20"/>
                <w:szCs w:val="20"/>
              </w:rPr>
            </w:pPr>
            <w:r>
              <w:rPr>
                <w:rFonts w:hint="eastAsia" w:ascii="方正仿宋_GBK" w:hAnsi="方正仿宋_GBK" w:cs="方正仿宋_GBK"/>
                <w:kern w:val="0"/>
                <w:sz w:val="20"/>
                <w:szCs w:val="20"/>
              </w:rPr>
              <w:t>吐祥镇中心卫生院</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4010E8B">
            <w:pPr>
              <w:widowControl/>
              <w:jc w:val="center"/>
              <w:textAlignment w:val="center"/>
              <w:rPr>
                <w:rFonts w:ascii="方正仿宋_GBK"/>
                <w:sz w:val="20"/>
                <w:szCs w:val="20"/>
              </w:rPr>
            </w:pPr>
            <w:r>
              <w:rPr>
                <w:rFonts w:hint="eastAsia" w:ascii="方正仿宋_GBK" w:hAnsi="方正仿宋_GBK" w:cs="方正仿宋_GBK"/>
                <w:kern w:val="0"/>
                <w:sz w:val="20"/>
                <w:szCs w:val="20"/>
              </w:rPr>
              <w:t>吐祥镇</w:t>
            </w:r>
          </w:p>
        </w:tc>
        <w:tc>
          <w:tcPr>
            <w:tcW w:w="9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F3EF391">
            <w:pPr>
              <w:widowControl/>
              <w:jc w:val="center"/>
              <w:textAlignment w:val="center"/>
              <w:rPr>
                <w:rFonts w:ascii="方正仿宋_GBK"/>
                <w:sz w:val="20"/>
                <w:szCs w:val="20"/>
              </w:rPr>
            </w:pPr>
            <w:r>
              <w:rPr>
                <w:rFonts w:hint="eastAsia" w:ascii="方正仿宋_GBK" w:hAnsi="方正仿宋_GBK" w:cs="方正仿宋_GBK"/>
                <w:kern w:val="0"/>
                <w:sz w:val="20"/>
                <w:szCs w:val="20"/>
              </w:rPr>
              <w:t>新建</w:t>
            </w:r>
          </w:p>
        </w:tc>
        <w:tc>
          <w:tcPr>
            <w:tcW w:w="5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02B64F4">
            <w:pPr>
              <w:widowControl/>
              <w:jc w:val="center"/>
              <w:textAlignment w:val="center"/>
              <w:rPr>
                <w:rFonts w:ascii="方正仿宋_GBK"/>
                <w:sz w:val="20"/>
                <w:szCs w:val="20"/>
              </w:rPr>
            </w:pPr>
            <w:r>
              <w:rPr>
                <w:rFonts w:hint="eastAsia" w:ascii="方正仿宋_GBK" w:hAnsi="方正仿宋_GBK" w:cs="方正仿宋_GBK"/>
                <w:kern w:val="0"/>
                <w:sz w:val="20"/>
                <w:szCs w:val="20"/>
              </w:rPr>
              <w:t>规划用地</w:t>
            </w:r>
            <w:r>
              <w:rPr>
                <w:rFonts w:ascii="方正仿宋_GBK" w:hAnsi="方正仿宋_GBK" w:cs="方正仿宋_GBK"/>
                <w:kern w:val="0"/>
                <w:sz w:val="20"/>
                <w:szCs w:val="20"/>
              </w:rPr>
              <w:t>20</w:t>
            </w:r>
            <w:r>
              <w:rPr>
                <w:rFonts w:hint="eastAsia" w:ascii="方正仿宋_GBK" w:hAnsi="方正仿宋_GBK" w:cs="方正仿宋_GBK"/>
                <w:kern w:val="0"/>
                <w:sz w:val="20"/>
                <w:szCs w:val="20"/>
              </w:rPr>
              <w:t>亩，新建业务用房面积</w:t>
            </w:r>
            <w:r>
              <w:rPr>
                <w:rFonts w:ascii="方正仿宋_GBK" w:hAnsi="方正仿宋_GBK" w:cs="方正仿宋_GBK"/>
                <w:kern w:val="0"/>
                <w:sz w:val="20"/>
                <w:szCs w:val="20"/>
              </w:rPr>
              <w:t>10000</w:t>
            </w:r>
            <w:r>
              <w:rPr>
                <w:rFonts w:hint="eastAsia" w:ascii="方正仿宋_GBK" w:hAnsi="方正仿宋_GBK" w:cs="方正仿宋_GBK"/>
                <w:kern w:val="0"/>
                <w:sz w:val="20"/>
                <w:szCs w:val="20"/>
              </w:rPr>
              <w:t>㎡及附属设备设施。</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780339F">
            <w:pPr>
              <w:widowControl/>
              <w:jc w:val="center"/>
              <w:textAlignment w:val="center"/>
              <w:rPr>
                <w:rFonts w:ascii="方正仿宋_GBK"/>
                <w:sz w:val="20"/>
                <w:szCs w:val="20"/>
              </w:rPr>
            </w:pPr>
            <w:r>
              <w:rPr>
                <w:rFonts w:ascii="方正仿宋_GBK" w:hAnsi="方正仿宋_GBK" w:cs="方正仿宋_GBK"/>
                <w:kern w:val="0"/>
                <w:sz w:val="20"/>
                <w:szCs w:val="20"/>
              </w:rPr>
              <w:t>6000</w:t>
            </w:r>
          </w:p>
        </w:tc>
        <w:tc>
          <w:tcPr>
            <w:tcW w:w="12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E12025C">
            <w:pPr>
              <w:widowControl/>
              <w:jc w:val="center"/>
              <w:textAlignment w:val="center"/>
              <w:rPr>
                <w:rFonts w:ascii="方正仿宋_GBK"/>
                <w:sz w:val="20"/>
                <w:szCs w:val="20"/>
              </w:rPr>
            </w:pPr>
            <w:r>
              <w:rPr>
                <w:rFonts w:ascii="方正仿宋_GBK" w:hAnsi="方正仿宋_GBK" w:cs="方正仿宋_GBK"/>
                <w:kern w:val="0"/>
                <w:sz w:val="20"/>
                <w:szCs w:val="20"/>
              </w:rPr>
              <w:t>2024-2025</w:t>
            </w:r>
          </w:p>
        </w:tc>
      </w:tr>
      <w:tr w14:paraId="4412C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0" w:hRule="atLeast"/>
          <w:jc w:val="center"/>
        </w:trPr>
        <w:tc>
          <w:tcPr>
            <w:tcW w:w="84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4455581">
            <w:pPr>
              <w:widowControl/>
              <w:jc w:val="center"/>
              <w:textAlignment w:val="center"/>
              <w:rPr>
                <w:rFonts w:ascii="方正仿宋_GBK"/>
                <w:sz w:val="20"/>
                <w:szCs w:val="20"/>
              </w:rPr>
            </w:pPr>
            <w:r>
              <w:rPr>
                <w:rFonts w:ascii="方正仿宋_GBK" w:hAnsi="方正仿宋_GBK" w:cs="方正仿宋_GBK"/>
                <w:kern w:val="0"/>
                <w:sz w:val="20"/>
                <w:szCs w:val="20"/>
              </w:rPr>
              <w:t>25</w:t>
            </w:r>
          </w:p>
        </w:tc>
        <w:tc>
          <w:tcPr>
            <w:tcW w:w="19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E8A2A9D">
            <w:pPr>
              <w:widowControl/>
              <w:jc w:val="center"/>
              <w:textAlignment w:val="center"/>
              <w:rPr>
                <w:rFonts w:ascii="方正仿宋_GBK"/>
                <w:sz w:val="20"/>
                <w:szCs w:val="20"/>
              </w:rPr>
            </w:pPr>
            <w:r>
              <w:rPr>
                <w:rFonts w:hint="eastAsia" w:ascii="方正仿宋_GBK" w:hAnsi="方正仿宋_GBK" w:cs="方正仿宋_GBK"/>
                <w:kern w:val="0"/>
                <w:sz w:val="20"/>
                <w:szCs w:val="20"/>
              </w:rPr>
              <w:t>公平镇中心卫生院迁建工程</w:t>
            </w:r>
          </w:p>
        </w:tc>
        <w:tc>
          <w:tcPr>
            <w:tcW w:w="15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4DE1A37">
            <w:pPr>
              <w:widowControl/>
              <w:jc w:val="center"/>
              <w:textAlignment w:val="center"/>
              <w:rPr>
                <w:rFonts w:ascii="方正仿宋_GBK"/>
                <w:sz w:val="20"/>
                <w:szCs w:val="20"/>
              </w:rPr>
            </w:pPr>
            <w:r>
              <w:rPr>
                <w:rFonts w:hint="eastAsia" w:ascii="方正仿宋_GBK" w:hAnsi="方正仿宋_GBK" w:cs="方正仿宋_GBK"/>
                <w:kern w:val="0"/>
                <w:sz w:val="20"/>
                <w:szCs w:val="20"/>
              </w:rPr>
              <w:t>公平镇中心卫生院</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43E1EC4">
            <w:pPr>
              <w:widowControl/>
              <w:jc w:val="center"/>
              <w:textAlignment w:val="center"/>
              <w:rPr>
                <w:rFonts w:ascii="方正仿宋_GBK"/>
                <w:sz w:val="20"/>
                <w:szCs w:val="20"/>
              </w:rPr>
            </w:pPr>
            <w:r>
              <w:rPr>
                <w:rFonts w:hint="eastAsia" w:ascii="方正仿宋_GBK" w:hAnsi="方正仿宋_GBK" w:cs="方正仿宋_GBK"/>
                <w:kern w:val="0"/>
                <w:sz w:val="20"/>
                <w:szCs w:val="20"/>
              </w:rPr>
              <w:t>公平镇</w:t>
            </w:r>
          </w:p>
        </w:tc>
        <w:tc>
          <w:tcPr>
            <w:tcW w:w="9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409A998">
            <w:pPr>
              <w:widowControl/>
              <w:jc w:val="center"/>
              <w:textAlignment w:val="center"/>
              <w:rPr>
                <w:rFonts w:ascii="方正仿宋_GBK"/>
                <w:sz w:val="20"/>
                <w:szCs w:val="20"/>
              </w:rPr>
            </w:pPr>
            <w:r>
              <w:rPr>
                <w:rFonts w:hint="eastAsia" w:ascii="方正仿宋_GBK" w:hAnsi="方正仿宋_GBK" w:cs="方正仿宋_GBK"/>
                <w:kern w:val="0"/>
                <w:sz w:val="20"/>
                <w:szCs w:val="20"/>
              </w:rPr>
              <w:t>新建</w:t>
            </w:r>
          </w:p>
        </w:tc>
        <w:tc>
          <w:tcPr>
            <w:tcW w:w="5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297877C">
            <w:pPr>
              <w:widowControl/>
              <w:jc w:val="center"/>
              <w:textAlignment w:val="center"/>
              <w:rPr>
                <w:rFonts w:ascii="方正仿宋_GBK"/>
                <w:sz w:val="20"/>
                <w:szCs w:val="20"/>
              </w:rPr>
            </w:pPr>
            <w:r>
              <w:rPr>
                <w:rFonts w:hint="eastAsia" w:ascii="方正仿宋_GBK" w:hAnsi="方正仿宋_GBK" w:cs="方正仿宋_GBK"/>
                <w:kern w:val="0"/>
                <w:sz w:val="20"/>
                <w:szCs w:val="20"/>
              </w:rPr>
              <w:t>规划用地</w:t>
            </w:r>
            <w:r>
              <w:rPr>
                <w:rFonts w:ascii="方正仿宋_GBK" w:hAnsi="方正仿宋_GBK" w:cs="方正仿宋_GBK"/>
                <w:kern w:val="0"/>
                <w:sz w:val="20"/>
                <w:szCs w:val="20"/>
              </w:rPr>
              <w:t>15</w:t>
            </w:r>
            <w:r>
              <w:rPr>
                <w:rFonts w:hint="eastAsia" w:ascii="方正仿宋_GBK" w:hAnsi="方正仿宋_GBK" w:cs="方正仿宋_GBK"/>
                <w:kern w:val="0"/>
                <w:sz w:val="20"/>
                <w:szCs w:val="20"/>
              </w:rPr>
              <w:t>亩，新建业务用房</w:t>
            </w:r>
            <w:r>
              <w:rPr>
                <w:rFonts w:ascii="方正仿宋_GBK" w:hAnsi="方正仿宋_GBK" w:cs="方正仿宋_GBK"/>
                <w:kern w:val="0"/>
                <w:sz w:val="20"/>
                <w:szCs w:val="20"/>
              </w:rPr>
              <w:t>8500</w:t>
            </w:r>
            <w:r>
              <w:rPr>
                <w:rFonts w:hint="eastAsia" w:ascii="方正仿宋_GBK" w:hAnsi="方正仿宋_GBK" w:cs="方正仿宋_GBK"/>
                <w:kern w:val="0"/>
                <w:sz w:val="20"/>
                <w:szCs w:val="20"/>
              </w:rPr>
              <w:t>㎡及附属设备设施。</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FE99CE5">
            <w:pPr>
              <w:widowControl/>
              <w:jc w:val="center"/>
              <w:textAlignment w:val="center"/>
              <w:rPr>
                <w:rFonts w:ascii="方正仿宋_GBK"/>
                <w:sz w:val="20"/>
                <w:szCs w:val="20"/>
              </w:rPr>
            </w:pPr>
            <w:r>
              <w:rPr>
                <w:rFonts w:ascii="方正仿宋_GBK" w:hAnsi="方正仿宋_GBK" w:cs="方正仿宋_GBK"/>
                <w:kern w:val="0"/>
                <w:sz w:val="20"/>
                <w:szCs w:val="20"/>
              </w:rPr>
              <w:t>4000</w:t>
            </w:r>
          </w:p>
        </w:tc>
        <w:tc>
          <w:tcPr>
            <w:tcW w:w="12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76D9C13">
            <w:pPr>
              <w:widowControl/>
              <w:jc w:val="center"/>
              <w:textAlignment w:val="center"/>
              <w:rPr>
                <w:rFonts w:ascii="方正仿宋_GBK"/>
                <w:sz w:val="20"/>
                <w:szCs w:val="20"/>
              </w:rPr>
            </w:pPr>
            <w:r>
              <w:rPr>
                <w:rFonts w:ascii="方正仿宋_GBK" w:hAnsi="方正仿宋_GBK" w:cs="方正仿宋_GBK"/>
                <w:kern w:val="0"/>
                <w:sz w:val="20"/>
                <w:szCs w:val="20"/>
              </w:rPr>
              <w:t>2024-2025</w:t>
            </w:r>
          </w:p>
        </w:tc>
      </w:tr>
      <w:tr w14:paraId="5F09D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0" w:hRule="atLeast"/>
          <w:jc w:val="center"/>
        </w:trPr>
        <w:tc>
          <w:tcPr>
            <w:tcW w:w="84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9F22C91">
            <w:pPr>
              <w:widowControl/>
              <w:jc w:val="center"/>
              <w:textAlignment w:val="center"/>
              <w:rPr>
                <w:rFonts w:ascii="方正仿宋_GBK"/>
                <w:sz w:val="20"/>
                <w:szCs w:val="20"/>
              </w:rPr>
            </w:pPr>
            <w:r>
              <w:rPr>
                <w:rFonts w:ascii="方正仿宋_GBK" w:hAnsi="方正仿宋_GBK" w:cs="方正仿宋_GBK"/>
                <w:kern w:val="0"/>
                <w:sz w:val="20"/>
                <w:szCs w:val="20"/>
              </w:rPr>
              <w:t>26</w:t>
            </w:r>
          </w:p>
        </w:tc>
        <w:tc>
          <w:tcPr>
            <w:tcW w:w="19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E14C81D">
            <w:pPr>
              <w:widowControl/>
              <w:jc w:val="center"/>
              <w:textAlignment w:val="center"/>
              <w:rPr>
                <w:rFonts w:ascii="方正仿宋_GBK"/>
                <w:sz w:val="20"/>
                <w:szCs w:val="20"/>
              </w:rPr>
            </w:pPr>
            <w:r>
              <w:rPr>
                <w:rFonts w:hint="eastAsia" w:ascii="方正仿宋_GBK" w:hAnsi="方正仿宋_GBK" w:cs="方正仿宋_GBK"/>
                <w:kern w:val="0"/>
                <w:sz w:val="20"/>
                <w:szCs w:val="20"/>
              </w:rPr>
              <w:t>竹园镇中心卫生院扩建工程</w:t>
            </w:r>
          </w:p>
        </w:tc>
        <w:tc>
          <w:tcPr>
            <w:tcW w:w="15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80CB66E">
            <w:pPr>
              <w:widowControl/>
              <w:jc w:val="center"/>
              <w:textAlignment w:val="center"/>
              <w:rPr>
                <w:rFonts w:ascii="方正仿宋_GBK"/>
                <w:sz w:val="20"/>
                <w:szCs w:val="20"/>
              </w:rPr>
            </w:pPr>
            <w:r>
              <w:rPr>
                <w:rFonts w:hint="eastAsia" w:ascii="方正仿宋_GBK" w:hAnsi="方正仿宋_GBK" w:cs="方正仿宋_GBK"/>
                <w:kern w:val="0"/>
                <w:sz w:val="20"/>
                <w:szCs w:val="20"/>
              </w:rPr>
              <w:t>竹园镇中心卫生院</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21027F5">
            <w:pPr>
              <w:widowControl/>
              <w:jc w:val="center"/>
              <w:textAlignment w:val="center"/>
              <w:rPr>
                <w:rFonts w:ascii="方正仿宋_GBK"/>
                <w:sz w:val="20"/>
                <w:szCs w:val="20"/>
              </w:rPr>
            </w:pPr>
            <w:r>
              <w:rPr>
                <w:rFonts w:hint="eastAsia" w:ascii="方正仿宋_GBK" w:hAnsi="方正仿宋_GBK" w:cs="方正仿宋_GBK"/>
                <w:kern w:val="0"/>
                <w:sz w:val="20"/>
                <w:szCs w:val="20"/>
              </w:rPr>
              <w:t>竹园镇</w:t>
            </w:r>
          </w:p>
        </w:tc>
        <w:tc>
          <w:tcPr>
            <w:tcW w:w="9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298D9BB">
            <w:pPr>
              <w:widowControl/>
              <w:jc w:val="center"/>
              <w:textAlignment w:val="center"/>
              <w:rPr>
                <w:rFonts w:ascii="方正仿宋_GBK"/>
                <w:sz w:val="20"/>
                <w:szCs w:val="20"/>
              </w:rPr>
            </w:pPr>
            <w:r>
              <w:rPr>
                <w:rFonts w:hint="eastAsia" w:ascii="方正仿宋_GBK" w:hAnsi="方正仿宋_GBK" w:cs="方正仿宋_GBK"/>
                <w:kern w:val="0"/>
                <w:sz w:val="20"/>
                <w:szCs w:val="20"/>
              </w:rPr>
              <w:t>新建</w:t>
            </w:r>
          </w:p>
        </w:tc>
        <w:tc>
          <w:tcPr>
            <w:tcW w:w="5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172EDF5">
            <w:pPr>
              <w:widowControl/>
              <w:jc w:val="center"/>
              <w:textAlignment w:val="center"/>
              <w:rPr>
                <w:rFonts w:ascii="方正仿宋_GBK"/>
                <w:sz w:val="20"/>
                <w:szCs w:val="20"/>
              </w:rPr>
            </w:pPr>
            <w:r>
              <w:rPr>
                <w:rFonts w:hint="eastAsia" w:ascii="方正仿宋_GBK" w:hAnsi="方正仿宋_GBK" w:cs="方正仿宋_GBK"/>
                <w:kern w:val="0"/>
                <w:sz w:val="20"/>
                <w:szCs w:val="20"/>
              </w:rPr>
              <w:t>用地</w:t>
            </w:r>
            <w:r>
              <w:rPr>
                <w:rFonts w:ascii="方正仿宋_GBK" w:hAnsi="方正仿宋_GBK" w:cs="方正仿宋_GBK"/>
                <w:kern w:val="0"/>
                <w:sz w:val="20"/>
                <w:szCs w:val="20"/>
              </w:rPr>
              <w:t>2000</w:t>
            </w:r>
            <w:r>
              <w:rPr>
                <w:rFonts w:hint="eastAsia" w:ascii="方正仿宋_GBK" w:hAnsi="方正仿宋_GBK" w:cs="方正仿宋_GBK"/>
                <w:kern w:val="0"/>
                <w:sz w:val="20"/>
                <w:szCs w:val="20"/>
              </w:rPr>
              <w:t>㎡，建设业务用房</w:t>
            </w:r>
            <w:r>
              <w:rPr>
                <w:rFonts w:ascii="方正仿宋_GBK" w:hAnsi="方正仿宋_GBK" w:cs="方正仿宋_GBK"/>
                <w:kern w:val="0"/>
                <w:sz w:val="20"/>
                <w:szCs w:val="20"/>
              </w:rPr>
              <w:t>3000</w:t>
            </w:r>
            <w:r>
              <w:rPr>
                <w:rFonts w:hint="eastAsia" w:ascii="方正仿宋_GBK" w:hAnsi="方正仿宋_GBK" w:cs="方正仿宋_GBK"/>
                <w:kern w:val="0"/>
                <w:sz w:val="20"/>
                <w:szCs w:val="20"/>
              </w:rPr>
              <w:t>平米，建设社区医养结合中心，打造美丽医院。</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444EE8C">
            <w:pPr>
              <w:widowControl/>
              <w:jc w:val="center"/>
              <w:textAlignment w:val="center"/>
              <w:rPr>
                <w:rFonts w:ascii="方正仿宋_GBK"/>
                <w:sz w:val="20"/>
                <w:szCs w:val="20"/>
              </w:rPr>
            </w:pPr>
            <w:r>
              <w:rPr>
                <w:rFonts w:ascii="方正仿宋_GBK" w:hAnsi="方正仿宋_GBK" w:cs="方正仿宋_GBK"/>
                <w:kern w:val="0"/>
                <w:sz w:val="20"/>
                <w:szCs w:val="20"/>
              </w:rPr>
              <w:t>1100</w:t>
            </w:r>
          </w:p>
        </w:tc>
        <w:tc>
          <w:tcPr>
            <w:tcW w:w="12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E9FB968">
            <w:pPr>
              <w:widowControl/>
              <w:jc w:val="center"/>
              <w:textAlignment w:val="center"/>
              <w:rPr>
                <w:rFonts w:ascii="方正仿宋_GBK"/>
                <w:sz w:val="20"/>
                <w:szCs w:val="20"/>
              </w:rPr>
            </w:pPr>
            <w:r>
              <w:rPr>
                <w:rFonts w:ascii="方正仿宋_GBK" w:hAnsi="方正仿宋_GBK" w:cs="方正仿宋_GBK"/>
                <w:kern w:val="0"/>
                <w:sz w:val="20"/>
                <w:szCs w:val="20"/>
              </w:rPr>
              <w:t>2024-2025</w:t>
            </w:r>
          </w:p>
        </w:tc>
      </w:tr>
      <w:tr w14:paraId="339F2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2" w:hRule="atLeast"/>
          <w:jc w:val="center"/>
        </w:trPr>
        <w:tc>
          <w:tcPr>
            <w:tcW w:w="84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AF4B59E">
            <w:pPr>
              <w:widowControl/>
              <w:jc w:val="center"/>
              <w:textAlignment w:val="center"/>
              <w:rPr>
                <w:rFonts w:ascii="方正仿宋_GBK"/>
                <w:sz w:val="20"/>
                <w:szCs w:val="20"/>
              </w:rPr>
            </w:pPr>
            <w:r>
              <w:rPr>
                <w:rFonts w:ascii="方正仿宋_GBK" w:hAnsi="方正仿宋_GBK" w:cs="方正仿宋_GBK"/>
                <w:kern w:val="0"/>
                <w:sz w:val="20"/>
                <w:szCs w:val="20"/>
              </w:rPr>
              <w:t>27</w:t>
            </w:r>
          </w:p>
        </w:tc>
        <w:tc>
          <w:tcPr>
            <w:tcW w:w="19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22AA465">
            <w:pPr>
              <w:widowControl/>
              <w:jc w:val="center"/>
              <w:textAlignment w:val="center"/>
              <w:rPr>
                <w:rFonts w:ascii="方正仿宋_GBK"/>
                <w:sz w:val="20"/>
                <w:szCs w:val="20"/>
              </w:rPr>
            </w:pPr>
            <w:r>
              <w:rPr>
                <w:rFonts w:hint="eastAsia" w:ascii="方正仿宋_GBK" w:hAnsi="方正仿宋_GBK" w:cs="方正仿宋_GBK"/>
                <w:kern w:val="0"/>
                <w:sz w:val="20"/>
                <w:szCs w:val="20"/>
              </w:rPr>
              <w:t>青莲镇中心卫生院迁建工程</w:t>
            </w:r>
          </w:p>
        </w:tc>
        <w:tc>
          <w:tcPr>
            <w:tcW w:w="15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0C1AD94">
            <w:pPr>
              <w:widowControl/>
              <w:jc w:val="center"/>
              <w:textAlignment w:val="center"/>
              <w:rPr>
                <w:rFonts w:ascii="方正仿宋_GBK"/>
                <w:sz w:val="20"/>
                <w:szCs w:val="20"/>
              </w:rPr>
            </w:pPr>
            <w:r>
              <w:rPr>
                <w:rFonts w:hint="eastAsia" w:ascii="方正仿宋_GBK" w:hAnsi="方正仿宋_GBK" w:cs="方正仿宋_GBK"/>
                <w:kern w:val="0"/>
                <w:sz w:val="20"/>
                <w:szCs w:val="20"/>
              </w:rPr>
              <w:t>青莲镇中心卫生院</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6D9F81E">
            <w:pPr>
              <w:widowControl/>
              <w:jc w:val="center"/>
              <w:textAlignment w:val="center"/>
              <w:rPr>
                <w:rFonts w:ascii="方正仿宋_GBK"/>
                <w:sz w:val="20"/>
                <w:szCs w:val="20"/>
              </w:rPr>
            </w:pPr>
            <w:r>
              <w:rPr>
                <w:rFonts w:hint="eastAsia" w:ascii="方正仿宋_GBK" w:hAnsi="方正仿宋_GBK" w:cs="方正仿宋_GBK"/>
                <w:kern w:val="0"/>
                <w:sz w:val="20"/>
                <w:szCs w:val="20"/>
              </w:rPr>
              <w:t>青莲镇</w:t>
            </w:r>
          </w:p>
        </w:tc>
        <w:tc>
          <w:tcPr>
            <w:tcW w:w="9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0C2E73E">
            <w:pPr>
              <w:widowControl/>
              <w:jc w:val="center"/>
              <w:textAlignment w:val="center"/>
              <w:rPr>
                <w:rFonts w:ascii="方正仿宋_GBK"/>
                <w:sz w:val="20"/>
                <w:szCs w:val="20"/>
              </w:rPr>
            </w:pPr>
            <w:r>
              <w:rPr>
                <w:rFonts w:hint="eastAsia" w:ascii="方正仿宋_GBK" w:hAnsi="方正仿宋_GBK" w:cs="方正仿宋_GBK"/>
                <w:kern w:val="0"/>
                <w:sz w:val="20"/>
                <w:szCs w:val="20"/>
              </w:rPr>
              <w:t>新建</w:t>
            </w:r>
          </w:p>
        </w:tc>
        <w:tc>
          <w:tcPr>
            <w:tcW w:w="5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7BC3D89">
            <w:pPr>
              <w:widowControl/>
              <w:jc w:val="center"/>
              <w:textAlignment w:val="center"/>
              <w:rPr>
                <w:rFonts w:ascii="方正仿宋_GBK"/>
                <w:sz w:val="20"/>
                <w:szCs w:val="20"/>
              </w:rPr>
            </w:pPr>
            <w:r>
              <w:rPr>
                <w:rFonts w:hint="eastAsia" w:ascii="方正仿宋_GBK" w:hAnsi="方正仿宋_GBK" w:cs="方正仿宋_GBK"/>
                <w:kern w:val="0"/>
                <w:sz w:val="20"/>
                <w:szCs w:val="20"/>
              </w:rPr>
              <w:t>在青莲镇龙王庙</w:t>
            </w:r>
            <w:r>
              <w:rPr>
                <w:rFonts w:ascii="方正仿宋_GBK" w:hAnsi="方正仿宋_GBK" w:cs="方正仿宋_GBK"/>
                <w:kern w:val="0"/>
                <w:sz w:val="20"/>
                <w:szCs w:val="20"/>
              </w:rPr>
              <w:t>2</w:t>
            </w:r>
            <w:r>
              <w:rPr>
                <w:rFonts w:hint="eastAsia" w:ascii="方正仿宋_GBK" w:hAnsi="方正仿宋_GBK" w:cs="方正仿宋_GBK"/>
                <w:kern w:val="0"/>
                <w:sz w:val="20"/>
                <w:szCs w:val="20"/>
              </w:rPr>
              <w:t>组新场镇占地面积</w:t>
            </w:r>
            <w:r>
              <w:rPr>
                <w:rFonts w:ascii="方正仿宋_GBK" w:hAnsi="方正仿宋_GBK" w:cs="方正仿宋_GBK"/>
                <w:kern w:val="0"/>
                <w:sz w:val="20"/>
                <w:szCs w:val="20"/>
              </w:rPr>
              <w:t>5</w:t>
            </w:r>
            <w:r>
              <w:rPr>
                <w:rFonts w:hint="eastAsia" w:ascii="方正仿宋_GBK" w:hAnsi="方正仿宋_GBK" w:cs="方正仿宋_GBK"/>
                <w:kern w:val="0"/>
                <w:sz w:val="20"/>
                <w:szCs w:val="20"/>
              </w:rPr>
              <w:t>亩，迁址建设业务用房建筑面积</w:t>
            </w:r>
            <w:r>
              <w:rPr>
                <w:rFonts w:ascii="方正仿宋_GBK" w:hAnsi="方正仿宋_GBK" w:cs="方正仿宋_GBK"/>
                <w:kern w:val="0"/>
                <w:sz w:val="20"/>
                <w:szCs w:val="20"/>
              </w:rPr>
              <w:t>5000</w:t>
            </w:r>
            <w:r>
              <w:rPr>
                <w:rFonts w:hint="eastAsia" w:ascii="方正仿宋_GBK" w:hAnsi="方正仿宋_GBK" w:cs="方正仿宋_GBK"/>
                <w:kern w:val="0"/>
                <w:sz w:val="20"/>
                <w:szCs w:val="20"/>
              </w:rPr>
              <w:t>㎡。</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F4DCD30">
            <w:pPr>
              <w:widowControl/>
              <w:jc w:val="center"/>
              <w:textAlignment w:val="center"/>
              <w:rPr>
                <w:rFonts w:ascii="方正仿宋_GBK"/>
                <w:sz w:val="20"/>
                <w:szCs w:val="20"/>
              </w:rPr>
            </w:pPr>
            <w:r>
              <w:rPr>
                <w:rFonts w:ascii="方正仿宋_GBK" w:hAnsi="方正仿宋_GBK" w:cs="方正仿宋_GBK"/>
                <w:kern w:val="0"/>
                <w:sz w:val="20"/>
                <w:szCs w:val="20"/>
              </w:rPr>
              <w:t>2250</w:t>
            </w:r>
          </w:p>
        </w:tc>
        <w:tc>
          <w:tcPr>
            <w:tcW w:w="12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CAF61EF">
            <w:pPr>
              <w:widowControl/>
              <w:jc w:val="center"/>
              <w:textAlignment w:val="center"/>
              <w:rPr>
                <w:rFonts w:ascii="方正仿宋_GBK"/>
                <w:sz w:val="20"/>
                <w:szCs w:val="20"/>
              </w:rPr>
            </w:pPr>
            <w:r>
              <w:rPr>
                <w:rFonts w:ascii="方正仿宋_GBK" w:hAnsi="方正仿宋_GBK" w:cs="方正仿宋_GBK"/>
                <w:kern w:val="0"/>
                <w:sz w:val="20"/>
                <w:szCs w:val="20"/>
              </w:rPr>
              <w:t>2024-2025</w:t>
            </w:r>
          </w:p>
        </w:tc>
      </w:tr>
      <w:tr w14:paraId="13F77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0" w:hRule="atLeast"/>
          <w:jc w:val="center"/>
        </w:trPr>
        <w:tc>
          <w:tcPr>
            <w:tcW w:w="84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AC893FA">
            <w:pPr>
              <w:widowControl/>
              <w:jc w:val="center"/>
              <w:textAlignment w:val="center"/>
              <w:rPr>
                <w:rFonts w:ascii="方正仿宋_GBK"/>
                <w:sz w:val="20"/>
                <w:szCs w:val="20"/>
              </w:rPr>
            </w:pPr>
            <w:r>
              <w:rPr>
                <w:rFonts w:ascii="方正仿宋_GBK" w:hAnsi="方正仿宋_GBK" w:cs="方正仿宋_GBK"/>
                <w:kern w:val="0"/>
                <w:sz w:val="20"/>
                <w:szCs w:val="20"/>
              </w:rPr>
              <w:t>28</w:t>
            </w:r>
          </w:p>
        </w:tc>
        <w:tc>
          <w:tcPr>
            <w:tcW w:w="19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438C6C6">
            <w:pPr>
              <w:widowControl/>
              <w:jc w:val="center"/>
              <w:textAlignment w:val="center"/>
              <w:rPr>
                <w:rFonts w:ascii="方正仿宋_GBK"/>
                <w:sz w:val="20"/>
                <w:szCs w:val="20"/>
              </w:rPr>
            </w:pPr>
            <w:r>
              <w:rPr>
                <w:rFonts w:hint="eastAsia" w:ascii="方正仿宋_GBK" w:hAnsi="方正仿宋_GBK" w:cs="方正仿宋_GBK"/>
                <w:kern w:val="0"/>
                <w:sz w:val="20"/>
                <w:szCs w:val="20"/>
              </w:rPr>
              <w:t>大树镇中心卫生院扩建工程</w:t>
            </w:r>
          </w:p>
        </w:tc>
        <w:tc>
          <w:tcPr>
            <w:tcW w:w="15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BB2BFD7">
            <w:pPr>
              <w:widowControl/>
              <w:jc w:val="center"/>
              <w:textAlignment w:val="center"/>
              <w:rPr>
                <w:rFonts w:ascii="方正仿宋_GBK"/>
                <w:sz w:val="20"/>
                <w:szCs w:val="20"/>
              </w:rPr>
            </w:pPr>
            <w:r>
              <w:rPr>
                <w:rFonts w:hint="eastAsia" w:ascii="方正仿宋_GBK" w:hAnsi="方正仿宋_GBK" w:cs="方正仿宋_GBK"/>
                <w:kern w:val="0"/>
                <w:sz w:val="20"/>
                <w:szCs w:val="20"/>
              </w:rPr>
              <w:t>大树镇中心卫生院</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AB52C69">
            <w:pPr>
              <w:widowControl/>
              <w:jc w:val="center"/>
              <w:textAlignment w:val="center"/>
              <w:rPr>
                <w:rFonts w:ascii="方正仿宋_GBK"/>
                <w:sz w:val="20"/>
                <w:szCs w:val="20"/>
              </w:rPr>
            </w:pPr>
            <w:r>
              <w:rPr>
                <w:rFonts w:hint="eastAsia" w:ascii="方正仿宋_GBK" w:hAnsi="方正仿宋_GBK" w:cs="方正仿宋_GBK"/>
                <w:kern w:val="0"/>
                <w:sz w:val="20"/>
                <w:szCs w:val="20"/>
              </w:rPr>
              <w:t>大树镇</w:t>
            </w:r>
          </w:p>
        </w:tc>
        <w:tc>
          <w:tcPr>
            <w:tcW w:w="9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4CD0070">
            <w:pPr>
              <w:widowControl/>
              <w:jc w:val="center"/>
              <w:textAlignment w:val="center"/>
              <w:rPr>
                <w:rFonts w:ascii="方正仿宋_GBK"/>
                <w:sz w:val="20"/>
                <w:szCs w:val="20"/>
              </w:rPr>
            </w:pPr>
            <w:r>
              <w:rPr>
                <w:rFonts w:hint="eastAsia" w:ascii="方正仿宋_GBK" w:hAnsi="方正仿宋_GBK" w:cs="方正仿宋_GBK"/>
                <w:kern w:val="0"/>
                <w:sz w:val="20"/>
                <w:szCs w:val="20"/>
              </w:rPr>
              <w:t>新建</w:t>
            </w:r>
          </w:p>
        </w:tc>
        <w:tc>
          <w:tcPr>
            <w:tcW w:w="5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85D987E">
            <w:pPr>
              <w:widowControl/>
              <w:jc w:val="center"/>
              <w:textAlignment w:val="center"/>
              <w:rPr>
                <w:rFonts w:ascii="方正仿宋_GBK"/>
                <w:sz w:val="20"/>
                <w:szCs w:val="20"/>
              </w:rPr>
            </w:pPr>
            <w:r>
              <w:rPr>
                <w:rFonts w:hint="eastAsia" w:ascii="方正仿宋_GBK" w:hAnsi="方正仿宋_GBK" w:cs="方正仿宋_GBK"/>
                <w:kern w:val="0"/>
                <w:sz w:val="20"/>
                <w:szCs w:val="20"/>
              </w:rPr>
              <w:t>新增业务用房</w:t>
            </w:r>
            <w:r>
              <w:rPr>
                <w:rFonts w:ascii="方正仿宋_GBK" w:hAnsi="方正仿宋_GBK" w:cs="方正仿宋_GBK"/>
                <w:kern w:val="0"/>
                <w:sz w:val="20"/>
                <w:szCs w:val="20"/>
              </w:rPr>
              <w:t>1600</w:t>
            </w:r>
            <w:r>
              <w:rPr>
                <w:rFonts w:hint="eastAsia" w:ascii="方正仿宋_GBK" w:hAnsi="方正仿宋_GBK" w:cs="方正仿宋_GBK"/>
                <w:kern w:val="0"/>
                <w:sz w:val="20"/>
                <w:szCs w:val="20"/>
              </w:rPr>
              <w:t>㎡</w:t>
            </w:r>
            <w:r>
              <w:rPr>
                <w:rFonts w:ascii="方正仿宋_GBK" w:cs="方正仿宋_GBK"/>
                <w:kern w:val="0"/>
                <w:sz w:val="20"/>
                <w:szCs w:val="20"/>
              </w:rPr>
              <w:t>,</w:t>
            </w:r>
            <w:r>
              <w:rPr>
                <w:rFonts w:hint="eastAsia" w:ascii="方正仿宋_GBK" w:hAnsi="方正仿宋_GBK" w:cs="方正仿宋_GBK"/>
                <w:kern w:val="0"/>
                <w:sz w:val="20"/>
                <w:szCs w:val="20"/>
              </w:rPr>
              <w:t>包括主体业务楼、行政办公区、附属设施、绿化建设、设备配置等。</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07D85A8">
            <w:pPr>
              <w:widowControl/>
              <w:jc w:val="center"/>
              <w:textAlignment w:val="center"/>
              <w:rPr>
                <w:rFonts w:ascii="方正仿宋_GBK"/>
                <w:sz w:val="20"/>
                <w:szCs w:val="20"/>
              </w:rPr>
            </w:pPr>
            <w:r>
              <w:rPr>
                <w:rFonts w:ascii="方正仿宋_GBK" w:hAnsi="方正仿宋_GBK" w:cs="方正仿宋_GBK"/>
                <w:kern w:val="0"/>
                <w:sz w:val="20"/>
                <w:szCs w:val="20"/>
              </w:rPr>
              <w:t>900</w:t>
            </w:r>
          </w:p>
        </w:tc>
        <w:tc>
          <w:tcPr>
            <w:tcW w:w="12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EA3FE36">
            <w:pPr>
              <w:widowControl/>
              <w:jc w:val="center"/>
              <w:textAlignment w:val="center"/>
              <w:rPr>
                <w:rFonts w:ascii="方正仿宋_GBK"/>
                <w:sz w:val="20"/>
                <w:szCs w:val="20"/>
              </w:rPr>
            </w:pPr>
            <w:r>
              <w:rPr>
                <w:rFonts w:ascii="方正仿宋_GBK" w:hAnsi="方正仿宋_GBK" w:cs="方正仿宋_GBK"/>
                <w:kern w:val="0"/>
                <w:sz w:val="20"/>
                <w:szCs w:val="20"/>
              </w:rPr>
              <w:t>2024-2025</w:t>
            </w:r>
          </w:p>
        </w:tc>
      </w:tr>
      <w:tr w14:paraId="79EAC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0" w:hRule="atLeast"/>
          <w:jc w:val="center"/>
        </w:trPr>
        <w:tc>
          <w:tcPr>
            <w:tcW w:w="84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60B2CB3">
            <w:pPr>
              <w:widowControl/>
              <w:jc w:val="center"/>
              <w:textAlignment w:val="center"/>
              <w:rPr>
                <w:rFonts w:ascii="方正仿宋_GBK"/>
                <w:sz w:val="20"/>
                <w:szCs w:val="20"/>
              </w:rPr>
            </w:pPr>
            <w:r>
              <w:rPr>
                <w:rFonts w:ascii="方正仿宋_GBK" w:hAnsi="方正仿宋_GBK" w:cs="方正仿宋_GBK"/>
                <w:kern w:val="0"/>
                <w:sz w:val="20"/>
                <w:szCs w:val="20"/>
              </w:rPr>
              <w:t>29</w:t>
            </w:r>
          </w:p>
        </w:tc>
        <w:tc>
          <w:tcPr>
            <w:tcW w:w="19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6CB1537">
            <w:pPr>
              <w:widowControl/>
              <w:jc w:val="center"/>
              <w:textAlignment w:val="center"/>
              <w:rPr>
                <w:rFonts w:ascii="方正仿宋_GBK"/>
                <w:sz w:val="20"/>
                <w:szCs w:val="20"/>
              </w:rPr>
            </w:pPr>
            <w:r>
              <w:rPr>
                <w:rFonts w:hint="eastAsia" w:ascii="方正仿宋_GBK" w:hAnsi="方正仿宋_GBK" w:cs="方正仿宋_GBK"/>
                <w:kern w:val="0"/>
                <w:sz w:val="20"/>
                <w:szCs w:val="20"/>
              </w:rPr>
              <w:t>长安土家族乡卫生院新建业务综合楼</w:t>
            </w:r>
          </w:p>
        </w:tc>
        <w:tc>
          <w:tcPr>
            <w:tcW w:w="15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CA4DF85">
            <w:pPr>
              <w:widowControl/>
              <w:jc w:val="center"/>
              <w:textAlignment w:val="center"/>
              <w:rPr>
                <w:rFonts w:ascii="方正仿宋_GBK"/>
                <w:sz w:val="20"/>
                <w:szCs w:val="20"/>
              </w:rPr>
            </w:pPr>
            <w:r>
              <w:rPr>
                <w:rFonts w:hint="eastAsia" w:ascii="方正仿宋_GBK" w:hAnsi="方正仿宋_GBK" w:cs="方正仿宋_GBK"/>
                <w:kern w:val="0"/>
                <w:sz w:val="20"/>
                <w:szCs w:val="20"/>
              </w:rPr>
              <w:t>长安土家族乡卫生院</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BF8E15F">
            <w:pPr>
              <w:widowControl/>
              <w:jc w:val="center"/>
              <w:textAlignment w:val="center"/>
              <w:rPr>
                <w:rFonts w:ascii="方正仿宋_GBK"/>
                <w:sz w:val="20"/>
                <w:szCs w:val="20"/>
              </w:rPr>
            </w:pPr>
            <w:r>
              <w:rPr>
                <w:rFonts w:hint="eastAsia" w:ascii="方正仿宋_GBK" w:hAnsi="方正仿宋_GBK" w:cs="方正仿宋_GBK"/>
                <w:kern w:val="0"/>
                <w:sz w:val="20"/>
                <w:szCs w:val="20"/>
              </w:rPr>
              <w:t>长安乡</w:t>
            </w:r>
          </w:p>
        </w:tc>
        <w:tc>
          <w:tcPr>
            <w:tcW w:w="9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8A81AE7">
            <w:pPr>
              <w:widowControl/>
              <w:jc w:val="center"/>
              <w:textAlignment w:val="center"/>
              <w:rPr>
                <w:rFonts w:ascii="方正仿宋_GBK"/>
                <w:sz w:val="20"/>
                <w:szCs w:val="20"/>
              </w:rPr>
            </w:pPr>
            <w:r>
              <w:rPr>
                <w:rFonts w:hint="eastAsia" w:ascii="方正仿宋_GBK" w:hAnsi="方正仿宋_GBK" w:cs="方正仿宋_GBK"/>
                <w:kern w:val="0"/>
                <w:sz w:val="20"/>
                <w:szCs w:val="20"/>
              </w:rPr>
              <w:t>新建</w:t>
            </w:r>
          </w:p>
        </w:tc>
        <w:tc>
          <w:tcPr>
            <w:tcW w:w="5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AF933F0">
            <w:pPr>
              <w:widowControl/>
              <w:jc w:val="center"/>
              <w:textAlignment w:val="center"/>
              <w:rPr>
                <w:rFonts w:ascii="方正仿宋_GBK"/>
                <w:sz w:val="20"/>
                <w:szCs w:val="20"/>
              </w:rPr>
            </w:pPr>
            <w:r>
              <w:rPr>
                <w:rFonts w:hint="eastAsia" w:ascii="方正仿宋_GBK" w:hAnsi="方正仿宋_GBK" w:cs="方正仿宋_GBK"/>
                <w:kern w:val="0"/>
                <w:sz w:val="20"/>
                <w:szCs w:val="20"/>
              </w:rPr>
              <w:t>新建四层业务综合楼</w:t>
            </w:r>
            <w:r>
              <w:rPr>
                <w:rFonts w:ascii="方正仿宋_GBK" w:hAnsi="方正仿宋_GBK" w:cs="方正仿宋_GBK"/>
                <w:kern w:val="0"/>
                <w:sz w:val="20"/>
                <w:szCs w:val="20"/>
              </w:rPr>
              <w:t>2000</w:t>
            </w:r>
            <w:r>
              <w:rPr>
                <w:rFonts w:hint="eastAsia" w:ascii="方正仿宋_GBK" w:hAnsi="方正仿宋_GBK" w:cs="方正仿宋_GBK"/>
                <w:kern w:val="0"/>
                <w:sz w:val="20"/>
                <w:szCs w:val="20"/>
              </w:rPr>
              <w:t>㎡，包括全科医生门诊、发热肠道门诊、公共卫生办公用房、行政办公室、会议室。</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AC5B23D">
            <w:pPr>
              <w:widowControl/>
              <w:jc w:val="center"/>
              <w:textAlignment w:val="center"/>
              <w:rPr>
                <w:rFonts w:ascii="方正仿宋_GBK"/>
                <w:sz w:val="20"/>
                <w:szCs w:val="20"/>
              </w:rPr>
            </w:pPr>
            <w:r>
              <w:rPr>
                <w:rFonts w:ascii="方正仿宋_GBK" w:hAnsi="方正仿宋_GBK" w:cs="方正仿宋_GBK"/>
                <w:kern w:val="0"/>
                <w:sz w:val="20"/>
                <w:szCs w:val="20"/>
              </w:rPr>
              <w:t>800</w:t>
            </w:r>
          </w:p>
        </w:tc>
        <w:tc>
          <w:tcPr>
            <w:tcW w:w="12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7B0342F">
            <w:pPr>
              <w:widowControl/>
              <w:jc w:val="center"/>
              <w:textAlignment w:val="center"/>
              <w:rPr>
                <w:rFonts w:ascii="方正仿宋_GBK"/>
                <w:sz w:val="20"/>
                <w:szCs w:val="20"/>
              </w:rPr>
            </w:pPr>
            <w:r>
              <w:rPr>
                <w:rFonts w:ascii="方正仿宋_GBK" w:hAnsi="方正仿宋_GBK" w:cs="方正仿宋_GBK"/>
                <w:kern w:val="0"/>
                <w:sz w:val="20"/>
                <w:szCs w:val="20"/>
              </w:rPr>
              <w:t>2024-2025</w:t>
            </w:r>
          </w:p>
        </w:tc>
      </w:tr>
      <w:tr w14:paraId="1D081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7" w:hRule="atLeast"/>
          <w:jc w:val="center"/>
        </w:trPr>
        <w:tc>
          <w:tcPr>
            <w:tcW w:w="84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02384FC">
            <w:pPr>
              <w:widowControl/>
              <w:jc w:val="center"/>
              <w:textAlignment w:val="center"/>
              <w:rPr>
                <w:rFonts w:ascii="方正仿宋_GBK"/>
                <w:sz w:val="20"/>
                <w:szCs w:val="20"/>
              </w:rPr>
            </w:pPr>
            <w:r>
              <w:rPr>
                <w:rFonts w:ascii="方正仿宋_GBK" w:hAnsi="方正仿宋_GBK" w:cs="方正仿宋_GBK"/>
                <w:kern w:val="0"/>
                <w:sz w:val="20"/>
                <w:szCs w:val="20"/>
              </w:rPr>
              <w:t>30</w:t>
            </w:r>
          </w:p>
        </w:tc>
        <w:tc>
          <w:tcPr>
            <w:tcW w:w="19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BD21672">
            <w:pPr>
              <w:widowControl/>
              <w:jc w:val="center"/>
              <w:textAlignment w:val="center"/>
              <w:rPr>
                <w:rFonts w:ascii="方正仿宋_GBK"/>
                <w:sz w:val="20"/>
                <w:szCs w:val="20"/>
              </w:rPr>
            </w:pPr>
            <w:r>
              <w:rPr>
                <w:rFonts w:hint="eastAsia" w:ascii="方正仿宋_GBK" w:hAnsi="方正仿宋_GBK" w:cs="方正仿宋_GBK"/>
                <w:kern w:val="0"/>
                <w:sz w:val="20"/>
                <w:szCs w:val="20"/>
              </w:rPr>
              <w:t>云雾土家族乡卫生院业务用房扩建工程</w:t>
            </w:r>
          </w:p>
        </w:tc>
        <w:tc>
          <w:tcPr>
            <w:tcW w:w="15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F8A004F">
            <w:pPr>
              <w:widowControl/>
              <w:jc w:val="center"/>
              <w:textAlignment w:val="center"/>
              <w:rPr>
                <w:rFonts w:ascii="方正仿宋_GBK"/>
                <w:sz w:val="20"/>
                <w:szCs w:val="20"/>
              </w:rPr>
            </w:pPr>
            <w:r>
              <w:rPr>
                <w:rFonts w:hint="eastAsia" w:ascii="方正仿宋_GBK" w:hAnsi="方正仿宋_GBK" w:cs="方正仿宋_GBK"/>
                <w:kern w:val="0"/>
                <w:sz w:val="20"/>
                <w:szCs w:val="20"/>
              </w:rPr>
              <w:t>云雾土家族乡卫生院</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D1009F2">
            <w:pPr>
              <w:widowControl/>
              <w:jc w:val="center"/>
              <w:textAlignment w:val="center"/>
              <w:rPr>
                <w:rFonts w:ascii="方正仿宋_GBK"/>
                <w:sz w:val="20"/>
                <w:szCs w:val="20"/>
              </w:rPr>
            </w:pPr>
            <w:r>
              <w:rPr>
                <w:rFonts w:hint="eastAsia" w:ascii="方正仿宋_GBK" w:hAnsi="方正仿宋_GBK" w:cs="方正仿宋_GBK"/>
                <w:kern w:val="0"/>
                <w:sz w:val="20"/>
                <w:szCs w:val="20"/>
              </w:rPr>
              <w:t>云雾乡</w:t>
            </w:r>
          </w:p>
        </w:tc>
        <w:tc>
          <w:tcPr>
            <w:tcW w:w="9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6F45621">
            <w:pPr>
              <w:widowControl/>
              <w:jc w:val="center"/>
              <w:textAlignment w:val="center"/>
              <w:rPr>
                <w:rFonts w:ascii="方正仿宋_GBK"/>
                <w:sz w:val="20"/>
                <w:szCs w:val="20"/>
              </w:rPr>
            </w:pPr>
            <w:r>
              <w:rPr>
                <w:rFonts w:hint="eastAsia" w:ascii="方正仿宋_GBK" w:hAnsi="方正仿宋_GBK" w:cs="方正仿宋_GBK"/>
                <w:kern w:val="0"/>
                <w:sz w:val="20"/>
                <w:szCs w:val="20"/>
              </w:rPr>
              <w:t>新建</w:t>
            </w:r>
          </w:p>
        </w:tc>
        <w:tc>
          <w:tcPr>
            <w:tcW w:w="5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15A14DA">
            <w:pPr>
              <w:widowControl/>
              <w:jc w:val="center"/>
              <w:textAlignment w:val="center"/>
              <w:rPr>
                <w:rFonts w:ascii="方正仿宋_GBK"/>
                <w:sz w:val="20"/>
                <w:szCs w:val="20"/>
              </w:rPr>
            </w:pPr>
            <w:r>
              <w:rPr>
                <w:rFonts w:hint="eastAsia" w:ascii="方正仿宋_GBK" w:hAnsi="方正仿宋_GBK" w:cs="方正仿宋_GBK"/>
                <w:kern w:val="0"/>
                <w:sz w:val="20"/>
                <w:szCs w:val="20"/>
              </w:rPr>
              <w:t>用地</w:t>
            </w:r>
            <w:r>
              <w:rPr>
                <w:rFonts w:ascii="方正仿宋_GBK" w:hAnsi="方正仿宋_GBK" w:cs="方正仿宋_GBK"/>
                <w:kern w:val="0"/>
                <w:sz w:val="20"/>
                <w:szCs w:val="20"/>
              </w:rPr>
              <w:t>600</w:t>
            </w:r>
            <w:r>
              <w:rPr>
                <w:rFonts w:hint="eastAsia" w:ascii="方正仿宋_GBK" w:hAnsi="方正仿宋_GBK" w:cs="方正仿宋_GBK"/>
                <w:kern w:val="0"/>
                <w:sz w:val="20"/>
                <w:szCs w:val="20"/>
              </w:rPr>
              <w:t>㎡，新建业务用房</w:t>
            </w:r>
            <w:r>
              <w:rPr>
                <w:rFonts w:ascii="方正仿宋_GBK" w:hAnsi="方正仿宋_GBK" w:cs="方正仿宋_GBK"/>
                <w:kern w:val="0"/>
                <w:sz w:val="20"/>
                <w:szCs w:val="20"/>
              </w:rPr>
              <w:t>1600</w:t>
            </w:r>
            <w:r>
              <w:rPr>
                <w:rFonts w:hint="eastAsia" w:ascii="方正仿宋_GBK" w:hAnsi="方正仿宋_GBK" w:cs="方正仿宋_GBK"/>
                <w:kern w:val="0"/>
                <w:sz w:val="20"/>
                <w:szCs w:val="20"/>
              </w:rPr>
              <w:t>㎡，包括门诊、预防接种门诊、中医馆、功能科室等及附属设备设施。</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92D2A79">
            <w:pPr>
              <w:widowControl/>
              <w:jc w:val="center"/>
              <w:textAlignment w:val="center"/>
              <w:rPr>
                <w:rFonts w:ascii="方正仿宋_GBK"/>
                <w:sz w:val="20"/>
                <w:szCs w:val="20"/>
              </w:rPr>
            </w:pPr>
            <w:r>
              <w:rPr>
                <w:rFonts w:ascii="方正仿宋_GBK" w:hAnsi="方正仿宋_GBK" w:cs="方正仿宋_GBK"/>
                <w:kern w:val="0"/>
                <w:sz w:val="20"/>
                <w:szCs w:val="20"/>
              </w:rPr>
              <w:t>640</w:t>
            </w:r>
          </w:p>
        </w:tc>
        <w:tc>
          <w:tcPr>
            <w:tcW w:w="12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8998CD5">
            <w:pPr>
              <w:widowControl/>
              <w:jc w:val="center"/>
              <w:textAlignment w:val="center"/>
              <w:rPr>
                <w:rFonts w:ascii="方正仿宋_GBK"/>
                <w:sz w:val="20"/>
                <w:szCs w:val="20"/>
              </w:rPr>
            </w:pPr>
            <w:r>
              <w:rPr>
                <w:rFonts w:ascii="方正仿宋_GBK" w:hAnsi="方正仿宋_GBK" w:cs="方正仿宋_GBK"/>
                <w:kern w:val="0"/>
                <w:sz w:val="20"/>
                <w:szCs w:val="20"/>
              </w:rPr>
              <w:t>2024-2025</w:t>
            </w:r>
          </w:p>
        </w:tc>
      </w:tr>
      <w:tr w14:paraId="5A147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0" w:hRule="atLeast"/>
          <w:jc w:val="center"/>
        </w:trPr>
        <w:tc>
          <w:tcPr>
            <w:tcW w:w="84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D37DE45">
            <w:pPr>
              <w:widowControl/>
              <w:jc w:val="center"/>
              <w:textAlignment w:val="center"/>
              <w:rPr>
                <w:rFonts w:ascii="方正仿宋_GBK"/>
                <w:sz w:val="20"/>
                <w:szCs w:val="20"/>
              </w:rPr>
            </w:pPr>
            <w:r>
              <w:rPr>
                <w:rFonts w:ascii="方正仿宋_GBK" w:hAnsi="方正仿宋_GBK" w:cs="方正仿宋_GBK"/>
                <w:kern w:val="0"/>
                <w:sz w:val="20"/>
                <w:szCs w:val="20"/>
              </w:rPr>
              <w:t>31</w:t>
            </w:r>
          </w:p>
        </w:tc>
        <w:tc>
          <w:tcPr>
            <w:tcW w:w="19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3D95DA1">
            <w:pPr>
              <w:widowControl/>
              <w:jc w:val="center"/>
              <w:textAlignment w:val="center"/>
              <w:rPr>
                <w:rFonts w:ascii="方正仿宋_GBK"/>
                <w:sz w:val="20"/>
                <w:szCs w:val="20"/>
              </w:rPr>
            </w:pPr>
            <w:r>
              <w:rPr>
                <w:rFonts w:hint="eastAsia" w:ascii="方正仿宋_GBK" w:hAnsi="方正仿宋_GBK" w:cs="方正仿宋_GBK"/>
                <w:kern w:val="0"/>
                <w:sz w:val="20"/>
                <w:szCs w:val="20"/>
              </w:rPr>
              <w:t>汾河镇中心卫生院业务用房扩建工程</w:t>
            </w:r>
          </w:p>
        </w:tc>
        <w:tc>
          <w:tcPr>
            <w:tcW w:w="15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DF30A77">
            <w:pPr>
              <w:widowControl/>
              <w:jc w:val="center"/>
              <w:textAlignment w:val="center"/>
              <w:rPr>
                <w:rFonts w:ascii="方正仿宋_GBK"/>
                <w:sz w:val="20"/>
                <w:szCs w:val="20"/>
              </w:rPr>
            </w:pPr>
            <w:r>
              <w:rPr>
                <w:rFonts w:hint="eastAsia" w:ascii="方正仿宋_GBK" w:hAnsi="方正仿宋_GBK" w:cs="方正仿宋_GBK"/>
                <w:kern w:val="0"/>
                <w:sz w:val="20"/>
                <w:szCs w:val="20"/>
              </w:rPr>
              <w:t>汾河镇中心卫生院</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7FF9E3C">
            <w:pPr>
              <w:widowControl/>
              <w:jc w:val="center"/>
              <w:textAlignment w:val="center"/>
              <w:rPr>
                <w:rFonts w:ascii="方正仿宋_GBK"/>
                <w:sz w:val="20"/>
                <w:szCs w:val="20"/>
              </w:rPr>
            </w:pPr>
            <w:r>
              <w:rPr>
                <w:rFonts w:hint="eastAsia" w:ascii="方正仿宋_GBK" w:hAnsi="方正仿宋_GBK" w:cs="方正仿宋_GBK"/>
                <w:kern w:val="0"/>
                <w:sz w:val="20"/>
                <w:szCs w:val="20"/>
              </w:rPr>
              <w:t>汾河镇</w:t>
            </w:r>
          </w:p>
        </w:tc>
        <w:tc>
          <w:tcPr>
            <w:tcW w:w="9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FD4D688">
            <w:pPr>
              <w:widowControl/>
              <w:jc w:val="center"/>
              <w:textAlignment w:val="center"/>
              <w:rPr>
                <w:rFonts w:ascii="方正仿宋_GBK"/>
                <w:sz w:val="20"/>
                <w:szCs w:val="20"/>
              </w:rPr>
            </w:pPr>
            <w:r>
              <w:rPr>
                <w:rFonts w:hint="eastAsia" w:ascii="方正仿宋_GBK" w:hAnsi="方正仿宋_GBK" w:cs="方正仿宋_GBK"/>
                <w:kern w:val="0"/>
                <w:sz w:val="20"/>
                <w:szCs w:val="20"/>
              </w:rPr>
              <w:t>新建</w:t>
            </w:r>
          </w:p>
        </w:tc>
        <w:tc>
          <w:tcPr>
            <w:tcW w:w="5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940330C">
            <w:pPr>
              <w:widowControl/>
              <w:jc w:val="center"/>
              <w:textAlignment w:val="center"/>
              <w:rPr>
                <w:rFonts w:ascii="方正仿宋_GBK"/>
                <w:sz w:val="20"/>
                <w:szCs w:val="20"/>
              </w:rPr>
            </w:pPr>
            <w:r>
              <w:rPr>
                <w:rFonts w:hint="eastAsia" w:ascii="方正仿宋_GBK" w:hAnsi="方正仿宋_GBK" w:cs="方正仿宋_GBK"/>
                <w:kern w:val="0"/>
                <w:sz w:val="20"/>
                <w:szCs w:val="20"/>
              </w:rPr>
              <w:t>新建业务用房</w:t>
            </w:r>
            <w:r>
              <w:rPr>
                <w:rFonts w:ascii="方正仿宋_GBK" w:hAnsi="方正仿宋_GBK" w:cs="方正仿宋_GBK"/>
                <w:kern w:val="0"/>
                <w:sz w:val="20"/>
                <w:szCs w:val="20"/>
              </w:rPr>
              <w:t>800</w:t>
            </w:r>
            <w:r>
              <w:rPr>
                <w:rFonts w:hint="eastAsia" w:ascii="方正仿宋_GBK" w:hAnsi="方正仿宋_GBK" w:cs="方正仿宋_GBK"/>
                <w:kern w:val="0"/>
                <w:sz w:val="20"/>
                <w:szCs w:val="20"/>
              </w:rPr>
              <w:t>㎡，建设中医馆、康复科等及附属设备设施。</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0A7837E">
            <w:pPr>
              <w:widowControl/>
              <w:jc w:val="center"/>
              <w:textAlignment w:val="center"/>
              <w:rPr>
                <w:rFonts w:ascii="方正仿宋_GBK"/>
                <w:sz w:val="20"/>
                <w:szCs w:val="20"/>
              </w:rPr>
            </w:pPr>
            <w:r>
              <w:rPr>
                <w:rFonts w:ascii="方正仿宋_GBK" w:hAnsi="方正仿宋_GBK" w:cs="方正仿宋_GBK"/>
                <w:kern w:val="0"/>
                <w:sz w:val="20"/>
                <w:szCs w:val="20"/>
              </w:rPr>
              <w:t>400</w:t>
            </w:r>
          </w:p>
        </w:tc>
        <w:tc>
          <w:tcPr>
            <w:tcW w:w="12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52E0E89">
            <w:pPr>
              <w:widowControl/>
              <w:jc w:val="center"/>
              <w:textAlignment w:val="center"/>
              <w:rPr>
                <w:rFonts w:ascii="方正仿宋_GBK"/>
                <w:sz w:val="20"/>
                <w:szCs w:val="20"/>
              </w:rPr>
            </w:pPr>
            <w:r>
              <w:rPr>
                <w:rFonts w:ascii="方正仿宋_GBK" w:hAnsi="方正仿宋_GBK" w:cs="方正仿宋_GBK"/>
                <w:kern w:val="0"/>
                <w:sz w:val="20"/>
                <w:szCs w:val="20"/>
              </w:rPr>
              <w:t>2024-2025</w:t>
            </w:r>
          </w:p>
        </w:tc>
      </w:tr>
      <w:tr w14:paraId="3FFC9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7" w:hRule="atLeast"/>
          <w:jc w:val="center"/>
        </w:trPr>
        <w:tc>
          <w:tcPr>
            <w:tcW w:w="84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85A50A9">
            <w:pPr>
              <w:widowControl/>
              <w:jc w:val="center"/>
              <w:textAlignment w:val="center"/>
              <w:rPr>
                <w:rFonts w:ascii="方正仿宋_GBK"/>
                <w:sz w:val="20"/>
                <w:szCs w:val="20"/>
              </w:rPr>
            </w:pPr>
            <w:r>
              <w:rPr>
                <w:rFonts w:ascii="方正仿宋_GBK" w:hAnsi="方正仿宋_GBK" w:cs="方正仿宋_GBK"/>
                <w:kern w:val="0"/>
                <w:sz w:val="20"/>
                <w:szCs w:val="20"/>
              </w:rPr>
              <w:t>32</w:t>
            </w:r>
          </w:p>
        </w:tc>
        <w:tc>
          <w:tcPr>
            <w:tcW w:w="19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2C8E7A1">
            <w:pPr>
              <w:widowControl/>
              <w:jc w:val="center"/>
              <w:textAlignment w:val="center"/>
              <w:rPr>
                <w:rFonts w:ascii="方正仿宋_GBK"/>
                <w:sz w:val="20"/>
                <w:szCs w:val="20"/>
              </w:rPr>
            </w:pPr>
            <w:r>
              <w:rPr>
                <w:rFonts w:hint="eastAsia" w:ascii="方正仿宋_GBK" w:hAnsi="方正仿宋_GBK" w:cs="方正仿宋_GBK"/>
                <w:kern w:val="0"/>
                <w:sz w:val="20"/>
                <w:szCs w:val="20"/>
              </w:rPr>
              <w:t>五马镇中心卫生院扩建工程</w:t>
            </w:r>
          </w:p>
        </w:tc>
        <w:tc>
          <w:tcPr>
            <w:tcW w:w="15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5FEACE8">
            <w:pPr>
              <w:widowControl/>
              <w:jc w:val="center"/>
              <w:textAlignment w:val="center"/>
              <w:rPr>
                <w:rFonts w:ascii="方正仿宋_GBK"/>
                <w:sz w:val="20"/>
                <w:szCs w:val="20"/>
              </w:rPr>
            </w:pPr>
            <w:r>
              <w:rPr>
                <w:rFonts w:hint="eastAsia" w:ascii="方正仿宋_GBK" w:hAnsi="方正仿宋_GBK" w:cs="方正仿宋_GBK"/>
                <w:kern w:val="0"/>
                <w:sz w:val="20"/>
                <w:szCs w:val="20"/>
              </w:rPr>
              <w:t>五马镇中心卫生院</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6CCAB02">
            <w:pPr>
              <w:widowControl/>
              <w:jc w:val="center"/>
              <w:textAlignment w:val="center"/>
              <w:rPr>
                <w:rFonts w:ascii="方正仿宋_GBK"/>
                <w:sz w:val="20"/>
                <w:szCs w:val="20"/>
              </w:rPr>
            </w:pPr>
            <w:r>
              <w:rPr>
                <w:rFonts w:hint="eastAsia" w:ascii="方正仿宋_GBK" w:hAnsi="方正仿宋_GBK" w:cs="方正仿宋_GBK"/>
                <w:kern w:val="0"/>
                <w:sz w:val="20"/>
                <w:szCs w:val="20"/>
              </w:rPr>
              <w:t>五马镇</w:t>
            </w:r>
          </w:p>
        </w:tc>
        <w:tc>
          <w:tcPr>
            <w:tcW w:w="9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E4ECBA5">
            <w:pPr>
              <w:widowControl/>
              <w:jc w:val="center"/>
              <w:textAlignment w:val="center"/>
              <w:rPr>
                <w:rFonts w:ascii="方正仿宋_GBK"/>
                <w:sz w:val="20"/>
                <w:szCs w:val="20"/>
              </w:rPr>
            </w:pPr>
            <w:r>
              <w:rPr>
                <w:rFonts w:hint="eastAsia" w:ascii="方正仿宋_GBK" w:hAnsi="方正仿宋_GBK" w:cs="方正仿宋_GBK"/>
                <w:kern w:val="0"/>
                <w:sz w:val="20"/>
                <w:szCs w:val="20"/>
              </w:rPr>
              <w:t>改扩建</w:t>
            </w:r>
          </w:p>
        </w:tc>
        <w:tc>
          <w:tcPr>
            <w:tcW w:w="5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FFB801D">
            <w:pPr>
              <w:widowControl/>
              <w:jc w:val="center"/>
              <w:textAlignment w:val="center"/>
              <w:rPr>
                <w:rFonts w:ascii="方正仿宋_GBK"/>
                <w:sz w:val="20"/>
                <w:szCs w:val="20"/>
              </w:rPr>
            </w:pPr>
            <w:r>
              <w:rPr>
                <w:rFonts w:hint="eastAsia" w:ascii="方正仿宋_GBK" w:hAnsi="方正仿宋_GBK" w:cs="方正仿宋_GBK"/>
                <w:kern w:val="0"/>
                <w:sz w:val="20"/>
                <w:szCs w:val="20"/>
              </w:rPr>
              <w:t>占地</w:t>
            </w:r>
            <w:r>
              <w:rPr>
                <w:rFonts w:ascii="方正仿宋_GBK" w:hAnsi="方正仿宋_GBK" w:cs="方正仿宋_GBK"/>
                <w:kern w:val="0"/>
                <w:sz w:val="20"/>
                <w:szCs w:val="20"/>
              </w:rPr>
              <w:t>450</w:t>
            </w:r>
            <w:r>
              <w:rPr>
                <w:rFonts w:hint="eastAsia" w:ascii="方正仿宋_GBK" w:hAnsi="方正仿宋_GBK" w:cs="方正仿宋_GBK"/>
                <w:kern w:val="0"/>
                <w:sz w:val="20"/>
                <w:szCs w:val="20"/>
              </w:rPr>
              <w:t>㎡，扩建业务用房</w:t>
            </w:r>
            <w:r>
              <w:rPr>
                <w:rFonts w:ascii="方正仿宋_GBK" w:hAnsi="方正仿宋_GBK" w:cs="方正仿宋_GBK"/>
                <w:kern w:val="0"/>
                <w:sz w:val="20"/>
                <w:szCs w:val="20"/>
              </w:rPr>
              <w:t>1350</w:t>
            </w:r>
            <w:r>
              <w:rPr>
                <w:rFonts w:hint="eastAsia" w:ascii="方正仿宋_GBK" w:hAnsi="方正仿宋_GBK" w:cs="方正仿宋_GBK"/>
                <w:kern w:val="0"/>
                <w:sz w:val="20"/>
                <w:szCs w:val="20"/>
              </w:rPr>
              <w:t>㎡；改建大门等附属设备设施。</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7415252">
            <w:pPr>
              <w:widowControl/>
              <w:jc w:val="center"/>
              <w:textAlignment w:val="center"/>
              <w:rPr>
                <w:rFonts w:ascii="方正仿宋_GBK"/>
                <w:sz w:val="20"/>
                <w:szCs w:val="20"/>
              </w:rPr>
            </w:pPr>
            <w:r>
              <w:rPr>
                <w:rFonts w:ascii="方正仿宋_GBK" w:hAnsi="方正仿宋_GBK" w:cs="方正仿宋_GBK"/>
                <w:kern w:val="0"/>
                <w:sz w:val="20"/>
                <w:szCs w:val="20"/>
              </w:rPr>
              <w:t>520</w:t>
            </w:r>
          </w:p>
        </w:tc>
        <w:tc>
          <w:tcPr>
            <w:tcW w:w="12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A413020">
            <w:pPr>
              <w:widowControl/>
              <w:jc w:val="center"/>
              <w:textAlignment w:val="center"/>
              <w:rPr>
                <w:rFonts w:ascii="方正仿宋_GBK"/>
                <w:sz w:val="20"/>
                <w:szCs w:val="20"/>
              </w:rPr>
            </w:pPr>
            <w:r>
              <w:rPr>
                <w:rFonts w:ascii="方正仿宋_GBK" w:hAnsi="方正仿宋_GBK" w:cs="方正仿宋_GBK"/>
                <w:kern w:val="0"/>
                <w:sz w:val="20"/>
                <w:szCs w:val="20"/>
              </w:rPr>
              <w:t>2024-2025</w:t>
            </w:r>
          </w:p>
        </w:tc>
      </w:tr>
      <w:tr w14:paraId="7BF6D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4" w:hRule="atLeast"/>
          <w:jc w:val="center"/>
        </w:trPr>
        <w:tc>
          <w:tcPr>
            <w:tcW w:w="84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36E5EE0">
            <w:pPr>
              <w:widowControl/>
              <w:jc w:val="center"/>
              <w:textAlignment w:val="center"/>
              <w:rPr>
                <w:rFonts w:ascii="方正仿宋_GBK"/>
                <w:sz w:val="20"/>
                <w:szCs w:val="20"/>
              </w:rPr>
            </w:pPr>
            <w:r>
              <w:rPr>
                <w:rFonts w:ascii="方正仿宋_GBK" w:hAnsi="方正仿宋_GBK" w:cs="方正仿宋_GBK"/>
                <w:kern w:val="0"/>
                <w:sz w:val="20"/>
                <w:szCs w:val="20"/>
              </w:rPr>
              <w:t>33</w:t>
            </w:r>
          </w:p>
        </w:tc>
        <w:tc>
          <w:tcPr>
            <w:tcW w:w="19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16D6EF4">
            <w:pPr>
              <w:widowControl/>
              <w:jc w:val="center"/>
              <w:textAlignment w:val="center"/>
              <w:rPr>
                <w:rFonts w:ascii="方正仿宋_GBK"/>
                <w:sz w:val="20"/>
                <w:szCs w:val="20"/>
              </w:rPr>
            </w:pPr>
            <w:r>
              <w:rPr>
                <w:rFonts w:hint="eastAsia" w:ascii="方正仿宋_GBK" w:hAnsi="方正仿宋_GBK" w:cs="方正仿宋_GBK"/>
                <w:kern w:val="0"/>
                <w:sz w:val="20"/>
                <w:szCs w:val="20"/>
              </w:rPr>
              <w:t>甲高镇中心卫生院改扩建项目</w:t>
            </w:r>
          </w:p>
        </w:tc>
        <w:tc>
          <w:tcPr>
            <w:tcW w:w="15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8F70F48">
            <w:pPr>
              <w:widowControl/>
              <w:jc w:val="center"/>
              <w:textAlignment w:val="center"/>
              <w:rPr>
                <w:rFonts w:ascii="方正仿宋_GBK"/>
                <w:sz w:val="20"/>
                <w:szCs w:val="20"/>
              </w:rPr>
            </w:pPr>
            <w:r>
              <w:rPr>
                <w:rFonts w:hint="eastAsia" w:ascii="方正仿宋_GBK" w:hAnsi="方正仿宋_GBK" w:cs="方正仿宋_GBK"/>
                <w:kern w:val="0"/>
                <w:sz w:val="20"/>
                <w:szCs w:val="20"/>
              </w:rPr>
              <w:t>甲高镇中心卫生院</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05A035F">
            <w:pPr>
              <w:widowControl/>
              <w:jc w:val="center"/>
              <w:textAlignment w:val="center"/>
              <w:rPr>
                <w:rFonts w:ascii="方正仿宋_GBK"/>
                <w:sz w:val="20"/>
                <w:szCs w:val="20"/>
              </w:rPr>
            </w:pPr>
            <w:r>
              <w:rPr>
                <w:rFonts w:hint="eastAsia" w:ascii="方正仿宋_GBK" w:hAnsi="方正仿宋_GBK" w:cs="方正仿宋_GBK"/>
                <w:kern w:val="0"/>
                <w:sz w:val="20"/>
                <w:szCs w:val="20"/>
              </w:rPr>
              <w:t>甲高镇</w:t>
            </w:r>
          </w:p>
        </w:tc>
        <w:tc>
          <w:tcPr>
            <w:tcW w:w="9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7FB66F2">
            <w:pPr>
              <w:widowControl/>
              <w:jc w:val="center"/>
              <w:textAlignment w:val="center"/>
              <w:rPr>
                <w:rFonts w:ascii="方正仿宋_GBK"/>
                <w:sz w:val="20"/>
                <w:szCs w:val="20"/>
              </w:rPr>
            </w:pPr>
            <w:r>
              <w:rPr>
                <w:rFonts w:hint="eastAsia" w:ascii="方正仿宋_GBK" w:hAnsi="方正仿宋_GBK" w:cs="方正仿宋_GBK"/>
                <w:kern w:val="0"/>
                <w:sz w:val="20"/>
                <w:szCs w:val="20"/>
              </w:rPr>
              <w:t>改扩建</w:t>
            </w:r>
          </w:p>
        </w:tc>
        <w:tc>
          <w:tcPr>
            <w:tcW w:w="5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C675107">
            <w:pPr>
              <w:widowControl/>
              <w:jc w:val="center"/>
              <w:textAlignment w:val="center"/>
              <w:rPr>
                <w:rFonts w:ascii="方正仿宋_GBK"/>
                <w:sz w:val="20"/>
                <w:szCs w:val="20"/>
              </w:rPr>
            </w:pPr>
            <w:r>
              <w:rPr>
                <w:rFonts w:hint="eastAsia" w:ascii="方正仿宋_GBK" w:hAnsi="方正仿宋_GBK" w:cs="方正仿宋_GBK"/>
                <w:kern w:val="0"/>
                <w:sz w:val="20"/>
                <w:szCs w:val="20"/>
              </w:rPr>
              <w:t>总建设面积</w:t>
            </w:r>
            <w:r>
              <w:rPr>
                <w:rFonts w:ascii="方正仿宋_GBK" w:hAnsi="方正仿宋_GBK" w:cs="方正仿宋_GBK"/>
                <w:kern w:val="0"/>
                <w:sz w:val="20"/>
                <w:szCs w:val="20"/>
              </w:rPr>
              <w:t>7600</w:t>
            </w:r>
            <w:r>
              <w:rPr>
                <w:rFonts w:hint="eastAsia" w:ascii="方正仿宋_GBK" w:hAnsi="方正仿宋_GBK" w:cs="方正仿宋_GBK"/>
                <w:kern w:val="0"/>
                <w:sz w:val="20"/>
                <w:szCs w:val="20"/>
              </w:rPr>
              <w:t>㎡，新建业务用房</w:t>
            </w:r>
            <w:r>
              <w:rPr>
                <w:rFonts w:ascii="方正仿宋_GBK" w:hAnsi="方正仿宋_GBK" w:cs="方正仿宋_GBK"/>
                <w:kern w:val="0"/>
                <w:sz w:val="20"/>
                <w:szCs w:val="20"/>
              </w:rPr>
              <w:t>1800</w:t>
            </w:r>
            <w:r>
              <w:rPr>
                <w:rFonts w:hint="eastAsia" w:ascii="方正仿宋_GBK" w:hAnsi="方正仿宋_GBK" w:cs="方正仿宋_GBK"/>
                <w:kern w:val="0"/>
                <w:sz w:val="20"/>
                <w:szCs w:val="20"/>
              </w:rPr>
              <w:t>㎡；改造业务用房</w:t>
            </w:r>
            <w:r>
              <w:rPr>
                <w:rFonts w:ascii="方正仿宋_GBK" w:hAnsi="方正仿宋_GBK" w:cs="方正仿宋_GBK"/>
                <w:kern w:val="0"/>
                <w:sz w:val="20"/>
                <w:szCs w:val="20"/>
              </w:rPr>
              <w:t>5800</w:t>
            </w:r>
            <w:r>
              <w:rPr>
                <w:rFonts w:hint="eastAsia" w:ascii="方正仿宋_GBK" w:hAnsi="方正仿宋_GBK" w:cs="方正仿宋_GBK"/>
                <w:kern w:val="0"/>
                <w:sz w:val="20"/>
                <w:szCs w:val="20"/>
              </w:rPr>
              <w:t>㎡。</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F939E76">
            <w:pPr>
              <w:widowControl/>
              <w:jc w:val="center"/>
              <w:textAlignment w:val="center"/>
              <w:rPr>
                <w:rFonts w:ascii="方正仿宋_GBK"/>
                <w:sz w:val="20"/>
                <w:szCs w:val="20"/>
              </w:rPr>
            </w:pPr>
            <w:r>
              <w:rPr>
                <w:rFonts w:ascii="方正仿宋_GBK" w:hAnsi="方正仿宋_GBK" w:cs="方正仿宋_GBK"/>
                <w:kern w:val="0"/>
                <w:sz w:val="20"/>
                <w:szCs w:val="20"/>
              </w:rPr>
              <w:t>1210</w:t>
            </w:r>
          </w:p>
        </w:tc>
        <w:tc>
          <w:tcPr>
            <w:tcW w:w="12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C15403D">
            <w:pPr>
              <w:widowControl/>
              <w:jc w:val="center"/>
              <w:textAlignment w:val="center"/>
              <w:rPr>
                <w:rFonts w:ascii="方正仿宋_GBK"/>
                <w:sz w:val="20"/>
                <w:szCs w:val="20"/>
              </w:rPr>
            </w:pPr>
            <w:r>
              <w:rPr>
                <w:rFonts w:ascii="方正仿宋_GBK" w:hAnsi="方正仿宋_GBK" w:cs="方正仿宋_GBK"/>
                <w:kern w:val="0"/>
                <w:sz w:val="20"/>
                <w:szCs w:val="20"/>
              </w:rPr>
              <w:t>2023-2025</w:t>
            </w:r>
          </w:p>
        </w:tc>
      </w:tr>
      <w:tr w14:paraId="50224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0" w:hRule="atLeast"/>
          <w:jc w:val="center"/>
        </w:trPr>
        <w:tc>
          <w:tcPr>
            <w:tcW w:w="84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3EC5F8B">
            <w:pPr>
              <w:widowControl/>
              <w:jc w:val="center"/>
              <w:textAlignment w:val="center"/>
              <w:rPr>
                <w:rFonts w:ascii="方正仿宋_GBK"/>
                <w:sz w:val="20"/>
                <w:szCs w:val="20"/>
              </w:rPr>
            </w:pPr>
            <w:r>
              <w:rPr>
                <w:rFonts w:ascii="方正仿宋_GBK" w:hAnsi="方正仿宋_GBK" w:cs="方正仿宋_GBK"/>
                <w:kern w:val="0"/>
                <w:sz w:val="20"/>
                <w:szCs w:val="20"/>
              </w:rPr>
              <w:t>34</w:t>
            </w:r>
          </w:p>
        </w:tc>
        <w:tc>
          <w:tcPr>
            <w:tcW w:w="19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02A4710">
            <w:pPr>
              <w:widowControl/>
              <w:jc w:val="center"/>
              <w:textAlignment w:val="center"/>
              <w:rPr>
                <w:rFonts w:ascii="方正仿宋_GBK"/>
                <w:sz w:val="20"/>
                <w:szCs w:val="20"/>
              </w:rPr>
            </w:pPr>
            <w:r>
              <w:rPr>
                <w:rFonts w:hint="eastAsia" w:ascii="方正仿宋_GBK" w:hAnsi="方正仿宋_GBK" w:cs="方正仿宋_GBK"/>
                <w:kern w:val="0"/>
                <w:sz w:val="20"/>
                <w:szCs w:val="20"/>
              </w:rPr>
              <w:t>县妇幼保健院信息化建设</w:t>
            </w:r>
          </w:p>
        </w:tc>
        <w:tc>
          <w:tcPr>
            <w:tcW w:w="15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5940338">
            <w:pPr>
              <w:widowControl/>
              <w:jc w:val="center"/>
              <w:textAlignment w:val="center"/>
              <w:rPr>
                <w:rFonts w:ascii="方正仿宋_GBK"/>
                <w:sz w:val="20"/>
                <w:szCs w:val="20"/>
              </w:rPr>
            </w:pPr>
            <w:r>
              <w:rPr>
                <w:rFonts w:hint="eastAsia" w:ascii="方正仿宋_GBK" w:hAnsi="方正仿宋_GBK" w:cs="方正仿宋_GBK"/>
                <w:kern w:val="0"/>
                <w:sz w:val="20"/>
                <w:szCs w:val="20"/>
              </w:rPr>
              <w:t>县妇幼保健院</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2EF52D6">
            <w:pPr>
              <w:widowControl/>
              <w:jc w:val="center"/>
              <w:textAlignment w:val="center"/>
              <w:rPr>
                <w:rFonts w:ascii="方正仿宋_GBK"/>
                <w:sz w:val="20"/>
                <w:szCs w:val="20"/>
              </w:rPr>
            </w:pPr>
            <w:r>
              <w:rPr>
                <w:rFonts w:hint="eastAsia" w:ascii="方正仿宋_GBK" w:hAnsi="方正仿宋_GBK" w:cs="方正仿宋_GBK"/>
                <w:kern w:val="0"/>
                <w:sz w:val="20"/>
                <w:szCs w:val="20"/>
              </w:rPr>
              <w:t>鱼复街道明良社区</w:t>
            </w:r>
          </w:p>
        </w:tc>
        <w:tc>
          <w:tcPr>
            <w:tcW w:w="9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D68511B">
            <w:pPr>
              <w:widowControl/>
              <w:jc w:val="center"/>
              <w:textAlignment w:val="center"/>
              <w:rPr>
                <w:rFonts w:ascii="方正仿宋_GBK"/>
                <w:sz w:val="20"/>
                <w:szCs w:val="20"/>
              </w:rPr>
            </w:pPr>
            <w:r>
              <w:rPr>
                <w:rFonts w:hint="eastAsia" w:ascii="方正仿宋_GBK" w:hAnsi="方正仿宋_GBK" w:cs="方正仿宋_GBK"/>
                <w:kern w:val="0"/>
                <w:sz w:val="20"/>
                <w:szCs w:val="20"/>
              </w:rPr>
              <w:t>改建</w:t>
            </w:r>
          </w:p>
        </w:tc>
        <w:tc>
          <w:tcPr>
            <w:tcW w:w="5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E685A56">
            <w:pPr>
              <w:widowControl/>
              <w:jc w:val="center"/>
              <w:textAlignment w:val="center"/>
              <w:rPr>
                <w:rFonts w:ascii="方正仿宋_GBK"/>
                <w:sz w:val="20"/>
                <w:szCs w:val="20"/>
              </w:rPr>
            </w:pPr>
            <w:r>
              <w:rPr>
                <w:rFonts w:hint="eastAsia" w:ascii="方正仿宋_GBK" w:hAnsi="方正仿宋_GBK" w:cs="方正仿宋_GBK"/>
                <w:kern w:val="0"/>
                <w:sz w:val="20"/>
                <w:szCs w:val="20"/>
              </w:rPr>
              <w:t>开展三级等保和智慧医院建设，包括建设医院信息平台、智慧便民服务平台，升级</w:t>
            </w:r>
            <w:r>
              <w:rPr>
                <w:rFonts w:ascii="方正仿宋_GBK" w:hAnsi="方正仿宋_GBK" w:cs="方正仿宋_GBK"/>
                <w:kern w:val="0"/>
                <w:sz w:val="20"/>
                <w:szCs w:val="20"/>
              </w:rPr>
              <w:t>HIS</w:t>
            </w:r>
            <w:r>
              <w:rPr>
                <w:rFonts w:hint="eastAsia" w:ascii="方正仿宋_GBK" w:hAnsi="方正仿宋_GBK" w:cs="方正仿宋_GBK"/>
                <w:kern w:val="0"/>
                <w:sz w:val="20"/>
                <w:szCs w:val="20"/>
              </w:rPr>
              <w:t>系统，完善</w:t>
            </w:r>
            <w:r>
              <w:rPr>
                <w:rFonts w:ascii="方正仿宋_GBK" w:hAnsi="方正仿宋_GBK" w:cs="方正仿宋_GBK"/>
                <w:kern w:val="0"/>
                <w:sz w:val="20"/>
                <w:szCs w:val="20"/>
              </w:rPr>
              <w:t>PACS</w:t>
            </w:r>
            <w:r>
              <w:rPr>
                <w:rFonts w:hint="eastAsia" w:ascii="方正仿宋_GBK" w:hAnsi="方正仿宋_GBK" w:cs="方正仿宋_GBK"/>
                <w:kern w:val="0"/>
                <w:sz w:val="20"/>
                <w:szCs w:val="20"/>
              </w:rPr>
              <w:t>、供应室管理、合理用药、手术麻醉等应用系统。</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0D9A031">
            <w:pPr>
              <w:widowControl/>
              <w:jc w:val="center"/>
              <w:textAlignment w:val="center"/>
              <w:rPr>
                <w:rFonts w:ascii="方正仿宋_GBK"/>
                <w:sz w:val="20"/>
                <w:szCs w:val="20"/>
              </w:rPr>
            </w:pPr>
            <w:r>
              <w:rPr>
                <w:rFonts w:ascii="方正仿宋_GBK" w:hAnsi="方正仿宋_GBK" w:cs="方正仿宋_GBK"/>
                <w:kern w:val="0"/>
                <w:sz w:val="20"/>
                <w:szCs w:val="20"/>
              </w:rPr>
              <w:t>900</w:t>
            </w:r>
          </w:p>
        </w:tc>
        <w:tc>
          <w:tcPr>
            <w:tcW w:w="12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5C0CFE54">
            <w:pPr>
              <w:widowControl/>
              <w:jc w:val="center"/>
              <w:textAlignment w:val="center"/>
              <w:rPr>
                <w:rFonts w:ascii="方正仿宋_GBK"/>
                <w:sz w:val="20"/>
                <w:szCs w:val="20"/>
              </w:rPr>
            </w:pPr>
            <w:r>
              <w:rPr>
                <w:rFonts w:ascii="方正仿宋_GBK" w:hAnsi="方正仿宋_GBK" w:cs="方正仿宋_GBK"/>
                <w:kern w:val="0"/>
                <w:sz w:val="20"/>
                <w:szCs w:val="20"/>
              </w:rPr>
              <w:t>2022-2025</w:t>
            </w:r>
          </w:p>
        </w:tc>
      </w:tr>
      <w:tr w14:paraId="2E568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0" w:hRule="atLeast"/>
          <w:jc w:val="center"/>
        </w:trPr>
        <w:tc>
          <w:tcPr>
            <w:tcW w:w="84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451D16F">
            <w:pPr>
              <w:widowControl/>
              <w:jc w:val="center"/>
              <w:textAlignment w:val="center"/>
              <w:rPr>
                <w:rFonts w:ascii="方正仿宋_GBK"/>
                <w:sz w:val="20"/>
                <w:szCs w:val="20"/>
              </w:rPr>
            </w:pPr>
            <w:r>
              <w:rPr>
                <w:rFonts w:ascii="方正仿宋_GBK" w:hAnsi="方正仿宋_GBK" w:cs="方正仿宋_GBK"/>
                <w:kern w:val="0"/>
                <w:sz w:val="20"/>
                <w:szCs w:val="20"/>
              </w:rPr>
              <w:t>35</w:t>
            </w:r>
          </w:p>
        </w:tc>
        <w:tc>
          <w:tcPr>
            <w:tcW w:w="19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ADA70CC">
            <w:pPr>
              <w:widowControl/>
              <w:jc w:val="center"/>
              <w:textAlignment w:val="center"/>
              <w:rPr>
                <w:rFonts w:ascii="方正仿宋_GBK"/>
                <w:sz w:val="20"/>
                <w:szCs w:val="20"/>
              </w:rPr>
            </w:pPr>
            <w:r>
              <w:rPr>
                <w:rFonts w:hint="eastAsia" w:ascii="方正仿宋_GBK" w:hAnsi="方正仿宋_GBK" w:cs="方正仿宋_GBK"/>
                <w:kern w:val="0"/>
                <w:sz w:val="20"/>
                <w:szCs w:val="20"/>
              </w:rPr>
              <w:t>县疾病预防控制信息系统升级改造</w:t>
            </w:r>
          </w:p>
        </w:tc>
        <w:tc>
          <w:tcPr>
            <w:tcW w:w="15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CFABDA5">
            <w:pPr>
              <w:widowControl/>
              <w:jc w:val="center"/>
              <w:textAlignment w:val="center"/>
              <w:rPr>
                <w:rFonts w:ascii="方正仿宋_GBK"/>
                <w:sz w:val="20"/>
                <w:szCs w:val="20"/>
              </w:rPr>
            </w:pPr>
            <w:r>
              <w:rPr>
                <w:rFonts w:hint="eastAsia" w:ascii="方正仿宋_GBK" w:hAnsi="方正仿宋_GBK" w:cs="方正仿宋_GBK"/>
                <w:kern w:val="0"/>
                <w:sz w:val="20"/>
                <w:szCs w:val="20"/>
              </w:rPr>
              <w:t>县疾控中心</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7E9CA599">
            <w:pPr>
              <w:widowControl/>
              <w:jc w:val="center"/>
              <w:textAlignment w:val="center"/>
              <w:rPr>
                <w:rFonts w:ascii="方正仿宋_GBK"/>
                <w:sz w:val="20"/>
                <w:szCs w:val="20"/>
              </w:rPr>
            </w:pPr>
            <w:r>
              <w:rPr>
                <w:rFonts w:hint="eastAsia" w:ascii="方正仿宋_GBK" w:hAnsi="方正仿宋_GBK" w:cs="方正仿宋_GBK"/>
                <w:kern w:val="0"/>
                <w:sz w:val="20"/>
                <w:szCs w:val="20"/>
              </w:rPr>
              <w:t>永安镇竹枝路</w:t>
            </w:r>
          </w:p>
        </w:tc>
        <w:tc>
          <w:tcPr>
            <w:tcW w:w="9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776293E">
            <w:pPr>
              <w:widowControl/>
              <w:jc w:val="center"/>
              <w:textAlignment w:val="center"/>
              <w:rPr>
                <w:rFonts w:ascii="方正仿宋_GBK"/>
                <w:sz w:val="20"/>
                <w:szCs w:val="20"/>
              </w:rPr>
            </w:pPr>
            <w:r>
              <w:rPr>
                <w:rFonts w:hint="eastAsia" w:ascii="方正仿宋_GBK" w:hAnsi="方正仿宋_GBK" w:cs="方正仿宋_GBK"/>
                <w:kern w:val="0"/>
                <w:sz w:val="20"/>
                <w:szCs w:val="20"/>
              </w:rPr>
              <w:t>改建</w:t>
            </w:r>
          </w:p>
        </w:tc>
        <w:tc>
          <w:tcPr>
            <w:tcW w:w="5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6C0A8C4">
            <w:pPr>
              <w:widowControl/>
              <w:jc w:val="center"/>
              <w:textAlignment w:val="center"/>
              <w:rPr>
                <w:rFonts w:ascii="方正仿宋_GBK"/>
                <w:sz w:val="20"/>
                <w:szCs w:val="20"/>
              </w:rPr>
            </w:pPr>
            <w:r>
              <w:rPr>
                <w:rFonts w:hint="eastAsia" w:ascii="方正仿宋_GBK" w:hAnsi="方正仿宋_GBK" w:cs="方正仿宋_GBK"/>
                <w:kern w:val="0"/>
                <w:sz w:val="20"/>
                <w:szCs w:val="20"/>
              </w:rPr>
              <w:t>建设</w:t>
            </w:r>
            <w:r>
              <w:rPr>
                <w:rFonts w:ascii="方正仿宋_GBK" w:hAnsi="方正仿宋_GBK" w:cs="方正仿宋_GBK"/>
                <w:kern w:val="0"/>
                <w:sz w:val="20"/>
                <w:szCs w:val="20"/>
              </w:rPr>
              <w:t>OA</w:t>
            </w:r>
            <w:r>
              <w:rPr>
                <w:rFonts w:hint="eastAsia" w:ascii="方正仿宋_GBK" w:hAnsi="方正仿宋_GBK" w:cs="方正仿宋_GBK"/>
                <w:kern w:val="0"/>
                <w:sz w:val="20"/>
                <w:szCs w:val="20"/>
              </w:rPr>
              <w:t>办公、应急指挥、档案信息管理、生物安全实验室自控、疫苗冷链温控、流行病学调查管理等系统。升级预防接种、传染病管理、免疫规划等管理系统。</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28F3B44">
            <w:pPr>
              <w:widowControl/>
              <w:jc w:val="center"/>
              <w:textAlignment w:val="center"/>
              <w:rPr>
                <w:rFonts w:ascii="方正仿宋_GBK"/>
                <w:sz w:val="20"/>
                <w:szCs w:val="20"/>
              </w:rPr>
            </w:pPr>
            <w:r>
              <w:rPr>
                <w:rFonts w:ascii="方正仿宋_GBK" w:hAnsi="方正仿宋_GBK" w:cs="方正仿宋_GBK"/>
                <w:kern w:val="0"/>
                <w:sz w:val="20"/>
                <w:szCs w:val="20"/>
              </w:rPr>
              <w:t>340</w:t>
            </w:r>
          </w:p>
        </w:tc>
        <w:tc>
          <w:tcPr>
            <w:tcW w:w="12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A929C0D">
            <w:pPr>
              <w:widowControl/>
              <w:jc w:val="center"/>
              <w:textAlignment w:val="center"/>
              <w:rPr>
                <w:rFonts w:ascii="方正仿宋_GBK"/>
                <w:sz w:val="20"/>
                <w:szCs w:val="20"/>
              </w:rPr>
            </w:pPr>
            <w:r>
              <w:rPr>
                <w:rFonts w:ascii="方正仿宋_GBK" w:hAnsi="方正仿宋_GBK" w:cs="方正仿宋_GBK"/>
                <w:kern w:val="0"/>
                <w:sz w:val="20"/>
                <w:szCs w:val="20"/>
              </w:rPr>
              <w:t>2022-2025</w:t>
            </w:r>
          </w:p>
        </w:tc>
      </w:tr>
      <w:tr w14:paraId="24DC8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0" w:hRule="atLeast"/>
          <w:jc w:val="center"/>
        </w:trPr>
        <w:tc>
          <w:tcPr>
            <w:tcW w:w="846"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E3B6B19">
            <w:pPr>
              <w:widowControl/>
              <w:jc w:val="center"/>
              <w:textAlignment w:val="center"/>
              <w:rPr>
                <w:rFonts w:ascii="方正仿宋_GBK"/>
                <w:sz w:val="20"/>
                <w:szCs w:val="20"/>
              </w:rPr>
            </w:pPr>
            <w:r>
              <w:rPr>
                <w:rFonts w:ascii="方正仿宋_GBK" w:hAnsi="方正仿宋_GBK" w:cs="方正仿宋_GBK"/>
                <w:kern w:val="0"/>
                <w:sz w:val="20"/>
                <w:szCs w:val="20"/>
              </w:rPr>
              <w:t>36</w:t>
            </w:r>
          </w:p>
        </w:tc>
        <w:tc>
          <w:tcPr>
            <w:tcW w:w="1965"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2FE09852">
            <w:pPr>
              <w:widowControl/>
              <w:jc w:val="center"/>
              <w:textAlignment w:val="center"/>
              <w:rPr>
                <w:rFonts w:ascii="方正仿宋_GBK"/>
                <w:sz w:val="20"/>
                <w:szCs w:val="20"/>
              </w:rPr>
            </w:pPr>
            <w:r>
              <w:rPr>
                <w:rFonts w:hint="eastAsia" w:ascii="方正仿宋_GBK" w:hAnsi="方正仿宋_GBK" w:cs="方正仿宋_GBK"/>
                <w:kern w:val="0"/>
                <w:sz w:val="20"/>
                <w:szCs w:val="20"/>
              </w:rPr>
              <w:t>县医共体信息化建设项目</w:t>
            </w:r>
          </w:p>
        </w:tc>
        <w:tc>
          <w:tcPr>
            <w:tcW w:w="1509"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37AC1ED6">
            <w:pPr>
              <w:widowControl/>
              <w:jc w:val="center"/>
              <w:textAlignment w:val="center"/>
              <w:rPr>
                <w:rFonts w:ascii="方正仿宋_GBK"/>
                <w:sz w:val="20"/>
                <w:szCs w:val="20"/>
              </w:rPr>
            </w:pPr>
            <w:r>
              <w:rPr>
                <w:rFonts w:hint="eastAsia" w:ascii="方正仿宋_GBK" w:hAnsi="方正仿宋_GBK" w:cs="方正仿宋_GBK"/>
                <w:kern w:val="0"/>
                <w:sz w:val="20"/>
                <w:szCs w:val="20"/>
              </w:rPr>
              <w:t>县人民医院</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615DCF0E">
            <w:pPr>
              <w:widowControl/>
              <w:jc w:val="center"/>
              <w:textAlignment w:val="center"/>
              <w:rPr>
                <w:rFonts w:ascii="方正仿宋_GBK"/>
                <w:sz w:val="20"/>
                <w:szCs w:val="20"/>
              </w:rPr>
            </w:pPr>
            <w:r>
              <w:rPr>
                <w:rFonts w:hint="eastAsia" w:ascii="方正仿宋_GBK" w:hAnsi="方正仿宋_GBK" w:cs="方正仿宋_GBK"/>
                <w:kern w:val="0"/>
                <w:sz w:val="20"/>
                <w:szCs w:val="20"/>
              </w:rPr>
              <w:t>各乡镇（街道）</w:t>
            </w:r>
          </w:p>
        </w:tc>
        <w:tc>
          <w:tcPr>
            <w:tcW w:w="9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8430A65">
            <w:pPr>
              <w:widowControl/>
              <w:jc w:val="center"/>
              <w:textAlignment w:val="center"/>
              <w:rPr>
                <w:rFonts w:ascii="方正仿宋_GBK"/>
                <w:sz w:val="20"/>
                <w:szCs w:val="20"/>
              </w:rPr>
            </w:pPr>
            <w:r>
              <w:rPr>
                <w:rFonts w:hint="eastAsia" w:ascii="方正仿宋_GBK" w:hAnsi="方正仿宋_GBK" w:cs="方正仿宋_GBK"/>
                <w:kern w:val="0"/>
                <w:sz w:val="20"/>
                <w:szCs w:val="20"/>
              </w:rPr>
              <w:t>新建</w:t>
            </w:r>
          </w:p>
        </w:tc>
        <w:tc>
          <w:tcPr>
            <w:tcW w:w="540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455B5EAE">
            <w:pPr>
              <w:widowControl/>
              <w:jc w:val="center"/>
              <w:textAlignment w:val="center"/>
              <w:rPr>
                <w:rFonts w:ascii="方正仿宋_GBK"/>
                <w:sz w:val="20"/>
                <w:szCs w:val="20"/>
              </w:rPr>
            </w:pPr>
            <w:r>
              <w:rPr>
                <w:rFonts w:hint="eastAsia" w:ascii="方正仿宋_GBK" w:hAnsi="方正仿宋_GBK" w:cs="方正仿宋_GBK"/>
                <w:kern w:val="0"/>
                <w:sz w:val="20"/>
                <w:szCs w:val="20"/>
              </w:rPr>
              <w:t>升级区域全民健康信息化平台，建设统一的基层医疗机构的ＨＩＳ、公卫、电子病历等系统，实现区域内互联互通。</w:t>
            </w:r>
          </w:p>
        </w:tc>
        <w:tc>
          <w:tcPr>
            <w:tcW w:w="108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0E96DFA7">
            <w:pPr>
              <w:widowControl/>
              <w:jc w:val="center"/>
              <w:textAlignment w:val="center"/>
              <w:rPr>
                <w:rFonts w:ascii="方正仿宋_GBK"/>
                <w:sz w:val="20"/>
                <w:szCs w:val="20"/>
              </w:rPr>
            </w:pPr>
            <w:r>
              <w:rPr>
                <w:rFonts w:ascii="方正仿宋_GBK" w:hAnsi="方正仿宋_GBK" w:cs="方正仿宋_GBK"/>
                <w:kern w:val="0"/>
                <w:sz w:val="20"/>
                <w:szCs w:val="20"/>
              </w:rPr>
              <w:t>3000</w:t>
            </w:r>
          </w:p>
        </w:tc>
        <w:tc>
          <w:tcPr>
            <w:tcW w:w="1260" w:type="dxa"/>
            <w:tcBorders>
              <w:top w:val="single" w:color="auto" w:sz="4" w:space="0"/>
              <w:left w:val="single" w:color="auto" w:sz="4" w:space="0"/>
              <w:bottom w:val="single" w:color="auto" w:sz="4" w:space="0"/>
              <w:right w:val="single" w:color="auto" w:sz="4" w:space="0"/>
            </w:tcBorders>
            <w:tcMar>
              <w:top w:w="15" w:type="dxa"/>
              <w:left w:w="15" w:type="dxa"/>
              <w:right w:w="15" w:type="dxa"/>
            </w:tcMar>
            <w:vAlign w:val="center"/>
          </w:tcPr>
          <w:p w14:paraId="19B7F4CB">
            <w:pPr>
              <w:widowControl/>
              <w:jc w:val="center"/>
              <w:textAlignment w:val="center"/>
              <w:rPr>
                <w:rFonts w:ascii="方正仿宋_GBK"/>
                <w:sz w:val="20"/>
                <w:szCs w:val="20"/>
              </w:rPr>
            </w:pPr>
            <w:r>
              <w:rPr>
                <w:rFonts w:ascii="方正仿宋_GBK" w:hAnsi="方正仿宋_GBK" w:cs="方正仿宋_GBK"/>
                <w:kern w:val="0"/>
                <w:sz w:val="20"/>
                <w:szCs w:val="20"/>
              </w:rPr>
              <w:t>2022-2025</w:t>
            </w:r>
          </w:p>
        </w:tc>
      </w:tr>
    </w:tbl>
    <w:p w14:paraId="4781638E">
      <w:pPr>
        <w:pStyle w:val="2"/>
        <w:sectPr>
          <w:pgSz w:w="16838" w:h="11906" w:orient="landscape"/>
          <w:pgMar w:top="1531" w:right="1985" w:bottom="1531" w:left="2098" w:header="1418" w:footer="1304" w:gutter="0"/>
          <w:cols w:space="720" w:num="1"/>
          <w:docGrid w:type="lines" w:linePitch="318" w:charSpace="0"/>
        </w:sectPr>
      </w:pPr>
    </w:p>
    <w:p w14:paraId="2E09869D">
      <w:pPr>
        <w:pStyle w:val="2"/>
      </w:pPr>
    </w:p>
    <w:p w14:paraId="4F282A83"/>
    <w:p w14:paraId="11F48AB2">
      <w:pPr>
        <w:pStyle w:val="2"/>
      </w:pPr>
    </w:p>
    <w:p w14:paraId="17CE1C83"/>
    <w:p w14:paraId="67EE8561">
      <w:pPr>
        <w:pStyle w:val="2"/>
      </w:pPr>
    </w:p>
    <w:p w14:paraId="775E7CF7"/>
    <w:p w14:paraId="78FA84F2">
      <w:pPr>
        <w:pStyle w:val="2"/>
      </w:pPr>
    </w:p>
    <w:p w14:paraId="1261F2F5"/>
    <w:p w14:paraId="0E96B5B6">
      <w:pPr>
        <w:pStyle w:val="2"/>
      </w:pPr>
    </w:p>
    <w:p w14:paraId="15D77D91"/>
    <w:p w14:paraId="7BD06753">
      <w:pPr>
        <w:pStyle w:val="2"/>
      </w:pPr>
    </w:p>
    <w:p w14:paraId="7F4332EA"/>
    <w:p w14:paraId="0F83122E">
      <w:pPr>
        <w:pStyle w:val="2"/>
      </w:pPr>
    </w:p>
    <w:p w14:paraId="7EC0380C"/>
    <w:p w14:paraId="5D7C2C51">
      <w:pPr>
        <w:pStyle w:val="2"/>
      </w:pPr>
    </w:p>
    <w:p w14:paraId="4D71EFC0"/>
    <w:p w14:paraId="217AAF53">
      <w:pPr>
        <w:pStyle w:val="2"/>
      </w:pPr>
    </w:p>
    <w:p w14:paraId="2A841779"/>
    <w:p w14:paraId="64180652">
      <w:pPr>
        <w:pStyle w:val="2"/>
      </w:pPr>
    </w:p>
    <w:p w14:paraId="10C0A684"/>
    <w:p w14:paraId="40048F1E">
      <w:pPr>
        <w:pStyle w:val="2"/>
      </w:pPr>
    </w:p>
    <w:p w14:paraId="1192CFA7"/>
    <w:p w14:paraId="771B16F1">
      <w:pPr>
        <w:pStyle w:val="2"/>
      </w:pPr>
    </w:p>
    <w:p w14:paraId="61FD7152"/>
    <w:p w14:paraId="2B1284C9">
      <w:pPr>
        <w:pStyle w:val="2"/>
      </w:pPr>
    </w:p>
    <w:p w14:paraId="05A9EEC8"/>
    <w:p w14:paraId="24CEE5BE">
      <w:pPr>
        <w:pStyle w:val="2"/>
      </w:pPr>
    </w:p>
    <w:p w14:paraId="47189347"/>
    <w:p w14:paraId="28598A6F">
      <w:pPr>
        <w:pStyle w:val="2"/>
        <w:sectPr>
          <w:pgSz w:w="11906" w:h="16838"/>
          <w:pgMar w:top="1985" w:right="1531" w:bottom="2098" w:left="1531" w:header="1418" w:footer="1304" w:gutter="0"/>
          <w:pgNumType w:fmt="numberInDash"/>
          <w:cols w:space="720" w:num="1"/>
          <w:titlePg/>
          <w:docGrid w:type="lines" w:linePitch="435" w:charSpace="0"/>
        </w:sectPr>
      </w:pPr>
    </w:p>
    <w:p w14:paraId="7295C4BA">
      <w:pPr>
        <w:pStyle w:val="2"/>
      </w:pPr>
    </w:p>
    <w:p w14:paraId="2EBA11AE"/>
    <w:p w14:paraId="2FB85620">
      <w:pPr>
        <w:pStyle w:val="2"/>
      </w:pPr>
    </w:p>
    <w:p w14:paraId="77CEE3FE"/>
    <w:p w14:paraId="28DDC5E2">
      <w:pPr>
        <w:pStyle w:val="2"/>
      </w:pPr>
    </w:p>
    <w:p w14:paraId="1132C228"/>
    <w:p w14:paraId="6F2B559C">
      <w:pPr>
        <w:pStyle w:val="2"/>
      </w:pPr>
    </w:p>
    <w:p w14:paraId="58EF1B65"/>
    <w:p w14:paraId="17CD77F7">
      <w:pPr>
        <w:pStyle w:val="2"/>
      </w:pPr>
    </w:p>
    <w:p w14:paraId="4245BB04">
      <w:pPr>
        <w:pStyle w:val="2"/>
      </w:pPr>
    </w:p>
    <w:p w14:paraId="48388A9B"/>
    <w:p w14:paraId="227E42D0">
      <w:pPr>
        <w:pStyle w:val="2"/>
      </w:pPr>
    </w:p>
    <w:p w14:paraId="7D04035E"/>
    <w:p w14:paraId="28BB48C7">
      <w:pPr>
        <w:pStyle w:val="2"/>
      </w:pPr>
    </w:p>
    <w:p w14:paraId="4A1C2C10"/>
    <w:p w14:paraId="6D416805">
      <w:pPr>
        <w:pStyle w:val="2"/>
      </w:pPr>
    </w:p>
    <w:p w14:paraId="463B0589"/>
    <w:p w14:paraId="1CCEB2FD">
      <w:pPr>
        <w:pStyle w:val="2"/>
      </w:pPr>
    </w:p>
    <w:p w14:paraId="632EF9FF"/>
    <w:p w14:paraId="60CF681A">
      <w:pPr>
        <w:pStyle w:val="2"/>
      </w:pPr>
    </w:p>
    <w:p w14:paraId="2F461DA1"/>
    <w:p w14:paraId="69C41E9C">
      <w:pPr>
        <w:pStyle w:val="2"/>
      </w:pPr>
    </w:p>
    <w:p w14:paraId="5F7A7BEA"/>
    <w:p w14:paraId="339C87E4">
      <w:pPr>
        <w:pStyle w:val="2"/>
      </w:pPr>
    </w:p>
    <w:p w14:paraId="2ADFC05A"/>
    <w:p w14:paraId="56FD4F41"/>
    <w:p w14:paraId="67E6FE75">
      <w:pPr>
        <w:pBdr>
          <w:top w:val="single" w:color="auto" w:sz="8" w:space="1"/>
        </w:pBdr>
        <w:snapToGrid w:val="0"/>
        <w:spacing w:line="440" w:lineRule="exact"/>
        <w:ind w:firstLine="280" w:firstLineChars="100"/>
        <w:rPr>
          <w:rFonts w:ascii="方正仿宋_GBK"/>
          <w:sz w:val="28"/>
          <w:szCs w:val="28"/>
        </w:rPr>
      </w:pPr>
      <w:r>
        <w:rPr>
          <w:rFonts w:hint="eastAsia" w:ascii="方正仿宋_GBK"/>
          <w:sz w:val="28"/>
          <w:szCs w:val="28"/>
        </w:rPr>
        <w:t>抄送：县委办公室，县人大常委会办公室，县政协办公室，县监委，</w:t>
      </w:r>
    </w:p>
    <w:p w14:paraId="3746A7B3">
      <w:pPr>
        <w:pBdr>
          <w:top w:val="single" w:color="auto" w:sz="8" w:space="1"/>
        </w:pBdr>
        <w:snapToGrid w:val="0"/>
        <w:spacing w:line="440" w:lineRule="exact"/>
        <w:ind w:firstLine="1120" w:firstLineChars="400"/>
        <w:rPr>
          <w:rFonts w:ascii="方正仿宋_GBK"/>
          <w:sz w:val="28"/>
          <w:szCs w:val="28"/>
        </w:rPr>
      </w:pPr>
      <w:r>
        <w:rPr>
          <w:rFonts w:hint="eastAsia" w:ascii="方正仿宋_GBK"/>
          <w:sz w:val="28"/>
          <w:szCs w:val="28"/>
        </w:rPr>
        <w:t>县法院，县检察院，县人武部。</w:t>
      </w:r>
    </w:p>
    <w:p w14:paraId="4F7C157E">
      <w:pPr>
        <w:pBdr>
          <w:top w:val="single" w:color="auto" w:sz="4" w:space="1"/>
          <w:bottom w:val="single" w:color="auto" w:sz="8" w:space="1"/>
        </w:pBdr>
        <w:tabs>
          <w:tab w:val="left" w:pos="790"/>
        </w:tabs>
        <w:snapToGrid w:val="0"/>
        <w:spacing w:line="440" w:lineRule="exact"/>
        <w:ind w:firstLine="280" w:firstLineChars="100"/>
        <w:rPr>
          <w:rFonts w:eastAsia="宋体"/>
          <w:szCs w:val="24"/>
        </w:rPr>
      </w:pPr>
      <w:r>
        <w:rPr>
          <w:rFonts w:hint="eastAsia" w:ascii="方正仿宋_GBK"/>
          <w:sz w:val="28"/>
          <w:szCs w:val="28"/>
        </w:rPr>
        <w:t>奉节县人民政府办公室                   2022年4月18日印发</w:t>
      </w:r>
    </w:p>
    <w:sectPr>
      <w:pgSz w:w="11906" w:h="16838"/>
      <w:pgMar w:top="1985" w:right="1531" w:bottom="2098" w:left="1531" w:header="1418" w:footer="1304" w:gutter="0"/>
      <w:pgNumType w:fmt="numberInDash"/>
      <w:cols w:space="720" w:num="1"/>
      <w:titlePg/>
      <w:docGrid w:type="lines" w:linePitch="43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仿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黑体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方正仿宋">
    <w:altName w:val="黑体"/>
    <w:panose1 w:val="00000000000000000000"/>
    <w:charset w:val="86"/>
    <w:family w:val="script"/>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B89FE0">
    <w:pPr>
      <w:pStyle w:val="8"/>
      <w:jc w:val="right"/>
      <w:rPr>
        <w:rFonts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w:t>
    </w:r>
    <w:r>
      <w:rPr>
        <w:rFonts w:ascii="宋体" w:hAnsi="宋体" w:eastAsia="宋体"/>
        <w:sz w:val="28"/>
        <w:szCs w:val="28"/>
      </w:rPr>
      <w:t xml:space="preserve"> 1 -</w:t>
    </w:r>
    <w:r>
      <w:rPr>
        <w:rFonts w:ascii="宋体" w:hAnsi="宋体" w:eastAsia="宋体"/>
        <w:sz w:val="28"/>
        <w:szCs w:val="28"/>
      </w:rPr>
      <w:fldChar w:fldCharType="end"/>
    </w:r>
  </w:p>
  <w:p w14:paraId="3A23A986">
    <w:pPr>
      <w:pStyle w:val="8"/>
      <w:ind w:right="360"/>
      <w:rPr>
        <w:rFonts w:ascii="宋体"/>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70B55E">
    <w:pPr>
      <w:pStyle w:val="8"/>
      <w:ind w:right="360"/>
      <w:rPr>
        <w:rFonts w:ascii="宋体"/>
        <w:sz w:val="28"/>
        <w:szCs w:val="28"/>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619760" cy="265430"/>
              <wp:effectExtent l="3175" t="0" r="0" b="0"/>
              <wp:wrapNone/>
              <wp:docPr id="1" name="Text Box 1"/>
              <wp:cNvGraphicFramePr/>
              <a:graphic xmlns:a="http://schemas.openxmlformats.org/drawingml/2006/main">
                <a:graphicData uri="http://schemas.microsoft.com/office/word/2010/wordprocessingShape">
                  <wps:wsp>
                    <wps:cNvSpPr txBox="1">
                      <a:spLocks noChangeArrowheads="1"/>
                    </wps:cNvSpPr>
                    <wps:spPr bwMode="auto">
                      <a:xfrm>
                        <a:off x="0" y="0"/>
                        <a:ext cx="619760" cy="265430"/>
                      </a:xfrm>
                      <a:prstGeom prst="rect">
                        <a:avLst/>
                      </a:prstGeom>
                      <a:noFill/>
                      <a:ln>
                        <a:noFill/>
                      </a:ln>
                    </wps:spPr>
                    <wps:txbx>
                      <w:txbxContent>
                        <w:p w14:paraId="0A2D96CB">
                          <w:pPr>
                            <w:pStyle w:val="8"/>
                            <w:rPr>
                              <w:rFonts w:ascii="方正仿宋_GBK" w:hAnsi="宋体"/>
                              <w:sz w:val="28"/>
                              <w:szCs w:val="28"/>
                            </w:rPr>
                          </w:pPr>
                          <w:r>
                            <w:rPr>
                              <w:rFonts w:ascii="方正仿宋_GBK" w:hAnsi="宋体" w:cs="方正仿宋_GBK"/>
                              <w:sz w:val="28"/>
                              <w:szCs w:val="28"/>
                            </w:rPr>
                            <w:t xml:space="preserve">— </w:t>
                          </w:r>
                          <w:r>
                            <w:rPr>
                              <w:rFonts w:ascii="方正仿宋_GBK" w:hAnsi="宋体" w:cs="方正仿宋_GBK"/>
                              <w:sz w:val="28"/>
                              <w:szCs w:val="28"/>
                            </w:rPr>
                            <w:fldChar w:fldCharType="begin"/>
                          </w:r>
                          <w:r>
                            <w:rPr>
                              <w:rFonts w:ascii="方正仿宋_GBK" w:hAnsi="宋体" w:cs="方正仿宋_GBK"/>
                              <w:sz w:val="28"/>
                              <w:szCs w:val="28"/>
                            </w:rPr>
                            <w:instrText xml:space="preserve"> PAGE  \* MERGEFORMAT </w:instrText>
                          </w:r>
                          <w:r>
                            <w:rPr>
                              <w:rFonts w:ascii="方正仿宋_GBK" w:hAnsi="宋体" w:cs="方正仿宋_GBK"/>
                              <w:sz w:val="28"/>
                              <w:szCs w:val="28"/>
                            </w:rPr>
                            <w:fldChar w:fldCharType="separate"/>
                          </w:r>
                          <w:r>
                            <w:rPr>
                              <w:rFonts w:ascii="方正仿宋_GBK" w:hAnsi="宋体" w:cs="方正仿宋_GBK"/>
                              <w:sz w:val="28"/>
                              <w:szCs w:val="28"/>
                            </w:rPr>
                            <w:t>2</w:t>
                          </w:r>
                          <w:r>
                            <w:rPr>
                              <w:rFonts w:ascii="方正仿宋_GBK" w:hAnsi="宋体" w:cs="方正仿宋_GBK"/>
                              <w:sz w:val="28"/>
                              <w:szCs w:val="28"/>
                            </w:rPr>
                            <w:fldChar w:fldCharType="end"/>
                          </w:r>
                          <w:r>
                            <w:rPr>
                              <w:rFonts w:ascii="方正仿宋_GBK" w:hAnsi="宋体" w:cs="方正仿宋_GBK"/>
                              <w:sz w:val="28"/>
                              <w:szCs w:val="28"/>
                            </w:rPr>
                            <w:t xml:space="preserve"> —</w:t>
                          </w:r>
                        </w:p>
                      </w:txbxContent>
                    </wps:txbx>
                    <wps:bodyPr rot="0" vert="horz" wrap="none" lIns="0" tIns="0" rIns="0" bIns="0" anchor="t" anchorCtr="0" upright="1">
                      <a:spAutoFit/>
                    </wps:bodyPr>
                  </wps:wsp>
                </a:graphicData>
              </a:graphic>
            </wp:anchor>
          </w:drawing>
        </mc:Choice>
        <mc:Fallback>
          <w:pict>
            <v:shape id="Text Box 1" o:spid="_x0000_s1026" o:spt="202" type="#_x0000_t202" style="position:absolute;left:0pt;margin-top:0pt;height:20.9pt;width:48.8pt;mso-position-horizontal:center;mso-position-horizontal-relative:margin;mso-wrap-style:none;z-index:251660288;mso-width-relative:page;mso-height-relative:page;" filled="f" stroked="f" coordsize="21600,21600" o:gfxdata="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S1RTs0QAAAAMBAAAPAAAAAAAAAAEAIAAAACIAAABkcnMvZG93bnJldi54bWxQSwECFAAU&#10;AAAACACHTuJAHa46CvgBAAABBAAADgAAAAAAAAABACAAAAAgAQAAZHJzL2Uyb0RvYy54bWxQSwUG&#10;AAAAAAYABgBZAQAAigUAAAAA&#10;">
              <v:fill on="f" focussize="0,0"/>
              <v:stroke on="f"/>
              <v:imagedata o:title=""/>
              <o:lock v:ext="edit" aspectratio="f"/>
              <v:textbox inset="0mm,0mm,0mm,0mm" style="mso-fit-shape-to-text:t;">
                <w:txbxContent>
                  <w:p w14:paraId="0A2D96CB">
                    <w:pPr>
                      <w:pStyle w:val="8"/>
                      <w:rPr>
                        <w:rFonts w:ascii="方正仿宋_GBK" w:hAnsi="宋体"/>
                        <w:sz w:val="28"/>
                        <w:szCs w:val="28"/>
                      </w:rPr>
                    </w:pPr>
                    <w:r>
                      <w:rPr>
                        <w:rFonts w:ascii="方正仿宋_GBK" w:hAnsi="宋体" w:cs="方正仿宋_GBK"/>
                        <w:sz w:val="28"/>
                        <w:szCs w:val="28"/>
                      </w:rPr>
                      <w:t xml:space="preserve">— </w:t>
                    </w:r>
                    <w:r>
                      <w:rPr>
                        <w:rFonts w:ascii="方正仿宋_GBK" w:hAnsi="宋体" w:cs="方正仿宋_GBK"/>
                        <w:sz w:val="28"/>
                        <w:szCs w:val="28"/>
                      </w:rPr>
                      <w:fldChar w:fldCharType="begin"/>
                    </w:r>
                    <w:r>
                      <w:rPr>
                        <w:rFonts w:ascii="方正仿宋_GBK" w:hAnsi="宋体" w:cs="方正仿宋_GBK"/>
                        <w:sz w:val="28"/>
                        <w:szCs w:val="28"/>
                      </w:rPr>
                      <w:instrText xml:space="preserve"> PAGE  \* MERGEFORMAT </w:instrText>
                    </w:r>
                    <w:r>
                      <w:rPr>
                        <w:rFonts w:ascii="方正仿宋_GBK" w:hAnsi="宋体" w:cs="方正仿宋_GBK"/>
                        <w:sz w:val="28"/>
                        <w:szCs w:val="28"/>
                      </w:rPr>
                      <w:fldChar w:fldCharType="separate"/>
                    </w:r>
                    <w:r>
                      <w:rPr>
                        <w:rFonts w:ascii="方正仿宋_GBK" w:hAnsi="宋体" w:cs="方正仿宋_GBK"/>
                        <w:sz w:val="28"/>
                        <w:szCs w:val="28"/>
                      </w:rPr>
                      <w:t>2</w:t>
                    </w:r>
                    <w:r>
                      <w:rPr>
                        <w:rFonts w:ascii="方正仿宋_GBK" w:hAnsi="宋体" w:cs="方正仿宋_GBK"/>
                        <w:sz w:val="28"/>
                        <w:szCs w:val="28"/>
                      </w:rPr>
                      <w:fldChar w:fldCharType="end"/>
                    </w:r>
                    <w:r>
                      <w:rPr>
                        <w:rFonts w:ascii="方正仿宋_GBK" w:hAnsi="宋体" w:cs="方正仿宋_GBK"/>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206A9">
    <w:pPr>
      <w:pStyle w:val="10"/>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oNotHyphenateCaps/>
  <w:drawingGridHorizontalSpacing w:val="160"/>
  <w:drawingGridVerticalSpacing w:val="435"/>
  <w:displayHorizontalDrawingGridEvery w:val="2"/>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yZDBjYTQ4Y2I0MGFkOTY2YmU1OTFjYTBhMGIyZGUifQ=="/>
  </w:docVars>
  <w:rsids>
    <w:rsidRoot w:val="63C61782"/>
    <w:rsid w:val="0000152C"/>
    <w:rsid w:val="000F49C0"/>
    <w:rsid w:val="00120A2A"/>
    <w:rsid w:val="001824B5"/>
    <w:rsid w:val="00231BC8"/>
    <w:rsid w:val="00260B29"/>
    <w:rsid w:val="00353FA1"/>
    <w:rsid w:val="00364338"/>
    <w:rsid w:val="003D7B9A"/>
    <w:rsid w:val="00455EDE"/>
    <w:rsid w:val="00467CB6"/>
    <w:rsid w:val="0049227E"/>
    <w:rsid w:val="004935FD"/>
    <w:rsid w:val="004B48F4"/>
    <w:rsid w:val="004C2DA2"/>
    <w:rsid w:val="005436B9"/>
    <w:rsid w:val="0056757C"/>
    <w:rsid w:val="005F1060"/>
    <w:rsid w:val="0069153A"/>
    <w:rsid w:val="00757A39"/>
    <w:rsid w:val="007A510B"/>
    <w:rsid w:val="007D5B5C"/>
    <w:rsid w:val="007F318D"/>
    <w:rsid w:val="00801A7A"/>
    <w:rsid w:val="00886C68"/>
    <w:rsid w:val="00921A75"/>
    <w:rsid w:val="00981929"/>
    <w:rsid w:val="009F6C9B"/>
    <w:rsid w:val="00AE34AC"/>
    <w:rsid w:val="00AF3265"/>
    <w:rsid w:val="00B3522F"/>
    <w:rsid w:val="00B97BD4"/>
    <w:rsid w:val="00BF10F7"/>
    <w:rsid w:val="00DA6851"/>
    <w:rsid w:val="00DA76F9"/>
    <w:rsid w:val="00DF7C15"/>
    <w:rsid w:val="00E07914"/>
    <w:rsid w:val="00EE2113"/>
    <w:rsid w:val="00F25A66"/>
    <w:rsid w:val="00F31054"/>
    <w:rsid w:val="00F9382B"/>
    <w:rsid w:val="01286F32"/>
    <w:rsid w:val="02262FE6"/>
    <w:rsid w:val="02532933"/>
    <w:rsid w:val="025D2B6C"/>
    <w:rsid w:val="02C14E49"/>
    <w:rsid w:val="03405D04"/>
    <w:rsid w:val="0344740A"/>
    <w:rsid w:val="034F71F2"/>
    <w:rsid w:val="03A36793"/>
    <w:rsid w:val="03E557FE"/>
    <w:rsid w:val="05A35A06"/>
    <w:rsid w:val="06C411A2"/>
    <w:rsid w:val="07707FE3"/>
    <w:rsid w:val="07ED2A39"/>
    <w:rsid w:val="08405F0B"/>
    <w:rsid w:val="09632BCE"/>
    <w:rsid w:val="09E71027"/>
    <w:rsid w:val="09E71188"/>
    <w:rsid w:val="0A287D9E"/>
    <w:rsid w:val="0B7F31D1"/>
    <w:rsid w:val="0C1E1A9D"/>
    <w:rsid w:val="0C4C63AC"/>
    <w:rsid w:val="0C5E2814"/>
    <w:rsid w:val="0C612BB3"/>
    <w:rsid w:val="0CF640BA"/>
    <w:rsid w:val="0E8A72D4"/>
    <w:rsid w:val="0ECB69F3"/>
    <w:rsid w:val="0F3D52EE"/>
    <w:rsid w:val="0F9E36F4"/>
    <w:rsid w:val="0FA130BE"/>
    <w:rsid w:val="0FD145FA"/>
    <w:rsid w:val="0FEE2835"/>
    <w:rsid w:val="10586F6B"/>
    <w:rsid w:val="10966CA4"/>
    <w:rsid w:val="10E743C2"/>
    <w:rsid w:val="112E7D52"/>
    <w:rsid w:val="113153D1"/>
    <w:rsid w:val="115E44FB"/>
    <w:rsid w:val="1208614C"/>
    <w:rsid w:val="125062CF"/>
    <w:rsid w:val="126B33D9"/>
    <w:rsid w:val="129D65E5"/>
    <w:rsid w:val="12DD1B74"/>
    <w:rsid w:val="130430E0"/>
    <w:rsid w:val="13297853"/>
    <w:rsid w:val="1420624F"/>
    <w:rsid w:val="1495069B"/>
    <w:rsid w:val="14AA6DC3"/>
    <w:rsid w:val="14E564B5"/>
    <w:rsid w:val="14EA1689"/>
    <w:rsid w:val="15067349"/>
    <w:rsid w:val="15CC15F0"/>
    <w:rsid w:val="15F15DCD"/>
    <w:rsid w:val="162C57C4"/>
    <w:rsid w:val="1737722B"/>
    <w:rsid w:val="17B32E61"/>
    <w:rsid w:val="17C743F8"/>
    <w:rsid w:val="18070C40"/>
    <w:rsid w:val="18400E32"/>
    <w:rsid w:val="186554F8"/>
    <w:rsid w:val="186E654B"/>
    <w:rsid w:val="188B10D8"/>
    <w:rsid w:val="190C5D84"/>
    <w:rsid w:val="19157B73"/>
    <w:rsid w:val="19337A59"/>
    <w:rsid w:val="199E69B9"/>
    <w:rsid w:val="1A3E6FC6"/>
    <w:rsid w:val="1AA07697"/>
    <w:rsid w:val="1AC369D7"/>
    <w:rsid w:val="1AF071B6"/>
    <w:rsid w:val="1B905FC5"/>
    <w:rsid w:val="1BDA620D"/>
    <w:rsid w:val="1C4453EC"/>
    <w:rsid w:val="1C462785"/>
    <w:rsid w:val="1D23394F"/>
    <w:rsid w:val="1D783A23"/>
    <w:rsid w:val="1DA36B9E"/>
    <w:rsid w:val="1DF40E27"/>
    <w:rsid w:val="1E057461"/>
    <w:rsid w:val="1E5B4589"/>
    <w:rsid w:val="1E5F5312"/>
    <w:rsid w:val="1E9F6FD9"/>
    <w:rsid w:val="1F496F61"/>
    <w:rsid w:val="20365FFD"/>
    <w:rsid w:val="203D78CD"/>
    <w:rsid w:val="20A81AC6"/>
    <w:rsid w:val="20D013F0"/>
    <w:rsid w:val="211D3B58"/>
    <w:rsid w:val="21BB5E30"/>
    <w:rsid w:val="21C2597F"/>
    <w:rsid w:val="21FB1634"/>
    <w:rsid w:val="22064A4B"/>
    <w:rsid w:val="222603B6"/>
    <w:rsid w:val="22CB6362"/>
    <w:rsid w:val="236C0D9F"/>
    <w:rsid w:val="239C6D4D"/>
    <w:rsid w:val="23A5734B"/>
    <w:rsid w:val="248750E8"/>
    <w:rsid w:val="25350E66"/>
    <w:rsid w:val="270C79C6"/>
    <w:rsid w:val="271E1A67"/>
    <w:rsid w:val="274663B6"/>
    <w:rsid w:val="28D3482A"/>
    <w:rsid w:val="29290D58"/>
    <w:rsid w:val="295D67AC"/>
    <w:rsid w:val="29846490"/>
    <w:rsid w:val="29F71276"/>
    <w:rsid w:val="2AA43EC0"/>
    <w:rsid w:val="2AB178CE"/>
    <w:rsid w:val="2AC84AA6"/>
    <w:rsid w:val="2B2704EF"/>
    <w:rsid w:val="2B5454B1"/>
    <w:rsid w:val="2BAF1F6D"/>
    <w:rsid w:val="2BDC29BB"/>
    <w:rsid w:val="2BEB10B0"/>
    <w:rsid w:val="2BEE5088"/>
    <w:rsid w:val="2C037BB1"/>
    <w:rsid w:val="2C184CF3"/>
    <w:rsid w:val="2C7C6A88"/>
    <w:rsid w:val="2C927DB8"/>
    <w:rsid w:val="2D273DDF"/>
    <w:rsid w:val="2D3400B0"/>
    <w:rsid w:val="2DE67628"/>
    <w:rsid w:val="2DE8078B"/>
    <w:rsid w:val="2DED6F36"/>
    <w:rsid w:val="2DF21D80"/>
    <w:rsid w:val="2FC018C9"/>
    <w:rsid w:val="30225BC3"/>
    <w:rsid w:val="30B91711"/>
    <w:rsid w:val="30E80F91"/>
    <w:rsid w:val="31030609"/>
    <w:rsid w:val="3147742E"/>
    <w:rsid w:val="317A4887"/>
    <w:rsid w:val="31AB25E6"/>
    <w:rsid w:val="332D62AB"/>
    <w:rsid w:val="332D6711"/>
    <w:rsid w:val="333B52F4"/>
    <w:rsid w:val="33FA3626"/>
    <w:rsid w:val="344557E4"/>
    <w:rsid w:val="34732434"/>
    <w:rsid w:val="347565FB"/>
    <w:rsid w:val="35096A3A"/>
    <w:rsid w:val="3520354B"/>
    <w:rsid w:val="359D270D"/>
    <w:rsid w:val="361F1C05"/>
    <w:rsid w:val="37355E0C"/>
    <w:rsid w:val="37E3219C"/>
    <w:rsid w:val="37F005C2"/>
    <w:rsid w:val="37F6067D"/>
    <w:rsid w:val="38336E6B"/>
    <w:rsid w:val="386F2BF5"/>
    <w:rsid w:val="39576923"/>
    <w:rsid w:val="3AB56C21"/>
    <w:rsid w:val="3B653A24"/>
    <w:rsid w:val="3BEE6E04"/>
    <w:rsid w:val="3BFB1788"/>
    <w:rsid w:val="3BFC39AA"/>
    <w:rsid w:val="3C1A3A54"/>
    <w:rsid w:val="3D0B16ED"/>
    <w:rsid w:val="3D102EE7"/>
    <w:rsid w:val="3D421E9B"/>
    <w:rsid w:val="3D856AE5"/>
    <w:rsid w:val="3D8E56A1"/>
    <w:rsid w:val="3DA7410E"/>
    <w:rsid w:val="3DD13053"/>
    <w:rsid w:val="3E6F3619"/>
    <w:rsid w:val="3EAD3AC9"/>
    <w:rsid w:val="3F9056DF"/>
    <w:rsid w:val="3FB04D51"/>
    <w:rsid w:val="3FC20D6E"/>
    <w:rsid w:val="40092AB9"/>
    <w:rsid w:val="402B220A"/>
    <w:rsid w:val="40A95D12"/>
    <w:rsid w:val="41DF4602"/>
    <w:rsid w:val="41F95195"/>
    <w:rsid w:val="4200697F"/>
    <w:rsid w:val="423D3F95"/>
    <w:rsid w:val="42AC673E"/>
    <w:rsid w:val="4302164A"/>
    <w:rsid w:val="43105E59"/>
    <w:rsid w:val="432134B4"/>
    <w:rsid w:val="43502A02"/>
    <w:rsid w:val="43A43233"/>
    <w:rsid w:val="43A739A2"/>
    <w:rsid w:val="43C04293"/>
    <w:rsid w:val="455C65A8"/>
    <w:rsid w:val="459C2D52"/>
    <w:rsid w:val="46BB58E9"/>
    <w:rsid w:val="46F27C9C"/>
    <w:rsid w:val="47302959"/>
    <w:rsid w:val="47421B0C"/>
    <w:rsid w:val="47522762"/>
    <w:rsid w:val="480156C7"/>
    <w:rsid w:val="481158E9"/>
    <w:rsid w:val="48DF6C07"/>
    <w:rsid w:val="49FD02F1"/>
    <w:rsid w:val="4A0421E9"/>
    <w:rsid w:val="4B0441D6"/>
    <w:rsid w:val="4B703F83"/>
    <w:rsid w:val="4CD27A82"/>
    <w:rsid w:val="4EA12185"/>
    <w:rsid w:val="4EB133D6"/>
    <w:rsid w:val="4F352ACF"/>
    <w:rsid w:val="4F3F1CD5"/>
    <w:rsid w:val="4F497C73"/>
    <w:rsid w:val="4F593E74"/>
    <w:rsid w:val="4FA93359"/>
    <w:rsid w:val="50272ECC"/>
    <w:rsid w:val="50652DA2"/>
    <w:rsid w:val="50B11EC8"/>
    <w:rsid w:val="50C23022"/>
    <w:rsid w:val="50FB022A"/>
    <w:rsid w:val="516B648C"/>
    <w:rsid w:val="52AA4B5C"/>
    <w:rsid w:val="532042C1"/>
    <w:rsid w:val="532C30ED"/>
    <w:rsid w:val="53ED2762"/>
    <w:rsid w:val="54CC6419"/>
    <w:rsid w:val="55696E95"/>
    <w:rsid w:val="559F771F"/>
    <w:rsid w:val="565808C2"/>
    <w:rsid w:val="57E0550C"/>
    <w:rsid w:val="58417ED2"/>
    <w:rsid w:val="58BB655E"/>
    <w:rsid w:val="5AA82EFF"/>
    <w:rsid w:val="5AB035EA"/>
    <w:rsid w:val="5ABD21C2"/>
    <w:rsid w:val="5ACB31A3"/>
    <w:rsid w:val="5AD04698"/>
    <w:rsid w:val="5BF93E32"/>
    <w:rsid w:val="5C7B5D0A"/>
    <w:rsid w:val="5CD26468"/>
    <w:rsid w:val="5CE8629B"/>
    <w:rsid w:val="5DCC1487"/>
    <w:rsid w:val="5E0C7227"/>
    <w:rsid w:val="5E3B0EFD"/>
    <w:rsid w:val="5E6013E8"/>
    <w:rsid w:val="5EA9734D"/>
    <w:rsid w:val="5ED614B6"/>
    <w:rsid w:val="5FF46AFE"/>
    <w:rsid w:val="603863FA"/>
    <w:rsid w:val="60451953"/>
    <w:rsid w:val="60C20E3D"/>
    <w:rsid w:val="60F44A7B"/>
    <w:rsid w:val="61410EFE"/>
    <w:rsid w:val="61A50E18"/>
    <w:rsid w:val="61B43B2F"/>
    <w:rsid w:val="620B2FC9"/>
    <w:rsid w:val="62706563"/>
    <w:rsid w:val="62C17D93"/>
    <w:rsid w:val="63721397"/>
    <w:rsid w:val="63963047"/>
    <w:rsid w:val="63C61782"/>
    <w:rsid w:val="63E50BFF"/>
    <w:rsid w:val="64757D0E"/>
    <w:rsid w:val="647F05BA"/>
    <w:rsid w:val="64F4037E"/>
    <w:rsid w:val="652828DA"/>
    <w:rsid w:val="656D3FAD"/>
    <w:rsid w:val="665C0BD5"/>
    <w:rsid w:val="66806F16"/>
    <w:rsid w:val="66A0248B"/>
    <w:rsid w:val="66BB1249"/>
    <w:rsid w:val="67920206"/>
    <w:rsid w:val="680C1724"/>
    <w:rsid w:val="686E2DE3"/>
    <w:rsid w:val="6884443D"/>
    <w:rsid w:val="693C7955"/>
    <w:rsid w:val="69D400D1"/>
    <w:rsid w:val="69D7399F"/>
    <w:rsid w:val="6AF637F6"/>
    <w:rsid w:val="6B980194"/>
    <w:rsid w:val="6BAF5413"/>
    <w:rsid w:val="6BDF3BC2"/>
    <w:rsid w:val="6C295632"/>
    <w:rsid w:val="6DEF3600"/>
    <w:rsid w:val="6DFE11D9"/>
    <w:rsid w:val="6E8C567B"/>
    <w:rsid w:val="6F1B7800"/>
    <w:rsid w:val="6F361DC9"/>
    <w:rsid w:val="6FB84538"/>
    <w:rsid w:val="710D3D62"/>
    <w:rsid w:val="71E762B1"/>
    <w:rsid w:val="71F751F9"/>
    <w:rsid w:val="720E3794"/>
    <w:rsid w:val="72460F6E"/>
    <w:rsid w:val="7258750A"/>
    <w:rsid w:val="734B0EF8"/>
    <w:rsid w:val="742C6B5F"/>
    <w:rsid w:val="746F15DD"/>
    <w:rsid w:val="751F54DC"/>
    <w:rsid w:val="75475A19"/>
    <w:rsid w:val="75DA3932"/>
    <w:rsid w:val="76030CE6"/>
    <w:rsid w:val="76E0727B"/>
    <w:rsid w:val="77F97354"/>
    <w:rsid w:val="7880252E"/>
    <w:rsid w:val="78CA6D96"/>
    <w:rsid w:val="798E4C10"/>
    <w:rsid w:val="79F514CE"/>
    <w:rsid w:val="7A1B5F2B"/>
    <w:rsid w:val="7A1E1CF9"/>
    <w:rsid w:val="7AEC3EF0"/>
    <w:rsid w:val="7B6A28C8"/>
    <w:rsid w:val="7E5B4814"/>
    <w:rsid w:val="7E953CB5"/>
    <w:rsid w:val="7FC125F6"/>
    <w:rsid w:val="E3FE7F4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name="toc 1"/>
    <w:lsdException w:qFormat="1" w:unhideWhenUsed="0" w:uiPriority="99" w:name="toc 2"/>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方正仿宋_GBK" w:cs="Times New Roman"/>
      <w:kern w:val="2"/>
      <w:sz w:val="32"/>
      <w:szCs w:val="32"/>
      <w:lang w:val="en-US" w:eastAsia="zh-CN" w:bidi="ar-SA"/>
    </w:rPr>
  </w:style>
  <w:style w:type="paragraph" w:styleId="3">
    <w:name w:val="heading 1"/>
    <w:basedOn w:val="1"/>
    <w:next w:val="1"/>
    <w:link w:val="17"/>
    <w:qFormat/>
    <w:uiPriority w:val="99"/>
    <w:pPr>
      <w:spacing w:before="126" w:after="120"/>
      <w:ind w:left="200" w:leftChars="200" w:hanging="323"/>
      <w:outlineLvl w:val="0"/>
    </w:pPr>
    <w:rPr>
      <w:rFonts w:ascii="仿宋" w:hAnsi="仿宋" w:eastAsia="方正黑体_GBK" w:cs="仿宋"/>
      <w:lang w:val="zh-CN"/>
    </w:rPr>
  </w:style>
  <w:style w:type="paragraph" w:styleId="4">
    <w:name w:val="heading 2"/>
    <w:basedOn w:val="1"/>
    <w:next w:val="1"/>
    <w:link w:val="18"/>
    <w:qFormat/>
    <w:uiPriority w:val="99"/>
    <w:pPr>
      <w:keepNext/>
      <w:keepLines/>
      <w:spacing w:before="120" w:after="120"/>
      <w:ind w:left="300" w:leftChars="200"/>
      <w:outlineLvl w:val="1"/>
    </w:pPr>
    <w:rPr>
      <w:rFonts w:ascii="Arial" w:hAnsi="Arial" w:eastAsia="方正楷体_GBK" w:cs="Arial"/>
      <w:lang w:val="zh-CN"/>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1"/>
    <w:qFormat/>
    <w:uiPriority w:val="99"/>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styleId="5">
    <w:name w:val="annotation text"/>
    <w:basedOn w:val="1"/>
    <w:link w:val="19"/>
    <w:semiHidden/>
    <w:qFormat/>
    <w:uiPriority w:val="99"/>
    <w:pPr>
      <w:jc w:val="left"/>
    </w:pPr>
  </w:style>
  <w:style w:type="paragraph" w:styleId="6">
    <w:name w:val="Body Text"/>
    <w:basedOn w:val="1"/>
    <w:link w:val="20"/>
    <w:qFormat/>
    <w:uiPriority w:val="99"/>
    <w:pPr>
      <w:ind w:left="228"/>
    </w:pPr>
    <w:rPr>
      <w:rFonts w:ascii="仿宋" w:hAnsi="仿宋" w:eastAsia="仿宋" w:cs="仿宋"/>
      <w:lang w:val="zh-CN"/>
    </w:rPr>
  </w:style>
  <w:style w:type="paragraph" w:styleId="7">
    <w:name w:val="Date"/>
    <w:basedOn w:val="1"/>
    <w:next w:val="1"/>
    <w:link w:val="32"/>
    <w:qFormat/>
    <w:uiPriority w:val="99"/>
    <w:rPr>
      <w:rFonts w:ascii="楷体_GB2312" w:eastAsia="楷体_GB2312"/>
      <w:szCs w:val="20"/>
    </w:rPr>
  </w:style>
  <w:style w:type="paragraph" w:styleId="8">
    <w:name w:val="footer"/>
    <w:basedOn w:val="1"/>
    <w:next w:val="9"/>
    <w:link w:val="21"/>
    <w:qFormat/>
    <w:uiPriority w:val="99"/>
    <w:pPr>
      <w:tabs>
        <w:tab w:val="center" w:pos="4153"/>
        <w:tab w:val="right" w:pos="8306"/>
      </w:tabs>
      <w:snapToGrid w:val="0"/>
      <w:jc w:val="left"/>
    </w:pPr>
    <w:rPr>
      <w:sz w:val="18"/>
      <w:szCs w:val="18"/>
    </w:rPr>
  </w:style>
  <w:style w:type="paragraph" w:customStyle="1" w:styleId="9">
    <w:name w:val="UserStyle_0"/>
    <w:next w:val="1"/>
    <w:qFormat/>
    <w:uiPriority w:val="99"/>
    <w:pPr>
      <w:textAlignment w:val="baseline"/>
    </w:pPr>
    <w:rPr>
      <w:rFonts w:ascii="方正小标宋_GBK" w:hAnsi="Times New Roman" w:eastAsia="方正小标宋_GBK" w:cs="方正小标宋_GBK"/>
      <w:color w:val="000000"/>
      <w:sz w:val="24"/>
      <w:szCs w:val="24"/>
      <w:lang w:val="en-US" w:eastAsia="zh-CN" w:bidi="ar-SA"/>
    </w:rPr>
  </w:style>
  <w:style w:type="paragraph" w:styleId="10">
    <w:name w:val="header"/>
    <w:basedOn w:val="1"/>
    <w:next w:val="1"/>
    <w:link w:val="22"/>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semiHidden/>
    <w:qFormat/>
    <w:uiPriority w:val="99"/>
  </w:style>
  <w:style w:type="paragraph" w:styleId="12">
    <w:name w:val="toc 2"/>
    <w:basedOn w:val="1"/>
    <w:next w:val="1"/>
    <w:semiHidden/>
    <w:qFormat/>
    <w:uiPriority w:val="99"/>
    <w:pPr>
      <w:ind w:left="420" w:leftChars="200"/>
    </w:pPr>
  </w:style>
  <w:style w:type="paragraph" w:styleId="13">
    <w:name w:val="Normal (Web)"/>
    <w:basedOn w:val="1"/>
    <w:qFormat/>
    <w:uiPriority w:val="99"/>
    <w:pPr>
      <w:widowControl/>
      <w:spacing w:before="100" w:beforeAutospacing="1" w:after="100" w:afterAutospacing="1"/>
      <w:jc w:val="left"/>
    </w:pPr>
    <w:rPr>
      <w:rFonts w:ascii="宋体" w:hAnsi="宋体" w:eastAsia="宋体" w:cs="宋体"/>
      <w:kern w:val="0"/>
      <w:sz w:val="24"/>
      <w:szCs w:val="24"/>
    </w:rPr>
  </w:style>
  <w:style w:type="paragraph" w:styleId="14">
    <w:name w:val="Title"/>
    <w:basedOn w:val="1"/>
    <w:next w:val="1"/>
    <w:link w:val="23"/>
    <w:qFormat/>
    <w:uiPriority w:val="99"/>
    <w:pPr>
      <w:spacing w:line="360" w:lineRule="auto"/>
      <w:outlineLvl w:val="2"/>
    </w:pPr>
    <w:rPr>
      <w:rFonts w:ascii="Cambria" w:hAnsi="Cambria" w:eastAsia="方正楷体_GBK" w:cs="Cambria"/>
      <w:b/>
      <w:bCs/>
    </w:rPr>
  </w:style>
  <w:style w:type="character" w:customStyle="1" w:styleId="17">
    <w:name w:val="标题 1 Char"/>
    <w:link w:val="3"/>
    <w:qFormat/>
    <w:locked/>
    <w:uiPriority w:val="99"/>
    <w:rPr>
      <w:rFonts w:eastAsia="方正仿宋_GBK"/>
      <w:b/>
      <w:bCs/>
      <w:kern w:val="44"/>
      <w:sz w:val="44"/>
      <w:szCs w:val="44"/>
    </w:rPr>
  </w:style>
  <w:style w:type="character" w:customStyle="1" w:styleId="18">
    <w:name w:val="标题 2 Char"/>
    <w:link w:val="4"/>
    <w:semiHidden/>
    <w:qFormat/>
    <w:locked/>
    <w:uiPriority w:val="99"/>
    <w:rPr>
      <w:rFonts w:ascii="Cambria" w:hAnsi="Cambria" w:eastAsia="宋体" w:cs="Cambria"/>
      <w:b/>
      <w:bCs/>
      <w:sz w:val="32"/>
      <w:szCs w:val="32"/>
    </w:rPr>
  </w:style>
  <w:style w:type="character" w:customStyle="1" w:styleId="19">
    <w:name w:val="批注文字 Char"/>
    <w:link w:val="5"/>
    <w:semiHidden/>
    <w:qFormat/>
    <w:locked/>
    <w:uiPriority w:val="99"/>
    <w:rPr>
      <w:rFonts w:eastAsia="方正仿宋_GBK"/>
      <w:sz w:val="32"/>
      <w:szCs w:val="32"/>
    </w:rPr>
  </w:style>
  <w:style w:type="character" w:customStyle="1" w:styleId="20">
    <w:name w:val="正文文本 Char"/>
    <w:link w:val="6"/>
    <w:semiHidden/>
    <w:qFormat/>
    <w:locked/>
    <w:uiPriority w:val="99"/>
    <w:rPr>
      <w:rFonts w:eastAsia="方正仿宋_GBK"/>
      <w:sz w:val="32"/>
      <w:szCs w:val="32"/>
    </w:rPr>
  </w:style>
  <w:style w:type="character" w:customStyle="1" w:styleId="21">
    <w:name w:val="页脚 Char"/>
    <w:link w:val="8"/>
    <w:qFormat/>
    <w:locked/>
    <w:uiPriority w:val="99"/>
    <w:rPr>
      <w:rFonts w:eastAsia="方正仿宋_GBK"/>
      <w:sz w:val="18"/>
      <w:szCs w:val="18"/>
    </w:rPr>
  </w:style>
  <w:style w:type="character" w:customStyle="1" w:styleId="22">
    <w:name w:val="页眉 Char"/>
    <w:link w:val="10"/>
    <w:semiHidden/>
    <w:qFormat/>
    <w:locked/>
    <w:uiPriority w:val="99"/>
    <w:rPr>
      <w:rFonts w:eastAsia="方正仿宋_GBK"/>
      <w:sz w:val="18"/>
      <w:szCs w:val="18"/>
    </w:rPr>
  </w:style>
  <w:style w:type="character" w:customStyle="1" w:styleId="23">
    <w:name w:val="标题 Char"/>
    <w:link w:val="14"/>
    <w:qFormat/>
    <w:locked/>
    <w:uiPriority w:val="99"/>
    <w:rPr>
      <w:rFonts w:ascii="Cambria" w:hAnsi="Cambria" w:cs="Cambria"/>
      <w:b/>
      <w:bCs/>
      <w:sz w:val="32"/>
      <w:szCs w:val="32"/>
    </w:rPr>
  </w:style>
  <w:style w:type="paragraph" w:customStyle="1" w:styleId="24">
    <w:name w:val="Char1"/>
    <w:basedOn w:val="1"/>
    <w:qFormat/>
    <w:uiPriority w:val="99"/>
    <w:pPr>
      <w:tabs>
        <w:tab w:val="left" w:pos="360"/>
      </w:tabs>
    </w:pPr>
    <w:rPr>
      <w:rFonts w:eastAsia="仿宋_GB2312"/>
      <w:sz w:val="24"/>
      <w:szCs w:val="24"/>
    </w:rPr>
  </w:style>
  <w:style w:type="paragraph" w:customStyle="1" w:styleId="25">
    <w:name w:val="List Paragraph1"/>
    <w:basedOn w:val="1"/>
    <w:qFormat/>
    <w:uiPriority w:val="99"/>
    <w:pPr>
      <w:ind w:left="228" w:right="105" w:firstLine="638"/>
    </w:pPr>
    <w:rPr>
      <w:rFonts w:ascii="仿宋" w:hAnsi="仿宋" w:eastAsia="仿宋" w:cs="仿宋"/>
      <w:lang w:val="zh-CN"/>
    </w:rPr>
  </w:style>
  <w:style w:type="character" w:customStyle="1" w:styleId="26">
    <w:name w:val="NormalCharacter"/>
    <w:link w:val="27"/>
    <w:qFormat/>
    <w:locked/>
    <w:uiPriority w:val="99"/>
    <w:rPr>
      <w:rFonts w:ascii="Calibri" w:hAnsi="Calibri" w:eastAsia="宋体" w:cs="Calibri"/>
      <w:kern w:val="0"/>
      <w:sz w:val="20"/>
      <w:szCs w:val="20"/>
    </w:rPr>
  </w:style>
  <w:style w:type="paragraph" w:customStyle="1" w:styleId="27">
    <w:name w:val="UserStyle_40"/>
    <w:basedOn w:val="1"/>
    <w:link w:val="26"/>
    <w:qFormat/>
    <w:uiPriority w:val="99"/>
    <w:pPr>
      <w:widowControl/>
      <w:tabs>
        <w:tab w:val="right" w:pos="-2120"/>
      </w:tabs>
      <w:snapToGrid w:val="0"/>
      <w:textAlignment w:val="baseline"/>
    </w:pPr>
    <w:rPr>
      <w:rFonts w:ascii="Calibri" w:hAnsi="Calibri" w:eastAsia="宋体" w:cs="Calibri"/>
      <w:kern w:val="0"/>
      <w:sz w:val="20"/>
      <w:szCs w:val="20"/>
    </w:rPr>
  </w:style>
  <w:style w:type="character" w:customStyle="1" w:styleId="28">
    <w:name w:val="font21"/>
    <w:qFormat/>
    <w:uiPriority w:val="99"/>
    <w:rPr>
      <w:rFonts w:ascii="方正黑体_GBK" w:hAnsi="方正黑体_GBK" w:eastAsia="方正黑体_GBK" w:cs="方正黑体_GBK"/>
      <w:color w:val="000000"/>
      <w:sz w:val="32"/>
      <w:szCs w:val="32"/>
      <w:u w:val="none"/>
    </w:rPr>
  </w:style>
  <w:style w:type="character" w:customStyle="1" w:styleId="29">
    <w:name w:val="font61"/>
    <w:qFormat/>
    <w:uiPriority w:val="99"/>
    <w:rPr>
      <w:rFonts w:ascii="Times New Roman" w:hAnsi="Times New Roman" w:cs="Times New Roman"/>
      <w:color w:val="000000"/>
      <w:sz w:val="32"/>
      <w:szCs w:val="32"/>
      <w:u w:val="none"/>
    </w:rPr>
  </w:style>
  <w:style w:type="character" w:customStyle="1" w:styleId="30">
    <w:name w:val="font31"/>
    <w:qFormat/>
    <w:uiPriority w:val="99"/>
    <w:rPr>
      <w:rFonts w:ascii="方正仿宋_GBK" w:hAnsi="方正仿宋_GBK" w:eastAsia="方正仿宋_GBK" w:cs="方正仿宋_GBK"/>
      <w:color w:val="000000"/>
      <w:sz w:val="24"/>
      <w:szCs w:val="24"/>
      <w:u w:val="none"/>
    </w:rPr>
  </w:style>
  <w:style w:type="character" w:customStyle="1" w:styleId="31">
    <w:name w:val="font11"/>
    <w:qFormat/>
    <w:uiPriority w:val="99"/>
    <w:rPr>
      <w:rFonts w:ascii="方正仿宋_GBK" w:hAnsi="方正仿宋_GBK" w:eastAsia="方正仿宋_GBK" w:cs="方正仿宋_GBK"/>
      <w:color w:val="000000"/>
      <w:sz w:val="24"/>
      <w:szCs w:val="24"/>
      <w:u w:val="none"/>
    </w:rPr>
  </w:style>
  <w:style w:type="character" w:customStyle="1" w:styleId="32">
    <w:name w:val="日期 Char"/>
    <w:link w:val="7"/>
    <w:qFormat/>
    <w:uiPriority w:val="99"/>
    <w:rPr>
      <w:rFonts w:ascii="楷体_GB2312" w:eastAsia="楷体_GB2312"/>
      <w:kern w:val="2"/>
      <w:sz w:val="32"/>
    </w:rPr>
  </w:style>
  <w:style w:type="character" w:customStyle="1" w:styleId="33">
    <w:name w:val="日期 Char1"/>
    <w:semiHidden/>
    <w:qFormat/>
    <w:uiPriority w:val="99"/>
    <w:rPr>
      <w:rFonts w:eastAsia="方正仿宋_GBK"/>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微软公司</Company>
  <Pages>48</Pages>
  <Words>15031</Words>
  <Characters>15506</Characters>
  <Lines>180</Lines>
  <Paragraphs>50</Paragraphs>
  <TotalTime>37</TotalTime>
  <ScaleCrop>false</ScaleCrop>
  <LinksUpToDate>false</LinksUpToDate>
  <CharactersWithSpaces>15584</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2022-04-18T09:56:00Z</dcterms:created>
  <dc:creator>_汪小娜</dc:creator>
  <cp:lastModifiedBy>WPS_毛鹏臣</cp:lastModifiedBy>
  <cp:lastPrinted>2022-04-18T10:01:00Z</cp:lastPrinted>
  <dcterms:modified xsi:type="dcterms:W3CDTF">2024-10-28T03:38:38Z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24F32F220F1A455E9D92AE9303F5FAB0_13</vt:lpwstr>
  </property>
</Properties>
</file>