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30EBF8">
      <w:pPr>
        <w:jc w:val="center"/>
        <w:rPr>
          <w:rFonts w:ascii="Times New Roman" w:hAnsi="Times New Roman" w:eastAsia="黑体"/>
          <w:sz w:val="52"/>
          <w:szCs w:val="52"/>
        </w:rPr>
      </w:pPr>
      <w:bookmarkStart w:id="0" w:name="_Toc14379"/>
      <w:bookmarkStart w:id="1" w:name="_Toc26855"/>
    </w:p>
    <w:p w14:paraId="2F5C555B">
      <w:pPr>
        <w:jc w:val="center"/>
        <w:rPr>
          <w:rFonts w:ascii="Times New Roman" w:hAnsi="Times New Roman" w:eastAsia="黑体"/>
          <w:sz w:val="52"/>
          <w:szCs w:val="52"/>
        </w:rPr>
      </w:pPr>
      <w:r>
        <w:rPr>
          <w:rFonts w:ascii="Times New Roman" w:hAnsi="Times New Roman" w:eastAsia="黑体"/>
          <w:sz w:val="52"/>
          <w:szCs w:val="52"/>
        </w:rPr>
        <w:t>奉节县水安全保障“十四五”规划</w:t>
      </w:r>
    </w:p>
    <w:p w14:paraId="047BBF70">
      <w:pPr>
        <w:pStyle w:val="16"/>
        <w:pBdr>
          <w:bottom w:val="none" w:color="auto" w:sz="0" w:space="0"/>
        </w:pBdr>
        <w:rPr>
          <w:rFonts w:ascii="Times New Roman" w:hAnsi="Times New Roman"/>
        </w:rPr>
      </w:pPr>
    </w:p>
    <w:p w14:paraId="4128539D">
      <w:pPr>
        <w:rPr>
          <w:rFonts w:ascii="Times New Roman" w:hAnsi="Times New Roman"/>
        </w:rPr>
      </w:pPr>
    </w:p>
    <w:p w14:paraId="56AB3258">
      <w:pPr>
        <w:pStyle w:val="2"/>
      </w:pPr>
    </w:p>
    <w:p w14:paraId="162403D8">
      <w:pPr>
        <w:pStyle w:val="16"/>
        <w:pBdr>
          <w:bottom w:val="none" w:color="auto" w:sz="0" w:space="0"/>
        </w:pBdr>
        <w:rPr>
          <w:rFonts w:ascii="Times New Roman" w:hAnsi="Times New Roman"/>
        </w:rPr>
      </w:pPr>
    </w:p>
    <w:p w14:paraId="4D614897">
      <w:pPr>
        <w:pStyle w:val="16"/>
        <w:pBdr>
          <w:bottom w:val="none" w:color="auto" w:sz="0" w:space="0"/>
        </w:pBdr>
        <w:rPr>
          <w:rFonts w:ascii="Times New Roman" w:hAnsi="Times New Roman"/>
        </w:rPr>
      </w:pPr>
    </w:p>
    <w:p w14:paraId="010DA9ED">
      <w:pPr>
        <w:pStyle w:val="16"/>
        <w:pBdr>
          <w:bottom w:val="none" w:color="auto" w:sz="0" w:space="0"/>
        </w:pBdr>
        <w:rPr>
          <w:rFonts w:ascii="Times New Roman" w:hAnsi="Times New Roman"/>
        </w:rPr>
      </w:pPr>
    </w:p>
    <w:p w14:paraId="32A04E4C">
      <w:pPr>
        <w:pStyle w:val="16"/>
        <w:pBdr>
          <w:bottom w:val="none" w:color="auto" w:sz="0" w:space="0"/>
        </w:pBdr>
        <w:rPr>
          <w:rFonts w:ascii="Times New Roman" w:hAnsi="Times New Roman"/>
        </w:rPr>
      </w:pPr>
    </w:p>
    <w:p w14:paraId="0F58AF3E">
      <w:pPr>
        <w:jc w:val="center"/>
        <w:rPr>
          <w:rFonts w:ascii="Times New Roman" w:hAnsi="Times New Roman"/>
        </w:rPr>
      </w:pPr>
      <w:r>
        <w:rPr>
          <w:rFonts w:ascii="Times New Roman" w:hAnsi="Times New Roman"/>
        </w:rPr>
        <w:drawing>
          <wp:inline distT="0" distB="0" distL="0" distR="0">
            <wp:extent cx="5754370" cy="3468370"/>
            <wp:effectExtent l="1905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27"/>
                    <a:srcRect r="-385" b="9624"/>
                    <a:stretch>
                      <a:fillRect/>
                    </a:stretch>
                  </pic:blipFill>
                  <pic:spPr>
                    <a:xfrm>
                      <a:off x="0" y="0"/>
                      <a:ext cx="5754370" cy="3468370"/>
                    </a:xfrm>
                    <a:prstGeom prst="rect">
                      <a:avLst/>
                    </a:prstGeom>
                    <a:noFill/>
                    <a:ln w="9525">
                      <a:noFill/>
                      <a:miter lim="800000"/>
                      <a:headEnd/>
                      <a:tailEnd/>
                    </a:ln>
                  </pic:spPr>
                </pic:pic>
              </a:graphicData>
            </a:graphic>
          </wp:inline>
        </w:drawing>
      </w:r>
    </w:p>
    <w:p w14:paraId="5598B2CD">
      <w:pPr>
        <w:rPr>
          <w:rFonts w:ascii="Times New Roman" w:hAnsi="Times New Roman"/>
        </w:rPr>
      </w:pPr>
    </w:p>
    <w:p w14:paraId="4F4BD12C">
      <w:pPr>
        <w:jc w:val="center"/>
        <w:rPr>
          <w:rFonts w:ascii="Times New Roman" w:hAnsi="Times New Roman"/>
          <w:b/>
          <w:bCs/>
          <w:sz w:val="28"/>
          <w:szCs w:val="28"/>
        </w:rPr>
      </w:pPr>
    </w:p>
    <w:p w14:paraId="2C46E7DE">
      <w:pPr>
        <w:jc w:val="center"/>
        <w:rPr>
          <w:rFonts w:ascii="Times New Roman" w:hAnsi="Times New Roman"/>
          <w:b/>
          <w:bCs/>
          <w:sz w:val="28"/>
          <w:szCs w:val="28"/>
        </w:rPr>
      </w:pPr>
    </w:p>
    <w:p w14:paraId="5DD107C5">
      <w:pPr>
        <w:jc w:val="center"/>
        <w:rPr>
          <w:rFonts w:ascii="Times New Roman" w:hAnsi="Times New Roman"/>
          <w:b/>
          <w:bCs/>
          <w:sz w:val="28"/>
          <w:szCs w:val="28"/>
        </w:rPr>
      </w:pPr>
    </w:p>
    <w:p w14:paraId="1BD8385F">
      <w:pPr>
        <w:jc w:val="center"/>
        <w:rPr>
          <w:rFonts w:ascii="Times New Roman" w:hAnsi="Times New Roman"/>
          <w:b/>
          <w:bCs/>
          <w:sz w:val="28"/>
          <w:szCs w:val="28"/>
        </w:rPr>
      </w:pPr>
      <w:r>
        <w:rPr>
          <w:rFonts w:ascii="Times New Roman" w:hAnsi="Times New Roman"/>
          <w:b/>
          <w:bCs/>
          <w:sz w:val="28"/>
          <w:szCs w:val="28"/>
        </w:rPr>
        <w:t>重庆市奉节县水利局</w:t>
      </w:r>
    </w:p>
    <w:p w14:paraId="60DF6FF4">
      <w:pPr>
        <w:jc w:val="center"/>
        <w:rPr>
          <w:rFonts w:ascii="Times New Roman" w:hAnsi="Times New Roman"/>
          <w:b/>
          <w:bCs/>
          <w:sz w:val="28"/>
          <w:szCs w:val="28"/>
        </w:rPr>
      </w:pPr>
      <w:r>
        <w:rPr>
          <w:rFonts w:ascii="Times New Roman" w:hAnsi="Times New Roman"/>
          <w:b/>
          <w:bCs/>
          <w:sz w:val="28"/>
          <w:szCs w:val="28"/>
        </w:rPr>
        <w:t>重庆市水利电力建筑勘测设计研究院有限公司</w:t>
      </w:r>
    </w:p>
    <w:p w14:paraId="5C83DF45">
      <w:pPr>
        <w:jc w:val="center"/>
        <w:rPr>
          <w:rFonts w:ascii="Times New Roman" w:hAnsi="Times New Roman"/>
          <w:b/>
          <w:bCs/>
          <w:sz w:val="28"/>
          <w:szCs w:val="28"/>
        </w:rPr>
      </w:pPr>
      <w:r>
        <w:rPr>
          <w:rFonts w:ascii="Times New Roman" w:hAnsi="Times New Roman"/>
          <w:b/>
          <w:bCs/>
          <w:sz w:val="28"/>
          <w:szCs w:val="28"/>
        </w:rPr>
        <w:t>二〇二</w:t>
      </w:r>
      <w:r>
        <w:rPr>
          <w:rFonts w:hint="eastAsia" w:ascii="Times New Roman" w:hAnsi="Times New Roman"/>
          <w:b/>
          <w:bCs/>
          <w:sz w:val="28"/>
          <w:szCs w:val="28"/>
        </w:rPr>
        <w:t>二</w:t>
      </w:r>
      <w:r>
        <w:rPr>
          <w:rFonts w:ascii="Times New Roman" w:hAnsi="Times New Roman"/>
          <w:b/>
          <w:bCs/>
          <w:sz w:val="28"/>
          <w:szCs w:val="28"/>
        </w:rPr>
        <w:t>年二月</w:t>
      </w:r>
    </w:p>
    <w:p w14:paraId="38030379">
      <w:pPr>
        <w:rPr>
          <w:rFonts w:ascii="Times New Roman" w:hAnsi="Times New Roman"/>
        </w:rPr>
        <w:sectPr>
          <w:headerReference r:id="rId4" w:type="default"/>
          <w:pgSz w:w="11906" w:h="16838"/>
          <w:pgMar w:top="1418" w:right="1418" w:bottom="1418" w:left="1418" w:header="851" w:footer="992" w:gutter="0"/>
          <w:cols w:space="720" w:num="1"/>
          <w:docGrid w:type="lines" w:linePitch="312" w:charSpace="0"/>
        </w:sectPr>
      </w:pPr>
    </w:p>
    <w:p w14:paraId="2EEEE83E">
      <w:pPr>
        <w:spacing w:line="480" w:lineRule="auto"/>
        <w:jc w:val="center"/>
        <w:rPr>
          <w:rFonts w:ascii="Times New Roman" w:hAnsi="Times New Roman"/>
          <w:b/>
          <w:bCs/>
          <w:sz w:val="52"/>
          <w:szCs w:val="52"/>
        </w:rPr>
      </w:pPr>
      <w:r>
        <w:rPr>
          <w:rFonts w:ascii="Times New Roman" w:hAnsi="Times New Roman"/>
          <w:b/>
          <w:bCs/>
          <w:sz w:val="52"/>
          <w:szCs w:val="52"/>
        </w:rPr>
        <w:t>奉节县水安全保障“十四五”规划</w:t>
      </w:r>
    </w:p>
    <w:p w14:paraId="4D2BEAA0">
      <w:pPr>
        <w:adjustRightInd w:val="0"/>
        <w:spacing w:line="700" w:lineRule="exact"/>
        <w:jc w:val="center"/>
        <w:textAlignment w:val="baseline"/>
        <w:rPr>
          <w:rFonts w:ascii="Times New Roman" w:hAnsi="Times New Roman"/>
          <w:b/>
          <w:sz w:val="48"/>
          <w:szCs w:val="48"/>
        </w:rPr>
      </w:pPr>
    </w:p>
    <w:p w14:paraId="6B6F4ABA">
      <w:pPr>
        <w:spacing w:line="480" w:lineRule="auto"/>
        <w:jc w:val="center"/>
        <w:rPr>
          <w:rFonts w:ascii="Times New Roman" w:hAnsi="Times New Roman"/>
          <w:b/>
          <w:sz w:val="36"/>
          <w:szCs w:val="36"/>
        </w:rPr>
      </w:pPr>
    </w:p>
    <w:p w14:paraId="417B3DFB">
      <w:pPr>
        <w:spacing w:line="480" w:lineRule="auto"/>
        <w:jc w:val="center"/>
        <w:rPr>
          <w:rFonts w:ascii="Times New Roman" w:hAnsi="Times New Roman"/>
          <w:b/>
          <w:sz w:val="36"/>
          <w:szCs w:val="36"/>
        </w:rPr>
      </w:pPr>
      <w:r>
        <w:rPr>
          <w:rFonts w:ascii="Times New Roman" w:hAnsi="Times New Roman"/>
          <w:b/>
          <w:sz w:val="36"/>
          <w:szCs w:val="36"/>
        </w:rPr>
        <w:t>保密声明</w:t>
      </w:r>
    </w:p>
    <w:p w14:paraId="7AE3DCF3">
      <w:pPr>
        <w:spacing w:line="560" w:lineRule="exact"/>
        <w:ind w:firstLine="562"/>
        <w:rPr>
          <w:rFonts w:ascii="Times New Roman" w:hAnsi="Times New Roman"/>
          <w:b/>
          <w:sz w:val="24"/>
        </w:rPr>
      </w:pPr>
      <w:r>
        <w:rPr>
          <w:rFonts w:ascii="Times New Roman" w:hAnsi="Times New Roman"/>
          <w:b/>
          <w:sz w:val="24"/>
        </w:rPr>
        <w:t>本成果属内部资料，仅限于合同指定的项目使用，知识产权为重庆市水利电力建筑勘测设计研究院有限公司拥有。未经知识产权拥有者书面授权，不得翻印、翻录、传播或他用。对于侵权行为将保留追究其法律责任的权利。</w:t>
      </w:r>
    </w:p>
    <w:p w14:paraId="26F5E795">
      <w:pPr>
        <w:spacing w:line="560" w:lineRule="exact"/>
        <w:jc w:val="center"/>
        <w:rPr>
          <w:rFonts w:ascii="Times New Roman" w:hAnsi="Times New Roman"/>
          <w:b/>
          <w:sz w:val="24"/>
        </w:rPr>
      </w:pPr>
      <w:r>
        <w:rPr>
          <w:rFonts w:ascii="Times New Roman" w:hAnsi="Times New Roman"/>
          <w:b/>
          <w:sz w:val="24"/>
        </w:rPr>
        <w:t>质量承诺</w:t>
      </w:r>
    </w:p>
    <w:p w14:paraId="7547386E">
      <w:pPr>
        <w:spacing w:line="560" w:lineRule="exact"/>
        <w:ind w:firstLine="562"/>
        <w:rPr>
          <w:rFonts w:ascii="Times New Roman" w:hAnsi="Times New Roman"/>
          <w:b/>
          <w:sz w:val="24"/>
        </w:rPr>
      </w:pPr>
      <w:r>
        <w:rPr>
          <w:rFonts w:ascii="Times New Roman" w:hAnsi="Times New Roman"/>
          <w:b/>
          <w:sz w:val="24"/>
        </w:rPr>
        <w:t>本成果按照工程建设强制性标准设计，符合国家规定的设计深度要求，设计单位在工程合理使用年限对设计质量负责（包括对因设计造成的质量事故提出技术处理方案）。</w:t>
      </w:r>
    </w:p>
    <w:p w14:paraId="009E0E36">
      <w:pPr>
        <w:spacing w:line="480" w:lineRule="auto"/>
        <w:ind w:firstLine="723"/>
        <w:jc w:val="center"/>
        <w:rPr>
          <w:rFonts w:ascii="Times New Roman" w:hAnsi="Times New Roman"/>
          <w:b/>
          <w:sz w:val="24"/>
        </w:rPr>
      </w:pPr>
    </w:p>
    <w:p w14:paraId="008A1298">
      <w:pPr>
        <w:spacing w:line="480" w:lineRule="exact"/>
        <w:jc w:val="left"/>
        <w:rPr>
          <w:rFonts w:ascii="Times New Roman" w:hAnsi="Times New Roman"/>
          <w:b/>
          <w:sz w:val="24"/>
        </w:rPr>
      </w:pPr>
      <w:r>
        <w:rPr>
          <w:rFonts w:ascii="Times New Roman" w:hAnsi="Times New Roman"/>
          <w:b/>
          <w:sz w:val="24"/>
        </w:rPr>
        <w:t>设计单位名称：          重庆市水利电力建筑勘测设计研究院有限公司</w:t>
      </w:r>
    </w:p>
    <w:p w14:paraId="14696CBD">
      <w:pPr>
        <w:spacing w:line="480" w:lineRule="exact"/>
        <w:jc w:val="left"/>
        <w:rPr>
          <w:rFonts w:ascii="Times New Roman" w:hAnsi="Times New Roman"/>
          <w:b/>
          <w:sz w:val="24"/>
        </w:rPr>
      </w:pPr>
      <w:r>
        <w:rPr>
          <w:rFonts w:ascii="Times New Roman" w:hAnsi="Times New Roman"/>
          <w:b/>
          <w:sz w:val="24"/>
        </w:rPr>
        <w:t xml:space="preserve">法定代表人或委托人：    黄  实    </w:t>
      </w:r>
    </w:p>
    <w:p w14:paraId="5166CF5F">
      <w:pPr>
        <w:spacing w:line="480" w:lineRule="exact"/>
        <w:jc w:val="left"/>
        <w:rPr>
          <w:rFonts w:ascii="Times New Roman" w:hAnsi="Times New Roman"/>
          <w:b/>
          <w:sz w:val="24"/>
        </w:rPr>
      </w:pPr>
      <w:r>
        <w:rPr>
          <w:rFonts w:ascii="Times New Roman" w:hAnsi="Times New Roman"/>
          <w:b/>
          <w:sz w:val="24"/>
        </w:rPr>
        <w:t xml:space="preserve">项目负责人：            </w:t>
      </w:r>
      <w:r>
        <w:rPr>
          <w:rFonts w:ascii="Times New Roman" w:hAnsi="Times New Roman"/>
          <w:b/>
          <w:bCs/>
          <w:sz w:val="24"/>
        </w:rPr>
        <w:t>刘建军</w:t>
      </w:r>
      <w:r>
        <w:rPr>
          <w:rFonts w:ascii="Times New Roman" w:hAnsi="Times New Roman"/>
          <w:b/>
          <w:sz w:val="24"/>
        </w:rPr>
        <w:t xml:space="preserve">    电话： 13637999457</w:t>
      </w:r>
    </w:p>
    <w:p w14:paraId="39C34004">
      <w:pPr>
        <w:spacing w:line="480" w:lineRule="exact"/>
        <w:jc w:val="left"/>
        <w:rPr>
          <w:rFonts w:ascii="Times New Roman" w:hAnsi="Times New Roman"/>
          <w:b/>
          <w:sz w:val="24"/>
        </w:rPr>
      </w:pPr>
      <w:r>
        <w:rPr>
          <w:rFonts w:ascii="Times New Roman" w:hAnsi="Times New Roman"/>
          <w:b/>
          <w:sz w:val="24"/>
        </w:rPr>
        <w:t>项目业主单位名称：      重庆市奉节县水利局</w:t>
      </w:r>
    </w:p>
    <w:p w14:paraId="47850BCE">
      <w:pPr>
        <w:spacing w:line="480" w:lineRule="exact"/>
        <w:jc w:val="left"/>
        <w:rPr>
          <w:rFonts w:ascii="Times New Roman" w:hAnsi="Times New Roman"/>
          <w:b/>
          <w:sz w:val="24"/>
        </w:rPr>
      </w:pPr>
      <w:r>
        <w:rPr>
          <w:rFonts w:ascii="Times New Roman" w:hAnsi="Times New Roman"/>
          <w:b/>
          <w:sz w:val="24"/>
        </w:rPr>
        <w:t>业主单位联系人：        韦  皓    电话：18996569026</w:t>
      </w:r>
    </w:p>
    <w:p w14:paraId="478D25CD">
      <w:pPr>
        <w:spacing w:line="240" w:lineRule="atLeast"/>
        <w:jc w:val="left"/>
        <w:rPr>
          <w:rFonts w:ascii="Times New Roman" w:hAnsi="Times New Roman"/>
          <w:b/>
          <w:sz w:val="36"/>
          <w:szCs w:val="36"/>
        </w:rPr>
        <w:sectPr>
          <w:headerReference r:id="rId7" w:type="first"/>
          <w:footerReference r:id="rId10" w:type="first"/>
          <w:headerReference r:id="rId5" w:type="default"/>
          <w:footerReference r:id="rId8" w:type="default"/>
          <w:headerReference r:id="rId6" w:type="even"/>
          <w:footerReference r:id="rId9" w:type="even"/>
          <w:pgSz w:w="11907" w:h="16840"/>
          <w:pgMar w:top="2835" w:right="1418" w:bottom="1701" w:left="1418" w:header="851" w:footer="992" w:gutter="0"/>
          <w:pgNumType w:start="30"/>
          <w:cols w:space="720" w:num="1"/>
          <w:titlePg/>
        </w:sectPr>
      </w:pPr>
    </w:p>
    <w:p w14:paraId="0F656E16">
      <w:pPr>
        <w:spacing w:line="240" w:lineRule="atLeast"/>
        <w:jc w:val="left"/>
        <w:rPr>
          <w:rFonts w:ascii="Times New Roman" w:hAnsi="Times New Roman"/>
          <w:b/>
          <w:sz w:val="36"/>
          <w:szCs w:val="36"/>
        </w:rPr>
      </w:pPr>
      <w:r>
        <w:rPr>
          <w:rFonts w:ascii="Times New Roman" w:hAnsi="Times New Roman"/>
        </w:rPr>
        <w:drawing>
          <wp:anchor distT="0" distB="0" distL="114300" distR="114300" simplePos="0" relativeHeight="251660288" behindDoc="0" locked="0" layoutInCell="1" allowOverlap="1">
            <wp:simplePos x="0" y="0"/>
            <wp:positionH relativeFrom="column">
              <wp:posOffset>340360</wp:posOffset>
            </wp:positionH>
            <wp:positionV relativeFrom="paragraph">
              <wp:posOffset>144145</wp:posOffset>
            </wp:positionV>
            <wp:extent cx="5274310" cy="7461250"/>
            <wp:effectExtent l="0" t="0" r="0" b="0"/>
            <wp:wrapNone/>
            <wp:docPr id="12" name="图片 36" descr="E:\Work area\奉节\县域水能规划\工程设计（水利行业）甲级 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6" descr="E:\Work area\奉节\县域水能规划\工程设计（水利行业）甲级 正本.jpg"/>
                    <pic:cNvPicPr>
                      <a:picLocks noChangeAspect="1" noChangeArrowheads="1"/>
                    </pic:cNvPicPr>
                  </pic:nvPicPr>
                  <pic:blipFill>
                    <a:blip r:embed="rId28"/>
                    <a:srcRect/>
                    <a:stretch>
                      <a:fillRect/>
                    </a:stretch>
                  </pic:blipFill>
                  <pic:spPr>
                    <a:xfrm rot="10800000">
                      <a:off x="0" y="0"/>
                      <a:ext cx="5274310" cy="7461250"/>
                    </a:xfrm>
                    <a:prstGeom prst="rect">
                      <a:avLst/>
                    </a:prstGeom>
                    <a:noFill/>
                    <a:ln w="9525">
                      <a:noFill/>
                      <a:miter lim="800000"/>
                      <a:headEnd/>
                      <a:tailEnd/>
                    </a:ln>
                  </pic:spPr>
                </pic:pic>
              </a:graphicData>
            </a:graphic>
          </wp:anchor>
        </w:drawing>
      </w:r>
    </w:p>
    <w:p w14:paraId="78D5EFF3">
      <w:pPr>
        <w:tabs>
          <w:tab w:val="left" w:pos="3285"/>
        </w:tabs>
        <w:rPr>
          <w:rFonts w:ascii="Times New Roman" w:hAnsi="Times New Roman"/>
          <w:sz w:val="36"/>
          <w:szCs w:val="36"/>
        </w:rPr>
      </w:pPr>
      <w:r>
        <w:rPr>
          <w:rFonts w:ascii="Times New Roman" w:hAnsi="Times New Roman"/>
          <w:sz w:val="36"/>
          <w:szCs w:val="36"/>
        </w:rPr>
        <w:tab/>
      </w:r>
    </w:p>
    <w:p w14:paraId="7B124D2B">
      <w:pPr>
        <w:tabs>
          <w:tab w:val="left" w:pos="3285"/>
        </w:tabs>
        <w:rPr>
          <w:rFonts w:ascii="Times New Roman" w:hAnsi="Times New Roman"/>
          <w:sz w:val="36"/>
          <w:szCs w:val="36"/>
        </w:rPr>
        <w:sectPr>
          <w:footerReference r:id="rId12" w:type="first"/>
          <w:footerReference r:id="rId11" w:type="default"/>
          <w:pgSz w:w="11907" w:h="16840"/>
          <w:pgMar w:top="2835" w:right="1418" w:bottom="1701" w:left="1418" w:header="851" w:footer="992" w:gutter="0"/>
          <w:pgNumType w:start="30"/>
          <w:cols w:space="720" w:num="1"/>
          <w:titlePg/>
        </w:sectPr>
      </w:pPr>
      <w:r>
        <w:rPr>
          <w:rFonts w:ascii="Times New Roman" w:hAnsi="Times New Roman"/>
          <w:sz w:val="36"/>
          <w:szCs w:val="36"/>
        </w:rPr>
        <w:tab/>
      </w:r>
    </w:p>
    <w:p w14:paraId="61C1011F">
      <w:pPr>
        <w:adjustRightInd w:val="0"/>
        <w:spacing w:line="700" w:lineRule="exact"/>
        <w:jc w:val="center"/>
        <w:textAlignment w:val="baseline"/>
        <w:rPr>
          <w:rFonts w:ascii="Times New Roman" w:hAnsi="Times New Roman"/>
          <w:b/>
          <w:sz w:val="48"/>
          <w:szCs w:val="48"/>
        </w:rPr>
      </w:pPr>
      <w:r>
        <w:rPr>
          <w:rFonts w:ascii="Times New Roman" w:hAnsi="Times New Roman"/>
          <w:b/>
          <w:sz w:val="48"/>
          <w:szCs w:val="48"/>
        </w:rPr>
        <w:tab/>
      </w:r>
      <w:r>
        <w:rPr>
          <w:rFonts w:ascii="Times New Roman" w:hAnsi="Times New Roman"/>
          <w:b/>
          <w:sz w:val="48"/>
          <w:szCs w:val="48"/>
        </w:rPr>
        <w:t>奉节县水安全保障“十四五”规划</w:t>
      </w:r>
    </w:p>
    <w:p w14:paraId="4709429B">
      <w:pPr>
        <w:adjustRightInd w:val="0"/>
        <w:spacing w:line="1000" w:lineRule="exact"/>
        <w:jc w:val="center"/>
        <w:textAlignment w:val="baseline"/>
        <w:rPr>
          <w:rFonts w:ascii="Times New Roman" w:hAnsi="Times New Roman"/>
          <w:b/>
          <w:sz w:val="44"/>
          <w:szCs w:val="44"/>
        </w:rPr>
      </w:pPr>
    </w:p>
    <w:p w14:paraId="30CE6D3B">
      <w:pPr>
        <w:adjustRightInd w:val="0"/>
        <w:spacing w:line="1000" w:lineRule="exact"/>
        <w:jc w:val="center"/>
        <w:textAlignment w:val="baseline"/>
        <w:rPr>
          <w:rFonts w:ascii="Times New Roman" w:hAnsi="Times New Roman"/>
          <w:b/>
          <w:sz w:val="36"/>
          <w:szCs w:val="36"/>
        </w:rPr>
      </w:pPr>
      <w:r>
        <w:rPr>
          <w:rFonts w:ascii="Times New Roman" w:hAnsi="Times New Roman"/>
          <w:b/>
          <w:sz w:val="36"/>
          <w:szCs w:val="36"/>
        </w:rPr>
        <w:t>编制人员名单</w:t>
      </w:r>
    </w:p>
    <w:p w14:paraId="79313C24">
      <w:pPr>
        <w:adjustRightInd w:val="0"/>
        <w:spacing w:line="600" w:lineRule="exact"/>
        <w:jc w:val="center"/>
        <w:textAlignment w:val="baseline"/>
        <w:rPr>
          <w:rFonts w:ascii="Times New Roman" w:hAnsi="Times New Roman"/>
          <w:b/>
          <w:sz w:val="30"/>
          <w:szCs w:val="30"/>
        </w:rPr>
      </w:pPr>
    </w:p>
    <w:p w14:paraId="14350DC1">
      <w:pPr>
        <w:tabs>
          <w:tab w:val="left" w:pos="5010"/>
        </w:tabs>
        <w:snapToGrid w:val="0"/>
        <w:spacing w:line="900" w:lineRule="exact"/>
        <w:ind w:firstLine="1590" w:firstLineChars="495"/>
        <w:rPr>
          <w:rFonts w:ascii="Times New Roman" w:hAnsi="Times New Roman"/>
          <w:b/>
          <w:bCs/>
          <w:sz w:val="32"/>
          <w:szCs w:val="32"/>
        </w:rPr>
      </w:pPr>
      <w:r>
        <w:rPr>
          <w:rFonts w:ascii="Times New Roman" w:hAnsi="Times New Roman"/>
          <w:b/>
          <w:bCs/>
          <w:sz w:val="32"/>
          <w:szCs w:val="32"/>
        </w:rPr>
        <w:t>批        准：</w:t>
      </w:r>
      <w:r>
        <w:rPr>
          <w:rFonts w:ascii="Times New Roman" w:hAnsi="Times New Roman"/>
          <w:bCs/>
          <w:sz w:val="32"/>
          <w:szCs w:val="32"/>
        </w:rPr>
        <w:t>柳作康  （正 高）</w:t>
      </w:r>
      <w:r>
        <w:rPr>
          <w:rFonts w:ascii="Times New Roman" w:hAnsi="Times New Roman"/>
          <w:b/>
          <w:bCs/>
          <w:sz w:val="32"/>
          <w:szCs w:val="32"/>
        </w:rPr>
        <w:tab/>
      </w:r>
    </w:p>
    <w:p w14:paraId="56B3E7BF">
      <w:pPr>
        <w:tabs>
          <w:tab w:val="left" w:pos="4740"/>
        </w:tabs>
        <w:adjustRightInd w:val="0"/>
        <w:snapToGrid w:val="0"/>
        <w:spacing w:line="900" w:lineRule="exact"/>
        <w:ind w:firstLine="1590" w:firstLineChars="495"/>
        <w:rPr>
          <w:rFonts w:ascii="Times New Roman" w:hAnsi="Times New Roman"/>
          <w:bCs/>
          <w:sz w:val="32"/>
          <w:szCs w:val="32"/>
        </w:rPr>
      </w:pPr>
      <w:r>
        <w:rPr>
          <w:rFonts w:ascii="Times New Roman" w:hAnsi="Times New Roman"/>
          <w:b/>
          <w:bCs/>
          <w:sz w:val="32"/>
          <w:szCs w:val="32"/>
        </w:rPr>
        <w:t>审        核：</w:t>
      </w:r>
      <w:r>
        <w:rPr>
          <w:rFonts w:ascii="Times New Roman" w:hAnsi="Times New Roman"/>
          <w:bCs/>
          <w:sz w:val="32"/>
          <w:szCs w:val="32"/>
        </w:rPr>
        <w:t>鲍玲玲  （正 高）</w:t>
      </w:r>
    </w:p>
    <w:p w14:paraId="0FA6D14A">
      <w:pPr>
        <w:tabs>
          <w:tab w:val="left" w:pos="4740"/>
        </w:tabs>
        <w:adjustRightInd w:val="0"/>
        <w:snapToGrid w:val="0"/>
        <w:spacing w:line="900" w:lineRule="exact"/>
        <w:ind w:firstLine="1590" w:firstLineChars="495"/>
        <w:rPr>
          <w:rFonts w:ascii="Times New Roman" w:hAnsi="Times New Roman"/>
          <w:b/>
          <w:bCs/>
          <w:sz w:val="32"/>
          <w:szCs w:val="32"/>
        </w:rPr>
      </w:pPr>
      <w:r>
        <w:rPr>
          <w:rFonts w:ascii="Times New Roman" w:hAnsi="Times New Roman"/>
          <w:b/>
          <w:bCs/>
          <w:sz w:val="32"/>
          <w:szCs w:val="32"/>
        </w:rPr>
        <w:t>设计总工程师：</w:t>
      </w:r>
      <w:r>
        <w:rPr>
          <w:rFonts w:ascii="Times New Roman" w:hAnsi="Times New Roman"/>
          <w:bCs/>
          <w:sz w:val="32"/>
          <w:szCs w:val="32"/>
        </w:rPr>
        <w:t>刘建军   林果果</w:t>
      </w:r>
    </w:p>
    <w:p w14:paraId="2F3D29B8">
      <w:pPr>
        <w:tabs>
          <w:tab w:val="left" w:pos="4740"/>
        </w:tabs>
        <w:adjustRightInd w:val="0"/>
        <w:snapToGrid w:val="0"/>
        <w:spacing w:line="900" w:lineRule="exact"/>
        <w:ind w:firstLine="1590" w:firstLineChars="495"/>
        <w:rPr>
          <w:rFonts w:ascii="Times New Roman" w:hAnsi="Times New Roman"/>
          <w:b/>
          <w:bCs/>
          <w:sz w:val="32"/>
          <w:szCs w:val="32"/>
        </w:rPr>
      </w:pPr>
      <w:r>
        <w:rPr>
          <w:rFonts w:ascii="Times New Roman" w:hAnsi="Times New Roman"/>
          <w:b/>
          <w:bCs/>
          <w:sz w:val="32"/>
          <w:szCs w:val="32"/>
        </w:rPr>
        <w:t>审        查：</w:t>
      </w:r>
      <w:r>
        <w:rPr>
          <w:rFonts w:ascii="Times New Roman" w:hAnsi="Times New Roman"/>
          <w:bCs/>
          <w:sz w:val="32"/>
          <w:szCs w:val="32"/>
        </w:rPr>
        <w:t>刘建军  （高 工）</w:t>
      </w:r>
    </w:p>
    <w:p w14:paraId="20502B9B">
      <w:pPr>
        <w:tabs>
          <w:tab w:val="left" w:pos="4740"/>
        </w:tabs>
        <w:adjustRightInd w:val="0"/>
        <w:snapToGrid w:val="0"/>
        <w:spacing w:line="900" w:lineRule="exact"/>
        <w:ind w:firstLine="1590" w:firstLineChars="495"/>
        <w:rPr>
          <w:rFonts w:ascii="Times New Roman" w:hAnsi="Times New Roman"/>
          <w:b/>
          <w:bCs/>
          <w:sz w:val="32"/>
          <w:szCs w:val="32"/>
        </w:rPr>
      </w:pPr>
      <w:r>
        <w:rPr>
          <w:rFonts w:ascii="Times New Roman" w:hAnsi="Times New Roman"/>
          <w:b/>
          <w:bCs/>
          <w:sz w:val="32"/>
          <w:szCs w:val="32"/>
        </w:rPr>
        <w:t>校        核：</w:t>
      </w:r>
      <w:r>
        <w:rPr>
          <w:rFonts w:ascii="Times New Roman" w:hAnsi="Times New Roman"/>
          <w:bCs/>
          <w:sz w:val="32"/>
          <w:szCs w:val="32"/>
        </w:rPr>
        <w:t>杨富强  （高 工）</w:t>
      </w:r>
    </w:p>
    <w:p w14:paraId="41F3F699">
      <w:pPr>
        <w:adjustRightInd w:val="0"/>
        <w:snapToGrid w:val="0"/>
        <w:spacing w:line="800" w:lineRule="exact"/>
        <w:ind w:firstLine="1606" w:firstLineChars="500"/>
        <w:rPr>
          <w:rFonts w:ascii="Times New Roman" w:hAnsi="Times New Roman"/>
          <w:sz w:val="32"/>
          <w:szCs w:val="32"/>
        </w:rPr>
      </w:pPr>
      <w:r>
        <w:rPr>
          <w:rFonts w:ascii="Times New Roman" w:hAnsi="Times New Roman"/>
          <w:b/>
          <w:bCs/>
          <w:sz w:val="32"/>
          <w:szCs w:val="32"/>
        </w:rPr>
        <w:t>报 告  编 写：</w:t>
      </w:r>
      <w:r>
        <w:rPr>
          <w:rFonts w:ascii="Times New Roman" w:hAnsi="Times New Roman"/>
          <w:sz w:val="32"/>
          <w:szCs w:val="32"/>
        </w:rPr>
        <w:t>林果果  刘子强  韦  皓</w:t>
      </w:r>
    </w:p>
    <w:p w14:paraId="5362074D">
      <w:pPr>
        <w:adjustRightInd w:val="0"/>
        <w:snapToGrid w:val="0"/>
        <w:spacing w:line="800" w:lineRule="exact"/>
        <w:ind w:firstLine="1280" w:firstLineChars="400"/>
        <w:rPr>
          <w:rFonts w:ascii="Times New Roman" w:hAnsi="Times New Roman"/>
          <w:sz w:val="32"/>
          <w:szCs w:val="32"/>
        </w:rPr>
      </w:pPr>
      <w:r>
        <w:rPr>
          <w:rFonts w:ascii="Times New Roman" w:hAnsi="Times New Roman"/>
          <w:sz w:val="32"/>
          <w:szCs w:val="32"/>
        </w:rPr>
        <w:t xml:space="preserve">                汪思睿  杨  桓  柏  平 </w:t>
      </w:r>
    </w:p>
    <w:p w14:paraId="2FD3D9AD">
      <w:pPr>
        <w:adjustRightInd w:val="0"/>
        <w:snapToGrid w:val="0"/>
        <w:spacing w:line="800" w:lineRule="exact"/>
        <w:ind w:firstLine="1280" w:firstLineChars="400"/>
        <w:rPr>
          <w:rFonts w:ascii="Times New Roman" w:hAnsi="Times New Roman"/>
          <w:sz w:val="32"/>
          <w:szCs w:val="32"/>
        </w:rPr>
      </w:pPr>
      <w:r>
        <w:rPr>
          <w:rFonts w:ascii="Times New Roman" w:hAnsi="Times New Roman"/>
          <w:sz w:val="32"/>
          <w:szCs w:val="32"/>
        </w:rPr>
        <w:t xml:space="preserve">                陈  虎  陈  俊  姜宏广 </w:t>
      </w:r>
    </w:p>
    <w:p w14:paraId="0B76347C">
      <w:pPr>
        <w:pStyle w:val="6"/>
        <w:numPr>
          <w:ilvl w:val="3"/>
          <w:numId w:val="0"/>
        </w:numPr>
        <w:ind w:left="850"/>
        <w:rPr>
          <w:rFonts w:ascii="Times New Roman" w:hAnsi="Times New Roman"/>
        </w:rPr>
      </w:pPr>
    </w:p>
    <w:p w14:paraId="7FA66558">
      <w:pPr>
        <w:adjustRightInd w:val="0"/>
        <w:snapToGrid w:val="0"/>
        <w:spacing w:line="800" w:lineRule="exact"/>
        <w:ind w:firstLine="1280" w:firstLineChars="400"/>
        <w:rPr>
          <w:rFonts w:ascii="Times New Roman" w:hAnsi="Times New Roman"/>
          <w:sz w:val="32"/>
          <w:szCs w:val="32"/>
        </w:rPr>
      </w:pPr>
    </w:p>
    <w:p w14:paraId="7908265C">
      <w:pPr>
        <w:spacing w:before="280" w:beforeLines="90" w:line="400" w:lineRule="exact"/>
        <w:jc w:val="center"/>
        <w:rPr>
          <w:rFonts w:ascii="Times New Roman" w:hAnsi="Times New Roman"/>
          <w:b/>
          <w:kern w:val="28"/>
          <w:sz w:val="15"/>
          <w:szCs w:val="15"/>
        </w:rPr>
      </w:pPr>
      <w:r>
        <w:rPr>
          <w:rFonts w:ascii="Times New Roman" w:hAnsi="Times New Roman"/>
          <w:b/>
          <w:kern w:val="28"/>
          <w:szCs w:val="24"/>
        </w:rPr>
        <w:drawing>
          <wp:anchor distT="0" distB="0" distL="114300" distR="114300" simplePos="0" relativeHeight="251659264" behindDoc="1" locked="0" layoutInCell="1" allowOverlap="0">
            <wp:simplePos x="0" y="0"/>
            <wp:positionH relativeFrom="column">
              <wp:posOffset>273050</wp:posOffset>
            </wp:positionH>
            <wp:positionV relativeFrom="paragraph">
              <wp:posOffset>38735</wp:posOffset>
            </wp:positionV>
            <wp:extent cx="527050" cy="476250"/>
            <wp:effectExtent l="19050" t="0" r="6350" b="0"/>
            <wp:wrapNone/>
            <wp:docPr id="11" name="图片 11270" descr="院正式徽标(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270" descr="院正式徽标(改)"/>
                    <pic:cNvPicPr>
                      <a:picLocks noChangeAspect="1" noChangeArrowheads="1"/>
                    </pic:cNvPicPr>
                  </pic:nvPicPr>
                  <pic:blipFill>
                    <a:blip r:embed="rId29"/>
                    <a:srcRect/>
                    <a:stretch>
                      <a:fillRect/>
                    </a:stretch>
                  </pic:blipFill>
                  <pic:spPr>
                    <a:xfrm>
                      <a:off x="0" y="0"/>
                      <a:ext cx="527050" cy="476250"/>
                    </a:xfrm>
                    <a:prstGeom prst="rect">
                      <a:avLst/>
                    </a:prstGeom>
                    <a:noFill/>
                    <a:ln w="9525">
                      <a:noFill/>
                      <a:miter lim="800000"/>
                      <a:headEnd/>
                      <a:tailEnd/>
                    </a:ln>
                  </pic:spPr>
                </pic:pic>
              </a:graphicData>
            </a:graphic>
          </wp:anchor>
        </w:drawing>
      </w:r>
      <w:r>
        <w:rPr>
          <w:rFonts w:ascii="Times New Roman" w:hAnsi="Times New Roman"/>
          <w:b/>
          <w:spacing w:val="22"/>
          <w:kern w:val="28"/>
          <w:sz w:val="36"/>
          <w:szCs w:val="36"/>
        </w:rPr>
        <w:t xml:space="preserve">   </w:t>
      </w:r>
      <w:r>
        <w:rPr>
          <w:rFonts w:ascii="Times New Roman" w:hAnsi="Times New Roman"/>
          <w:b/>
          <w:spacing w:val="22"/>
          <w:w w:val="80"/>
          <w:kern w:val="28"/>
          <w:sz w:val="36"/>
          <w:szCs w:val="36"/>
        </w:rPr>
        <w:t>重庆市水利电力建筑勘测设计研究院有限公司</w:t>
      </w:r>
    </w:p>
    <w:p w14:paraId="3EFEFA2F">
      <w:pPr>
        <w:spacing w:line="400" w:lineRule="exact"/>
        <w:ind w:left="672" w:hanging="672" w:hangingChars="446"/>
        <w:jc w:val="center"/>
        <w:rPr>
          <w:rFonts w:ascii="Times New Roman" w:hAnsi="Times New Roman"/>
          <w:b/>
          <w:sz w:val="15"/>
          <w:szCs w:val="15"/>
        </w:rPr>
      </w:pPr>
      <w:r>
        <w:rPr>
          <w:rFonts w:ascii="Times New Roman" w:hAnsi="Times New Roman"/>
          <w:b/>
          <w:sz w:val="15"/>
          <w:szCs w:val="15"/>
        </w:rPr>
        <w:t>Chongqing Surveying and Design Institute of Water Resources，Electric Power and Architecture Co.,Ltd.</w:t>
      </w:r>
    </w:p>
    <w:p w14:paraId="1CA7DC03">
      <w:pPr>
        <w:tabs>
          <w:tab w:val="left" w:pos="1227"/>
        </w:tabs>
        <w:jc w:val="center"/>
        <w:rPr>
          <w:rFonts w:ascii="Times New Roman" w:hAnsi="Times New Roman"/>
          <w:b/>
          <w:bCs/>
          <w:sz w:val="32"/>
          <w:szCs w:val="32"/>
        </w:rPr>
        <w:sectPr>
          <w:footerReference r:id="rId13" w:type="default"/>
          <w:pgSz w:w="11906" w:h="16838"/>
          <w:pgMar w:top="1418" w:right="1418" w:bottom="1418" w:left="1418" w:header="851" w:footer="992" w:gutter="0"/>
          <w:cols w:space="720" w:num="1"/>
          <w:docGrid w:type="lines" w:linePitch="312" w:charSpace="0"/>
        </w:sectPr>
      </w:pPr>
      <w:r>
        <w:rPr>
          <w:rFonts w:ascii="Times New Roman" w:hAnsi="Times New Roman"/>
          <w:b/>
          <w:bCs/>
          <w:sz w:val="32"/>
          <w:szCs w:val="32"/>
        </w:rPr>
        <w:t>二○二</w:t>
      </w:r>
      <w:r>
        <w:rPr>
          <w:rFonts w:hint="eastAsia" w:ascii="Times New Roman" w:hAnsi="Times New Roman"/>
          <w:b/>
          <w:bCs/>
          <w:sz w:val="32"/>
          <w:szCs w:val="32"/>
        </w:rPr>
        <w:t>二</w:t>
      </w:r>
      <w:r>
        <w:rPr>
          <w:rFonts w:ascii="Times New Roman" w:hAnsi="Times New Roman"/>
          <w:b/>
          <w:bCs/>
          <w:sz w:val="32"/>
          <w:szCs w:val="32"/>
        </w:rPr>
        <w:t>年二月</w:t>
      </w:r>
    </w:p>
    <w:p w14:paraId="14D908D8">
      <w:pPr>
        <w:keepNext/>
        <w:spacing w:before="468" w:beforeLines="150" w:after="468" w:afterLines="150" w:line="480" w:lineRule="auto"/>
        <w:jc w:val="center"/>
        <w:textAlignment w:val="bottom"/>
        <w:outlineLvl w:val="0"/>
        <w:rPr>
          <w:rFonts w:ascii="Times New Roman" w:hAnsi="Times New Roman" w:eastAsia="方正仿宋_GBK"/>
          <w:b/>
          <w:spacing w:val="6"/>
          <w:kern w:val="0"/>
          <w:sz w:val="36"/>
          <w:szCs w:val="36"/>
        </w:rPr>
      </w:pPr>
      <w:bookmarkStart w:id="2" w:name="_Toc92995402"/>
      <w:bookmarkStart w:id="3" w:name="_Toc32379"/>
      <w:bookmarkStart w:id="4" w:name="_Toc27861"/>
      <w:r>
        <w:rPr>
          <w:rFonts w:ascii="Times New Roman" w:hAnsi="Times New Roman" w:eastAsia="方正仿宋_GBK"/>
          <w:b/>
          <w:spacing w:val="6"/>
          <w:kern w:val="0"/>
          <w:sz w:val="36"/>
          <w:szCs w:val="36"/>
        </w:rPr>
        <w:t>前   言</w:t>
      </w:r>
      <w:bookmarkEnd w:id="2"/>
      <w:bookmarkEnd w:id="3"/>
      <w:bookmarkEnd w:id="4"/>
    </w:p>
    <w:p w14:paraId="1070D1F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水安全是水旱灾害总体可控，城乡用水得到有效保障，水生态系统基本健康，水环境状况达到优良，涉水重大安全风险挑战可有效应对，其他重要涉水事务相对处于没有危险和不受威胁的状态，是国家、区域安全的重要组成部分，关系到资源安全、生态安全、经济安全和社会安全。党的十八大以来，党中央、国务院高度重视水安全工作，把水安全上升为国家战略，作出一系列重大决策部署，为解决新老水问题、保障水安全提供了根本遵循和行动指南。</w:t>
      </w:r>
    </w:p>
    <w:p w14:paraId="35EA759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十三五”时期，奉节县在上级水行政主管部门和县委县政府的领导下，积极践行新时期治水思路，突出目标和问题导向，以推进骨干水利工程建设、增强防汛抗旱减灾和水资源配置能力为重点，加快完善水利基础设施。以落实最严格水资源管理制度、落实水资源消耗总量和强度双控行动为抓手，全面推进节水型社会建设。以全方位推进水利体制机制创新为突破口，深化水利改革、强化依法治水、加强科技兴水。以江河流域系统治理和水生态保护修复为着力点，大力推进水生态文明建设，为经济社会可持续发展、如期实现全面建成小康社会目标提供了坚实的水利支撑和保障。</w:t>
      </w:r>
    </w:p>
    <w:p w14:paraId="79F468F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十四五”时期，是我国开启全面建设社会主义现代化国家新征程的第一个五年，是奉节县融入区域发展战略总体部署，积极践行新发展理念和中央治水思路的关键时期。要聚焦各种新老水问题，系统解决水安全保障不平衡不充分问题，全面提升全县水安全保障能力，更好满足人民群众对持久水安全、优质水资源、健康水生态、宜居水环境、先进水文化的公共服务需求，为高质量发展和生态文明建设提供有力支撑，为保障三峡库区水质稳定提供安全保障。</w:t>
      </w:r>
    </w:p>
    <w:p w14:paraId="3CB76E8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按照中央、市级有关部门关于“十四五”规划编制工作要求，在深入调研、充分听取各方意见的基础上，全面总结全县“十三五”时期水利改革发展工作成果，认真研判水安全保障面临新形势，确立全县水利发展战略方针，分析测算了“十四五”水安全保障主要目标指标，研究明确了今后五年水安全保障规划的总体思路、目标任务、工程措施、管理手段等，并编制完成了《奉节县水安全保障“十四五”规划》。</w:t>
      </w:r>
    </w:p>
    <w:p w14:paraId="62ECD3D1">
      <w:pPr>
        <w:spacing w:line="520" w:lineRule="exact"/>
        <w:ind w:firstLine="560" w:firstLineChars="200"/>
        <w:rPr>
          <w:rFonts w:ascii="Times New Roman" w:hAnsi="Times New Roman" w:eastAsia="楷体"/>
          <w:sz w:val="28"/>
          <w:szCs w:val="28"/>
        </w:rPr>
      </w:pPr>
    </w:p>
    <w:p w14:paraId="136C4F95">
      <w:pPr>
        <w:spacing w:line="520" w:lineRule="exact"/>
        <w:ind w:firstLine="560" w:firstLineChars="200"/>
        <w:rPr>
          <w:rFonts w:ascii="Times New Roman" w:hAnsi="Times New Roman" w:eastAsia="楷体"/>
          <w:sz w:val="28"/>
          <w:szCs w:val="28"/>
        </w:rPr>
        <w:sectPr>
          <w:footerReference r:id="rId14" w:type="default"/>
          <w:pgSz w:w="11906" w:h="16838"/>
          <w:pgMar w:top="1418" w:right="1418" w:bottom="1418" w:left="1418" w:header="851" w:footer="992" w:gutter="0"/>
          <w:pgNumType w:start="1"/>
          <w:cols w:space="720" w:num="1"/>
          <w:docGrid w:type="lines" w:linePitch="312" w:charSpace="0"/>
        </w:sectPr>
      </w:pPr>
    </w:p>
    <w:p w14:paraId="10253D4C">
      <w:pPr>
        <w:spacing w:line="480" w:lineRule="auto"/>
        <w:jc w:val="center"/>
      </w:pPr>
      <w:bookmarkStart w:id="5" w:name="_Toc25240"/>
      <w:bookmarkStart w:id="6" w:name="_Toc17788"/>
      <w:r>
        <w:rPr>
          <w:rFonts w:ascii="Times New Roman" w:hAnsi="Times New Roman"/>
          <w:b/>
          <w:sz w:val="28"/>
          <w:szCs w:val="28"/>
        </w:rPr>
        <w:t>目   录</w:t>
      </w:r>
      <w:r>
        <w:rPr>
          <w:rFonts w:ascii="Times New Roman" w:hAnsi="Times New Roman"/>
          <w:b/>
          <w:sz w:val="28"/>
          <w:szCs w:val="28"/>
        </w:rPr>
        <w:fldChar w:fldCharType="begin"/>
      </w:r>
      <w:r>
        <w:rPr>
          <w:rFonts w:ascii="Times New Roman" w:hAnsi="Times New Roman"/>
          <w:b/>
          <w:sz w:val="28"/>
          <w:szCs w:val="28"/>
        </w:rPr>
        <w:instrText xml:space="preserve"> TOC \o "1-2" \h \z \u </w:instrText>
      </w:r>
      <w:r>
        <w:rPr>
          <w:rFonts w:ascii="Times New Roman" w:hAnsi="Times New Roman"/>
          <w:b/>
          <w:sz w:val="28"/>
          <w:szCs w:val="28"/>
        </w:rPr>
        <w:fldChar w:fldCharType="separate"/>
      </w:r>
    </w:p>
    <w:p w14:paraId="342DEFC0">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"_Toc92995402" </w:instrText>
      </w:r>
      <w:r>
        <w:fldChar w:fldCharType="separate"/>
      </w:r>
      <w:r>
        <w:rPr>
          <w:rStyle w:val="33"/>
          <w:rFonts w:hint="eastAsia" w:eastAsia="方正仿宋_GBK"/>
          <w:spacing w:val="6"/>
        </w:rPr>
        <w:t>前</w:t>
      </w:r>
      <w:r>
        <w:rPr>
          <w:rStyle w:val="33"/>
          <w:rFonts w:eastAsia="方正仿宋_GBK"/>
          <w:spacing w:val="6"/>
        </w:rPr>
        <w:t xml:space="preserve">   </w:t>
      </w:r>
      <w:r>
        <w:rPr>
          <w:rStyle w:val="33"/>
          <w:rFonts w:hint="eastAsia" w:eastAsia="方正仿宋_GBK"/>
          <w:spacing w:val="6"/>
        </w:rPr>
        <w:t>言</w:t>
      </w:r>
      <w:r>
        <w:tab/>
      </w:r>
      <w:r>
        <w:fldChar w:fldCharType="begin"/>
      </w:r>
      <w:r>
        <w:instrText xml:space="preserve"> PAGEREF _Toc92995402 \h </w:instrText>
      </w:r>
      <w:r>
        <w:fldChar w:fldCharType="separate"/>
      </w:r>
      <w:r>
        <w:t>1</w:t>
      </w:r>
      <w:r>
        <w:fldChar w:fldCharType="end"/>
      </w:r>
      <w:r>
        <w:fldChar w:fldCharType="end"/>
      </w:r>
    </w:p>
    <w:p w14:paraId="212EA51D">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"_Toc92995403" </w:instrText>
      </w:r>
      <w:r>
        <w:fldChar w:fldCharType="separate"/>
      </w:r>
      <w:r>
        <w:rPr>
          <w:rStyle w:val="33"/>
          <w:rFonts w:hint="eastAsia" w:eastAsia="方正仿宋_GBK"/>
          <w:spacing w:val="6"/>
        </w:rPr>
        <w:t>第一章</w:t>
      </w:r>
      <w:r>
        <w:rPr>
          <w:rStyle w:val="33"/>
          <w:rFonts w:eastAsia="方正仿宋_GBK"/>
          <w:spacing w:val="6"/>
        </w:rPr>
        <w:t xml:space="preserve"> </w:t>
      </w:r>
      <w:r>
        <w:rPr>
          <w:rStyle w:val="33"/>
          <w:rFonts w:hint="eastAsia" w:eastAsia="方正仿宋_GBK"/>
          <w:spacing w:val="6"/>
        </w:rPr>
        <w:t>概况</w:t>
      </w:r>
      <w:r>
        <w:tab/>
      </w:r>
      <w:r>
        <w:fldChar w:fldCharType="begin"/>
      </w:r>
      <w:r>
        <w:instrText xml:space="preserve"> PAGEREF _Toc92995403 \h </w:instrText>
      </w:r>
      <w:r>
        <w:fldChar w:fldCharType="separate"/>
      </w:r>
      <w:r>
        <w:t>1</w:t>
      </w:r>
      <w:r>
        <w:fldChar w:fldCharType="end"/>
      </w:r>
      <w:r>
        <w:fldChar w:fldCharType="end"/>
      </w:r>
    </w:p>
    <w:p w14:paraId="7307000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"_Toc92995404" </w:instrText>
      </w:r>
      <w:r>
        <w:fldChar w:fldCharType="separate"/>
      </w:r>
      <w:r>
        <w:rPr>
          <w:rStyle w:val="33"/>
          <w:rFonts w:eastAsia="方正仿宋_GBK"/>
          <w:spacing w:val="6"/>
        </w:rPr>
        <w:t xml:space="preserve">1.1 </w:t>
      </w:r>
      <w:r>
        <w:rPr>
          <w:rStyle w:val="33"/>
          <w:rFonts w:hint="eastAsia" w:eastAsia="方正仿宋_GBK"/>
          <w:spacing w:val="6"/>
        </w:rPr>
        <w:t>地理位置</w:t>
      </w:r>
      <w:r>
        <w:tab/>
      </w:r>
      <w:r>
        <w:fldChar w:fldCharType="begin"/>
      </w:r>
      <w:r>
        <w:instrText xml:space="preserve"> PAGEREF _Toc92995404 \h </w:instrText>
      </w:r>
      <w:r>
        <w:fldChar w:fldCharType="separate"/>
      </w:r>
      <w:r>
        <w:t>1</w:t>
      </w:r>
      <w:r>
        <w:fldChar w:fldCharType="end"/>
      </w:r>
      <w:r>
        <w:fldChar w:fldCharType="end"/>
      </w:r>
    </w:p>
    <w:p w14:paraId="54B01F59">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"_Toc92995405" </w:instrText>
      </w:r>
      <w:r>
        <w:fldChar w:fldCharType="separate"/>
      </w:r>
      <w:r>
        <w:rPr>
          <w:rStyle w:val="33"/>
          <w:rFonts w:eastAsia="方正仿宋_GBK"/>
          <w:spacing w:val="6"/>
        </w:rPr>
        <w:t xml:space="preserve">1.2 </w:t>
      </w:r>
      <w:r>
        <w:rPr>
          <w:rStyle w:val="33"/>
          <w:rFonts w:hint="eastAsia" w:eastAsia="方正仿宋_GBK"/>
          <w:spacing w:val="6"/>
        </w:rPr>
        <w:t>地形地貌</w:t>
      </w:r>
      <w:r>
        <w:tab/>
      </w:r>
      <w:r>
        <w:fldChar w:fldCharType="begin"/>
      </w:r>
      <w:r>
        <w:instrText xml:space="preserve"> PAGEREF _Toc92995405 \h </w:instrText>
      </w:r>
      <w:r>
        <w:fldChar w:fldCharType="separate"/>
      </w:r>
      <w:r>
        <w:t>1</w:t>
      </w:r>
      <w:r>
        <w:fldChar w:fldCharType="end"/>
      </w:r>
      <w:r>
        <w:fldChar w:fldCharType="end"/>
      </w:r>
    </w:p>
    <w:p w14:paraId="510A3FD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"_Toc92995406" </w:instrText>
      </w:r>
      <w:r>
        <w:fldChar w:fldCharType="separate"/>
      </w:r>
      <w:r>
        <w:rPr>
          <w:rStyle w:val="33"/>
          <w:rFonts w:eastAsia="方正仿宋_GBK"/>
          <w:spacing w:val="6"/>
        </w:rPr>
        <w:t xml:space="preserve">1.3 </w:t>
      </w:r>
      <w:r>
        <w:rPr>
          <w:rStyle w:val="33"/>
          <w:rFonts w:hint="eastAsia" w:eastAsia="方正仿宋_GBK"/>
          <w:spacing w:val="6"/>
        </w:rPr>
        <w:t>水文气象</w:t>
      </w:r>
      <w:r>
        <w:tab/>
      </w:r>
      <w:r>
        <w:fldChar w:fldCharType="begin"/>
      </w:r>
      <w:r>
        <w:instrText xml:space="preserve"> PAGEREF _Toc92995406 \h </w:instrText>
      </w:r>
      <w:r>
        <w:fldChar w:fldCharType="separate"/>
      </w:r>
      <w:r>
        <w:t>2</w:t>
      </w:r>
      <w:r>
        <w:fldChar w:fldCharType="end"/>
      </w:r>
      <w:r>
        <w:fldChar w:fldCharType="end"/>
      </w:r>
    </w:p>
    <w:p w14:paraId="6B83B84D">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"_Toc92995407" </w:instrText>
      </w:r>
      <w:r>
        <w:fldChar w:fldCharType="separate"/>
      </w:r>
      <w:r>
        <w:rPr>
          <w:rStyle w:val="33"/>
          <w:rFonts w:eastAsia="方正仿宋_GBK"/>
          <w:spacing w:val="6"/>
        </w:rPr>
        <w:t xml:space="preserve">1.4 </w:t>
      </w:r>
      <w:r>
        <w:rPr>
          <w:rStyle w:val="33"/>
          <w:rFonts w:hint="eastAsia" w:eastAsia="方正仿宋_GBK"/>
          <w:spacing w:val="6"/>
        </w:rPr>
        <w:t>河流水系</w:t>
      </w:r>
      <w:r>
        <w:tab/>
      </w:r>
      <w:r>
        <w:fldChar w:fldCharType="begin"/>
      </w:r>
      <w:r>
        <w:instrText xml:space="preserve"> PAGEREF _Toc92995407 \h </w:instrText>
      </w:r>
      <w:r>
        <w:fldChar w:fldCharType="separate"/>
      </w:r>
      <w:r>
        <w:t>3</w:t>
      </w:r>
      <w:r>
        <w:fldChar w:fldCharType="end"/>
      </w:r>
      <w:r>
        <w:fldChar w:fldCharType="end"/>
      </w:r>
    </w:p>
    <w:p w14:paraId="0670062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"_Toc92995408" </w:instrText>
      </w:r>
      <w:r>
        <w:fldChar w:fldCharType="separate"/>
      </w:r>
      <w:r>
        <w:rPr>
          <w:rStyle w:val="33"/>
          <w:rFonts w:eastAsia="方正仿宋_GBK"/>
          <w:spacing w:val="6"/>
        </w:rPr>
        <w:t xml:space="preserve">1.5 </w:t>
      </w:r>
      <w:r>
        <w:rPr>
          <w:rStyle w:val="33"/>
          <w:rFonts w:hint="eastAsia" w:eastAsia="方正仿宋_GBK"/>
          <w:spacing w:val="6"/>
        </w:rPr>
        <w:t>社会经济</w:t>
      </w:r>
      <w:r>
        <w:tab/>
      </w:r>
      <w:r>
        <w:fldChar w:fldCharType="begin"/>
      </w:r>
      <w:r>
        <w:instrText xml:space="preserve"> PAGEREF _Toc92995408 \h </w:instrText>
      </w:r>
      <w:r>
        <w:fldChar w:fldCharType="separate"/>
      </w:r>
      <w:r>
        <w:t>5</w:t>
      </w:r>
      <w:r>
        <w:fldChar w:fldCharType="end"/>
      </w:r>
      <w:r>
        <w:fldChar w:fldCharType="end"/>
      </w:r>
    </w:p>
    <w:p w14:paraId="4752F0F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"_Toc92995409" </w:instrText>
      </w:r>
      <w:r>
        <w:fldChar w:fldCharType="separate"/>
      </w:r>
      <w:r>
        <w:rPr>
          <w:rStyle w:val="33"/>
          <w:rFonts w:eastAsia="方正仿宋_GBK"/>
          <w:spacing w:val="6"/>
        </w:rPr>
        <w:t xml:space="preserve">1.6 </w:t>
      </w:r>
      <w:r>
        <w:rPr>
          <w:rStyle w:val="33"/>
          <w:rFonts w:hint="eastAsia" w:eastAsia="方正仿宋_GBK"/>
          <w:spacing w:val="6"/>
        </w:rPr>
        <w:t>水资源配置</w:t>
      </w:r>
      <w:r>
        <w:tab/>
      </w:r>
      <w:r>
        <w:fldChar w:fldCharType="begin"/>
      </w:r>
      <w:r>
        <w:instrText xml:space="preserve"> PAGEREF _Toc92995409 \h </w:instrText>
      </w:r>
      <w:r>
        <w:fldChar w:fldCharType="separate"/>
      </w:r>
      <w:r>
        <w:t>6</w:t>
      </w:r>
      <w:r>
        <w:fldChar w:fldCharType="end"/>
      </w:r>
      <w:r>
        <w:fldChar w:fldCharType="end"/>
      </w:r>
    </w:p>
    <w:p w14:paraId="3582F1D1">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"_Toc92995410" </w:instrText>
      </w:r>
      <w:r>
        <w:fldChar w:fldCharType="separate"/>
      </w:r>
      <w:r>
        <w:rPr>
          <w:rStyle w:val="33"/>
          <w:rFonts w:hint="eastAsia" w:eastAsia="方正仿宋_GBK"/>
          <w:spacing w:val="6"/>
        </w:rPr>
        <w:t>第二章</w:t>
      </w:r>
      <w:r>
        <w:rPr>
          <w:rStyle w:val="33"/>
          <w:rFonts w:eastAsia="方正仿宋_GBK"/>
          <w:spacing w:val="6"/>
        </w:rPr>
        <w:t xml:space="preserve"> </w:t>
      </w:r>
      <w:r>
        <w:rPr>
          <w:rStyle w:val="33"/>
          <w:rFonts w:hint="eastAsia" w:eastAsia="方正仿宋_GBK"/>
          <w:spacing w:val="6"/>
        </w:rPr>
        <w:t>面临的形势</w:t>
      </w:r>
      <w:r>
        <w:tab/>
      </w:r>
      <w:r>
        <w:fldChar w:fldCharType="begin"/>
      </w:r>
      <w:r>
        <w:instrText xml:space="preserve"> PAGEREF _Toc92995410 \h </w:instrText>
      </w:r>
      <w:r>
        <w:fldChar w:fldCharType="separate"/>
      </w:r>
      <w:r>
        <w:t>8</w:t>
      </w:r>
      <w:r>
        <w:fldChar w:fldCharType="end"/>
      </w:r>
      <w:r>
        <w:fldChar w:fldCharType="end"/>
      </w:r>
    </w:p>
    <w:p w14:paraId="3C532D4B">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"_Toc92995411" </w:instrText>
      </w:r>
      <w:r>
        <w:fldChar w:fldCharType="separate"/>
      </w:r>
      <w:r>
        <w:rPr>
          <w:rStyle w:val="33"/>
          <w:rFonts w:eastAsia="方正仿宋_GBK"/>
          <w:spacing w:val="6"/>
        </w:rPr>
        <w:t>2.1 “</w:t>
      </w:r>
      <w:r>
        <w:rPr>
          <w:rStyle w:val="33"/>
          <w:rFonts w:hint="eastAsia" w:eastAsia="方正仿宋_GBK"/>
          <w:spacing w:val="6"/>
        </w:rPr>
        <w:t>十三五</w:t>
      </w:r>
      <w:r>
        <w:rPr>
          <w:rStyle w:val="33"/>
          <w:rFonts w:eastAsia="方正仿宋_GBK"/>
          <w:spacing w:val="6"/>
        </w:rPr>
        <w:t>”</w:t>
      </w:r>
      <w:r>
        <w:rPr>
          <w:rStyle w:val="33"/>
          <w:rFonts w:hint="eastAsia" w:eastAsia="方正仿宋_GBK"/>
          <w:spacing w:val="6"/>
        </w:rPr>
        <w:t>水利改革发展主要成就</w:t>
      </w:r>
      <w:r>
        <w:tab/>
      </w:r>
      <w:r>
        <w:fldChar w:fldCharType="begin"/>
      </w:r>
      <w:r>
        <w:instrText xml:space="preserve"> PAGEREF _Toc92995411 \h </w:instrText>
      </w:r>
      <w:r>
        <w:fldChar w:fldCharType="separate"/>
      </w:r>
      <w:r>
        <w:t>8</w:t>
      </w:r>
      <w:r>
        <w:fldChar w:fldCharType="end"/>
      </w:r>
      <w:r>
        <w:fldChar w:fldCharType="end"/>
      </w:r>
    </w:p>
    <w:p w14:paraId="220CA24C">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"_Toc92995412" </w:instrText>
      </w:r>
      <w:r>
        <w:fldChar w:fldCharType="separate"/>
      </w:r>
      <w:r>
        <w:rPr>
          <w:rStyle w:val="33"/>
          <w:rFonts w:eastAsia="方正仿宋_GBK"/>
          <w:spacing w:val="6"/>
        </w:rPr>
        <w:t xml:space="preserve">2.2 </w:t>
      </w:r>
      <w:r>
        <w:rPr>
          <w:rStyle w:val="33"/>
          <w:rFonts w:hint="eastAsia" w:eastAsia="方正仿宋_GBK"/>
          <w:spacing w:val="6"/>
        </w:rPr>
        <w:t>奉节县水安全保障现状</w:t>
      </w:r>
      <w:r>
        <w:tab/>
      </w:r>
      <w:r>
        <w:fldChar w:fldCharType="begin"/>
      </w:r>
      <w:r>
        <w:instrText xml:space="preserve"> PAGEREF _Toc92995412 \h </w:instrText>
      </w:r>
      <w:r>
        <w:fldChar w:fldCharType="separate"/>
      </w:r>
      <w:r>
        <w:t>21</w:t>
      </w:r>
      <w:r>
        <w:fldChar w:fldCharType="end"/>
      </w:r>
      <w:r>
        <w:fldChar w:fldCharType="end"/>
      </w:r>
    </w:p>
    <w:p w14:paraId="2F8CE8BC">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"_Toc92995413" </w:instrText>
      </w:r>
      <w:r>
        <w:fldChar w:fldCharType="separate"/>
      </w:r>
      <w:r>
        <w:rPr>
          <w:rStyle w:val="33"/>
          <w:rFonts w:eastAsia="方正仿宋_GBK"/>
          <w:spacing w:val="6"/>
        </w:rPr>
        <w:t xml:space="preserve">2.3 </w:t>
      </w:r>
      <w:r>
        <w:rPr>
          <w:rStyle w:val="33"/>
          <w:rFonts w:hint="eastAsia" w:eastAsia="方正仿宋_GBK"/>
          <w:spacing w:val="6"/>
        </w:rPr>
        <w:t>行业发展面临形势</w:t>
      </w:r>
      <w:r>
        <w:tab/>
      </w:r>
      <w:r>
        <w:fldChar w:fldCharType="begin"/>
      </w:r>
      <w:r>
        <w:instrText xml:space="preserve"> PAGEREF _Toc92995413 \h </w:instrText>
      </w:r>
      <w:r>
        <w:fldChar w:fldCharType="separate"/>
      </w:r>
      <w:r>
        <w:t>23</w:t>
      </w:r>
      <w:r>
        <w:fldChar w:fldCharType="end"/>
      </w:r>
      <w:r>
        <w:fldChar w:fldCharType="end"/>
      </w:r>
    </w:p>
    <w:p w14:paraId="7B18422B">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"_Toc92995414" </w:instrText>
      </w:r>
      <w:r>
        <w:fldChar w:fldCharType="separate"/>
      </w:r>
      <w:r>
        <w:rPr>
          <w:rStyle w:val="33"/>
          <w:rFonts w:eastAsia="方正仿宋_GBK"/>
          <w:spacing w:val="6"/>
        </w:rPr>
        <w:t xml:space="preserve">2.4 </w:t>
      </w:r>
      <w:r>
        <w:rPr>
          <w:rStyle w:val="33"/>
          <w:rFonts w:hint="eastAsia" w:eastAsia="方正仿宋_GBK"/>
          <w:spacing w:val="6"/>
        </w:rPr>
        <w:t>奉节县水安全面临形势</w:t>
      </w:r>
      <w:r>
        <w:tab/>
      </w:r>
      <w:r>
        <w:fldChar w:fldCharType="begin"/>
      </w:r>
      <w:r>
        <w:instrText xml:space="preserve"> PAGEREF _Toc92995414 \h </w:instrText>
      </w:r>
      <w:r>
        <w:fldChar w:fldCharType="separate"/>
      </w:r>
      <w:r>
        <w:t>26</w:t>
      </w:r>
      <w:r>
        <w:fldChar w:fldCharType="end"/>
      </w:r>
      <w:r>
        <w:fldChar w:fldCharType="end"/>
      </w:r>
    </w:p>
    <w:p w14:paraId="330E62C6">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"_Toc92995415" </w:instrText>
      </w:r>
      <w:r>
        <w:fldChar w:fldCharType="separate"/>
      </w:r>
      <w:r>
        <w:rPr>
          <w:rStyle w:val="33"/>
          <w:rFonts w:hint="eastAsia" w:eastAsia="方正仿宋_GBK"/>
          <w:spacing w:val="6"/>
        </w:rPr>
        <w:t>第三章</w:t>
      </w:r>
      <w:r>
        <w:rPr>
          <w:rStyle w:val="33"/>
          <w:rFonts w:eastAsia="方正仿宋_GBK"/>
          <w:spacing w:val="6"/>
        </w:rPr>
        <w:t xml:space="preserve"> </w:t>
      </w:r>
      <w:r>
        <w:rPr>
          <w:rStyle w:val="33"/>
          <w:rFonts w:hint="eastAsia" w:eastAsia="方正仿宋_GBK"/>
          <w:spacing w:val="6"/>
        </w:rPr>
        <w:t>总体要求</w:t>
      </w:r>
      <w:r>
        <w:tab/>
      </w:r>
      <w:r>
        <w:fldChar w:fldCharType="begin"/>
      </w:r>
      <w:r>
        <w:instrText xml:space="preserve"> PAGEREF _Toc92995415 \h </w:instrText>
      </w:r>
      <w:r>
        <w:fldChar w:fldCharType="separate"/>
      </w:r>
      <w:r>
        <w:t>31</w:t>
      </w:r>
      <w:r>
        <w:fldChar w:fldCharType="end"/>
      </w:r>
      <w:r>
        <w:fldChar w:fldCharType="end"/>
      </w:r>
    </w:p>
    <w:p w14:paraId="39C05779">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"_Toc92995416" </w:instrText>
      </w:r>
      <w:r>
        <w:fldChar w:fldCharType="separate"/>
      </w:r>
      <w:r>
        <w:rPr>
          <w:rStyle w:val="33"/>
          <w:rFonts w:eastAsia="方正仿宋_GBK"/>
          <w:spacing w:val="6"/>
        </w:rPr>
        <w:t xml:space="preserve">3.1 </w:t>
      </w:r>
      <w:r>
        <w:rPr>
          <w:rStyle w:val="33"/>
          <w:rFonts w:hint="eastAsia" w:eastAsia="方正仿宋_GBK"/>
          <w:spacing w:val="6"/>
        </w:rPr>
        <w:t>指导思想</w:t>
      </w:r>
      <w:r>
        <w:tab/>
      </w:r>
      <w:r>
        <w:fldChar w:fldCharType="begin"/>
      </w:r>
      <w:r>
        <w:instrText xml:space="preserve"> PAGEREF _Toc92995416 \h </w:instrText>
      </w:r>
      <w:r>
        <w:fldChar w:fldCharType="separate"/>
      </w:r>
      <w:r>
        <w:t>31</w:t>
      </w:r>
      <w:r>
        <w:fldChar w:fldCharType="end"/>
      </w:r>
      <w:r>
        <w:fldChar w:fldCharType="end"/>
      </w:r>
    </w:p>
    <w:p w14:paraId="0BC6456C">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"_Toc92995417" </w:instrText>
      </w:r>
      <w:r>
        <w:fldChar w:fldCharType="separate"/>
      </w:r>
      <w:r>
        <w:rPr>
          <w:rStyle w:val="33"/>
          <w:rFonts w:eastAsia="方正仿宋_GBK"/>
          <w:spacing w:val="6"/>
        </w:rPr>
        <w:t xml:space="preserve">3.2 </w:t>
      </w:r>
      <w:r>
        <w:rPr>
          <w:rStyle w:val="33"/>
          <w:rFonts w:hint="eastAsia" w:eastAsia="方正仿宋_GBK"/>
          <w:spacing w:val="6"/>
        </w:rPr>
        <w:t>基本原则</w:t>
      </w:r>
      <w:r>
        <w:tab/>
      </w:r>
      <w:r>
        <w:fldChar w:fldCharType="begin"/>
      </w:r>
      <w:r>
        <w:instrText xml:space="preserve"> PAGEREF _Toc92995417 \h </w:instrText>
      </w:r>
      <w:r>
        <w:fldChar w:fldCharType="separate"/>
      </w:r>
      <w:r>
        <w:t>31</w:t>
      </w:r>
      <w:r>
        <w:fldChar w:fldCharType="end"/>
      </w:r>
      <w:r>
        <w:fldChar w:fldCharType="end"/>
      </w:r>
    </w:p>
    <w:p w14:paraId="3603B00E">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"_Toc92995418" </w:instrText>
      </w:r>
      <w:r>
        <w:fldChar w:fldCharType="separate"/>
      </w:r>
      <w:r>
        <w:rPr>
          <w:rStyle w:val="33"/>
          <w:rFonts w:eastAsia="方正仿宋_GBK"/>
          <w:spacing w:val="6"/>
        </w:rPr>
        <w:t xml:space="preserve">3.3 </w:t>
      </w:r>
      <w:r>
        <w:rPr>
          <w:rStyle w:val="33"/>
          <w:rFonts w:hint="eastAsia" w:eastAsia="方正仿宋_GBK"/>
          <w:spacing w:val="6"/>
        </w:rPr>
        <w:t>发展目标</w:t>
      </w:r>
      <w:r>
        <w:tab/>
      </w:r>
      <w:r>
        <w:fldChar w:fldCharType="begin"/>
      </w:r>
      <w:r>
        <w:instrText xml:space="preserve"> PAGEREF _Toc92995418 \h </w:instrText>
      </w:r>
      <w:r>
        <w:fldChar w:fldCharType="separate"/>
      </w:r>
      <w:r>
        <w:t>32</w:t>
      </w:r>
      <w:r>
        <w:fldChar w:fldCharType="end"/>
      </w:r>
      <w:r>
        <w:fldChar w:fldCharType="end"/>
      </w:r>
    </w:p>
    <w:p w14:paraId="7F447D4A">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"_Toc92995419" </w:instrText>
      </w:r>
      <w:r>
        <w:fldChar w:fldCharType="separate"/>
      </w:r>
      <w:r>
        <w:rPr>
          <w:rStyle w:val="33"/>
          <w:rFonts w:eastAsia="方正仿宋_GBK"/>
          <w:spacing w:val="6"/>
        </w:rPr>
        <w:t xml:space="preserve">3.4 </w:t>
      </w:r>
      <w:r>
        <w:rPr>
          <w:rStyle w:val="33"/>
          <w:rFonts w:hint="eastAsia" w:eastAsia="方正仿宋_GBK"/>
          <w:spacing w:val="6"/>
        </w:rPr>
        <w:t>总体布局</w:t>
      </w:r>
      <w:r>
        <w:tab/>
      </w:r>
      <w:r>
        <w:fldChar w:fldCharType="begin"/>
      </w:r>
      <w:r>
        <w:instrText xml:space="preserve"> PAGEREF _Toc92995419 \h </w:instrText>
      </w:r>
      <w:r>
        <w:fldChar w:fldCharType="separate"/>
      </w:r>
      <w:r>
        <w:t>35</w:t>
      </w:r>
      <w:r>
        <w:fldChar w:fldCharType="end"/>
      </w:r>
      <w:r>
        <w:fldChar w:fldCharType="end"/>
      </w:r>
    </w:p>
    <w:p w14:paraId="04583A10">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"_Toc92995420" </w:instrText>
      </w:r>
      <w:r>
        <w:fldChar w:fldCharType="separate"/>
      </w:r>
      <w:r>
        <w:rPr>
          <w:rStyle w:val="33"/>
          <w:rFonts w:eastAsia="方正仿宋_GBK"/>
          <w:spacing w:val="6"/>
        </w:rPr>
        <w:t xml:space="preserve">3.5 </w:t>
      </w:r>
      <w:r>
        <w:rPr>
          <w:rStyle w:val="33"/>
          <w:rFonts w:hint="eastAsia" w:eastAsia="方正仿宋_GBK"/>
          <w:spacing w:val="6"/>
        </w:rPr>
        <w:t>规划任务</w:t>
      </w:r>
      <w:r>
        <w:tab/>
      </w:r>
      <w:r>
        <w:fldChar w:fldCharType="begin"/>
      </w:r>
      <w:r>
        <w:instrText xml:space="preserve"> PAGEREF _Toc92995420 \h </w:instrText>
      </w:r>
      <w:r>
        <w:fldChar w:fldCharType="separate"/>
      </w:r>
      <w:r>
        <w:t>36</w:t>
      </w:r>
      <w:r>
        <w:fldChar w:fldCharType="end"/>
      </w:r>
      <w:r>
        <w:fldChar w:fldCharType="end"/>
      </w:r>
    </w:p>
    <w:p w14:paraId="73D2BF26">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"_Toc92995421" </w:instrText>
      </w:r>
      <w:r>
        <w:fldChar w:fldCharType="separate"/>
      </w:r>
      <w:r>
        <w:rPr>
          <w:rStyle w:val="33"/>
          <w:rFonts w:eastAsia="方正仿宋_GBK"/>
          <w:spacing w:val="6"/>
        </w:rPr>
        <w:t xml:space="preserve">3.6 </w:t>
      </w:r>
      <w:r>
        <w:rPr>
          <w:rStyle w:val="33"/>
          <w:rFonts w:hint="eastAsia" w:eastAsia="方正仿宋_GBK"/>
          <w:spacing w:val="6"/>
        </w:rPr>
        <w:t>规划依据</w:t>
      </w:r>
      <w:r>
        <w:tab/>
      </w:r>
      <w:r>
        <w:fldChar w:fldCharType="begin"/>
      </w:r>
      <w:r>
        <w:instrText xml:space="preserve"> PAGEREF _Toc92995421 \h </w:instrText>
      </w:r>
      <w:r>
        <w:fldChar w:fldCharType="separate"/>
      </w:r>
      <w:r>
        <w:t>38</w:t>
      </w:r>
      <w:r>
        <w:fldChar w:fldCharType="end"/>
      </w:r>
      <w:r>
        <w:fldChar w:fldCharType="end"/>
      </w:r>
    </w:p>
    <w:p w14:paraId="554A5922">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"_Toc92995422" </w:instrText>
      </w:r>
      <w:r>
        <w:fldChar w:fldCharType="separate"/>
      </w:r>
      <w:r>
        <w:rPr>
          <w:rStyle w:val="33"/>
          <w:rFonts w:hint="eastAsia" w:eastAsia="方正仿宋_GBK"/>
          <w:spacing w:val="6"/>
        </w:rPr>
        <w:t>第四章</w:t>
      </w:r>
      <w:r>
        <w:rPr>
          <w:rStyle w:val="33"/>
          <w:rFonts w:eastAsia="方正仿宋_GBK"/>
          <w:spacing w:val="6"/>
        </w:rPr>
        <w:t xml:space="preserve"> </w:t>
      </w:r>
      <w:r>
        <w:rPr>
          <w:rStyle w:val="33"/>
          <w:rFonts w:hint="eastAsia" w:eastAsia="方正仿宋_GBK"/>
          <w:spacing w:val="6"/>
        </w:rPr>
        <w:t>消隐患防洪水，保障奉节江河安澜</w:t>
      </w:r>
      <w:r>
        <w:tab/>
      </w:r>
      <w:r>
        <w:fldChar w:fldCharType="begin"/>
      </w:r>
      <w:r>
        <w:instrText xml:space="preserve"> PAGEREF _Toc92995422 \h </w:instrText>
      </w:r>
      <w:r>
        <w:fldChar w:fldCharType="separate"/>
      </w:r>
      <w:r>
        <w:t>41</w:t>
      </w:r>
      <w:r>
        <w:fldChar w:fldCharType="end"/>
      </w:r>
      <w:r>
        <w:fldChar w:fldCharType="end"/>
      </w:r>
    </w:p>
    <w:p w14:paraId="6A66BA4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"_Toc92995423" </w:instrText>
      </w:r>
      <w:r>
        <w:fldChar w:fldCharType="separate"/>
      </w:r>
      <w:r>
        <w:rPr>
          <w:rStyle w:val="33"/>
          <w:rFonts w:eastAsia="方正仿宋_GBK"/>
          <w:spacing w:val="6"/>
        </w:rPr>
        <w:t xml:space="preserve">4.1 </w:t>
      </w:r>
      <w:r>
        <w:rPr>
          <w:rStyle w:val="33"/>
          <w:rFonts w:hint="eastAsia" w:eastAsia="方正仿宋_GBK"/>
          <w:spacing w:val="6"/>
        </w:rPr>
        <w:t>实施防洪减灾安全工程</w:t>
      </w:r>
      <w:r>
        <w:tab/>
      </w:r>
      <w:r>
        <w:fldChar w:fldCharType="begin"/>
      </w:r>
      <w:r>
        <w:instrText xml:space="preserve"> PAGEREF _Toc92995423 \h </w:instrText>
      </w:r>
      <w:r>
        <w:fldChar w:fldCharType="separate"/>
      </w:r>
      <w:r>
        <w:t>41</w:t>
      </w:r>
      <w:r>
        <w:fldChar w:fldCharType="end"/>
      </w:r>
      <w:r>
        <w:fldChar w:fldCharType="end"/>
      </w:r>
    </w:p>
    <w:p w14:paraId="3A5B85C5">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"_Toc92995424" </w:instrText>
      </w:r>
      <w:r>
        <w:fldChar w:fldCharType="separate"/>
      </w:r>
      <w:r>
        <w:rPr>
          <w:rStyle w:val="33"/>
          <w:rFonts w:eastAsia="方正仿宋_GBK"/>
          <w:spacing w:val="6"/>
        </w:rPr>
        <w:t xml:space="preserve">4.2 </w:t>
      </w:r>
      <w:r>
        <w:rPr>
          <w:rStyle w:val="33"/>
          <w:rFonts w:hint="eastAsia" w:eastAsia="方正仿宋_GBK"/>
          <w:spacing w:val="6"/>
        </w:rPr>
        <w:t>提升薄弱环节防洪能力</w:t>
      </w:r>
      <w:r>
        <w:tab/>
      </w:r>
      <w:r>
        <w:fldChar w:fldCharType="begin"/>
      </w:r>
      <w:r>
        <w:instrText xml:space="preserve"> PAGEREF _Toc92995424 \h </w:instrText>
      </w:r>
      <w:r>
        <w:fldChar w:fldCharType="separate"/>
      </w:r>
      <w:r>
        <w:t>42</w:t>
      </w:r>
      <w:r>
        <w:fldChar w:fldCharType="end"/>
      </w:r>
      <w:r>
        <w:fldChar w:fldCharType="end"/>
      </w:r>
    </w:p>
    <w:p w14:paraId="56E93FA4">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"_Toc92995425" </w:instrText>
      </w:r>
      <w:r>
        <w:fldChar w:fldCharType="separate"/>
      </w:r>
      <w:r>
        <w:rPr>
          <w:rStyle w:val="33"/>
          <w:rFonts w:eastAsia="方正仿宋_GBK"/>
          <w:spacing w:val="6"/>
        </w:rPr>
        <w:t xml:space="preserve">4.3 </w:t>
      </w:r>
      <w:r>
        <w:rPr>
          <w:rStyle w:val="33"/>
          <w:rFonts w:hint="eastAsia" w:eastAsia="方正仿宋_GBK"/>
          <w:spacing w:val="6"/>
        </w:rPr>
        <w:t>提高监测预警预报水平</w:t>
      </w:r>
      <w:r>
        <w:tab/>
      </w:r>
      <w:r>
        <w:fldChar w:fldCharType="begin"/>
      </w:r>
      <w:r>
        <w:instrText xml:space="preserve"> PAGEREF _Toc92995425 \h </w:instrText>
      </w:r>
      <w:r>
        <w:fldChar w:fldCharType="separate"/>
      </w:r>
      <w:r>
        <w:t>42</w:t>
      </w:r>
      <w:r>
        <w:fldChar w:fldCharType="end"/>
      </w:r>
      <w:r>
        <w:fldChar w:fldCharType="end"/>
      </w:r>
    </w:p>
    <w:p w14:paraId="4DF47CA9">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"_Toc92995426" </w:instrText>
      </w:r>
      <w:r>
        <w:fldChar w:fldCharType="separate"/>
      </w:r>
      <w:r>
        <w:rPr>
          <w:rStyle w:val="33"/>
          <w:rFonts w:eastAsia="方正仿宋_GBK"/>
          <w:spacing w:val="6"/>
        </w:rPr>
        <w:t xml:space="preserve">4.4 </w:t>
      </w:r>
      <w:r>
        <w:rPr>
          <w:rStyle w:val="33"/>
          <w:rFonts w:hint="eastAsia" w:eastAsia="方正仿宋_GBK"/>
          <w:spacing w:val="6"/>
        </w:rPr>
        <w:t>加强水旱灾害风险防控</w:t>
      </w:r>
      <w:r>
        <w:tab/>
      </w:r>
      <w:r>
        <w:fldChar w:fldCharType="begin"/>
      </w:r>
      <w:r>
        <w:instrText xml:space="preserve"> PAGEREF _Toc92995426 \h </w:instrText>
      </w:r>
      <w:r>
        <w:fldChar w:fldCharType="separate"/>
      </w:r>
      <w:r>
        <w:t>43</w:t>
      </w:r>
      <w:r>
        <w:fldChar w:fldCharType="end"/>
      </w:r>
      <w:r>
        <w:fldChar w:fldCharType="end"/>
      </w:r>
    </w:p>
    <w:p w14:paraId="0FA55D04">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"_Toc92995427" </w:instrText>
      </w:r>
      <w:r>
        <w:fldChar w:fldCharType="separate"/>
      </w:r>
      <w:r>
        <w:rPr>
          <w:rStyle w:val="33"/>
          <w:rFonts w:hint="eastAsia" w:eastAsia="方正仿宋_GBK"/>
          <w:spacing w:val="6"/>
        </w:rPr>
        <w:t>第五章</w:t>
      </w:r>
      <w:r>
        <w:rPr>
          <w:rStyle w:val="33"/>
          <w:rFonts w:eastAsia="方正仿宋_GBK"/>
          <w:spacing w:val="6"/>
        </w:rPr>
        <w:t xml:space="preserve"> </w:t>
      </w:r>
      <w:r>
        <w:rPr>
          <w:rStyle w:val="33"/>
          <w:rFonts w:hint="eastAsia" w:eastAsia="方正仿宋_GBK"/>
          <w:spacing w:val="6"/>
        </w:rPr>
        <w:t>抓节水保供水，构建城乡供水网络</w:t>
      </w:r>
      <w:r>
        <w:tab/>
      </w:r>
      <w:r>
        <w:fldChar w:fldCharType="begin"/>
      </w:r>
      <w:r>
        <w:instrText xml:space="preserve"> PAGEREF _Toc92995427 \h </w:instrText>
      </w:r>
      <w:r>
        <w:fldChar w:fldCharType="separate"/>
      </w:r>
      <w:r>
        <w:t>44</w:t>
      </w:r>
      <w:r>
        <w:fldChar w:fldCharType="end"/>
      </w:r>
      <w:r>
        <w:fldChar w:fldCharType="end"/>
      </w:r>
    </w:p>
    <w:p w14:paraId="209B7B7A">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"_Toc92995428" </w:instrText>
      </w:r>
      <w:r>
        <w:fldChar w:fldCharType="separate"/>
      </w:r>
      <w:r>
        <w:rPr>
          <w:rStyle w:val="33"/>
          <w:rFonts w:eastAsia="方正仿宋_GBK"/>
          <w:spacing w:val="6"/>
        </w:rPr>
        <w:t xml:space="preserve">5.1 </w:t>
      </w:r>
      <w:r>
        <w:rPr>
          <w:rStyle w:val="33"/>
          <w:rFonts w:hint="eastAsia" w:eastAsia="方正仿宋_GBK"/>
          <w:spacing w:val="6"/>
        </w:rPr>
        <w:t>坚持节水优先</w:t>
      </w:r>
      <w:r>
        <w:tab/>
      </w:r>
      <w:r>
        <w:fldChar w:fldCharType="begin"/>
      </w:r>
      <w:r>
        <w:instrText xml:space="preserve"> PAGEREF _Toc92995428 \h </w:instrText>
      </w:r>
      <w:r>
        <w:fldChar w:fldCharType="separate"/>
      </w:r>
      <w:r>
        <w:t>44</w:t>
      </w:r>
      <w:r>
        <w:fldChar w:fldCharType="end"/>
      </w:r>
      <w:r>
        <w:fldChar w:fldCharType="end"/>
      </w:r>
    </w:p>
    <w:p w14:paraId="78A4AB9E">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"_Toc92995429" </w:instrText>
      </w:r>
      <w:r>
        <w:fldChar w:fldCharType="separate"/>
      </w:r>
      <w:r>
        <w:rPr>
          <w:rStyle w:val="33"/>
          <w:rFonts w:eastAsia="方正仿宋_GBK"/>
          <w:spacing w:val="6"/>
        </w:rPr>
        <w:t xml:space="preserve">5.2 </w:t>
      </w:r>
      <w:r>
        <w:rPr>
          <w:rStyle w:val="33"/>
          <w:rFonts w:hint="eastAsia" w:eastAsia="方正仿宋_GBK"/>
          <w:spacing w:val="6"/>
        </w:rPr>
        <w:t>加快水网建设</w:t>
      </w:r>
      <w:r>
        <w:tab/>
      </w:r>
      <w:r>
        <w:fldChar w:fldCharType="begin"/>
      </w:r>
      <w:r>
        <w:instrText xml:space="preserve"> PAGEREF _Toc92995429 \h </w:instrText>
      </w:r>
      <w:r>
        <w:fldChar w:fldCharType="separate"/>
      </w:r>
      <w:r>
        <w:t>45</w:t>
      </w:r>
      <w:r>
        <w:fldChar w:fldCharType="end"/>
      </w:r>
      <w:r>
        <w:fldChar w:fldCharType="end"/>
      </w:r>
    </w:p>
    <w:p w14:paraId="146D2D5F">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"_Toc92995430" </w:instrText>
      </w:r>
      <w:r>
        <w:fldChar w:fldCharType="separate"/>
      </w:r>
      <w:r>
        <w:rPr>
          <w:rStyle w:val="33"/>
          <w:rFonts w:eastAsia="方正仿宋_GBK"/>
          <w:spacing w:val="6"/>
        </w:rPr>
        <w:t xml:space="preserve">5.3 </w:t>
      </w:r>
      <w:r>
        <w:rPr>
          <w:rStyle w:val="33"/>
          <w:rFonts w:hint="eastAsia" w:eastAsia="方正仿宋_GBK"/>
          <w:spacing w:val="6"/>
        </w:rPr>
        <w:t>实施城乡供水提升工程</w:t>
      </w:r>
      <w:r>
        <w:tab/>
      </w:r>
      <w:r>
        <w:fldChar w:fldCharType="begin"/>
      </w:r>
      <w:r>
        <w:instrText xml:space="preserve"> PAGEREF _Toc92995430 \h </w:instrText>
      </w:r>
      <w:r>
        <w:fldChar w:fldCharType="separate"/>
      </w:r>
      <w:r>
        <w:t>46</w:t>
      </w:r>
      <w:r>
        <w:fldChar w:fldCharType="end"/>
      </w:r>
      <w:r>
        <w:fldChar w:fldCharType="end"/>
      </w:r>
    </w:p>
    <w:p w14:paraId="5B5ABEE1">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"_Toc92995431" </w:instrText>
      </w:r>
      <w:r>
        <w:fldChar w:fldCharType="separate"/>
      </w:r>
      <w:r>
        <w:rPr>
          <w:rStyle w:val="33"/>
          <w:rFonts w:eastAsia="方正仿宋_GBK"/>
          <w:spacing w:val="6"/>
        </w:rPr>
        <w:t xml:space="preserve">5.4 </w:t>
      </w:r>
      <w:r>
        <w:rPr>
          <w:rStyle w:val="33"/>
          <w:rFonts w:hint="eastAsia" w:eastAsia="方正仿宋_GBK"/>
          <w:spacing w:val="6"/>
        </w:rPr>
        <w:t>实施现代化灌区建设与改造</w:t>
      </w:r>
      <w:r>
        <w:tab/>
      </w:r>
      <w:r>
        <w:fldChar w:fldCharType="begin"/>
      </w:r>
      <w:r>
        <w:instrText xml:space="preserve"> PAGEREF _Toc92995431 \h </w:instrText>
      </w:r>
      <w:r>
        <w:fldChar w:fldCharType="separate"/>
      </w:r>
      <w:r>
        <w:t>46</w:t>
      </w:r>
      <w:r>
        <w:fldChar w:fldCharType="end"/>
      </w:r>
      <w:r>
        <w:fldChar w:fldCharType="end"/>
      </w:r>
    </w:p>
    <w:p w14:paraId="514182A8">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"_Toc92995432" </w:instrText>
      </w:r>
      <w:r>
        <w:fldChar w:fldCharType="separate"/>
      </w:r>
      <w:r>
        <w:rPr>
          <w:rStyle w:val="33"/>
          <w:rFonts w:hint="eastAsia" w:eastAsia="方正仿宋_GBK"/>
          <w:spacing w:val="6"/>
        </w:rPr>
        <w:t>第六章</w:t>
      </w:r>
      <w:r>
        <w:rPr>
          <w:rStyle w:val="33"/>
          <w:rFonts w:eastAsia="方正仿宋_GBK"/>
          <w:spacing w:val="6"/>
        </w:rPr>
        <w:t xml:space="preserve"> </w:t>
      </w:r>
      <w:r>
        <w:rPr>
          <w:rStyle w:val="33"/>
          <w:rFonts w:hint="eastAsia" w:eastAsia="方正仿宋_GBK"/>
          <w:spacing w:val="6"/>
        </w:rPr>
        <w:t>重保护强修复，持续改善河湖面貌</w:t>
      </w:r>
      <w:r>
        <w:tab/>
      </w:r>
      <w:r>
        <w:fldChar w:fldCharType="begin"/>
      </w:r>
      <w:r>
        <w:instrText xml:space="preserve"> PAGEREF _Toc92995432 \h </w:instrText>
      </w:r>
      <w:r>
        <w:fldChar w:fldCharType="separate"/>
      </w:r>
      <w:r>
        <w:t>48</w:t>
      </w:r>
      <w:r>
        <w:fldChar w:fldCharType="end"/>
      </w:r>
      <w:r>
        <w:fldChar w:fldCharType="end"/>
      </w:r>
    </w:p>
    <w:p w14:paraId="2D1B5063">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"_Toc92995433" </w:instrText>
      </w:r>
      <w:r>
        <w:fldChar w:fldCharType="separate"/>
      </w:r>
      <w:r>
        <w:rPr>
          <w:rStyle w:val="33"/>
          <w:rFonts w:eastAsia="方正仿宋_GBK"/>
          <w:spacing w:val="6"/>
        </w:rPr>
        <w:t xml:space="preserve">6.1 </w:t>
      </w:r>
      <w:r>
        <w:rPr>
          <w:rStyle w:val="33"/>
          <w:rFonts w:hint="eastAsia" w:eastAsia="方正仿宋_GBK"/>
          <w:spacing w:val="6"/>
        </w:rPr>
        <w:t>优化三峡后续工作</w:t>
      </w:r>
      <w:r>
        <w:tab/>
      </w:r>
      <w:r>
        <w:fldChar w:fldCharType="begin"/>
      </w:r>
      <w:r>
        <w:instrText xml:space="preserve"> PAGEREF _Toc92995433 \h </w:instrText>
      </w:r>
      <w:r>
        <w:fldChar w:fldCharType="separate"/>
      </w:r>
      <w:r>
        <w:t>48</w:t>
      </w:r>
      <w:r>
        <w:fldChar w:fldCharType="end"/>
      </w:r>
      <w:r>
        <w:fldChar w:fldCharType="end"/>
      </w:r>
    </w:p>
    <w:p w14:paraId="50DA396C">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"_Toc92995434" </w:instrText>
      </w:r>
      <w:r>
        <w:fldChar w:fldCharType="separate"/>
      </w:r>
      <w:r>
        <w:rPr>
          <w:rStyle w:val="33"/>
          <w:rFonts w:eastAsia="方正仿宋_GBK"/>
          <w:spacing w:val="6"/>
        </w:rPr>
        <w:t xml:space="preserve">6.2 </w:t>
      </w:r>
      <w:r>
        <w:rPr>
          <w:rStyle w:val="33"/>
          <w:rFonts w:hint="eastAsia" w:eastAsia="方正仿宋_GBK"/>
          <w:spacing w:val="6"/>
        </w:rPr>
        <w:t>大力推进水土保持生态建设</w:t>
      </w:r>
      <w:r>
        <w:tab/>
      </w:r>
      <w:r>
        <w:fldChar w:fldCharType="begin"/>
      </w:r>
      <w:r>
        <w:instrText xml:space="preserve"> PAGEREF _Toc92995434 \h </w:instrText>
      </w:r>
      <w:r>
        <w:fldChar w:fldCharType="separate"/>
      </w:r>
      <w:r>
        <w:t>49</w:t>
      </w:r>
      <w:r>
        <w:fldChar w:fldCharType="end"/>
      </w:r>
      <w:r>
        <w:fldChar w:fldCharType="end"/>
      </w:r>
    </w:p>
    <w:p w14:paraId="1B16B01A">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"_Toc92995435" </w:instrText>
      </w:r>
      <w:r>
        <w:fldChar w:fldCharType="separate"/>
      </w:r>
      <w:r>
        <w:rPr>
          <w:rStyle w:val="33"/>
          <w:rFonts w:eastAsia="方正仿宋_GBK"/>
          <w:spacing w:val="6"/>
        </w:rPr>
        <w:t xml:space="preserve">6.3 </w:t>
      </w:r>
      <w:r>
        <w:rPr>
          <w:rStyle w:val="33"/>
          <w:rFonts w:hint="eastAsia" w:eastAsia="方正仿宋_GBK"/>
          <w:spacing w:val="6"/>
        </w:rPr>
        <w:t>实施水美乡村示范工程</w:t>
      </w:r>
      <w:r>
        <w:tab/>
      </w:r>
      <w:r>
        <w:fldChar w:fldCharType="begin"/>
      </w:r>
      <w:r>
        <w:instrText xml:space="preserve"> PAGEREF _Toc92995435 \h </w:instrText>
      </w:r>
      <w:r>
        <w:fldChar w:fldCharType="separate"/>
      </w:r>
      <w:r>
        <w:t>49</w:t>
      </w:r>
      <w:r>
        <w:fldChar w:fldCharType="end"/>
      </w:r>
      <w:r>
        <w:fldChar w:fldCharType="end"/>
      </w:r>
    </w:p>
    <w:p w14:paraId="02EF5CE6">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"_Toc92995436" </w:instrText>
      </w:r>
      <w:r>
        <w:fldChar w:fldCharType="separate"/>
      </w:r>
      <w:r>
        <w:rPr>
          <w:rStyle w:val="33"/>
          <w:rFonts w:eastAsia="方正仿宋_GBK"/>
          <w:spacing w:val="6"/>
        </w:rPr>
        <w:t xml:space="preserve">6.4 </w:t>
      </w:r>
      <w:r>
        <w:rPr>
          <w:rStyle w:val="33"/>
          <w:rFonts w:hint="eastAsia" w:eastAsia="方正仿宋_GBK"/>
          <w:spacing w:val="6"/>
        </w:rPr>
        <w:t>促进农村小水电绿色发展</w:t>
      </w:r>
      <w:r>
        <w:tab/>
      </w:r>
      <w:r>
        <w:fldChar w:fldCharType="begin"/>
      </w:r>
      <w:r>
        <w:instrText xml:space="preserve"> PAGEREF _Toc92995436 \h </w:instrText>
      </w:r>
      <w:r>
        <w:fldChar w:fldCharType="separate"/>
      </w:r>
      <w:r>
        <w:t>49</w:t>
      </w:r>
      <w:r>
        <w:fldChar w:fldCharType="end"/>
      </w:r>
      <w:r>
        <w:fldChar w:fldCharType="end"/>
      </w:r>
    </w:p>
    <w:p w14:paraId="68DB8D67">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"_Toc92995437" </w:instrText>
      </w:r>
      <w:r>
        <w:fldChar w:fldCharType="separate"/>
      </w:r>
      <w:r>
        <w:rPr>
          <w:rStyle w:val="33"/>
          <w:rFonts w:hint="eastAsia" w:eastAsia="方正仿宋_GBK"/>
          <w:spacing w:val="6"/>
        </w:rPr>
        <w:t>第七章</w:t>
      </w:r>
      <w:r>
        <w:rPr>
          <w:rStyle w:val="33"/>
          <w:rFonts w:eastAsia="方正仿宋_GBK"/>
          <w:spacing w:val="6"/>
        </w:rPr>
        <w:t xml:space="preserve"> </w:t>
      </w:r>
      <w:r>
        <w:rPr>
          <w:rStyle w:val="33"/>
          <w:rFonts w:hint="eastAsia" w:eastAsia="方正仿宋_GBK"/>
          <w:spacing w:val="6"/>
        </w:rPr>
        <w:t>严管理重能力，提升公众服务水平</w:t>
      </w:r>
      <w:r>
        <w:tab/>
      </w:r>
      <w:r>
        <w:fldChar w:fldCharType="begin"/>
      </w:r>
      <w:r>
        <w:instrText xml:space="preserve"> PAGEREF _Toc92995437 \h </w:instrText>
      </w:r>
      <w:r>
        <w:fldChar w:fldCharType="separate"/>
      </w:r>
      <w:r>
        <w:t>51</w:t>
      </w:r>
      <w:r>
        <w:fldChar w:fldCharType="end"/>
      </w:r>
      <w:r>
        <w:fldChar w:fldCharType="end"/>
      </w:r>
    </w:p>
    <w:p w14:paraId="02F00E07">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"_Toc92995438" </w:instrText>
      </w:r>
      <w:r>
        <w:fldChar w:fldCharType="separate"/>
      </w:r>
      <w:r>
        <w:rPr>
          <w:rStyle w:val="33"/>
          <w:rFonts w:eastAsia="方正仿宋_GBK"/>
          <w:spacing w:val="6"/>
        </w:rPr>
        <w:t xml:space="preserve">7.1 </w:t>
      </w:r>
      <w:r>
        <w:rPr>
          <w:rStyle w:val="33"/>
          <w:rFonts w:hint="eastAsia" w:eastAsia="方正仿宋_GBK"/>
          <w:spacing w:val="6"/>
        </w:rPr>
        <w:t>强化河湖监管，推进幸福河湖建设</w:t>
      </w:r>
      <w:r>
        <w:tab/>
      </w:r>
      <w:r>
        <w:fldChar w:fldCharType="begin"/>
      </w:r>
      <w:r>
        <w:instrText xml:space="preserve"> PAGEREF _Toc92995438 \h </w:instrText>
      </w:r>
      <w:r>
        <w:fldChar w:fldCharType="separate"/>
      </w:r>
      <w:r>
        <w:t>51</w:t>
      </w:r>
      <w:r>
        <w:fldChar w:fldCharType="end"/>
      </w:r>
      <w:r>
        <w:fldChar w:fldCharType="end"/>
      </w:r>
    </w:p>
    <w:p w14:paraId="51F79412">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"_Toc92995439" </w:instrText>
      </w:r>
      <w:r>
        <w:fldChar w:fldCharType="separate"/>
      </w:r>
      <w:r>
        <w:rPr>
          <w:rStyle w:val="33"/>
          <w:rFonts w:eastAsia="方正仿宋_GBK"/>
          <w:spacing w:val="6"/>
        </w:rPr>
        <w:t xml:space="preserve">7.2 </w:t>
      </w:r>
      <w:r>
        <w:rPr>
          <w:rStyle w:val="33"/>
          <w:rFonts w:hint="eastAsia" w:eastAsia="方正仿宋_GBK"/>
          <w:spacing w:val="6"/>
        </w:rPr>
        <w:t>深化河长制工作，共抓大保护</w:t>
      </w:r>
      <w:r>
        <w:tab/>
      </w:r>
      <w:r>
        <w:fldChar w:fldCharType="begin"/>
      </w:r>
      <w:r>
        <w:instrText xml:space="preserve"> PAGEREF _Toc92995439 \h </w:instrText>
      </w:r>
      <w:r>
        <w:fldChar w:fldCharType="separate"/>
      </w:r>
      <w:r>
        <w:t>53</w:t>
      </w:r>
      <w:r>
        <w:fldChar w:fldCharType="end"/>
      </w:r>
      <w:r>
        <w:fldChar w:fldCharType="end"/>
      </w:r>
    </w:p>
    <w:p w14:paraId="7FC46A33">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"_Toc92995440" </w:instrText>
      </w:r>
      <w:r>
        <w:fldChar w:fldCharType="separate"/>
      </w:r>
      <w:r>
        <w:rPr>
          <w:rStyle w:val="33"/>
          <w:rFonts w:eastAsia="方正仿宋_GBK"/>
          <w:spacing w:val="6"/>
        </w:rPr>
        <w:t xml:space="preserve">7.3 </w:t>
      </w:r>
      <w:r>
        <w:rPr>
          <w:rStyle w:val="33"/>
          <w:rFonts w:hint="eastAsia" w:eastAsia="方正仿宋_GBK"/>
          <w:spacing w:val="6"/>
        </w:rPr>
        <w:t>严格水资源管理，优化水资源利用</w:t>
      </w:r>
      <w:r>
        <w:tab/>
      </w:r>
      <w:r>
        <w:fldChar w:fldCharType="begin"/>
      </w:r>
      <w:r>
        <w:instrText xml:space="preserve"> PAGEREF _Toc92995440 \h </w:instrText>
      </w:r>
      <w:r>
        <w:fldChar w:fldCharType="separate"/>
      </w:r>
      <w:r>
        <w:t>54</w:t>
      </w:r>
      <w:r>
        <w:fldChar w:fldCharType="end"/>
      </w:r>
      <w:r>
        <w:fldChar w:fldCharType="end"/>
      </w:r>
    </w:p>
    <w:p w14:paraId="13B0E6E9">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"_Toc92995441" </w:instrText>
      </w:r>
      <w:r>
        <w:fldChar w:fldCharType="separate"/>
      </w:r>
      <w:r>
        <w:rPr>
          <w:rStyle w:val="33"/>
          <w:rFonts w:eastAsia="方正仿宋_GBK"/>
          <w:spacing w:val="6"/>
        </w:rPr>
        <w:t xml:space="preserve">7.4 </w:t>
      </w:r>
      <w:r>
        <w:rPr>
          <w:rStyle w:val="33"/>
          <w:rFonts w:hint="eastAsia" w:eastAsia="方正仿宋_GBK"/>
          <w:spacing w:val="6"/>
        </w:rPr>
        <w:t>强化水利工程运行管理</w:t>
      </w:r>
      <w:r>
        <w:tab/>
      </w:r>
      <w:r>
        <w:fldChar w:fldCharType="begin"/>
      </w:r>
      <w:r>
        <w:instrText xml:space="preserve"> PAGEREF _Toc92995441 \h </w:instrText>
      </w:r>
      <w:r>
        <w:fldChar w:fldCharType="separate"/>
      </w:r>
      <w:r>
        <w:t>56</w:t>
      </w:r>
      <w:r>
        <w:fldChar w:fldCharType="end"/>
      </w:r>
      <w:r>
        <w:fldChar w:fldCharType="end"/>
      </w:r>
    </w:p>
    <w:p w14:paraId="5A46543E">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"_Toc92995442" </w:instrText>
      </w:r>
      <w:r>
        <w:fldChar w:fldCharType="separate"/>
      </w:r>
      <w:r>
        <w:rPr>
          <w:rStyle w:val="33"/>
          <w:rFonts w:eastAsia="方正仿宋_GBK"/>
          <w:spacing w:val="6"/>
        </w:rPr>
        <w:t xml:space="preserve">7.5 </w:t>
      </w:r>
      <w:r>
        <w:rPr>
          <w:rStyle w:val="33"/>
          <w:rFonts w:hint="eastAsia" w:eastAsia="方正仿宋_GBK"/>
          <w:spacing w:val="6"/>
        </w:rPr>
        <w:t>强化水土保持管理</w:t>
      </w:r>
      <w:r>
        <w:tab/>
      </w:r>
      <w:r>
        <w:fldChar w:fldCharType="begin"/>
      </w:r>
      <w:r>
        <w:instrText xml:space="preserve"> PAGEREF _Toc92995442 \h </w:instrText>
      </w:r>
      <w:r>
        <w:fldChar w:fldCharType="separate"/>
      </w:r>
      <w:r>
        <w:t>58</w:t>
      </w:r>
      <w:r>
        <w:fldChar w:fldCharType="end"/>
      </w:r>
      <w:r>
        <w:fldChar w:fldCharType="end"/>
      </w:r>
    </w:p>
    <w:p w14:paraId="346C313F">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"_Toc92995443" </w:instrText>
      </w:r>
      <w:r>
        <w:fldChar w:fldCharType="separate"/>
      </w:r>
      <w:r>
        <w:rPr>
          <w:rStyle w:val="33"/>
          <w:rFonts w:eastAsia="方正仿宋_GBK"/>
          <w:spacing w:val="6"/>
        </w:rPr>
        <w:t xml:space="preserve">7.6 </w:t>
      </w:r>
      <w:r>
        <w:rPr>
          <w:rStyle w:val="33"/>
          <w:rFonts w:hint="eastAsia" w:eastAsia="方正仿宋_GBK"/>
          <w:spacing w:val="6"/>
        </w:rPr>
        <w:t>突出水旱灾害防御管理</w:t>
      </w:r>
      <w:r>
        <w:tab/>
      </w:r>
      <w:r>
        <w:fldChar w:fldCharType="begin"/>
      </w:r>
      <w:r>
        <w:instrText xml:space="preserve"> PAGEREF _Toc92995443 \h </w:instrText>
      </w:r>
      <w:r>
        <w:fldChar w:fldCharType="separate"/>
      </w:r>
      <w:r>
        <w:t>59</w:t>
      </w:r>
      <w:r>
        <w:fldChar w:fldCharType="end"/>
      </w:r>
      <w:r>
        <w:fldChar w:fldCharType="end"/>
      </w:r>
    </w:p>
    <w:p w14:paraId="7906930B">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"_Toc92995444" </w:instrText>
      </w:r>
      <w:r>
        <w:fldChar w:fldCharType="separate"/>
      </w:r>
      <w:r>
        <w:rPr>
          <w:rStyle w:val="33"/>
          <w:rFonts w:eastAsia="方正仿宋_GBK"/>
          <w:spacing w:val="6"/>
        </w:rPr>
        <w:t xml:space="preserve">7.7 </w:t>
      </w:r>
      <w:r>
        <w:rPr>
          <w:rStyle w:val="33"/>
          <w:rFonts w:hint="eastAsia" w:eastAsia="方正仿宋_GBK"/>
          <w:spacing w:val="6"/>
        </w:rPr>
        <w:t>扎实推进农村饮水管护</w:t>
      </w:r>
      <w:r>
        <w:tab/>
      </w:r>
      <w:r>
        <w:fldChar w:fldCharType="begin"/>
      </w:r>
      <w:r>
        <w:instrText xml:space="preserve"> PAGEREF _Toc92995444 \h </w:instrText>
      </w:r>
      <w:r>
        <w:fldChar w:fldCharType="separate"/>
      </w:r>
      <w:r>
        <w:t>61</w:t>
      </w:r>
      <w:r>
        <w:fldChar w:fldCharType="end"/>
      </w:r>
      <w:r>
        <w:fldChar w:fldCharType="end"/>
      </w:r>
    </w:p>
    <w:p w14:paraId="62566E2E">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"_Toc92995445" </w:instrText>
      </w:r>
      <w:r>
        <w:fldChar w:fldCharType="separate"/>
      </w:r>
      <w:r>
        <w:rPr>
          <w:rStyle w:val="33"/>
          <w:rFonts w:hint="eastAsia" w:eastAsia="方正仿宋_GBK"/>
          <w:spacing w:val="6"/>
        </w:rPr>
        <w:t>第八章</w:t>
      </w:r>
      <w:r>
        <w:rPr>
          <w:rStyle w:val="33"/>
          <w:rFonts w:eastAsia="方正仿宋_GBK"/>
          <w:spacing w:val="6"/>
        </w:rPr>
        <w:t xml:space="preserve"> </w:t>
      </w:r>
      <w:r>
        <w:rPr>
          <w:rStyle w:val="33"/>
          <w:rFonts w:hint="eastAsia" w:eastAsia="方正仿宋_GBK"/>
          <w:spacing w:val="6"/>
        </w:rPr>
        <w:t>抓改革激发活力，增强水利发展后劲</w:t>
      </w:r>
      <w:r>
        <w:tab/>
      </w:r>
      <w:r>
        <w:fldChar w:fldCharType="begin"/>
      </w:r>
      <w:r>
        <w:instrText xml:space="preserve"> PAGEREF _Toc92995445 \h </w:instrText>
      </w:r>
      <w:r>
        <w:fldChar w:fldCharType="separate"/>
      </w:r>
      <w:r>
        <w:t>63</w:t>
      </w:r>
      <w:r>
        <w:fldChar w:fldCharType="end"/>
      </w:r>
      <w:r>
        <w:fldChar w:fldCharType="end"/>
      </w:r>
    </w:p>
    <w:p w14:paraId="27DF7190">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"_Toc92995446" </w:instrText>
      </w:r>
      <w:r>
        <w:fldChar w:fldCharType="separate"/>
      </w:r>
      <w:r>
        <w:rPr>
          <w:rStyle w:val="33"/>
          <w:rFonts w:eastAsia="方正仿宋_GBK"/>
          <w:spacing w:val="6"/>
        </w:rPr>
        <w:t xml:space="preserve">8.1 </w:t>
      </w:r>
      <w:r>
        <w:rPr>
          <w:rStyle w:val="33"/>
          <w:rFonts w:hint="eastAsia" w:eastAsia="方正仿宋_GBK"/>
          <w:spacing w:val="6"/>
        </w:rPr>
        <w:t>创新投融资体制机制，保障水利建设资金需求</w:t>
      </w:r>
      <w:r>
        <w:tab/>
      </w:r>
      <w:r>
        <w:fldChar w:fldCharType="begin"/>
      </w:r>
      <w:r>
        <w:instrText xml:space="preserve"> PAGEREF _Toc92995446 \h </w:instrText>
      </w:r>
      <w:r>
        <w:fldChar w:fldCharType="separate"/>
      </w:r>
      <w:r>
        <w:t>63</w:t>
      </w:r>
      <w:r>
        <w:fldChar w:fldCharType="end"/>
      </w:r>
      <w:r>
        <w:fldChar w:fldCharType="end"/>
      </w:r>
    </w:p>
    <w:p w14:paraId="74A6E477">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"_Toc92995447" </w:instrText>
      </w:r>
      <w:r>
        <w:fldChar w:fldCharType="separate"/>
      </w:r>
      <w:r>
        <w:rPr>
          <w:rStyle w:val="33"/>
          <w:rFonts w:eastAsia="方正仿宋_GBK"/>
          <w:spacing w:val="6"/>
        </w:rPr>
        <w:t xml:space="preserve">8.2 </w:t>
      </w:r>
      <w:r>
        <w:rPr>
          <w:rStyle w:val="33"/>
          <w:rFonts w:hint="eastAsia" w:eastAsia="方正仿宋_GBK"/>
          <w:spacing w:val="6"/>
        </w:rPr>
        <w:t>完善水利监管体系，增强行业监管水平</w:t>
      </w:r>
      <w:r>
        <w:tab/>
      </w:r>
      <w:r>
        <w:fldChar w:fldCharType="begin"/>
      </w:r>
      <w:r>
        <w:instrText xml:space="preserve"> PAGEREF _Toc92995447 \h </w:instrText>
      </w:r>
      <w:r>
        <w:fldChar w:fldCharType="separate"/>
      </w:r>
      <w:r>
        <w:t>64</w:t>
      </w:r>
      <w:r>
        <w:fldChar w:fldCharType="end"/>
      </w:r>
      <w:r>
        <w:fldChar w:fldCharType="end"/>
      </w:r>
    </w:p>
    <w:p w14:paraId="0EE87D52">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"_Toc92995448" </w:instrText>
      </w:r>
      <w:r>
        <w:fldChar w:fldCharType="separate"/>
      </w:r>
      <w:r>
        <w:rPr>
          <w:rStyle w:val="33"/>
          <w:rFonts w:eastAsia="方正仿宋_GBK"/>
          <w:spacing w:val="6"/>
        </w:rPr>
        <w:t xml:space="preserve">8.3 </w:t>
      </w:r>
      <w:r>
        <w:rPr>
          <w:rStyle w:val="33"/>
          <w:rFonts w:hint="eastAsia" w:eastAsia="方正仿宋_GBK"/>
          <w:spacing w:val="6"/>
        </w:rPr>
        <w:t>深化</w:t>
      </w:r>
      <w:r>
        <w:rPr>
          <w:rStyle w:val="33"/>
          <w:rFonts w:eastAsia="方正仿宋_GBK"/>
          <w:spacing w:val="6"/>
        </w:rPr>
        <w:t>“</w:t>
      </w:r>
      <w:r>
        <w:rPr>
          <w:rStyle w:val="33"/>
          <w:rFonts w:hint="eastAsia" w:eastAsia="方正仿宋_GBK"/>
          <w:spacing w:val="6"/>
        </w:rPr>
        <w:t>放管服</w:t>
      </w:r>
      <w:r>
        <w:rPr>
          <w:rStyle w:val="33"/>
          <w:rFonts w:eastAsia="方正仿宋_GBK"/>
          <w:spacing w:val="6"/>
        </w:rPr>
        <w:t>”</w:t>
      </w:r>
      <w:r>
        <w:rPr>
          <w:rStyle w:val="33"/>
          <w:rFonts w:hint="eastAsia" w:eastAsia="方正仿宋_GBK"/>
          <w:spacing w:val="6"/>
        </w:rPr>
        <w:t>改革，提升水利政务服务能力</w:t>
      </w:r>
      <w:r>
        <w:tab/>
      </w:r>
      <w:r>
        <w:fldChar w:fldCharType="begin"/>
      </w:r>
      <w:r>
        <w:instrText xml:space="preserve"> PAGEREF _Toc92995448 \h </w:instrText>
      </w:r>
      <w:r>
        <w:fldChar w:fldCharType="separate"/>
      </w:r>
      <w:r>
        <w:t>65</w:t>
      </w:r>
      <w:r>
        <w:fldChar w:fldCharType="end"/>
      </w:r>
      <w:r>
        <w:fldChar w:fldCharType="end"/>
      </w:r>
    </w:p>
    <w:p w14:paraId="12B6F644">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"_Toc92995449" </w:instrText>
      </w:r>
      <w:r>
        <w:fldChar w:fldCharType="separate"/>
      </w:r>
      <w:r>
        <w:rPr>
          <w:rStyle w:val="33"/>
          <w:rFonts w:eastAsia="方正仿宋_GBK"/>
          <w:spacing w:val="6"/>
        </w:rPr>
        <w:t xml:space="preserve">8.4 </w:t>
      </w:r>
      <w:r>
        <w:rPr>
          <w:rStyle w:val="33"/>
          <w:rFonts w:hint="eastAsia" w:eastAsia="方正仿宋_GBK"/>
          <w:spacing w:val="6"/>
        </w:rPr>
        <w:t>加强科技创新，夯实水利高质量发展基础</w:t>
      </w:r>
      <w:r>
        <w:tab/>
      </w:r>
      <w:r>
        <w:fldChar w:fldCharType="begin"/>
      </w:r>
      <w:r>
        <w:instrText xml:space="preserve"> PAGEREF _Toc92995449 \h </w:instrText>
      </w:r>
      <w:r>
        <w:fldChar w:fldCharType="separate"/>
      </w:r>
      <w:r>
        <w:t>66</w:t>
      </w:r>
      <w:r>
        <w:fldChar w:fldCharType="end"/>
      </w:r>
      <w:r>
        <w:fldChar w:fldCharType="end"/>
      </w:r>
    </w:p>
    <w:p w14:paraId="6DF23576">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"_Toc92995450" </w:instrText>
      </w:r>
      <w:r>
        <w:fldChar w:fldCharType="separate"/>
      </w:r>
      <w:r>
        <w:rPr>
          <w:rStyle w:val="33"/>
          <w:rFonts w:eastAsia="方正仿宋_GBK"/>
          <w:spacing w:val="6"/>
        </w:rPr>
        <w:t xml:space="preserve">8.5 </w:t>
      </w:r>
      <w:r>
        <w:rPr>
          <w:rStyle w:val="33"/>
          <w:rFonts w:hint="eastAsia" w:eastAsia="方正仿宋_GBK"/>
          <w:spacing w:val="6"/>
        </w:rPr>
        <w:t>大力弘扬水文化，厚植新时代水利精神</w:t>
      </w:r>
      <w:r>
        <w:tab/>
      </w:r>
      <w:r>
        <w:fldChar w:fldCharType="begin"/>
      </w:r>
      <w:r>
        <w:instrText xml:space="preserve"> PAGEREF _Toc92995450 \h </w:instrText>
      </w:r>
      <w:r>
        <w:fldChar w:fldCharType="separate"/>
      </w:r>
      <w:r>
        <w:t>67</w:t>
      </w:r>
      <w:r>
        <w:fldChar w:fldCharType="end"/>
      </w:r>
      <w:r>
        <w:fldChar w:fldCharType="end"/>
      </w:r>
    </w:p>
    <w:p w14:paraId="55D5F026">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"_Toc92995451" </w:instrText>
      </w:r>
      <w:r>
        <w:fldChar w:fldCharType="separate"/>
      </w:r>
      <w:r>
        <w:rPr>
          <w:rStyle w:val="33"/>
          <w:rFonts w:hint="eastAsia" w:eastAsia="方正仿宋_GBK"/>
          <w:spacing w:val="6"/>
        </w:rPr>
        <w:t>第九章</w:t>
      </w:r>
      <w:r>
        <w:rPr>
          <w:rStyle w:val="33"/>
          <w:rFonts w:eastAsia="方正仿宋_GBK"/>
          <w:spacing w:val="6"/>
        </w:rPr>
        <w:t xml:space="preserve"> </w:t>
      </w:r>
      <w:r>
        <w:rPr>
          <w:rStyle w:val="33"/>
          <w:rFonts w:hint="eastAsia" w:eastAsia="方正仿宋_GBK"/>
          <w:spacing w:val="6"/>
        </w:rPr>
        <w:t>规划投资估算及年度安排</w:t>
      </w:r>
      <w:r>
        <w:tab/>
      </w:r>
      <w:r>
        <w:fldChar w:fldCharType="begin"/>
      </w:r>
      <w:r>
        <w:instrText xml:space="preserve"> PAGEREF _Toc92995451 \h </w:instrText>
      </w:r>
      <w:r>
        <w:fldChar w:fldCharType="separate"/>
      </w:r>
      <w:r>
        <w:t>68</w:t>
      </w:r>
      <w:r>
        <w:fldChar w:fldCharType="end"/>
      </w:r>
      <w:r>
        <w:fldChar w:fldCharType="end"/>
      </w:r>
    </w:p>
    <w:p w14:paraId="400E8978">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"_Toc92995452" </w:instrText>
      </w:r>
      <w:r>
        <w:fldChar w:fldCharType="separate"/>
      </w:r>
      <w:r>
        <w:rPr>
          <w:rStyle w:val="33"/>
          <w:rFonts w:eastAsia="方正仿宋_GBK"/>
          <w:spacing w:val="6"/>
        </w:rPr>
        <w:t>9.1</w:t>
      </w:r>
      <w:r>
        <w:rPr>
          <w:rStyle w:val="33"/>
          <w:rFonts w:hint="eastAsia" w:eastAsia="方正仿宋_GBK"/>
          <w:spacing w:val="6"/>
        </w:rPr>
        <w:t>行业内投资</w:t>
      </w:r>
      <w:r>
        <w:tab/>
      </w:r>
      <w:r>
        <w:fldChar w:fldCharType="begin"/>
      </w:r>
      <w:r>
        <w:instrText xml:space="preserve"> PAGEREF _Toc92995452 \h </w:instrText>
      </w:r>
      <w:r>
        <w:fldChar w:fldCharType="separate"/>
      </w:r>
      <w:r>
        <w:t>68</w:t>
      </w:r>
      <w:r>
        <w:fldChar w:fldCharType="end"/>
      </w:r>
      <w:r>
        <w:fldChar w:fldCharType="end"/>
      </w:r>
    </w:p>
    <w:p w14:paraId="68C3C93C">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"_Toc92995453" </w:instrText>
      </w:r>
      <w:r>
        <w:fldChar w:fldCharType="separate"/>
      </w:r>
      <w:r>
        <w:rPr>
          <w:rStyle w:val="33"/>
          <w:rFonts w:eastAsia="方正仿宋_GBK"/>
          <w:spacing w:val="6"/>
        </w:rPr>
        <w:t>9.2</w:t>
      </w:r>
      <w:r>
        <w:rPr>
          <w:rStyle w:val="33"/>
          <w:rFonts w:hint="eastAsia" w:eastAsia="方正仿宋_GBK"/>
          <w:spacing w:val="6"/>
        </w:rPr>
        <w:t>行业外投资</w:t>
      </w:r>
      <w:r>
        <w:tab/>
      </w:r>
      <w:r>
        <w:fldChar w:fldCharType="begin"/>
      </w:r>
      <w:r>
        <w:instrText xml:space="preserve"> PAGEREF _Toc92995453 \h </w:instrText>
      </w:r>
      <w:r>
        <w:fldChar w:fldCharType="separate"/>
      </w:r>
      <w:r>
        <w:t>72</w:t>
      </w:r>
      <w:r>
        <w:fldChar w:fldCharType="end"/>
      </w:r>
      <w:r>
        <w:fldChar w:fldCharType="end"/>
      </w:r>
    </w:p>
    <w:p w14:paraId="64DA4F0B">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"_Toc92995454" </w:instrText>
      </w:r>
      <w:r>
        <w:fldChar w:fldCharType="separate"/>
      </w:r>
      <w:r>
        <w:rPr>
          <w:rStyle w:val="33"/>
          <w:rFonts w:hint="eastAsia" w:eastAsia="方正仿宋_GBK"/>
          <w:spacing w:val="6"/>
        </w:rPr>
        <w:t>第十章</w:t>
      </w:r>
      <w:r>
        <w:rPr>
          <w:rStyle w:val="33"/>
          <w:rFonts w:eastAsia="方正仿宋_GBK"/>
          <w:spacing w:val="6"/>
        </w:rPr>
        <w:t xml:space="preserve"> </w:t>
      </w:r>
      <w:r>
        <w:rPr>
          <w:rStyle w:val="33"/>
          <w:rFonts w:hint="eastAsia" w:eastAsia="方正仿宋_GBK"/>
          <w:spacing w:val="6"/>
        </w:rPr>
        <w:t>环境影响评价</w:t>
      </w:r>
      <w:r>
        <w:tab/>
      </w:r>
      <w:r>
        <w:fldChar w:fldCharType="begin"/>
      </w:r>
      <w:r>
        <w:instrText xml:space="preserve"> PAGEREF _Toc92995454 \h </w:instrText>
      </w:r>
      <w:r>
        <w:fldChar w:fldCharType="separate"/>
      </w:r>
      <w:r>
        <w:t>73</w:t>
      </w:r>
      <w:r>
        <w:fldChar w:fldCharType="end"/>
      </w:r>
      <w:r>
        <w:fldChar w:fldCharType="end"/>
      </w:r>
    </w:p>
    <w:p w14:paraId="1FBE83E5">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"_Toc92995455" </w:instrText>
      </w:r>
      <w:r>
        <w:fldChar w:fldCharType="separate"/>
      </w:r>
      <w:r>
        <w:rPr>
          <w:rStyle w:val="33"/>
          <w:rFonts w:hint="eastAsia" w:eastAsia="方正仿宋_GBK"/>
          <w:spacing w:val="6"/>
        </w:rPr>
        <w:t>第十一章</w:t>
      </w:r>
      <w:r>
        <w:rPr>
          <w:rStyle w:val="33"/>
          <w:rFonts w:eastAsia="方正仿宋_GBK"/>
          <w:spacing w:val="6"/>
        </w:rPr>
        <w:t xml:space="preserve"> </w:t>
      </w:r>
      <w:r>
        <w:rPr>
          <w:rStyle w:val="33"/>
          <w:rFonts w:hint="eastAsia" w:eastAsia="方正仿宋_GBK"/>
          <w:spacing w:val="6"/>
        </w:rPr>
        <w:t>规划实施的保障措施</w:t>
      </w:r>
      <w:r>
        <w:tab/>
      </w:r>
      <w:r>
        <w:fldChar w:fldCharType="begin"/>
      </w:r>
      <w:r>
        <w:instrText xml:space="preserve"> PAGEREF _Toc92995455 \h </w:instrText>
      </w:r>
      <w:r>
        <w:fldChar w:fldCharType="separate"/>
      </w:r>
      <w:r>
        <w:t>75</w:t>
      </w:r>
      <w:r>
        <w:fldChar w:fldCharType="end"/>
      </w:r>
      <w:r>
        <w:fldChar w:fldCharType="end"/>
      </w:r>
    </w:p>
    <w:p w14:paraId="7EA75244">
      <w:pPr>
        <w:pStyle w:val="17"/>
        <w:tabs>
          <w:tab w:val="right" w:leader="dot" w:pos="9060"/>
        </w:tabs>
        <w:rPr>
          <w:rFonts w:eastAsia="宋体" w:asciiTheme="minorHAnsi" w:hAnsiTheme="minorHAnsi" w:cstheme="minorBidi"/>
          <w:b w:val="0"/>
          <w:snapToGrid/>
          <w:kern w:val="0"/>
          <w:sz w:val="22"/>
          <w:szCs w:val="22"/>
        </w:rPr>
      </w:pPr>
      <w:r>
        <w:fldChar w:fldCharType="begin"/>
      </w:r>
      <w:r>
        <w:instrText xml:space="preserve"> HYPERLINK \l "_Toc92995456" </w:instrText>
      </w:r>
      <w:r>
        <w:fldChar w:fldCharType="separate"/>
      </w:r>
      <w:r>
        <w:rPr>
          <w:rStyle w:val="33"/>
          <w:rFonts w:hint="eastAsia" w:eastAsia="方正仿宋_GBK"/>
          <w:spacing w:val="6"/>
        </w:rPr>
        <w:t>第十二章</w:t>
      </w:r>
      <w:r>
        <w:rPr>
          <w:rStyle w:val="33"/>
          <w:rFonts w:eastAsia="方正仿宋_GBK"/>
          <w:spacing w:val="6"/>
        </w:rPr>
        <w:t xml:space="preserve"> </w:t>
      </w:r>
      <w:r>
        <w:rPr>
          <w:rStyle w:val="33"/>
          <w:rFonts w:hint="eastAsia" w:eastAsia="方正仿宋_GBK"/>
          <w:spacing w:val="6"/>
        </w:rPr>
        <w:t>重要项目简介</w:t>
      </w:r>
      <w:r>
        <w:tab/>
      </w:r>
      <w:r>
        <w:fldChar w:fldCharType="begin"/>
      </w:r>
      <w:r>
        <w:instrText xml:space="preserve"> PAGEREF _Toc92995456 \h </w:instrText>
      </w:r>
      <w:r>
        <w:fldChar w:fldCharType="separate"/>
      </w:r>
      <w:r>
        <w:t>78</w:t>
      </w:r>
      <w:r>
        <w:fldChar w:fldCharType="end"/>
      </w:r>
      <w:r>
        <w:fldChar w:fldCharType="end"/>
      </w:r>
    </w:p>
    <w:p w14:paraId="19136722">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"_Toc92995457" </w:instrText>
      </w:r>
      <w:r>
        <w:fldChar w:fldCharType="separate"/>
      </w:r>
      <w:r>
        <w:rPr>
          <w:rStyle w:val="33"/>
          <w:rFonts w:eastAsia="方正仿宋_GBK"/>
          <w:spacing w:val="6"/>
        </w:rPr>
        <w:t xml:space="preserve">12.1 </w:t>
      </w:r>
      <w:r>
        <w:rPr>
          <w:rStyle w:val="33"/>
          <w:rFonts w:hint="eastAsia" w:eastAsia="方正仿宋_GBK"/>
          <w:spacing w:val="6"/>
        </w:rPr>
        <w:t>水源工程</w:t>
      </w:r>
      <w:r>
        <w:tab/>
      </w:r>
      <w:r>
        <w:fldChar w:fldCharType="begin"/>
      </w:r>
      <w:r>
        <w:instrText xml:space="preserve"> PAGEREF _Toc92995457 \h </w:instrText>
      </w:r>
      <w:r>
        <w:fldChar w:fldCharType="separate"/>
      </w:r>
      <w:r>
        <w:t>78</w:t>
      </w:r>
      <w:r>
        <w:fldChar w:fldCharType="end"/>
      </w:r>
      <w:r>
        <w:fldChar w:fldCharType="end"/>
      </w:r>
    </w:p>
    <w:p w14:paraId="7A2571C8">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"_Toc92995458" </w:instrText>
      </w:r>
      <w:r>
        <w:fldChar w:fldCharType="separate"/>
      </w:r>
      <w:r>
        <w:rPr>
          <w:rStyle w:val="33"/>
          <w:rFonts w:eastAsia="方正仿宋_GBK"/>
          <w:spacing w:val="6"/>
        </w:rPr>
        <w:t xml:space="preserve">12.2 </w:t>
      </w:r>
      <w:r>
        <w:rPr>
          <w:rStyle w:val="33"/>
          <w:rFonts w:hint="eastAsia" w:eastAsia="方正仿宋_GBK"/>
          <w:spacing w:val="6"/>
        </w:rPr>
        <w:t>库岸综合治理工程</w:t>
      </w:r>
      <w:r>
        <w:tab/>
      </w:r>
      <w:r>
        <w:fldChar w:fldCharType="begin"/>
      </w:r>
      <w:r>
        <w:instrText xml:space="preserve"> PAGEREF _Toc92995458 \h </w:instrText>
      </w:r>
      <w:r>
        <w:fldChar w:fldCharType="separate"/>
      </w:r>
      <w:r>
        <w:t>80</w:t>
      </w:r>
      <w:r>
        <w:fldChar w:fldCharType="end"/>
      </w:r>
      <w:r>
        <w:fldChar w:fldCharType="end"/>
      </w:r>
    </w:p>
    <w:p w14:paraId="4765F42F">
      <w:pPr>
        <w:pStyle w:val="22"/>
        <w:tabs>
          <w:tab w:val="right" w:leader="dot" w:pos="9060"/>
        </w:tabs>
        <w:ind w:left="420"/>
        <w:rPr>
          <w:rFonts w:eastAsia="宋体" w:asciiTheme="minorHAnsi" w:hAnsiTheme="minorHAnsi" w:cstheme="minorBidi"/>
          <w:kern w:val="0"/>
          <w:sz w:val="22"/>
        </w:rPr>
      </w:pPr>
      <w:r>
        <w:fldChar w:fldCharType="begin"/>
      </w:r>
      <w:r>
        <w:instrText xml:space="preserve"> HYPERLINK \l "_Toc92995459" </w:instrText>
      </w:r>
      <w:r>
        <w:fldChar w:fldCharType="separate"/>
      </w:r>
      <w:r>
        <w:rPr>
          <w:rStyle w:val="33"/>
          <w:rFonts w:eastAsia="方正仿宋_GBK"/>
          <w:spacing w:val="6"/>
        </w:rPr>
        <w:t xml:space="preserve">12.3 </w:t>
      </w:r>
      <w:r>
        <w:rPr>
          <w:rStyle w:val="33"/>
          <w:rFonts w:hint="eastAsia" w:eastAsia="方正仿宋_GBK"/>
          <w:spacing w:val="6"/>
        </w:rPr>
        <w:t>监测设施提档升级</w:t>
      </w:r>
      <w:r>
        <w:tab/>
      </w:r>
      <w:r>
        <w:fldChar w:fldCharType="begin"/>
      </w:r>
      <w:r>
        <w:instrText xml:space="preserve"> PAGEREF _Toc92995459 \h </w:instrText>
      </w:r>
      <w:r>
        <w:fldChar w:fldCharType="separate"/>
      </w:r>
      <w:r>
        <w:t>80</w:t>
      </w:r>
      <w:r>
        <w:fldChar w:fldCharType="end"/>
      </w:r>
      <w:r>
        <w:fldChar w:fldCharType="end"/>
      </w:r>
    </w:p>
    <w:p w14:paraId="3AF674D9">
      <w:pPr>
        <w:spacing w:line="480" w:lineRule="auto"/>
        <w:jc w:val="center"/>
        <w:rPr>
          <w:rFonts w:ascii="Times New Roman" w:hAnsi="Times New Roman" w:eastAsia="方正仿宋_GBK"/>
          <w:b/>
          <w:spacing w:val="6"/>
          <w:szCs w:val="36"/>
        </w:rPr>
        <w:sectPr>
          <w:headerReference r:id="rId15" w:type="default"/>
          <w:footerReference r:id="rId16" w:type="default"/>
          <w:pgSz w:w="11906" w:h="16838"/>
          <w:pgMar w:top="1418" w:right="1418" w:bottom="1418" w:left="1418" w:header="851" w:footer="992" w:gutter="0"/>
          <w:pgNumType w:start="1"/>
          <w:cols w:space="720" w:num="1"/>
          <w:docGrid w:type="lines" w:linePitch="312" w:charSpace="0"/>
        </w:sectPr>
      </w:pPr>
      <w:r>
        <w:rPr>
          <w:rFonts w:ascii="Times New Roman" w:hAnsi="Times New Roman"/>
          <w:b/>
          <w:sz w:val="28"/>
          <w:szCs w:val="28"/>
        </w:rPr>
        <w:fldChar w:fldCharType="end"/>
      </w:r>
    </w:p>
    <w:p w14:paraId="7E97EA61">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7" w:name="_Toc92995403"/>
      <w:bookmarkStart w:id="8" w:name="_Toc29842"/>
      <w:r>
        <w:rPr>
          <w:rFonts w:ascii="Times New Roman" w:hAnsi="Times New Roman" w:eastAsia="方正仿宋_GBK" w:cs="Times New Roman"/>
          <w:b/>
          <w:spacing w:val="6"/>
          <w:szCs w:val="36"/>
        </w:rPr>
        <w:t xml:space="preserve">第一章 </w:t>
      </w:r>
      <w:bookmarkEnd w:id="5"/>
      <w:r>
        <w:rPr>
          <w:rFonts w:ascii="Times New Roman" w:hAnsi="Times New Roman" w:eastAsia="方正仿宋_GBK" w:cs="Times New Roman"/>
          <w:b/>
          <w:spacing w:val="6"/>
          <w:szCs w:val="36"/>
        </w:rPr>
        <w:t>概况</w:t>
      </w:r>
      <w:bookmarkEnd w:id="7"/>
      <w:bookmarkEnd w:id="8"/>
    </w:p>
    <w:p w14:paraId="5C87151E">
      <w:pPr>
        <w:pStyle w:val="4"/>
        <w:numPr>
          <w:ilvl w:val="0"/>
          <w:numId w:val="0"/>
        </w:numPr>
        <w:spacing w:before="0" w:after="0" w:line="360" w:lineRule="auto"/>
        <w:jc w:val="left"/>
        <w:rPr>
          <w:rFonts w:ascii="Times New Roman" w:hAnsi="Times New Roman" w:eastAsia="方正仿宋_GBK"/>
          <w:spacing w:val="6"/>
          <w:szCs w:val="32"/>
        </w:rPr>
      </w:pPr>
      <w:bookmarkStart w:id="9" w:name="_Toc24452"/>
      <w:bookmarkStart w:id="10" w:name="_Toc92995404"/>
      <w:bookmarkStart w:id="11" w:name="_Toc30122"/>
      <w:r>
        <w:rPr>
          <w:rFonts w:ascii="Times New Roman" w:hAnsi="Times New Roman" w:eastAsia="方正仿宋_GBK"/>
          <w:spacing w:val="6"/>
          <w:szCs w:val="32"/>
        </w:rPr>
        <w:t>1.1 地理位置</w:t>
      </w:r>
      <w:bookmarkEnd w:id="9"/>
      <w:bookmarkEnd w:id="10"/>
      <w:bookmarkEnd w:id="11"/>
    </w:p>
    <w:p w14:paraId="663263B1">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是重庆市的东大门，位于长江三峡库区腹心。历史上奉节被称为“控带二川，限隔五溪，据荆楚之上游，为巴蜀之喉吭”、“西南四道之咽喉，吴楚万里之襟带”。奉节县东邻巫山县，西接云阳县，南与湖北省建始县、恩施市、利川市毗连，北与巫溪县接壤，与重庆市陆路距离371km，距离宜昌274km。县境东西最大距离71.4km，南北最大距离97.7km。地跨东经109°1′17″～109°45′58″，北纬30°29′19″～31°22′33″。全县幅员面积4098km</w:t>
      </w:r>
      <w:r>
        <w:rPr>
          <w:rFonts w:ascii="Times New Roman" w:hAnsi="Times New Roman" w:eastAsia="楷体"/>
          <w:sz w:val="28"/>
          <w:szCs w:val="32"/>
          <w:vertAlign w:val="superscript"/>
        </w:rPr>
        <w:t>2</w:t>
      </w:r>
      <w:r>
        <w:rPr>
          <w:rFonts w:ascii="Times New Roman" w:hAnsi="Times New Roman" w:eastAsia="楷体"/>
          <w:sz w:val="28"/>
          <w:szCs w:val="32"/>
        </w:rPr>
        <w:t>，全县辖4个街道，29个乡镇， 314个村， 7</w:t>
      </w:r>
      <w:r>
        <w:rPr>
          <w:rFonts w:hint="eastAsia" w:ascii="Times New Roman" w:hAnsi="Times New Roman" w:eastAsia="楷体"/>
          <w:sz w:val="28"/>
          <w:szCs w:val="32"/>
        </w:rPr>
        <w:t>8</w:t>
      </w:r>
      <w:r>
        <w:rPr>
          <w:rFonts w:ascii="Times New Roman" w:hAnsi="Times New Roman" w:eastAsia="楷体"/>
          <w:sz w:val="28"/>
          <w:szCs w:val="32"/>
        </w:rPr>
        <w:t>个社区。全县耕地面积113.13万亩。</w:t>
      </w:r>
    </w:p>
    <w:p w14:paraId="14EB0D08">
      <w:pPr>
        <w:jc w:val="center"/>
        <w:rPr>
          <w:rFonts w:ascii="Times New Roman" w:hAnsi="Times New Roman"/>
        </w:rPr>
      </w:pPr>
      <w:r>
        <w:rPr>
          <w:rFonts w:ascii="Times New Roman" w:hAnsi="Times New Roman"/>
        </w:rPr>
        <w:drawing>
          <wp:inline distT="0" distB="0" distL="0" distR="0">
            <wp:extent cx="3830955" cy="3594735"/>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0"/>
                    <a:srcRect l="5824" t="48701" r="71890" b="21718"/>
                    <a:stretch>
                      <a:fillRect/>
                    </a:stretch>
                  </pic:blipFill>
                  <pic:spPr>
                    <a:xfrm>
                      <a:off x="0" y="0"/>
                      <a:ext cx="3830955" cy="3594735"/>
                    </a:xfrm>
                    <a:prstGeom prst="rect">
                      <a:avLst/>
                    </a:prstGeom>
                    <a:noFill/>
                    <a:ln w="9525">
                      <a:noFill/>
                      <a:miter lim="800000"/>
                      <a:headEnd/>
                      <a:tailEnd/>
                    </a:ln>
                  </pic:spPr>
                </pic:pic>
              </a:graphicData>
            </a:graphic>
          </wp:inline>
        </w:drawing>
      </w:r>
    </w:p>
    <w:p w14:paraId="59DE8DAE">
      <w:pPr>
        <w:spacing w:line="520" w:lineRule="exact"/>
        <w:ind w:firstLine="480" w:firstLineChars="200"/>
        <w:jc w:val="center"/>
        <w:rPr>
          <w:rFonts w:ascii="Times New Roman" w:hAnsi="Times New Roman" w:eastAsia="楷体"/>
          <w:sz w:val="24"/>
          <w:szCs w:val="28"/>
        </w:rPr>
      </w:pPr>
      <w:r>
        <w:rPr>
          <w:rFonts w:ascii="Times New Roman" w:hAnsi="Times New Roman" w:eastAsia="楷体"/>
          <w:sz w:val="24"/>
          <w:szCs w:val="28"/>
        </w:rPr>
        <w:t>图1.1-1 奉节县在重庆市位置</w:t>
      </w:r>
    </w:p>
    <w:p w14:paraId="788CB7BC">
      <w:pPr>
        <w:pStyle w:val="4"/>
        <w:numPr>
          <w:ilvl w:val="0"/>
          <w:numId w:val="0"/>
        </w:numPr>
        <w:spacing w:before="0" w:after="0" w:line="360" w:lineRule="auto"/>
        <w:jc w:val="left"/>
        <w:rPr>
          <w:rFonts w:ascii="Times New Roman" w:hAnsi="Times New Roman" w:eastAsia="方正仿宋_GBK"/>
          <w:spacing w:val="6"/>
          <w:szCs w:val="32"/>
        </w:rPr>
      </w:pPr>
      <w:bookmarkStart w:id="12" w:name="_Toc23279"/>
      <w:bookmarkStart w:id="13" w:name="_Toc92995405"/>
      <w:bookmarkStart w:id="14" w:name="_Toc19885"/>
      <w:r>
        <w:rPr>
          <w:rFonts w:ascii="Times New Roman" w:hAnsi="Times New Roman" w:eastAsia="方正仿宋_GBK"/>
          <w:spacing w:val="6"/>
          <w:szCs w:val="32"/>
        </w:rPr>
        <w:t>1.2 地形地貌</w:t>
      </w:r>
      <w:bookmarkEnd w:id="12"/>
      <w:bookmarkEnd w:id="13"/>
      <w:bookmarkEnd w:id="14"/>
    </w:p>
    <w:p w14:paraId="3D573274">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属四川盆地东部山地地貌，长江横贯中部，山峦起伏，沟壑纵横。境内山地面积占总面积的88.3%，中山（海拔1000m以上）占总面积80.01%，最高海拔吐祥猫儿梁为2123m，三峡工程蓄水前最低海拔瞿塘峡口为86m。奉节北部为大巴山南麓的一部分，东部和南部为巫山和七曜山的一部分，长江横切七曜山形成著名的瞿塘峡。地貌总体为东南、东北高而中部偏西稍平缓，南北约为对称分布，以长江为对称轴，离长江越远海拔越高，有少量平缓河谷平坝。境内长江干流41.5km，有梅溪河、大溪河、长滩河、草堂河、朱衣河等主要河流。</w:t>
      </w:r>
    </w:p>
    <w:p w14:paraId="67A00626">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全县境内分属大巴山脉川东褶皱带和川 、鄂、湘、黔隆起褶皱带，且处于交接复合部位，构造形迹主要是褶皱，背斜一般较紧凑狭长，向斜相对较宽缓，山脉走向与构造线方向大体一致。在全县幅员面积内，地层属沉积岩，自志留系至第四系除缺白垩系和第三系外均有出露，碳酸盐岩类占50.4%，碎屑岩类占49.6%。</w:t>
      </w:r>
    </w:p>
    <w:p w14:paraId="673D7B5E">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地质构造决定了全县的地貌基本轮廓。其总的特点是南北高，中部低，东部略高于西部，高差悬殊大，沿长江谷地三峡水库水位海拔最低175m，境内最高海拔北部为大巴山南缘部分的狮子山1680m，南端的猫儿梁海拔高程为2123m，最大高差近2000m，一般相对切割深度为500—1000m，山大坡陡，岩体破碎。境内各种地貌类型与幅员面积比例约为：河谷低坝占0.93%，单斜低山占22.99%。台状低山占3.88%。岭脊型中山占16.84%，岩溶低山占15.96%，岩溶峰丛洼地占39.4%。</w:t>
      </w:r>
    </w:p>
    <w:p w14:paraId="47CAA521">
      <w:pPr>
        <w:pStyle w:val="4"/>
        <w:numPr>
          <w:ilvl w:val="0"/>
          <w:numId w:val="0"/>
        </w:numPr>
        <w:spacing w:before="0" w:after="0" w:line="360" w:lineRule="auto"/>
        <w:jc w:val="left"/>
        <w:rPr>
          <w:rFonts w:ascii="Times New Roman" w:hAnsi="Times New Roman" w:eastAsia="方正仿宋_GBK"/>
          <w:spacing w:val="6"/>
          <w:szCs w:val="32"/>
        </w:rPr>
      </w:pPr>
      <w:bookmarkStart w:id="15" w:name="_Toc32679"/>
      <w:bookmarkStart w:id="16" w:name="_Toc2022"/>
      <w:bookmarkStart w:id="17" w:name="_Toc92995406"/>
      <w:r>
        <w:rPr>
          <w:rFonts w:ascii="Times New Roman" w:hAnsi="Times New Roman" w:eastAsia="方正仿宋_GBK"/>
          <w:spacing w:val="6"/>
          <w:szCs w:val="32"/>
        </w:rPr>
        <w:t>1.3 水文气象</w:t>
      </w:r>
      <w:bookmarkEnd w:id="15"/>
      <w:bookmarkEnd w:id="16"/>
      <w:bookmarkEnd w:id="17"/>
    </w:p>
    <w:p w14:paraId="19BDC04C">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奉节县属亚热带暖湿东南季风气候，气候温和，光照适宜，雨量充沛，四季分明。多年平均气温17.1℃，历年极端最高气温42.4℃，常年日照1487.5h，最低气温</w:t>
      </w:r>
      <w:r>
        <w:rPr>
          <w:rFonts w:hint="eastAsia" w:ascii="Times New Roman" w:hAnsi="Times New Roman" w:eastAsia="楷体"/>
          <w:sz w:val="28"/>
          <w:szCs w:val="32"/>
        </w:rPr>
        <w:t>－</w:t>
      </w:r>
      <w:r>
        <w:rPr>
          <w:rFonts w:ascii="Times New Roman" w:hAnsi="Times New Roman" w:eastAsia="楷体"/>
          <w:sz w:val="28"/>
          <w:szCs w:val="32"/>
        </w:rPr>
        <w:t>9.2℃。多年平均降水1104.7mm，多年年最大降水量1542.9mm（2017年）。垂直气候十分鲜明，多年平均蒸发量1319.2mm，降水与蒸发大约相当。</w:t>
      </w:r>
    </w:p>
    <w:p w14:paraId="0E17F0CA">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全县自然灾害性气候主要表现为寒潮低温、干旱、暴雨、洪涝、大风和冰雹，尤以干旱和暴雨洪水危害严重。由于年降水分配不均，夏秋多以暴雨形式出现，故而干旱与洪灾交替频繁出现。据气象有关资料记载，1957年</w:t>
      </w:r>
      <w:r>
        <w:rPr>
          <w:rFonts w:hint="eastAsia" w:ascii="Times New Roman" w:hAnsi="Times New Roman" w:eastAsia="楷体"/>
          <w:sz w:val="28"/>
          <w:szCs w:val="32"/>
        </w:rPr>
        <w:t>－</w:t>
      </w:r>
      <w:r>
        <w:rPr>
          <w:rFonts w:ascii="Times New Roman" w:hAnsi="Times New Roman" w:eastAsia="楷体"/>
          <w:sz w:val="28"/>
          <w:szCs w:val="32"/>
        </w:rPr>
        <w:t>2004年的47年间，共有43年发生不同程度的干旱，可谓“十年九旱”。春旱出现于3-4月，发生机率30%，夏旱出现于5-6月，发生机率41%，伏旱出现于7-8月，发生机率达71%，其特点是：夏、伏旱相连，或伏旱连秋旱，重则夏、伏、秋旱相连，或秋、冬、春旱相连，如1990年干旱持续就长达88天，1994年夏伏旱达50天，1998年秋至1999年春长达120天少雨，2006年春夏秋旱长达106天，暴雨灾害多发生于4-10月，历年一般暴雨最早出现于4月10日，最晚出现于10月21日，灾害性暴雨多发生于5-9月。日降雨在100mm以上的时有发生，大于50毫米的降水就更为频繁，虽是蓄水的大好时机，但也是暴雨成灾的主要时段。</w:t>
      </w:r>
    </w:p>
    <w:p w14:paraId="1F2406A0">
      <w:pPr>
        <w:pStyle w:val="4"/>
        <w:numPr>
          <w:ilvl w:val="0"/>
          <w:numId w:val="0"/>
        </w:numPr>
        <w:spacing w:before="0" w:after="0" w:line="360" w:lineRule="auto"/>
        <w:jc w:val="left"/>
        <w:rPr>
          <w:rFonts w:ascii="Times New Roman" w:hAnsi="Times New Roman" w:eastAsia="方正仿宋_GBK"/>
          <w:spacing w:val="6"/>
          <w:szCs w:val="32"/>
        </w:rPr>
      </w:pPr>
      <w:bookmarkStart w:id="18" w:name="_Toc92995407"/>
      <w:bookmarkStart w:id="19" w:name="_Toc6929"/>
      <w:bookmarkStart w:id="20" w:name="_Toc10587"/>
      <w:r>
        <w:rPr>
          <w:rFonts w:ascii="Times New Roman" w:hAnsi="Times New Roman" w:eastAsia="方正仿宋_GBK"/>
          <w:spacing w:val="6"/>
          <w:szCs w:val="32"/>
        </w:rPr>
        <w:t>1.4 河流水系</w:t>
      </w:r>
      <w:bookmarkEnd w:id="18"/>
      <w:bookmarkEnd w:id="19"/>
      <w:bookmarkEnd w:id="20"/>
    </w:p>
    <w:p w14:paraId="039504DD">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奉节县位于重庆市东北部，属长江流域，县内出境口以上流域面积50 km</w:t>
      </w:r>
      <w:r>
        <w:rPr>
          <w:rFonts w:ascii="Times New Roman" w:hAnsi="Times New Roman" w:eastAsia="楷体"/>
          <w:sz w:val="28"/>
          <w:szCs w:val="32"/>
          <w:vertAlign w:val="superscript"/>
        </w:rPr>
        <w:t>2</w:t>
      </w:r>
      <w:r>
        <w:rPr>
          <w:rFonts w:ascii="Times New Roman" w:hAnsi="Times New Roman" w:eastAsia="楷体"/>
          <w:sz w:val="28"/>
          <w:szCs w:val="32"/>
        </w:rPr>
        <w:t>以上重要河流30条，除长江干流外较大的河流有梅溪河、大溪河、长滩河、草堂河、朱衣河等，溪河纵横，河网密度达0.43km/km</w:t>
      </w:r>
      <w:r>
        <w:rPr>
          <w:rFonts w:ascii="Times New Roman" w:hAnsi="Times New Roman" w:eastAsia="楷体"/>
          <w:sz w:val="28"/>
          <w:szCs w:val="32"/>
          <w:vertAlign w:val="superscript"/>
        </w:rPr>
        <w:t>2</w:t>
      </w:r>
      <w:r>
        <w:rPr>
          <w:rFonts w:ascii="Times New Roman" w:hAnsi="Times New Roman" w:eastAsia="楷体"/>
          <w:sz w:val="28"/>
          <w:szCs w:val="32"/>
        </w:rPr>
        <w:t>。境内河流均具有切割深，径流丰沛，洪水暴涨、暴落、丰枯变化大、中上游落差大等共同特点。</w:t>
      </w:r>
    </w:p>
    <w:p w14:paraId="018FF409">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（1）梅溪河</w:t>
      </w:r>
    </w:p>
    <w:p w14:paraId="11979E9D">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梅溪河为三峡库区长江北岸一级支流，流经重庆市的巫溪、奉节和云阳三县境内。梅溪河发源于巫溪县窄颈之南的岳王岩山，海拔高程2300m，由北向南流至谭家包进入奉节境内，流经石岗乡，在两河口接纳左岸支流崔家河，在老县城一带注入长江。梅溪河全长117km，集雨面积2001km</w:t>
      </w:r>
      <w:r>
        <w:rPr>
          <w:rFonts w:ascii="Times New Roman" w:hAnsi="Times New Roman" w:eastAsia="楷体"/>
          <w:sz w:val="28"/>
          <w:szCs w:val="32"/>
          <w:vertAlign w:val="superscript"/>
        </w:rPr>
        <w:t>2</w:t>
      </w:r>
      <w:r>
        <w:rPr>
          <w:rFonts w:ascii="Times New Roman" w:hAnsi="Times New Roman" w:eastAsia="楷体"/>
          <w:sz w:val="28"/>
          <w:szCs w:val="32"/>
        </w:rPr>
        <w:t>，河道天然总落差730m。奉节县境内河段长86.48km，集雨面积1361.5km</w:t>
      </w:r>
      <w:r>
        <w:rPr>
          <w:rFonts w:ascii="Times New Roman" w:hAnsi="Times New Roman" w:eastAsia="楷体"/>
          <w:sz w:val="28"/>
          <w:szCs w:val="32"/>
          <w:vertAlign w:val="superscript"/>
        </w:rPr>
        <w:t>2</w:t>
      </w:r>
      <w:r>
        <w:rPr>
          <w:rFonts w:ascii="Times New Roman" w:hAnsi="Times New Roman" w:eastAsia="楷体"/>
          <w:sz w:val="28"/>
          <w:szCs w:val="32"/>
        </w:rPr>
        <w:t>，天然落差484.5m。</w:t>
      </w:r>
    </w:p>
    <w:p w14:paraId="572CC6AE">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（2）草堂河</w:t>
      </w:r>
    </w:p>
    <w:p w14:paraId="17DB7DEC">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草堂河发源于奉节与巫溪二县交界处山冈，南流过岩湾，西南过汾河镇，转东南与石马河汇合后于白帝城东注入长江。干流全长33.3km，直线河长22.6km，平均比降6.65‰，流域面积394.8km</w:t>
      </w:r>
      <w:r>
        <w:rPr>
          <w:rFonts w:ascii="Times New Roman" w:hAnsi="Times New Roman" w:eastAsia="楷体"/>
          <w:sz w:val="28"/>
          <w:szCs w:val="32"/>
          <w:vertAlign w:val="superscript"/>
        </w:rPr>
        <w:t>2</w:t>
      </w:r>
      <w:r>
        <w:rPr>
          <w:rFonts w:ascii="Times New Roman" w:hAnsi="Times New Roman" w:eastAsia="楷体"/>
          <w:sz w:val="28"/>
          <w:szCs w:val="32"/>
        </w:rPr>
        <w:t>，河口多年平均流量7.51m</w:t>
      </w:r>
      <w:r>
        <w:rPr>
          <w:rFonts w:ascii="Times New Roman" w:hAnsi="Times New Roman" w:eastAsia="楷体"/>
          <w:sz w:val="28"/>
          <w:szCs w:val="32"/>
          <w:vertAlign w:val="superscript"/>
        </w:rPr>
        <w:t>3</w:t>
      </w:r>
      <w:r>
        <w:rPr>
          <w:rFonts w:ascii="Times New Roman" w:hAnsi="Times New Roman" w:eastAsia="楷体"/>
          <w:sz w:val="28"/>
          <w:szCs w:val="32"/>
        </w:rPr>
        <w:t>/s，年径流量2.369亿m</w:t>
      </w:r>
      <w:r>
        <w:rPr>
          <w:rFonts w:ascii="Times New Roman" w:hAnsi="Times New Roman" w:eastAsia="楷体"/>
          <w:sz w:val="28"/>
          <w:szCs w:val="32"/>
          <w:vertAlign w:val="superscript"/>
        </w:rPr>
        <w:t>3</w:t>
      </w:r>
      <w:r>
        <w:rPr>
          <w:rFonts w:ascii="Times New Roman" w:hAnsi="Times New Roman" w:eastAsia="楷体"/>
          <w:sz w:val="28"/>
          <w:szCs w:val="32"/>
        </w:rPr>
        <w:t>，时程分配不均匀，常在枯季和干旱时期出现断流。</w:t>
      </w:r>
    </w:p>
    <w:p w14:paraId="03C9AA73">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（3）朱衣河</w:t>
      </w:r>
    </w:p>
    <w:p w14:paraId="2F9C7D45">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朱衣河为长江一级支流，发源于奉节县与云阳交界处的仙女寺，沿朱衣背斜轴部呈东西向发育，在口前汇入长江。干流全长31.4km，直线河长25.2km，弯曲系数1.25，平均比降16.3‰，流域面积153.6km</w:t>
      </w:r>
      <w:r>
        <w:rPr>
          <w:rFonts w:ascii="Times New Roman" w:hAnsi="Times New Roman" w:eastAsia="楷体"/>
          <w:sz w:val="28"/>
          <w:szCs w:val="32"/>
          <w:vertAlign w:val="superscript"/>
        </w:rPr>
        <w:t>2</w:t>
      </w:r>
      <w:r>
        <w:rPr>
          <w:rFonts w:ascii="Times New Roman" w:hAnsi="Times New Roman" w:eastAsia="楷体"/>
          <w:sz w:val="28"/>
          <w:szCs w:val="32"/>
        </w:rPr>
        <w:t>，河口多年平均流量3.25m</w:t>
      </w:r>
      <w:r>
        <w:rPr>
          <w:rFonts w:ascii="Times New Roman" w:hAnsi="Times New Roman" w:eastAsia="楷体"/>
          <w:sz w:val="28"/>
          <w:szCs w:val="32"/>
          <w:vertAlign w:val="superscript"/>
        </w:rPr>
        <w:t>3</w:t>
      </w:r>
      <w:r>
        <w:rPr>
          <w:rFonts w:ascii="Times New Roman" w:hAnsi="Times New Roman" w:eastAsia="楷体"/>
          <w:sz w:val="28"/>
          <w:szCs w:val="32"/>
        </w:rPr>
        <w:t>/s，年径流量1.025亿m</w:t>
      </w:r>
      <w:r>
        <w:rPr>
          <w:rFonts w:ascii="Times New Roman" w:hAnsi="Times New Roman" w:eastAsia="楷体"/>
          <w:sz w:val="28"/>
          <w:szCs w:val="32"/>
          <w:vertAlign w:val="superscript"/>
        </w:rPr>
        <w:t>3</w:t>
      </w:r>
      <w:r>
        <w:rPr>
          <w:rFonts w:ascii="Times New Roman" w:hAnsi="Times New Roman" w:eastAsia="楷体"/>
          <w:sz w:val="28"/>
          <w:szCs w:val="32"/>
        </w:rPr>
        <w:t>。</w:t>
      </w:r>
    </w:p>
    <w:p w14:paraId="2033D183">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（4）石马河</w:t>
      </w:r>
    </w:p>
    <w:p w14:paraId="6592C26A">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石马河为草堂河支流，属长江二级支流。发源于奉节县东隅毛坪。向西南流经双潭、草堂、八阵汇入草堂河。干流总长22.5km，平均比降9.23‰，流域面积192.4km</w:t>
      </w:r>
      <w:r>
        <w:rPr>
          <w:rFonts w:ascii="Times New Roman" w:hAnsi="Times New Roman" w:eastAsia="楷体"/>
          <w:sz w:val="28"/>
          <w:szCs w:val="32"/>
          <w:vertAlign w:val="superscript"/>
        </w:rPr>
        <w:t>2</w:t>
      </w:r>
      <w:r>
        <w:rPr>
          <w:rFonts w:ascii="Times New Roman" w:hAnsi="Times New Roman" w:eastAsia="楷体"/>
          <w:sz w:val="28"/>
          <w:szCs w:val="32"/>
        </w:rPr>
        <w:t>，河口多年平均流量4.78m</w:t>
      </w:r>
      <w:r>
        <w:rPr>
          <w:rFonts w:ascii="Times New Roman" w:hAnsi="Times New Roman" w:eastAsia="楷体"/>
          <w:sz w:val="28"/>
          <w:szCs w:val="32"/>
          <w:vertAlign w:val="superscript"/>
        </w:rPr>
        <w:t>3</w:t>
      </w:r>
      <w:r>
        <w:rPr>
          <w:rFonts w:ascii="Times New Roman" w:hAnsi="Times New Roman" w:eastAsia="楷体"/>
          <w:sz w:val="28"/>
          <w:szCs w:val="32"/>
        </w:rPr>
        <w:t>/s，年径流量1.025亿m</w:t>
      </w:r>
      <w:r>
        <w:rPr>
          <w:rFonts w:ascii="Times New Roman" w:hAnsi="Times New Roman" w:eastAsia="楷体"/>
          <w:sz w:val="28"/>
          <w:szCs w:val="32"/>
          <w:vertAlign w:val="superscript"/>
        </w:rPr>
        <w:t>3</w:t>
      </w:r>
      <w:r>
        <w:rPr>
          <w:rFonts w:ascii="Times New Roman" w:hAnsi="Times New Roman" w:eastAsia="楷体"/>
          <w:sz w:val="28"/>
          <w:szCs w:val="32"/>
        </w:rPr>
        <w:t>。</w:t>
      </w:r>
    </w:p>
    <w:p w14:paraId="36EDF541">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（5）花园河</w:t>
      </w:r>
    </w:p>
    <w:p w14:paraId="2B0E1BDD">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花园河为梅溪河支流，属长江二级支流，又称黄村河。发源于巫溪县上磺镇青庄山冈，于母猪峡进入奉节境内，经黄村、龙池，于平皋汇入梅溪河。干流总长22km，奉节境内16km，流域面积116km</w:t>
      </w:r>
      <w:r>
        <w:rPr>
          <w:rFonts w:ascii="Times New Roman" w:hAnsi="Times New Roman" w:eastAsia="楷体"/>
          <w:sz w:val="28"/>
          <w:szCs w:val="32"/>
          <w:vertAlign w:val="superscript"/>
        </w:rPr>
        <w:t>2</w:t>
      </w:r>
      <w:r>
        <w:rPr>
          <w:rFonts w:ascii="Times New Roman" w:hAnsi="Times New Roman" w:eastAsia="楷体"/>
          <w:sz w:val="28"/>
          <w:szCs w:val="32"/>
        </w:rPr>
        <w:t>，河口多年平均流量3.30m</w:t>
      </w:r>
      <w:r>
        <w:rPr>
          <w:rFonts w:ascii="Times New Roman" w:hAnsi="Times New Roman" w:eastAsia="楷体"/>
          <w:sz w:val="28"/>
          <w:szCs w:val="32"/>
          <w:vertAlign w:val="superscript"/>
        </w:rPr>
        <w:t>3</w:t>
      </w:r>
      <w:r>
        <w:rPr>
          <w:rFonts w:ascii="Times New Roman" w:hAnsi="Times New Roman" w:eastAsia="楷体"/>
          <w:sz w:val="28"/>
          <w:szCs w:val="32"/>
        </w:rPr>
        <w:t>/s，总落差841m。</w:t>
      </w:r>
    </w:p>
    <w:p w14:paraId="0AE3818B">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（6）崔家河</w:t>
      </w:r>
    </w:p>
    <w:p w14:paraId="35D9C034">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崔家河为梅溪河支流，长江二级支流，发源于奉节县竹园镇高石坎。东流至竹园镇，流经龙池、宝华、梅子，向南汇入梅溪河。干流总长36km，流域面积372km</w:t>
      </w:r>
      <w:r>
        <w:rPr>
          <w:rFonts w:ascii="Times New Roman" w:hAnsi="Times New Roman" w:eastAsia="楷体"/>
          <w:sz w:val="28"/>
          <w:szCs w:val="32"/>
          <w:vertAlign w:val="superscript"/>
        </w:rPr>
        <w:t>2</w:t>
      </w:r>
      <w:r>
        <w:rPr>
          <w:rFonts w:ascii="Times New Roman" w:hAnsi="Times New Roman" w:eastAsia="楷体"/>
          <w:sz w:val="28"/>
          <w:szCs w:val="32"/>
        </w:rPr>
        <w:t>，河口多年平均流量7.56m</w:t>
      </w:r>
      <w:r>
        <w:rPr>
          <w:rFonts w:ascii="Times New Roman" w:hAnsi="Times New Roman" w:eastAsia="楷体"/>
          <w:sz w:val="28"/>
          <w:szCs w:val="32"/>
          <w:vertAlign w:val="superscript"/>
        </w:rPr>
        <w:t>3</w:t>
      </w:r>
      <w:r>
        <w:rPr>
          <w:rFonts w:ascii="Times New Roman" w:hAnsi="Times New Roman" w:eastAsia="楷体"/>
          <w:sz w:val="28"/>
          <w:szCs w:val="32"/>
        </w:rPr>
        <w:t>/s，总落差935m。</w:t>
      </w:r>
    </w:p>
    <w:p w14:paraId="3ECEEC85">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（7）车家坝河</w:t>
      </w:r>
    </w:p>
    <w:p w14:paraId="345F66D2">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车家坝河是梅溪河右岸一级支流，位于云阳县和奉节县境内，河流发源于云阳县桑坪镇的大岩湾一带，在车家坝注入梅溪河。车家坝河全流域面积267km</w:t>
      </w:r>
      <w:r>
        <w:rPr>
          <w:rFonts w:ascii="Times New Roman" w:hAnsi="Times New Roman" w:eastAsia="楷体"/>
          <w:sz w:val="28"/>
          <w:szCs w:val="32"/>
          <w:vertAlign w:val="superscript"/>
        </w:rPr>
        <w:t>2</w:t>
      </w:r>
      <w:r>
        <w:rPr>
          <w:rFonts w:ascii="Times New Roman" w:hAnsi="Times New Roman" w:eastAsia="楷体"/>
          <w:sz w:val="28"/>
          <w:szCs w:val="32"/>
        </w:rPr>
        <w:t>，河道全长45.3km，河道平均比降为20.76‰。河口多年平均流量5.52m</w:t>
      </w:r>
      <w:r>
        <w:rPr>
          <w:rFonts w:ascii="Times New Roman" w:hAnsi="Times New Roman" w:eastAsia="楷体"/>
          <w:sz w:val="28"/>
          <w:szCs w:val="32"/>
          <w:vertAlign w:val="superscript"/>
        </w:rPr>
        <w:t>3</w:t>
      </w:r>
      <w:r>
        <w:rPr>
          <w:rFonts w:ascii="Times New Roman" w:hAnsi="Times New Roman" w:eastAsia="楷体"/>
          <w:sz w:val="28"/>
          <w:szCs w:val="32"/>
        </w:rPr>
        <w:t>/s，总落差1049m。</w:t>
      </w:r>
    </w:p>
    <w:p w14:paraId="09E5DEFC">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（8）大溪河</w:t>
      </w:r>
    </w:p>
    <w:p w14:paraId="09065D91">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位于重庆市奉节、巫山两县的南部，系长江川江段南岸的一级支流，全流域面积为1542km</w:t>
      </w:r>
      <w:r>
        <w:rPr>
          <w:rFonts w:ascii="Times New Roman" w:hAnsi="Times New Roman" w:eastAsia="楷体"/>
          <w:sz w:val="28"/>
          <w:szCs w:val="32"/>
          <w:vertAlign w:val="superscript"/>
        </w:rPr>
        <w:t>2</w:t>
      </w:r>
      <w:r>
        <w:rPr>
          <w:rFonts w:ascii="Times New Roman" w:hAnsi="Times New Roman" w:eastAsia="楷体"/>
          <w:sz w:val="28"/>
          <w:szCs w:val="32"/>
        </w:rPr>
        <w:t>，河道全长79.6km，河道平均比降为8.42‰。大溪河主源又称九盘河，发源于庙湾、金子乡一带，于鹤峰乡与新民河交汇，在巫山县大溪镇注入长江。大溪河次源新民河流域面积为540.3km</w:t>
      </w:r>
      <w:r>
        <w:rPr>
          <w:rFonts w:ascii="Times New Roman" w:hAnsi="Times New Roman" w:eastAsia="楷体"/>
          <w:sz w:val="28"/>
          <w:szCs w:val="32"/>
          <w:vertAlign w:val="superscript"/>
        </w:rPr>
        <w:t>2</w:t>
      </w:r>
      <w:r>
        <w:rPr>
          <w:rFonts w:ascii="Times New Roman" w:hAnsi="Times New Roman" w:eastAsia="楷体"/>
          <w:sz w:val="28"/>
          <w:szCs w:val="32"/>
        </w:rPr>
        <w:t>，河道全长71.8km，平均比降9.80‰。发源于齐曜山阳和坪、马鞍子包一带，向北东流经任家咀、吐祥镇，纳入左岸支流双岔河、青龙沟和厂河坝沟，再流经新民镇于鹤峰乡汇入九盘河。</w:t>
      </w:r>
    </w:p>
    <w:p w14:paraId="15565C85">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（9）石笋河</w:t>
      </w:r>
    </w:p>
    <w:p w14:paraId="42A84B2C">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为长滩河支流，长江二级支流，发源于奉节县云雾乡峡里。流经云雾、太和汇入长滩河，干流总长36.1km，流域面积160.8km</w:t>
      </w:r>
      <w:r>
        <w:rPr>
          <w:rFonts w:ascii="Times New Roman" w:hAnsi="Times New Roman" w:eastAsia="楷体"/>
          <w:sz w:val="28"/>
          <w:szCs w:val="32"/>
          <w:vertAlign w:val="superscript"/>
        </w:rPr>
        <w:t>2</w:t>
      </w:r>
      <w:r>
        <w:rPr>
          <w:rFonts w:ascii="Times New Roman" w:hAnsi="Times New Roman" w:eastAsia="楷体"/>
          <w:sz w:val="28"/>
          <w:szCs w:val="32"/>
        </w:rPr>
        <w:t>，总落差1356m。</w:t>
      </w:r>
    </w:p>
    <w:p w14:paraId="37637E79">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（10）甲高河</w:t>
      </w:r>
    </w:p>
    <w:p w14:paraId="1D2B0674">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为长滩河右岸支流，长江二级支流。发源于奉节县西南七曜山北黄泗溪，折北过甲高镇后转西入云阳县境，于故陵镇东汇入长滩河。干流总长27km，奉节县境内流域面积187km</w:t>
      </w:r>
      <w:r>
        <w:rPr>
          <w:rFonts w:ascii="Times New Roman" w:hAnsi="Times New Roman" w:eastAsia="楷体"/>
          <w:sz w:val="28"/>
          <w:szCs w:val="32"/>
          <w:vertAlign w:val="superscript"/>
        </w:rPr>
        <w:t>2</w:t>
      </w:r>
      <w:r>
        <w:rPr>
          <w:rFonts w:ascii="Times New Roman" w:hAnsi="Times New Roman" w:eastAsia="楷体"/>
          <w:sz w:val="28"/>
          <w:szCs w:val="32"/>
        </w:rPr>
        <w:t>，总落差1274m。</w:t>
      </w:r>
    </w:p>
    <w:p w14:paraId="0CF46987">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（11）安坪河</w:t>
      </w:r>
    </w:p>
    <w:p w14:paraId="2F289EA9">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为长江一级支流。发源于奉节县甲高镇翁家槽，向北流经新治、安坪汇入长江。干流总长9.5km，流域面积76.8km</w:t>
      </w:r>
      <w:r>
        <w:rPr>
          <w:rFonts w:ascii="Times New Roman" w:hAnsi="Times New Roman" w:eastAsia="楷体"/>
          <w:sz w:val="28"/>
          <w:szCs w:val="32"/>
          <w:vertAlign w:val="superscript"/>
        </w:rPr>
        <w:t>2</w:t>
      </w:r>
      <w:r>
        <w:rPr>
          <w:rFonts w:ascii="Times New Roman" w:hAnsi="Times New Roman" w:eastAsia="楷体"/>
          <w:sz w:val="28"/>
          <w:szCs w:val="32"/>
        </w:rPr>
        <w:t>，总落差607.5m。</w:t>
      </w:r>
    </w:p>
    <w:p w14:paraId="7014B583">
      <w:pPr>
        <w:pStyle w:val="4"/>
        <w:numPr>
          <w:ilvl w:val="0"/>
          <w:numId w:val="0"/>
        </w:numPr>
        <w:spacing w:before="0" w:after="0" w:line="360" w:lineRule="auto"/>
        <w:jc w:val="left"/>
        <w:rPr>
          <w:rFonts w:ascii="Times New Roman" w:hAnsi="Times New Roman" w:eastAsia="方正仿宋_GBK"/>
          <w:spacing w:val="6"/>
          <w:szCs w:val="32"/>
        </w:rPr>
      </w:pPr>
      <w:bookmarkStart w:id="21" w:name="_Toc16267"/>
      <w:bookmarkStart w:id="22" w:name="_Toc92995408"/>
      <w:bookmarkStart w:id="23" w:name="_Toc25690"/>
      <w:r>
        <w:rPr>
          <w:rFonts w:ascii="Times New Roman" w:hAnsi="Times New Roman" w:eastAsia="方正仿宋_GBK"/>
          <w:spacing w:val="6"/>
          <w:szCs w:val="32"/>
        </w:rPr>
        <w:t>1.5 社会经济</w:t>
      </w:r>
      <w:bookmarkEnd w:id="21"/>
      <w:bookmarkEnd w:id="22"/>
      <w:bookmarkEnd w:id="23"/>
    </w:p>
    <w:p w14:paraId="07EF4C78">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是一个多民族杂散居县，以汉族为主，此外有土家、回、藏、苗、满、水、布依、仡佬等23个少数民族。截至2020年底，奉节县总人口105.06万人，其中城镇人口27.98万人，农业人口77.08万人。常住人口73.98万人，城镇化率为45.58%。全县居民人均可支配收入21930元，同比增长7.9%；城镇常住居民可支配收入32099元，同比增长5.4%；农村常住居民人均可支配收入13412元，同比增长8.7%。</w:t>
      </w:r>
    </w:p>
    <w:p w14:paraId="5D1D6F93">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2020年，奉节县地区生产总值323.15亿元，同比增长2.5%，其中：第一产业总值58.61亿元，同比增长4.9%；第二产业总值124.29亿元，同比增长2.2%；第三产业总值140.25亿元，同比增长1.8%。三次产业结构比为18.1：38.5：43.4，三次产业对经济增长的贡献率分别为32.88%、33.51%、33.61%。</w:t>
      </w:r>
    </w:p>
    <w:p w14:paraId="0223F0DA">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2020年，全年完成农林牧渔业增加值58.61亿元，比上年增长4.9%。第一产业对经济增长的贡献率为32.88%，拉动GDP增长0.82个百分点。全年粮食播种面积119.56万亩，与上年持平；出栏生猪53.09万头、牛2.08万头、羊20.89万头、家禽301.58万只，同比分别增长</w:t>
      </w:r>
      <w:r>
        <w:rPr>
          <w:rFonts w:hint="eastAsia" w:ascii="Times New Roman" w:hAnsi="Times New Roman" w:eastAsia="楷体"/>
          <w:sz w:val="28"/>
          <w:szCs w:val="32"/>
        </w:rPr>
        <w:t>－</w:t>
      </w:r>
      <w:r>
        <w:rPr>
          <w:rFonts w:ascii="Times New Roman" w:hAnsi="Times New Roman" w:eastAsia="楷体"/>
          <w:sz w:val="28"/>
          <w:szCs w:val="32"/>
        </w:rPr>
        <w:t>5.9%、2.2%、3.8%、-7.9%；蔬菜种植面积27.51万亩，增长2.56%。</w:t>
      </w:r>
    </w:p>
    <w:p w14:paraId="29C9CFD0">
      <w:pPr>
        <w:spacing w:line="520" w:lineRule="exact"/>
        <w:ind w:firstLine="560" w:firstLineChars="200"/>
        <w:rPr>
          <w:rFonts w:ascii="Times New Roman" w:hAnsi="Times New Roman" w:eastAsia="方正仿宋_GBK"/>
          <w:b/>
          <w:spacing w:val="6"/>
          <w:szCs w:val="36"/>
        </w:rPr>
      </w:pPr>
      <w:r>
        <w:rPr>
          <w:rFonts w:ascii="Times New Roman" w:hAnsi="Times New Roman" w:eastAsia="楷体"/>
          <w:sz w:val="28"/>
          <w:szCs w:val="32"/>
        </w:rPr>
        <w:t>奉节县内突出表现为日照时间和无霜期长，雨量充沛，立体气候显著，绿色生态环境优异，动植物种类繁多，尤以农、林、牧业中的牛、羊、猪、水果、蔬菜、烟叶、蚕茧等为优。以脐橙为主的水果年产34万吨，占重庆市水果总产量的10.7%。矿产资源中非金属矿储量较为丰富，煤炭储量占全市储量16.9%。</w:t>
      </w:r>
      <w:bookmarkEnd w:id="6"/>
      <w:bookmarkStart w:id="24" w:name="_Toc2762"/>
    </w:p>
    <w:p w14:paraId="0F6D4136">
      <w:pPr>
        <w:pStyle w:val="4"/>
        <w:numPr>
          <w:ilvl w:val="0"/>
          <w:numId w:val="0"/>
        </w:numPr>
        <w:spacing w:before="0" w:after="0" w:line="360" w:lineRule="auto"/>
        <w:jc w:val="left"/>
        <w:rPr>
          <w:rFonts w:ascii="Times New Roman" w:hAnsi="Times New Roman" w:eastAsia="方正仿宋_GBK"/>
          <w:spacing w:val="6"/>
          <w:szCs w:val="32"/>
        </w:rPr>
      </w:pPr>
      <w:bookmarkStart w:id="25" w:name="_Toc92995409"/>
      <w:bookmarkStart w:id="26" w:name="_Toc19449"/>
      <w:r>
        <w:rPr>
          <w:rFonts w:ascii="Times New Roman" w:hAnsi="Times New Roman" w:eastAsia="方正仿宋_GBK"/>
          <w:spacing w:val="6"/>
          <w:szCs w:val="32"/>
        </w:rPr>
        <w:t>1.6 水资源配置</w:t>
      </w:r>
      <w:bookmarkEnd w:id="25"/>
      <w:bookmarkEnd w:id="26"/>
    </w:p>
    <w:p w14:paraId="0663E4B1">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奉节县境内在总量上基本能有效缓解水资源供需矛盾，但是在流域层面，以及具体到各乡镇层级，仍然存在较为显著的供水缺口，目前奉节县已完成长江南岸片区水资源配置规划和长江北岸片区水资源配置规划，保障奉节县各流域水资源的有效供给及合理配置。</w:t>
      </w:r>
    </w:p>
    <w:p w14:paraId="4B5A9A99">
      <w:pPr>
        <w:spacing w:line="520" w:lineRule="exact"/>
        <w:ind w:firstLine="560" w:firstLineChars="200"/>
        <w:rPr>
          <w:rFonts w:ascii="Times New Roman" w:hAnsi="Times New Roman" w:eastAsia="楷体"/>
          <w:sz w:val="28"/>
          <w:szCs w:val="32"/>
        </w:rPr>
      </w:pPr>
      <w:r>
        <w:rPr>
          <w:rFonts w:ascii="Times New Roman" w:hAnsi="Times New Roman" w:eastAsia="楷体"/>
          <w:sz w:val="28"/>
          <w:szCs w:val="32"/>
        </w:rPr>
        <w:t>长江南岸片区共规划新增大小水利工程1658处（包含大溪河流域和长滩河流域奉节段），合计新增可供水量5396万m</w:t>
      </w:r>
      <w:r>
        <w:rPr>
          <w:rFonts w:ascii="Times New Roman" w:hAnsi="Times New Roman" w:eastAsia="楷体"/>
          <w:sz w:val="28"/>
          <w:szCs w:val="32"/>
          <w:vertAlign w:val="superscript"/>
        </w:rPr>
        <w:t>3</w:t>
      </w:r>
      <w:r>
        <w:rPr>
          <w:rFonts w:ascii="Times New Roman" w:hAnsi="Times New Roman" w:eastAsia="楷体"/>
          <w:sz w:val="28"/>
          <w:szCs w:val="32"/>
        </w:rPr>
        <w:t>。从绝对值看，流域内供水量略有盈余，但流域内水资源配置尚未均衡，因此在大溪河流域规划天赐湖水库，使得供水量产生富余；根据地形条件，规划甲高镇的野茶水库安排向邻近安坪乡调水，太和乡的尖山水库，安排将富余水量调往龙桥乡、吐祥镇，确保人民生活用水安全。安坪镇主要是采取外流域调水，并结合小型塘坝工程建设，可充分解决安坪镇水资源供需矛盾，外调水主要来自甲高镇的野茶水库。永乐镇近期主要由县城水厂通过跨江管道向该镇调水，年调水量270万m</w:t>
      </w:r>
      <w:r>
        <w:rPr>
          <w:rFonts w:ascii="Times New Roman" w:hAnsi="Times New Roman" w:eastAsia="楷体"/>
          <w:sz w:val="28"/>
          <w:szCs w:val="32"/>
          <w:vertAlign w:val="superscript"/>
        </w:rPr>
        <w:t>3</w:t>
      </w:r>
      <w:r>
        <w:rPr>
          <w:rFonts w:ascii="Times New Roman" w:hAnsi="Times New Roman" w:eastAsia="楷体"/>
          <w:sz w:val="28"/>
          <w:szCs w:val="32"/>
        </w:rPr>
        <w:t>，可大幅减少南岸县城片区的供水缺口，保障城镇化和农业现代化发展的需要，远期依托在建的西牛冲水库满足镇区生产生活用水，并发展相应灌区，提供城乡供水和灌溉用水保障。鹤峰、新民等乡镇在现有水源基础上，近期通过在建和规划的蓼叶溪、倒洞子、尖峰、招峰的小型水库，因地制宜开发当地水资源，就近满足各片区灌溉和城乡生活用水，远期适时推动双岔、公板溪、乌龙溪等中型骨干水源工程，显著提升南岸水资源供给能力，支撑经济社会高质量发展。</w:t>
      </w:r>
    </w:p>
    <w:p w14:paraId="29590FF5">
      <w:pPr>
        <w:spacing w:line="520" w:lineRule="exact"/>
        <w:ind w:firstLine="560" w:firstLineChars="200"/>
        <w:rPr>
          <w:rFonts w:ascii="Times New Roman" w:hAnsi="Times New Roman" w:eastAsia="方正仿宋_GBK"/>
          <w:b/>
          <w:spacing w:val="6"/>
          <w:szCs w:val="36"/>
        </w:rPr>
      </w:pPr>
      <w:r>
        <w:rPr>
          <w:rFonts w:ascii="Times New Roman" w:hAnsi="Times New Roman" w:eastAsia="楷体"/>
          <w:sz w:val="28"/>
          <w:szCs w:val="32"/>
        </w:rPr>
        <w:t>长江北岸片区水资源配置将草坪河水库、百岛湖水库的建设作为重点，连通草坪河水库与青莲溪水库，加快灌区输配水渠系设施建设，形成上游水资源合理、有序、高效开发，中下游河谷有效贯通，有力补充朱衣河、草堂河两流域用水的水资源配置架构。将能够有效保证梅溪河干支流沿线5座乡镇的城镇生活用水，通过灌区长藤节瓜方式，归还各级水库被挤占的生态用水和农业灌溉用水，特别是置换黄井水库的县城供水功能，满足朱衣河流域中下游西部新城河道内生态（景观）用水。再向县城区域所在和朱衣河、梅溪河调水，满足县城区、西部新城、草堂工业园区的生产生活用水，补充县城区居民生活和二三产业用水不足的问题，支撑县城形成“双水三源</w:t>
      </w:r>
      <w:r>
        <w:rPr>
          <w:rStyle w:val="35"/>
          <w:rFonts w:ascii="Times New Roman" w:hAnsi="Times New Roman" w:eastAsia="楷体"/>
          <w:sz w:val="28"/>
          <w:szCs w:val="32"/>
        </w:rPr>
        <w:footnoteReference w:id="0"/>
      </w:r>
      <w:r>
        <w:rPr>
          <w:rFonts w:ascii="Times New Roman" w:hAnsi="Times New Roman" w:eastAsia="楷体"/>
          <w:sz w:val="28"/>
          <w:szCs w:val="32"/>
        </w:rPr>
        <w:t>”的日常供水和城市备用水源体系。</w:t>
      </w:r>
    </w:p>
    <w:p w14:paraId="0671A743">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sectPr>
          <w:headerReference r:id="rId17" w:type="default"/>
          <w:footerReference r:id="rId18" w:type="default"/>
          <w:pgSz w:w="11906" w:h="16838"/>
          <w:pgMar w:top="1418" w:right="1418" w:bottom="1418" w:left="1418" w:header="851" w:footer="992" w:gutter="0"/>
          <w:pgNumType w:start="1"/>
          <w:cols w:space="720" w:num="1"/>
          <w:docGrid w:type="lines" w:linePitch="312" w:charSpace="0"/>
        </w:sectPr>
      </w:pPr>
    </w:p>
    <w:p w14:paraId="25298C26">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27" w:name="_Toc92995410"/>
      <w:bookmarkStart w:id="28" w:name="_Toc18548"/>
      <w:r>
        <w:rPr>
          <w:rFonts w:ascii="Times New Roman" w:hAnsi="Times New Roman" w:eastAsia="方正仿宋_GBK" w:cs="Times New Roman"/>
          <w:b/>
          <w:spacing w:val="6"/>
          <w:szCs w:val="36"/>
        </w:rPr>
        <w:t>第二章 面临的形势</w:t>
      </w:r>
      <w:bookmarkEnd w:id="24"/>
      <w:bookmarkEnd w:id="27"/>
      <w:bookmarkEnd w:id="28"/>
    </w:p>
    <w:p w14:paraId="655C673A">
      <w:pPr>
        <w:pStyle w:val="4"/>
        <w:numPr>
          <w:ilvl w:val="0"/>
          <w:numId w:val="0"/>
        </w:numPr>
        <w:spacing w:before="0" w:after="0" w:line="360" w:lineRule="auto"/>
        <w:jc w:val="left"/>
        <w:rPr>
          <w:rFonts w:ascii="Times New Roman" w:hAnsi="Times New Roman" w:eastAsia="方正仿宋_GBK"/>
          <w:spacing w:val="6"/>
          <w:szCs w:val="32"/>
        </w:rPr>
      </w:pPr>
      <w:bookmarkStart w:id="29" w:name="_Toc92995411"/>
      <w:bookmarkStart w:id="30" w:name="_Toc365"/>
      <w:bookmarkStart w:id="31" w:name="_Toc15290"/>
      <w:bookmarkStart w:id="32" w:name="OLE_LINK2"/>
      <w:bookmarkStart w:id="33" w:name="_Toc9400"/>
      <w:bookmarkStart w:id="34" w:name="_Toc8740"/>
      <w:r>
        <w:rPr>
          <w:rFonts w:ascii="Times New Roman" w:hAnsi="Times New Roman" w:eastAsia="方正仿宋_GBK"/>
          <w:spacing w:val="6"/>
          <w:szCs w:val="32"/>
        </w:rPr>
        <w:t>2.1 “</w:t>
      </w:r>
      <w:bookmarkStart w:id="184" w:name="_GoBack"/>
      <w:r>
        <w:rPr>
          <w:rFonts w:ascii="Times New Roman" w:hAnsi="Times New Roman" w:eastAsia="方正仿宋_GBK"/>
          <w:spacing w:val="6"/>
          <w:szCs w:val="32"/>
        </w:rPr>
        <w:t>十三五</w:t>
      </w:r>
      <w:bookmarkEnd w:id="184"/>
      <w:r>
        <w:rPr>
          <w:rFonts w:ascii="Times New Roman" w:hAnsi="Times New Roman" w:eastAsia="方正仿宋_GBK"/>
          <w:spacing w:val="6"/>
          <w:szCs w:val="32"/>
        </w:rPr>
        <w:t>”水利改革发展主要成就</w:t>
      </w:r>
      <w:bookmarkEnd w:id="29"/>
      <w:bookmarkEnd w:id="30"/>
    </w:p>
    <w:p w14:paraId="5D7E3D14">
      <w:pPr>
        <w:spacing w:line="520" w:lineRule="exact"/>
        <w:ind w:firstLine="560" w:firstLineChars="200"/>
        <w:rPr>
          <w:rFonts w:ascii="Times New Roman" w:hAnsi="Times New Roman" w:eastAsia="楷体"/>
          <w:sz w:val="28"/>
          <w:szCs w:val="28"/>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时期，国家和重庆市相继作出加快水利改革发展、保障水安全、推进重大、民生水利工程建设等一系列决策部署，水安全上升为国家战略，治水理念不断升华、治水兴水进入一个新的阶段。在这一背景下，奉节县水利发展建设全面提速，最严格水资源管理制度进一步实施，河长制得到全面推行，水生态环境稳步改善，水利改革深入推进，圆满完成了规划确定的主要目标和任务，水利投资总额达到19.02亿元，创历史新高，其中水库投入8.79亿元，中小河流治理投入2.23亿元，水利扶贫投入3亿元，其他水利投入约5亿元。中央投资11.412亿元，市级投资4.755亿元，县级自筹2.853亿元。关键性水利工程前期工作推进有力，资金落实有效，群众受益多、综合效益好，为稳增长、调结构、促改革、惠民生、防风险等发挥了重要作用。</w:t>
      </w:r>
    </w:p>
    <w:p w14:paraId="44CA0C0E">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奉节县“十三五”时期完成水利投资情况表</w:t>
      </w:r>
    </w:p>
    <w:p w14:paraId="067D7923">
      <w:pPr>
        <w:spacing w:line="400" w:lineRule="exact"/>
        <w:ind w:firstLine="480" w:firstLineChars="200"/>
        <w:rPr>
          <w:rFonts w:ascii="Times New Roman" w:hAnsi="Times New Roman" w:eastAsia="楷体"/>
          <w:sz w:val="24"/>
          <w:szCs w:val="24"/>
        </w:rPr>
      </w:pPr>
      <w:r>
        <w:rPr>
          <w:rFonts w:ascii="Times New Roman" w:hAnsi="Times New Roman" w:eastAsia="楷体"/>
          <w:sz w:val="24"/>
          <w:szCs w:val="24"/>
        </w:rPr>
        <w:t>表2.1-1                                                 单位：亿元</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835"/>
        <w:gridCol w:w="1835"/>
        <w:gridCol w:w="1834"/>
        <w:gridCol w:w="1768"/>
        <w:gridCol w:w="1768"/>
      </w:tblGrid>
      <w:tr w14:paraId="1B52AC5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12C64491">
            <w:pPr>
              <w:jc w:val="center"/>
              <w:rPr>
                <w:rFonts w:ascii="Times New Roman" w:hAnsi="Times New Roman"/>
                <w:sz w:val="22"/>
              </w:rPr>
            </w:pPr>
            <w:r>
              <w:rPr>
                <w:rFonts w:ascii="Times New Roman" w:hAnsi="Times New Roman"/>
                <w:sz w:val="22"/>
              </w:rPr>
              <w:t>项目</w:t>
            </w:r>
          </w:p>
        </w:tc>
        <w:tc>
          <w:tcPr>
            <w:tcW w:w="1835" w:type="dxa"/>
            <w:vAlign w:val="center"/>
          </w:tcPr>
          <w:p w14:paraId="2A9363FD">
            <w:pPr>
              <w:jc w:val="center"/>
              <w:rPr>
                <w:rFonts w:ascii="Times New Roman" w:hAnsi="Times New Roman"/>
                <w:sz w:val="22"/>
              </w:rPr>
            </w:pPr>
            <w:r>
              <w:rPr>
                <w:rFonts w:ascii="Times New Roman" w:hAnsi="Times New Roman"/>
                <w:sz w:val="22"/>
              </w:rPr>
              <w:t>总投资</w:t>
            </w:r>
          </w:p>
        </w:tc>
        <w:tc>
          <w:tcPr>
            <w:tcW w:w="1834" w:type="dxa"/>
            <w:vAlign w:val="center"/>
          </w:tcPr>
          <w:p w14:paraId="058CA6EF">
            <w:pPr>
              <w:jc w:val="center"/>
              <w:rPr>
                <w:rFonts w:ascii="Times New Roman" w:hAnsi="Times New Roman"/>
                <w:sz w:val="22"/>
              </w:rPr>
            </w:pPr>
            <w:r>
              <w:rPr>
                <w:rFonts w:ascii="Times New Roman" w:hAnsi="Times New Roman"/>
                <w:sz w:val="22"/>
              </w:rPr>
              <w:t>其中中央投资</w:t>
            </w:r>
          </w:p>
        </w:tc>
        <w:tc>
          <w:tcPr>
            <w:tcW w:w="1768" w:type="dxa"/>
            <w:vAlign w:val="center"/>
          </w:tcPr>
          <w:p w14:paraId="5F3456D4">
            <w:pPr>
              <w:jc w:val="center"/>
              <w:rPr>
                <w:rFonts w:ascii="Times New Roman" w:hAnsi="Times New Roman"/>
                <w:sz w:val="22"/>
              </w:rPr>
            </w:pPr>
            <w:r>
              <w:rPr>
                <w:rFonts w:ascii="Times New Roman" w:hAnsi="Times New Roman"/>
                <w:sz w:val="22"/>
              </w:rPr>
              <w:t>市级投资</w:t>
            </w:r>
          </w:p>
        </w:tc>
        <w:tc>
          <w:tcPr>
            <w:tcW w:w="1768" w:type="dxa"/>
            <w:vAlign w:val="center"/>
          </w:tcPr>
          <w:p w14:paraId="7E558065">
            <w:pPr>
              <w:jc w:val="center"/>
              <w:rPr>
                <w:rFonts w:ascii="Times New Roman" w:hAnsi="Times New Roman"/>
                <w:sz w:val="22"/>
              </w:rPr>
            </w:pPr>
            <w:r>
              <w:rPr>
                <w:rFonts w:ascii="Times New Roman" w:hAnsi="Times New Roman"/>
                <w:sz w:val="22"/>
              </w:rPr>
              <w:t>县级自筹</w:t>
            </w:r>
          </w:p>
        </w:tc>
      </w:tr>
      <w:tr w14:paraId="2F37D89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44AA842E">
            <w:pPr>
              <w:jc w:val="center"/>
              <w:rPr>
                <w:rFonts w:ascii="Times New Roman" w:hAnsi="Times New Roman"/>
                <w:sz w:val="22"/>
              </w:rPr>
            </w:pPr>
            <w:r>
              <w:rPr>
                <w:rFonts w:ascii="Times New Roman" w:hAnsi="Times New Roman"/>
                <w:sz w:val="22"/>
              </w:rPr>
              <w:t>水利投资</w:t>
            </w:r>
          </w:p>
        </w:tc>
        <w:tc>
          <w:tcPr>
            <w:tcW w:w="1835" w:type="dxa"/>
            <w:vAlign w:val="center"/>
          </w:tcPr>
          <w:p w14:paraId="7ABA6ABD">
            <w:pPr>
              <w:jc w:val="center"/>
              <w:rPr>
                <w:rFonts w:ascii="Times New Roman" w:hAnsi="Times New Roman"/>
                <w:sz w:val="22"/>
              </w:rPr>
            </w:pPr>
            <w:r>
              <w:rPr>
                <w:rFonts w:ascii="Times New Roman" w:hAnsi="Times New Roman"/>
                <w:sz w:val="22"/>
              </w:rPr>
              <w:t>19.02</w:t>
            </w:r>
          </w:p>
        </w:tc>
        <w:tc>
          <w:tcPr>
            <w:tcW w:w="1834" w:type="dxa"/>
            <w:vAlign w:val="bottom"/>
          </w:tcPr>
          <w:p w14:paraId="6C2D1EAB">
            <w:pPr>
              <w:jc w:val="center"/>
              <w:rPr>
                <w:rFonts w:ascii="Times New Roman" w:hAnsi="Times New Roman"/>
                <w:sz w:val="22"/>
              </w:rPr>
            </w:pPr>
            <w:r>
              <w:rPr>
                <w:rFonts w:ascii="Times New Roman" w:hAnsi="Times New Roman"/>
                <w:sz w:val="22"/>
              </w:rPr>
              <w:t>11.412</w:t>
            </w:r>
          </w:p>
        </w:tc>
        <w:tc>
          <w:tcPr>
            <w:tcW w:w="1768" w:type="dxa"/>
            <w:vAlign w:val="bottom"/>
          </w:tcPr>
          <w:p w14:paraId="07D094AD">
            <w:pPr>
              <w:jc w:val="center"/>
              <w:rPr>
                <w:rFonts w:ascii="Times New Roman" w:hAnsi="Times New Roman"/>
                <w:sz w:val="22"/>
              </w:rPr>
            </w:pPr>
            <w:r>
              <w:rPr>
                <w:rFonts w:ascii="Times New Roman" w:hAnsi="Times New Roman"/>
                <w:sz w:val="22"/>
              </w:rPr>
              <w:t>4.755</w:t>
            </w:r>
          </w:p>
        </w:tc>
        <w:tc>
          <w:tcPr>
            <w:tcW w:w="1768" w:type="dxa"/>
            <w:vAlign w:val="bottom"/>
          </w:tcPr>
          <w:p w14:paraId="31D9FED2">
            <w:pPr>
              <w:jc w:val="center"/>
              <w:rPr>
                <w:rFonts w:ascii="Times New Roman" w:hAnsi="Times New Roman"/>
                <w:sz w:val="22"/>
              </w:rPr>
            </w:pPr>
            <w:r>
              <w:rPr>
                <w:rFonts w:ascii="Times New Roman" w:hAnsi="Times New Roman"/>
                <w:sz w:val="22"/>
              </w:rPr>
              <w:t>2.853</w:t>
            </w:r>
          </w:p>
        </w:tc>
      </w:tr>
      <w:tr w14:paraId="0399DD2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6E891279">
            <w:pPr>
              <w:jc w:val="center"/>
              <w:rPr>
                <w:rFonts w:ascii="Times New Roman" w:hAnsi="Times New Roman"/>
                <w:sz w:val="22"/>
              </w:rPr>
            </w:pPr>
            <w:r>
              <w:rPr>
                <w:rFonts w:ascii="Times New Roman" w:hAnsi="Times New Roman"/>
                <w:sz w:val="22"/>
              </w:rPr>
              <w:t>水库工程</w:t>
            </w:r>
          </w:p>
        </w:tc>
        <w:tc>
          <w:tcPr>
            <w:tcW w:w="1835" w:type="dxa"/>
            <w:vAlign w:val="center"/>
          </w:tcPr>
          <w:p w14:paraId="4043D0F1">
            <w:pPr>
              <w:jc w:val="center"/>
              <w:rPr>
                <w:rFonts w:ascii="Times New Roman" w:hAnsi="Times New Roman"/>
                <w:sz w:val="22"/>
              </w:rPr>
            </w:pPr>
            <w:r>
              <w:rPr>
                <w:rFonts w:ascii="Times New Roman" w:hAnsi="Times New Roman"/>
                <w:sz w:val="22"/>
              </w:rPr>
              <w:t>8.79</w:t>
            </w:r>
          </w:p>
        </w:tc>
        <w:tc>
          <w:tcPr>
            <w:tcW w:w="1834" w:type="dxa"/>
            <w:vAlign w:val="bottom"/>
          </w:tcPr>
          <w:p w14:paraId="5C675E01">
            <w:pPr>
              <w:jc w:val="center"/>
              <w:rPr>
                <w:rFonts w:ascii="Times New Roman" w:hAnsi="Times New Roman"/>
                <w:sz w:val="22"/>
              </w:rPr>
            </w:pPr>
            <w:r>
              <w:rPr>
                <w:rFonts w:ascii="Times New Roman" w:hAnsi="Times New Roman"/>
                <w:sz w:val="22"/>
              </w:rPr>
              <w:t>5.274</w:t>
            </w:r>
          </w:p>
        </w:tc>
        <w:tc>
          <w:tcPr>
            <w:tcW w:w="1768" w:type="dxa"/>
            <w:vAlign w:val="bottom"/>
          </w:tcPr>
          <w:p w14:paraId="444FAF06">
            <w:pPr>
              <w:jc w:val="center"/>
              <w:rPr>
                <w:rFonts w:ascii="Times New Roman" w:hAnsi="Times New Roman"/>
                <w:sz w:val="22"/>
              </w:rPr>
            </w:pPr>
            <w:r>
              <w:rPr>
                <w:rFonts w:ascii="Times New Roman" w:hAnsi="Times New Roman"/>
                <w:sz w:val="22"/>
              </w:rPr>
              <w:t>2.1975</w:t>
            </w:r>
          </w:p>
        </w:tc>
        <w:tc>
          <w:tcPr>
            <w:tcW w:w="1768" w:type="dxa"/>
            <w:vAlign w:val="bottom"/>
          </w:tcPr>
          <w:p w14:paraId="546381F3">
            <w:pPr>
              <w:jc w:val="center"/>
              <w:rPr>
                <w:rFonts w:ascii="Times New Roman" w:hAnsi="Times New Roman"/>
                <w:sz w:val="22"/>
              </w:rPr>
            </w:pPr>
            <w:r>
              <w:rPr>
                <w:rFonts w:ascii="Times New Roman" w:hAnsi="Times New Roman"/>
                <w:sz w:val="22"/>
              </w:rPr>
              <w:t>1.3185</w:t>
            </w:r>
          </w:p>
        </w:tc>
      </w:tr>
      <w:tr w14:paraId="699DB5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450FF347">
            <w:pPr>
              <w:jc w:val="center"/>
              <w:rPr>
                <w:rFonts w:ascii="Times New Roman" w:hAnsi="Times New Roman"/>
                <w:sz w:val="22"/>
              </w:rPr>
            </w:pPr>
            <w:r>
              <w:rPr>
                <w:rFonts w:ascii="Times New Roman" w:hAnsi="Times New Roman"/>
                <w:sz w:val="22"/>
              </w:rPr>
              <w:t>中小流域治理</w:t>
            </w:r>
          </w:p>
        </w:tc>
        <w:tc>
          <w:tcPr>
            <w:tcW w:w="1835" w:type="dxa"/>
            <w:vAlign w:val="center"/>
          </w:tcPr>
          <w:p w14:paraId="565674EE">
            <w:pPr>
              <w:jc w:val="center"/>
              <w:rPr>
                <w:rFonts w:ascii="Times New Roman" w:hAnsi="Times New Roman"/>
                <w:sz w:val="22"/>
              </w:rPr>
            </w:pPr>
            <w:r>
              <w:rPr>
                <w:rFonts w:ascii="Times New Roman" w:hAnsi="Times New Roman"/>
                <w:sz w:val="22"/>
              </w:rPr>
              <w:t>2.23</w:t>
            </w:r>
          </w:p>
        </w:tc>
        <w:tc>
          <w:tcPr>
            <w:tcW w:w="1834" w:type="dxa"/>
            <w:vAlign w:val="bottom"/>
          </w:tcPr>
          <w:p w14:paraId="70B1A5C1">
            <w:pPr>
              <w:jc w:val="center"/>
              <w:rPr>
                <w:rFonts w:ascii="Times New Roman" w:hAnsi="Times New Roman"/>
                <w:sz w:val="22"/>
              </w:rPr>
            </w:pPr>
            <w:r>
              <w:rPr>
                <w:rFonts w:ascii="Times New Roman" w:hAnsi="Times New Roman"/>
                <w:sz w:val="22"/>
              </w:rPr>
              <w:t>1.338</w:t>
            </w:r>
          </w:p>
        </w:tc>
        <w:tc>
          <w:tcPr>
            <w:tcW w:w="1768" w:type="dxa"/>
            <w:vAlign w:val="bottom"/>
          </w:tcPr>
          <w:p w14:paraId="63B13B8E">
            <w:pPr>
              <w:jc w:val="center"/>
              <w:rPr>
                <w:rFonts w:ascii="Times New Roman" w:hAnsi="Times New Roman"/>
                <w:sz w:val="22"/>
              </w:rPr>
            </w:pPr>
            <w:r>
              <w:rPr>
                <w:rFonts w:ascii="Times New Roman" w:hAnsi="Times New Roman"/>
                <w:sz w:val="22"/>
              </w:rPr>
              <w:t>0.5575</w:t>
            </w:r>
          </w:p>
        </w:tc>
        <w:tc>
          <w:tcPr>
            <w:tcW w:w="1768" w:type="dxa"/>
            <w:vAlign w:val="bottom"/>
          </w:tcPr>
          <w:p w14:paraId="21C86083">
            <w:pPr>
              <w:jc w:val="center"/>
              <w:rPr>
                <w:rFonts w:ascii="Times New Roman" w:hAnsi="Times New Roman"/>
                <w:sz w:val="22"/>
              </w:rPr>
            </w:pPr>
            <w:r>
              <w:rPr>
                <w:rFonts w:ascii="Times New Roman" w:hAnsi="Times New Roman"/>
                <w:sz w:val="22"/>
              </w:rPr>
              <w:t>0.3345</w:t>
            </w:r>
          </w:p>
        </w:tc>
      </w:tr>
      <w:tr w14:paraId="2FDFC2B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06083530">
            <w:pPr>
              <w:jc w:val="center"/>
              <w:rPr>
                <w:rFonts w:ascii="Times New Roman" w:hAnsi="Times New Roman"/>
                <w:sz w:val="22"/>
              </w:rPr>
            </w:pPr>
            <w:r>
              <w:rPr>
                <w:rFonts w:ascii="Times New Roman" w:hAnsi="Times New Roman"/>
                <w:sz w:val="22"/>
              </w:rPr>
              <w:t>水利扶贫投资</w:t>
            </w:r>
          </w:p>
        </w:tc>
        <w:tc>
          <w:tcPr>
            <w:tcW w:w="1835" w:type="dxa"/>
            <w:vAlign w:val="center"/>
          </w:tcPr>
          <w:p w14:paraId="3F4E193F">
            <w:pPr>
              <w:jc w:val="center"/>
              <w:rPr>
                <w:rFonts w:ascii="Times New Roman" w:hAnsi="Times New Roman"/>
                <w:sz w:val="22"/>
              </w:rPr>
            </w:pPr>
            <w:r>
              <w:rPr>
                <w:rFonts w:ascii="Times New Roman" w:hAnsi="Times New Roman"/>
                <w:sz w:val="22"/>
              </w:rPr>
              <w:t>3.0</w:t>
            </w:r>
          </w:p>
        </w:tc>
        <w:tc>
          <w:tcPr>
            <w:tcW w:w="1834" w:type="dxa"/>
            <w:vAlign w:val="bottom"/>
          </w:tcPr>
          <w:p w14:paraId="3752C85B">
            <w:pPr>
              <w:jc w:val="center"/>
              <w:rPr>
                <w:rFonts w:ascii="Times New Roman" w:hAnsi="Times New Roman"/>
                <w:sz w:val="22"/>
              </w:rPr>
            </w:pPr>
            <w:r>
              <w:rPr>
                <w:rFonts w:ascii="Times New Roman" w:hAnsi="Times New Roman"/>
                <w:sz w:val="22"/>
              </w:rPr>
              <w:t>1.8</w:t>
            </w:r>
          </w:p>
        </w:tc>
        <w:tc>
          <w:tcPr>
            <w:tcW w:w="1768" w:type="dxa"/>
            <w:vAlign w:val="bottom"/>
          </w:tcPr>
          <w:p w14:paraId="016F0068">
            <w:pPr>
              <w:jc w:val="center"/>
              <w:rPr>
                <w:rFonts w:ascii="Times New Roman" w:hAnsi="Times New Roman"/>
                <w:sz w:val="22"/>
              </w:rPr>
            </w:pPr>
            <w:r>
              <w:rPr>
                <w:rFonts w:ascii="Times New Roman" w:hAnsi="Times New Roman"/>
                <w:sz w:val="22"/>
              </w:rPr>
              <w:t>0.75</w:t>
            </w:r>
          </w:p>
        </w:tc>
        <w:tc>
          <w:tcPr>
            <w:tcW w:w="1768" w:type="dxa"/>
            <w:vAlign w:val="bottom"/>
          </w:tcPr>
          <w:p w14:paraId="604CF5CF">
            <w:pPr>
              <w:jc w:val="center"/>
              <w:rPr>
                <w:rFonts w:ascii="Times New Roman" w:hAnsi="Times New Roman"/>
                <w:sz w:val="22"/>
              </w:rPr>
            </w:pPr>
            <w:r>
              <w:rPr>
                <w:rFonts w:ascii="Times New Roman" w:hAnsi="Times New Roman"/>
                <w:sz w:val="22"/>
              </w:rPr>
              <w:t>0.45</w:t>
            </w:r>
          </w:p>
        </w:tc>
      </w:tr>
      <w:tr w14:paraId="7073536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trPr>
        <w:tc>
          <w:tcPr>
            <w:tcW w:w="1835" w:type="dxa"/>
            <w:vAlign w:val="center"/>
          </w:tcPr>
          <w:p w14:paraId="236BA5E0">
            <w:pPr>
              <w:jc w:val="center"/>
              <w:rPr>
                <w:rFonts w:ascii="Times New Roman" w:hAnsi="Times New Roman"/>
                <w:sz w:val="22"/>
              </w:rPr>
            </w:pPr>
            <w:r>
              <w:rPr>
                <w:rFonts w:ascii="Times New Roman" w:hAnsi="Times New Roman"/>
                <w:sz w:val="22"/>
              </w:rPr>
              <w:t>其他投资</w:t>
            </w:r>
          </w:p>
        </w:tc>
        <w:tc>
          <w:tcPr>
            <w:tcW w:w="1835" w:type="dxa"/>
            <w:vAlign w:val="center"/>
          </w:tcPr>
          <w:p w14:paraId="5F57C09E">
            <w:pPr>
              <w:jc w:val="center"/>
              <w:rPr>
                <w:rFonts w:ascii="Times New Roman" w:hAnsi="Times New Roman"/>
                <w:sz w:val="22"/>
              </w:rPr>
            </w:pPr>
            <w:r>
              <w:rPr>
                <w:rFonts w:ascii="Times New Roman" w:hAnsi="Times New Roman"/>
                <w:sz w:val="22"/>
              </w:rPr>
              <w:t>5.0</w:t>
            </w:r>
          </w:p>
        </w:tc>
        <w:tc>
          <w:tcPr>
            <w:tcW w:w="1834" w:type="dxa"/>
            <w:vAlign w:val="bottom"/>
          </w:tcPr>
          <w:p w14:paraId="1AB2B88C">
            <w:pPr>
              <w:jc w:val="center"/>
              <w:rPr>
                <w:rFonts w:ascii="Times New Roman" w:hAnsi="Times New Roman"/>
                <w:sz w:val="22"/>
              </w:rPr>
            </w:pPr>
            <w:r>
              <w:rPr>
                <w:rFonts w:ascii="Times New Roman" w:hAnsi="Times New Roman"/>
                <w:sz w:val="22"/>
              </w:rPr>
              <w:t>3</w:t>
            </w:r>
          </w:p>
        </w:tc>
        <w:tc>
          <w:tcPr>
            <w:tcW w:w="1768" w:type="dxa"/>
            <w:vAlign w:val="bottom"/>
          </w:tcPr>
          <w:p w14:paraId="56F65267">
            <w:pPr>
              <w:jc w:val="center"/>
              <w:rPr>
                <w:rFonts w:ascii="Times New Roman" w:hAnsi="Times New Roman"/>
                <w:sz w:val="22"/>
              </w:rPr>
            </w:pPr>
            <w:r>
              <w:rPr>
                <w:rFonts w:ascii="Times New Roman" w:hAnsi="Times New Roman"/>
                <w:sz w:val="22"/>
              </w:rPr>
              <w:t>1.25</w:t>
            </w:r>
          </w:p>
        </w:tc>
        <w:tc>
          <w:tcPr>
            <w:tcW w:w="1768" w:type="dxa"/>
            <w:vAlign w:val="bottom"/>
          </w:tcPr>
          <w:p w14:paraId="0B2E568C">
            <w:pPr>
              <w:jc w:val="center"/>
              <w:rPr>
                <w:rFonts w:ascii="Times New Roman" w:hAnsi="Times New Roman"/>
                <w:sz w:val="22"/>
              </w:rPr>
            </w:pPr>
            <w:r>
              <w:rPr>
                <w:rFonts w:ascii="Times New Roman" w:hAnsi="Times New Roman"/>
                <w:sz w:val="22"/>
              </w:rPr>
              <w:t>0.75</w:t>
            </w:r>
          </w:p>
        </w:tc>
      </w:tr>
    </w:tbl>
    <w:p w14:paraId="0A0B540E">
      <w:pPr>
        <w:rPr>
          <w:rFonts w:ascii="Times New Roman" w:hAnsi="Times New Roman"/>
        </w:rPr>
      </w:pPr>
      <w:r>
        <w:rPr>
          <w:rFonts w:ascii="Times New Roman" w:hAnsi="Times New Roman"/>
        </w:rPr>
        <w:drawing>
          <wp:inline distT="0" distB="0" distL="0" distR="0">
            <wp:extent cx="5640070" cy="2188210"/>
            <wp:effectExtent l="4450" t="4430" r="14621" b="14555"/>
            <wp:docPr id="3" name="图表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B8A87F">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2.1.1 重点水源建设创历史新高</w:t>
      </w:r>
    </w:p>
    <w:p w14:paraId="69B3201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五年以来，奉节县水源工程建设作为民生水利发展的主力军，中小型骨干水源工程开工数量创历史新高，完成1中3小共4座水库工程建设，其中湾口、三蹬坡、尖山等水库在</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期间开工并完成建设，在全县水利建设史开辟了工程建设进度的先河。另外，蓼叶溪、西牛冲、林政、水竹槽等水利工程的陆续开工建设，为产业扶贫奠定了坚实基础。</w:t>
      </w:r>
    </w:p>
    <w:p w14:paraId="64692E2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经统计，</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期间，全县总计在（完）建水库8座，其中中型水库1座，小</w:t>
      </w:r>
      <w:r>
        <w:rPr>
          <w:rFonts w:hint="eastAsia" w:ascii="Times New Roman" w:hAnsi="Times New Roman" w:eastAsia="楷体"/>
          <w:sz w:val="28"/>
          <w:szCs w:val="28"/>
        </w:rPr>
        <w:t>（</w:t>
      </w:r>
      <w:r>
        <w:rPr>
          <w:rFonts w:ascii="Times New Roman" w:hAnsi="Times New Roman" w:eastAsia="楷体"/>
          <w:sz w:val="28"/>
          <w:szCs w:val="28"/>
        </w:rPr>
        <w:t>1</w:t>
      </w:r>
      <w:r>
        <w:rPr>
          <w:rFonts w:hint="eastAsia" w:ascii="Times New Roman" w:hAnsi="Times New Roman" w:eastAsia="楷体"/>
          <w:sz w:val="28"/>
          <w:szCs w:val="28"/>
        </w:rPr>
        <w:t>）</w:t>
      </w:r>
      <w:r>
        <w:rPr>
          <w:rFonts w:ascii="Times New Roman" w:hAnsi="Times New Roman" w:eastAsia="楷体"/>
          <w:sz w:val="28"/>
          <w:szCs w:val="28"/>
        </w:rPr>
        <w:t>型水库2座，小（2）型水库5座。在（完）建各级水库总库容1588万m</w:t>
      </w:r>
      <w:r>
        <w:rPr>
          <w:rFonts w:ascii="Times New Roman" w:hAnsi="Times New Roman" w:eastAsia="楷体"/>
          <w:sz w:val="28"/>
          <w:szCs w:val="28"/>
          <w:vertAlign w:val="superscript"/>
        </w:rPr>
        <w:t>3</w:t>
      </w:r>
      <w:r>
        <w:rPr>
          <w:rFonts w:ascii="Times New Roman" w:hAnsi="Times New Roman" w:eastAsia="楷体"/>
          <w:sz w:val="28"/>
          <w:szCs w:val="28"/>
        </w:rPr>
        <w:t>，建成后设计可供水量2299万m</w:t>
      </w:r>
      <w:r>
        <w:rPr>
          <w:rFonts w:ascii="Times New Roman" w:hAnsi="Times New Roman" w:eastAsia="楷体"/>
          <w:sz w:val="28"/>
          <w:szCs w:val="28"/>
          <w:vertAlign w:val="superscript"/>
        </w:rPr>
        <w:t>3</w:t>
      </w:r>
      <w:r>
        <w:rPr>
          <w:rFonts w:ascii="Times New Roman" w:hAnsi="Times New Roman" w:eastAsia="楷体"/>
          <w:sz w:val="28"/>
          <w:szCs w:val="28"/>
        </w:rPr>
        <w:t>，较十二五末全县可供水能力提高21.8%，设计灌溉面积7.5万亩，供水人口31.94万人。</w:t>
      </w:r>
    </w:p>
    <w:p w14:paraId="0ABD1BAE">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奉节县“十三五”期间在建水库一览表</w:t>
      </w:r>
    </w:p>
    <w:p w14:paraId="54C5EA87">
      <w:pPr>
        <w:spacing w:line="520" w:lineRule="exact"/>
        <w:jc w:val="left"/>
        <w:rPr>
          <w:rFonts w:ascii="Times New Roman" w:hAnsi="Times New Roman" w:eastAsia="方正小标宋_GBK"/>
          <w:sz w:val="24"/>
          <w:szCs w:val="24"/>
        </w:rPr>
      </w:pPr>
      <w:r>
        <w:rPr>
          <w:rFonts w:ascii="Times New Roman" w:hAnsi="Times New Roman" w:eastAsia="方正小标宋_GBK"/>
          <w:sz w:val="24"/>
          <w:szCs w:val="24"/>
        </w:rPr>
        <w:t>表 2.1-2</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426"/>
        <w:gridCol w:w="1077"/>
        <w:gridCol w:w="1077"/>
        <w:gridCol w:w="1194"/>
        <w:gridCol w:w="1194"/>
        <w:gridCol w:w="1194"/>
        <w:gridCol w:w="1251"/>
      </w:tblGrid>
      <w:tr w14:paraId="46D16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Merge w:val="restart"/>
            <w:vAlign w:val="center"/>
          </w:tcPr>
          <w:p w14:paraId="0DA530F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序号</w:t>
            </w:r>
          </w:p>
        </w:tc>
        <w:tc>
          <w:tcPr>
            <w:tcW w:w="768" w:type="pct"/>
            <w:vMerge w:val="restart"/>
            <w:vAlign w:val="center"/>
          </w:tcPr>
          <w:p w14:paraId="148975B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水库</w:t>
            </w:r>
          </w:p>
        </w:tc>
        <w:tc>
          <w:tcPr>
            <w:tcW w:w="580" w:type="pct"/>
            <w:vAlign w:val="center"/>
          </w:tcPr>
          <w:p w14:paraId="5A80AD0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规模</w:t>
            </w:r>
          </w:p>
        </w:tc>
        <w:tc>
          <w:tcPr>
            <w:tcW w:w="580" w:type="pct"/>
            <w:vAlign w:val="center"/>
          </w:tcPr>
          <w:p w14:paraId="4EFAC8C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总库容</w:t>
            </w:r>
          </w:p>
        </w:tc>
        <w:tc>
          <w:tcPr>
            <w:tcW w:w="643" w:type="pct"/>
            <w:vAlign w:val="center"/>
          </w:tcPr>
          <w:p w14:paraId="43F0CBF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可供水量</w:t>
            </w:r>
          </w:p>
        </w:tc>
        <w:tc>
          <w:tcPr>
            <w:tcW w:w="643" w:type="pct"/>
            <w:vAlign w:val="center"/>
          </w:tcPr>
          <w:p w14:paraId="5AA6D91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灌溉面积</w:t>
            </w:r>
          </w:p>
        </w:tc>
        <w:tc>
          <w:tcPr>
            <w:tcW w:w="643" w:type="pct"/>
            <w:vAlign w:val="center"/>
          </w:tcPr>
          <w:p w14:paraId="518CF95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供水人口</w:t>
            </w:r>
          </w:p>
        </w:tc>
        <w:tc>
          <w:tcPr>
            <w:tcW w:w="674" w:type="pct"/>
            <w:vMerge w:val="restart"/>
            <w:vAlign w:val="center"/>
          </w:tcPr>
          <w:p w14:paraId="656B460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建设情况</w:t>
            </w:r>
          </w:p>
        </w:tc>
      </w:tr>
      <w:tr w14:paraId="205417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Merge w:val="continue"/>
            <w:vAlign w:val="center"/>
          </w:tcPr>
          <w:p w14:paraId="3488AC99">
            <w:pPr>
              <w:widowControl/>
              <w:spacing w:line="280" w:lineRule="exact"/>
              <w:jc w:val="left"/>
              <w:rPr>
                <w:rFonts w:ascii="Times New Roman" w:hAnsi="Times New Roman" w:eastAsia="楷体"/>
                <w:kern w:val="0"/>
                <w:sz w:val="18"/>
                <w:szCs w:val="18"/>
              </w:rPr>
            </w:pPr>
          </w:p>
        </w:tc>
        <w:tc>
          <w:tcPr>
            <w:tcW w:w="768" w:type="pct"/>
            <w:vMerge w:val="continue"/>
            <w:vAlign w:val="center"/>
          </w:tcPr>
          <w:p w14:paraId="6553303E">
            <w:pPr>
              <w:widowControl/>
              <w:spacing w:line="280" w:lineRule="exact"/>
              <w:jc w:val="left"/>
              <w:rPr>
                <w:rFonts w:ascii="Times New Roman" w:hAnsi="Times New Roman" w:eastAsia="楷体"/>
                <w:kern w:val="0"/>
                <w:sz w:val="18"/>
                <w:szCs w:val="18"/>
              </w:rPr>
            </w:pPr>
          </w:p>
        </w:tc>
        <w:tc>
          <w:tcPr>
            <w:tcW w:w="580" w:type="pct"/>
            <w:vAlign w:val="center"/>
          </w:tcPr>
          <w:p w14:paraId="1FAD02B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等级</w:t>
            </w:r>
          </w:p>
        </w:tc>
        <w:tc>
          <w:tcPr>
            <w:tcW w:w="580" w:type="pct"/>
            <w:vAlign w:val="center"/>
          </w:tcPr>
          <w:p w14:paraId="2B95E94F">
            <w:pPr>
              <w:widowControl/>
              <w:spacing w:line="280" w:lineRule="exact"/>
              <w:jc w:val="center"/>
              <w:rPr>
                <w:rFonts w:ascii="Times New Roman" w:hAnsi="Times New Roman" w:eastAsia="楷体"/>
                <w:kern w:val="0"/>
                <w:sz w:val="18"/>
                <w:szCs w:val="18"/>
              </w:rPr>
            </w:pPr>
            <w:r>
              <w:rPr>
                <w:rFonts w:hint="eastAsia" w:ascii="Times New Roman" w:hAnsi="Times New Roman" w:eastAsia="楷体"/>
                <w:kern w:val="0"/>
                <w:sz w:val="18"/>
                <w:szCs w:val="18"/>
              </w:rPr>
              <w:t>（</w:t>
            </w:r>
            <w:r>
              <w:rPr>
                <w:rFonts w:ascii="Times New Roman" w:hAnsi="Times New Roman" w:eastAsia="楷体"/>
                <w:kern w:val="0"/>
                <w:sz w:val="18"/>
                <w:szCs w:val="18"/>
              </w:rPr>
              <w:t>万m</w:t>
            </w:r>
            <w:r>
              <w:rPr>
                <w:rFonts w:ascii="Times New Roman" w:hAnsi="Times New Roman" w:eastAsia="楷体"/>
                <w:kern w:val="0"/>
                <w:sz w:val="18"/>
                <w:szCs w:val="18"/>
                <w:vertAlign w:val="superscript"/>
              </w:rPr>
              <w:t>3</w:t>
            </w:r>
            <w:r>
              <w:rPr>
                <w:rFonts w:hint="eastAsia" w:ascii="Times New Roman" w:hAnsi="Times New Roman" w:eastAsia="楷体"/>
                <w:kern w:val="0"/>
                <w:sz w:val="18"/>
                <w:szCs w:val="18"/>
              </w:rPr>
              <w:t>）</w:t>
            </w:r>
          </w:p>
        </w:tc>
        <w:tc>
          <w:tcPr>
            <w:tcW w:w="643" w:type="pct"/>
            <w:vAlign w:val="center"/>
          </w:tcPr>
          <w:p w14:paraId="2DA8FC4A">
            <w:pPr>
              <w:widowControl/>
              <w:spacing w:line="280" w:lineRule="exact"/>
              <w:jc w:val="center"/>
              <w:rPr>
                <w:rFonts w:ascii="Times New Roman" w:hAnsi="Times New Roman" w:eastAsia="楷体"/>
                <w:kern w:val="0"/>
                <w:sz w:val="18"/>
                <w:szCs w:val="18"/>
              </w:rPr>
            </w:pPr>
            <w:r>
              <w:rPr>
                <w:rFonts w:hint="eastAsia" w:ascii="Times New Roman" w:hAnsi="Times New Roman" w:eastAsia="楷体"/>
                <w:kern w:val="0"/>
                <w:sz w:val="18"/>
                <w:szCs w:val="18"/>
              </w:rPr>
              <w:t>（</w:t>
            </w:r>
            <w:r>
              <w:rPr>
                <w:rFonts w:ascii="Times New Roman" w:hAnsi="Times New Roman" w:eastAsia="楷体"/>
                <w:kern w:val="0"/>
                <w:sz w:val="18"/>
                <w:szCs w:val="18"/>
              </w:rPr>
              <w:t>万m</w:t>
            </w:r>
            <w:r>
              <w:rPr>
                <w:rFonts w:ascii="Times New Roman" w:hAnsi="Times New Roman" w:eastAsia="楷体"/>
                <w:kern w:val="0"/>
                <w:sz w:val="18"/>
                <w:szCs w:val="18"/>
                <w:vertAlign w:val="superscript"/>
              </w:rPr>
              <w:t>3</w:t>
            </w:r>
            <w:r>
              <w:rPr>
                <w:rFonts w:hint="eastAsia" w:ascii="Times New Roman" w:hAnsi="Times New Roman" w:eastAsia="楷体"/>
                <w:kern w:val="0"/>
                <w:sz w:val="18"/>
                <w:szCs w:val="18"/>
              </w:rPr>
              <w:t>）</w:t>
            </w:r>
          </w:p>
        </w:tc>
        <w:tc>
          <w:tcPr>
            <w:tcW w:w="643" w:type="pct"/>
            <w:vAlign w:val="center"/>
          </w:tcPr>
          <w:p w14:paraId="36ED22EB">
            <w:pPr>
              <w:widowControl/>
              <w:spacing w:line="280" w:lineRule="exact"/>
              <w:jc w:val="center"/>
              <w:rPr>
                <w:rFonts w:ascii="Times New Roman" w:hAnsi="Times New Roman" w:eastAsia="楷体"/>
                <w:kern w:val="0"/>
                <w:sz w:val="18"/>
                <w:szCs w:val="18"/>
              </w:rPr>
            </w:pPr>
            <w:r>
              <w:rPr>
                <w:rFonts w:hint="eastAsia" w:ascii="Times New Roman" w:hAnsi="Times New Roman" w:eastAsia="楷体"/>
                <w:kern w:val="0"/>
                <w:sz w:val="18"/>
                <w:szCs w:val="18"/>
              </w:rPr>
              <w:t>（</w:t>
            </w:r>
            <w:r>
              <w:rPr>
                <w:rFonts w:ascii="Times New Roman" w:hAnsi="Times New Roman" w:eastAsia="楷体"/>
                <w:kern w:val="0"/>
                <w:sz w:val="18"/>
                <w:szCs w:val="18"/>
              </w:rPr>
              <w:t>万亩</w:t>
            </w:r>
            <w:r>
              <w:rPr>
                <w:rFonts w:hint="eastAsia" w:ascii="Times New Roman" w:hAnsi="Times New Roman" w:eastAsia="楷体"/>
                <w:kern w:val="0"/>
                <w:sz w:val="18"/>
                <w:szCs w:val="18"/>
              </w:rPr>
              <w:t>）</w:t>
            </w:r>
          </w:p>
        </w:tc>
        <w:tc>
          <w:tcPr>
            <w:tcW w:w="643" w:type="pct"/>
            <w:vAlign w:val="center"/>
          </w:tcPr>
          <w:p w14:paraId="0B573217">
            <w:pPr>
              <w:widowControl/>
              <w:spacing w:line="280" w:lineRule="exact"/>
              <w:jc w:val="center"/>
              <w:rPr>
                <w:rFonts w:ascii="Times New Roman" w:hAnsi="Times New Roman" w:eastAsia="楷体"/>
                <w:kern w:val="0"/>
                <w:sz w:val="18"/>
                <w:szCs w:val="18"/>
              </w:rPr>
            </w:pPr>
            <w:r>
              <w:rPr>
                <w:rFonts w:hint="eastAsia" w:ascii="Times New Roman" w:hAnsi="Times New Roman" w:eastAsia="楷体"/>
                <w:kern w:val="0"/>
                <w:sz w:val="18"/>
                <w:szCs w:val="18"/>
              </w:rPr>
              <w:t>（</w:t>
            </w:r>
            <w:r>
              <w:rPr>
                <w:rFonts w:ascii="Times New Roman" w:hAnsi="Times New Roman" w:eastAsia="楷体"/>
                <w:kern w:val="0"/>
                <w:sz w:val="18"/>
                <w:szCs w:val="18"/>
              </w:rPr>
              <w:t>万人</w:t>
            </w:r>
            <w:r>
              <w:rPr>
                <w:rFonts w:hint="eastAsia" w:ascii="Times New Roman" w:hAnsi="Times New Roman" w:eastAsia="楷体"/>
                <w:kern w:val="0"/>
                <w:sz w:val="18"/>
                <w:szCs w:val="18"/>
              </w:rPr>
              <w:t>）</w:t>
            </w:r>
          </w:p>
        </w:tc>
        <w:tc>
          <w:tcPr>
            <w:tcW w:w="674" w:type="pct"/>
            <w:vMerge w:val="continue"/>
            <w:vAlign w:val="center"/>
          </w:tcPr>
          <w:p w14:paraId="16D8A2A1">
            <w:pPr>
              <w:widowControl/>
              <w:spacing w:line="280" w:lineRule="exact"/>
              <w:jc w:val="left"/>
              <w:rPr>
                <w:rFonts w:ascii="Times New Roman" w:hAnsi="Times New Roman" w:eastAsia="楷体"/>
                <w:kern w:val="0"/>
                <w:sz w:val="18"/>
                <w:szCs w:val="18"/>
              </w:rPr>
            </w:pPr>
          </w:p>
        </w:tc>
      </w:tr>
      <w:tr w14:paraId="6FF09B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6F83684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w:t>
            </w:r>
          </w:p>
        </w:tc>
        <w:tc>
          <w:tcPr>
            <w:tcW w:w="768" w:type="pct"/>
            <w:vAlign w:val="center"/>
          </w:tcPr>
          <w:p w14:paraId="74A02B2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草坪河水库</w:t>
            </w:r>
          </w:p>
        </w:tc>
        <w:tc>
          <w:tcPr>
            <w:tcW w:w="580" w:type="pct"/>
            <w:vAlign w:val="center"/>
          </w:tcPr>
          <w:p w14:paraId="6C5CBC7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中型</w:t>
            </w:r>
          </w:p>
        </w:tc>
        <w:tc>
          <w:tcPr>
            <w:tcW w:w="580" w:type="pct"/>
            <w:vAlign w:val="center"/>
          </w:tcPr>
          <w:p w14:paraId="6DF0B3E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1113</w:t>
            </w:r>
          </w:p>
        </w:tc>
        <w:tc>
          <w:tcPr>
            <w:tcW w:w="643" w:type="pct"/>
            <w:vAlign w:val="center"/>
          </w:tcPr>
          <w:p w14:paraId="6C030BB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1610</w:t>
            </w:r>
          </w:p>
        </w:tc>
        <w:tc>
          <w:tcPr>
            <w:tcW w:w="643" w:type="pct"/>
            <w:vAlign w:val="center"/>
          </w:tcPr>
          <w:p w14:paraId="58F222E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5.2</w:t>
            </w:r>
          </w:p>
        </w:tc>
        <w:tc>
          <w:tcPr>
            <w:tcW w:w="643" w:type="pct"/>
            <w:vAlign w:val="center"/>
          </w:tcPr>
          <w:p w14:paraId="30BC391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23</w:t>
            </w:r>
          </w:p>
        </w:tc>
        <w:tc>
          <w:tcPr>
            <w:tcW w:w="674" w:type="pct"/>
            <w:vAlign w:val="center"/>
          </w:tcPr>
          <w:p w14:paraId="13073DA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主体完工</w:t>
            </w:r>
          </w:p>
        </w:tc>
      </w:tr>
      <w:tr w14:paraId="0C5EB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470" w:type="pct"/>
            <w:vAlign w:val="center"/>
          </w:tcPr>
          <w:p w14:paraId="4019631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w:t>
            </w:r>
          </w:p>
        </w:tc>
        <w:tc>
          <w:tcPr>
            <w:tcW w:w="768" w:type="pct"/>
            <w:vAlign w:val="center"/>
          </w:tcPr>
          <w:p w14:paraId="14A88BF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蓼叶溪水库</w:t>
            </w:r>
          </w:p>
        </w:tc>
        <w:tc>
          <w:tcPr>
            <w:tcW w:w="580" w:type="pct"/>
            <w:vAlign w:val="center"/>
          </w:tcPr>
          <w:p w14:paraId="3CD669E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小（1）</w:t>
            </w:r>
          </w:p>
        </w:tc>
        <w:tc>
          <w:tcPr>
            <w:tcW w:w="580" w:type="pct"/>
            <w:vAlign w:val="center"/>
          </w:tcPr>
          <w:p w14:paraId="6D20854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168</w:t>
            </w:r>
          </w:p>
        </w:tc>
        <w:tc>
          <w:tcPr>
            <w:tcW w:w="643" w:type="pct"/>
            <w:vAlign w:val="center"/>
          </w:tcPr>
          <w:p w14:paraId="47BCA71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211</w:t>
            </w:r>
          </w:p>
        </w:tc>
        <w:tc>
          <w:tcPr>
            <w:tcW w:w="643" w:type="pct"/>
            <w:vAlign w:val="center"/>
          </w:tcPr>
          <w:p w14:paraId="5307929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0.41</w:t>
            </w:r>
          </w:p>
        </w:tc>
        <w:tc>
          <w:tcPr>
            <w:tcW w:w="643" w:type="pct"/>
            <w:vAlign w:val="center"/>
          </w:tcPr>
          <w:p w14:paraId="44FBD11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3.38</w:t>
            </w:r>
          </w:p>
        </w:tc>
        <w:tc>
          <w:tcPr>
            <w:tcW w:w="674" w:type="pct"/>
            <w:vAlign w:val="center"/>
          </w:tcPr>
          <w:p w14:paraId="7C6EB31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开工</w:t>
            </w:r>
          </w:p>
        </w:tc>
      </w:tr>
      <w:tr w14:paraId="78BF1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27B3618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w:t>
            </w:r>
          </w:p>
        </w:tc>
        <w:tc>
          <w:tcPr>
            <w:tcW w:w="768" w:type="pct"/>
            <w:vAlign w:val="center"/>
          </w:tcPr>
          <w:p w14:paraId="1DD9C34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西牛冲水库</w:t>
            </w:r>
          </w:p>
        </w:tc>
        <w:tc>
          <w:tcPr>
            <w:tcW w:w="580" w:type="pct"/>
            <w:vAlign w:val="center"/>
          </w:tcPr>
          <w:p w14:paraId="7B383D8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小（1）</w:t>
            </w:r>
          </w:p>
        </w:tc>
        <w:tc>
          <w:tcPr>
            <w:tcW w:w="580" w:type="pct"/>
            <w:vAlign w:val="center"/>
          </w:tcPr>
          <w:p w14:paraId="0224E4E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183</w:t>
            </w:r>
          </w:p>
        </w:tc>
        <w:tc>
          <w:tcPr>
            <w:tcW w:w="643" w:type="pct"/>
            <w:vAlign w:val="center"/>
          </w:tcPr>
          <w:p w14:paraId="63CC098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177</w:t>
            </w:r>
          </w:p>
        </w:tc>
        <w:tc>
          <w:tcPr>
            <w:tcW w:w="643" w:type="pct"/>
            <w:vAlign w:val="center"/>
          </w:tcPr>
          <w:p w14:paraId="465E6BF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0.9</w:t>
            </w:r>
          </w:p>
        </w:tc>
        <w:tc>
          <w:tcPr>
            <w:tcW w:w="643" w:type="pct"/>
            <w:vAlign w:val="center"/>
          </w:tcPr>
          <w:p w14:paraId="53DF9DC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0.7</w:t>
            </w:r>
          </w:p>
        </w:tc>
        <w:tc>
          <w:tcPr>
            <w:tcW w:w="674" w:type="pct"/>
            <w:vAlign w:val="center"/>
          </w:tcPr>
          <w:p w14:paraId="23EE2EA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开工</w:t>
            </w:r>
          </w:p>
        </w:tc>
      </w:tr>
      <w:tr w14:paraId="5F47F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50F1148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w:t>
            </w:r>
          </w:p>
        </w:tc>
        <w:tc>
          <w:tcPr>
            <w:tcW w:w="768" w:type="pct"/>
            <w:vAlign w:val="center"/>
          </w:tcPr>
          <w:p w14:paraId="147B9DE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林政水库</w:t>
            </w:r>
          </w:p>
        </w:tc>
        <w:tc>
          <w:tcPr>
            <w:tcW w:w="580" w:type="pct"/>
            <w:vAlign w:val="center"/>
          </w:tcPr>
          <w:p w14:paraId="14C6621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小（2）</w:t>
            </w:r>
          </w:p>
        </w:tc>
        <w:tc>
          <w:tcPr>
            <w:tcW w:w="580" w:type="pct"/>
            <w:vAlign w:val="center"/>
          </w:tcPr>
          <w:p w14:paraId="57A9B7E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30.6</w:t>
            </w:r>
          </w:p>
        </w:tc>
        <w:tc>
          <w:tcPr>
            <w:tcW w:w="643" w:type="pct"/>
            <w:vAlign w:val="center"/>
          </w:tcPr>
          <w:p w14:paraId="16E8506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66.5</w:t>
            </w:r>
          </w:p>
        </w:tc>
        <w:tc>
          <w:tcPr>
            <w:tcW w:w="643" w:type="pct"/>
            <w:vAlign w:val="center"/>
          </w:tcPr>
          <w:p w14:paraId="27024A7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0.05</w:t>
            </w:r>
          </w:p>
        </w:tc>
        <w:tc>
          <w:tcPr>
            <w:tcW w:w="643" w:type="pct"/>
            <w:vAlign w:val="center"/>
          </w:tcPr>
          <w:p w14:paraId="7FBEB79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1.63</w:t>
            </w:r>
          </w:p>
        </w:tc>
        <w:tc>
          <w:tcPr>
            <w:tcW w:w="674" w:type="pct"/>
            <w:vAlign w:val="center"/>
          </w:tcPr>
          <w:p w14:paraId="7CDDD39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开工</w:t>
            </w:r>
          </w:p>
        </w:tc>
      </w:tr>
      <w:tr w14:paraId="0B000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06B37B5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5</w:t>
            </w:r>
          </w:p>
        </w:tc>
        <w:tc>
          <w:tcPr>
            <w:tcW w:w="768" w:type="pct"/>
            <w:vAlign w:val="center"/>
          </w:tcPr>
          <w:p w14:paraId="64D7879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水竹槽水库</w:t>
            </w:r>
          </w:p>
        </w:tc>
        <w:tc>
          <w:tcPr>
            <w:tcW w:w="580" w:type="pct"/>
            <w:vAlign w:val="center"/>
          </w:tcPr>
          <w:p w14:paraId="2B3EF50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小（2）</w:t>
            </w:r>
          </w:p>
        </w:tc>
        <w:tc>
          <w:tcPr>
            <w:tcW w:w="580" w:type="pct"/>
            <w:vAlign w:val="center"/>
          </w:tcPr>
          <w:p w14:paraId="11D7921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32.8</w:t>
            </w:r>
          </w:p>
        </w:tc>
        <w:tc>
          <w:tcPr>
            <w:tcW w:w="643" w:type="pct"/>
            <w:vAlign w:val="center"/>
          </w:tcPr>
          <w:p w14:paraId="1BBB759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31.9</w:t>
            </w:r>
          </w:p>
        </w:tc>
        <w:tc>
          <w:tcPr>
            <w:tcW w:w="643" w:type="pct"/>
            <w:vAlign w:val="center"/>
          </w:tcPr>
          <w:p w14:paraId="58FB1EC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0.14</w:t>
            </w:r>
          </w:p>
        </w:tc>
        <w:tc>
          <w:tcPr>
            <w:tcW w:w="643" w:type="pct"/>
            <w:vAlign w:val="center"/>
          </w:tcPr>
          <w:p w14:paraId="19F07F6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0.69</w:t>
            </w:r>
          </w:p>
        </w:tc>
        <w:tc>
          <w:tcPr>
            <w:tcW w:w="674" w:type="pct"/>
            <w:vAlign w:val="center"/>
          </w:tcPr>
          <w:p w14:paraId="5A2AD7B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开工</w:t>
            </w:r>
          </w:p>
        </w:tc>
      </w:tr>
      <w:tr w14:paraId="1BB7FB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220C7F6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w:t>
            </w:r>
          </w:p>
        </w:tc>
        <w:tc>
          <w:tcPr>
            <w:tcW w:w="768" w:type="pct"/>
            <w:vAlign w:val="center"/>
          </w:tcPr>
          <w:p w14:paraId="4B09635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湾口水库</w:t>
            </w:r>
          </w:p>
        </w:tc>
        <w:tc>
          <w:tcPr>
            <w:tcW w:w="580" w:type="pct"/>
            <w:vAlign w:val="center"/>
          </w:tcPr>
          <w:p w14:paraId="78C8B4B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小（2）</w:t>
            </w:r>
          </w:p>
        </w:tc>
        <w:tc>
          <w:tcPr>
            <w:tcW w:w="580" w:type="pct"/>
            <w:vAlign w:val="center"/>
          </w:tcPr>
          <w:p w14:paraId="55FD1A8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12.6</w:t>
            </w:r>
          </w:p>
        </w:tc>
        <w:tc>
          <w:tcPr>
            <w:tcW w:w="643" w:type="pct"/>
            <w:vAlign w:val="center"/>
          </w:tcPr>
          <w:p w14:paraId="515FEC9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15.81</w:t>
            </w:r>
          </w:p>
        </w:tc>
        <w:tc>
          <w:tcPr>
            <w:tcW w:w="643" w:type="pct"/>
            <w:vAlign w:val="center"/>
          </w:tcPr>
          <w:p w14:paraId="496466E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w:t>
            </w:r>
          </w:p>
        </w:tc>
        <w:tc>
          <w:tcPr>
            <w:tcW w:w="643" w:type="pct"/>
            <w:vAlign w:val="center"/>
          </w:tcPr>
          <w:p w14:paraId="18863F8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0.81</w:t>
            </w:r>
          </w:p>
        </w:tc>
        <w:tc>
          <w:tcPr>
            <w:tcW w:w="674" w:type="pct"/>
            <w:vAlign w:val="center"/>
          </w:tcPr>
          <w:p w14:paraId="5814719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建成</w:t>
            </w:r>
          </w:p>
        </w:tc>
      </w:tr>
      <w:tr w14:paraId="4B4BE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0EDEBCB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7</w:t>
            </w:r>
          </w:p>
        </w:tc>
        <w:tc>
          <w:tcPr>
            <w:tcW w:w="768" w:type="pct"/>
            <w:vAlign w:val="center"/>
          </w:tcPr>
          <w:p w14:paraId="689638D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三蹬坡水库</w:t>
            </w:r>
          </w:p>
        </w:tc>
        <w:tc>
          <w:tcPr>
            <w:tcW w:w="580" w:type="pct"/>
            <w:vAlign w:val="center"/>
          </w:tcPr>
          <w:p w14:paraId="00E4029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小（2）</w:t>
            </w:r>
          </w:p>
        </w:tc>
        <w:tc>
          <w:tcPr>
            <w:tcW w:w="580" w:type="pct"/>
            <w:vAlign w:val="center"/>
          </w:tcPr>
          <w:p w14:paraId="507B652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10.1</w:t>
            </w:r>
          </w:p>
        </w:tc>
        <w:tc>
          <w:tcPr>
            <w:tcW w:w="643" w:type="pct"/>
            <w:vAlign w:val="center"/>
          </w:tcPr>
          <w:p w14:paraId="550F250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9.85</w:t>
            </w:r>
          </w:p>
        </w:tc>
        <w:tc>
          <w:tcPr>
            <w:tcW w:w="643" w:type="pct"/>
            <w:vAlign w:val="center"/>
          </w:tcPr>
          <w:p w14:paraId="0785042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w:t>
            </w:r>
          </w:p>
        </w:tc>
        <w:tc>
          <w:tcPr>
            <w:tcW w:w="643" w:type="pct"/>
            <w:vAlign w:val="center"/>
          </w:tcPr>
          <w:p w14:paraId="292C8BA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0.23</w:t>
            </w:r>
          </w:p>
        </w:tc>
        <w:tc>
          <w:tcPr>
            <w:tcW w:w="674" w:type="pct"/>
            <w:vAlign w:val="center"/>
          </w:tcPr>
          <w:p w14:paraId="0938ACB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建成</w:t>
            </w:r>
          </w:p>
        </w:tc>
      </w:tr>
      <w:tr w14:paraId="5581B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0" w:type="pct"/>
            <w:vAlign w:val="center"/>
          </w:tcPr>
          <w:p w14:paraId="43F8E9A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8</w:t>
            </w:r>
          </w:p>
        </w:tc>
        <w:tc>
          <w:tcPr>
            <w:tcW w:w="768" w:type="pct"/>
            <w:vAlign w:val="center"/>
          </w:tcPr>
          <w:p w14:paraId="055378C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尖山水库</w:t>
            </w:r>
          </w:p>
        </w:tc>
        <w:tc>
          <w:tcPr>
            <w:tcW w:w="580" w:type="pct"/>
            <w:vAlign w:val="center"/>
          </w:tcPr>
          <w:p w14:paraId="341571B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小（2）</w:t>
            </w:r>
          </w:p>
        </w:tc>
        <w:tc>
          <w:tcPr>
            <w:tcW w:w="580" w:type="pct"/>
            <w:vAlign w:val="center"/>
          </w:tcPr>
          <w:p w14:paraId="4EAAE30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37.63</w:t>
            </w:r>
          </w:p>
        </w:tc>
        <w:tc>
          <w:tcPr>
            <w:tcW w:w="643" w:type="pct"/>
            <w:vAlign w:val="center"/>
          </w:tcPr>
          <w:p w14:paraId="1FF8984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177</w:t>
            </w:r>
          </w:p>
        </w:tc>
        <w:tc>
          <w:tcPr>
            <w:tcW w:w="643" w:type="pct"/>
            <w:vAlign w:val="center"/>
          </w:tcPr>
          <w:p w14:paraId="609B476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0.8</w:t>
            </w:r>
          </w:p>
        </w:tc>
        <w:tc>
          <w:tcPr>
            <w:tcW w:w="643" w:type="pct"/>
            <w:vAlign w:val="center"/>
          </w:tcPr>
          <w:p w14:paraId="725F511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1.5</w:t>
            </w:r>
          </w:p>
        </w:tc>
        <w:tc>
          <w:tcPr>
            <w:tcW w:w="674" w:type="pct"/>
            <w:vAlign w:val="center"/>
          </w:tcPr>
          <w:p w14:paraId="5A06D34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建成</w:t>
            </w:r>
          </w:p>
        </w:tc>
      </w:tr>
      <w:tr w14:paraId="7E76C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818" w:type="pct"/>
            <w:gridSpan w:val="3"/>
            <w:vAlign w:val="center"/>
          </w:tcPr>
          <w:p w14:paraId="0E2096A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合计</w:t>
            </w:r>
          </w:p>
        </w:tc>
        <w:tc>
          <w:tcPr>
            <w:tcW w:w="580" w:type="pct"/>
            <w:vAlign w:val="center"/>
          </w:tcPr>
          <w:p w14:paraId="46C6BB2A">
            <w:pPr>
              <w:widowControl/>
              <w:spacing w:line="280" w:lineRule="exact"/>
              <w:jc w:val="center"/>
              <w:rPr>
                <w:rFonts w:ascii="Times New Roman" w:hAnsi="Times New Roman" w:eastAsia="楷体"/>
                <w:kern w:val="0"/>
                <w:sz w:val="18"/>
                <w:szCs w:val="18"/>
              </w:rPr>
            </w:pPr>
            <w:r>
              <w:rPr>
                <w:rFonts w:ascii="Times New Roman" w:hAnsi="Times New Roman"/>
                <w:sz w:val="22"/>
              </w:rPr>
              <w:t>1588</w:t>
            </w:r>
          </w:p>
        </w:tc>
        <w:tc>
          <w:tcPr>
            <w:tcW w:w="643" w:type="pct"/>
            <w:vAlign w:val="center"/>
          </w:tcPr>
          <w:p w14:paraId="13CAE19D">
            <w:pPr>
              <w:widowControl/>
              <w:spacing w:line="280" w:lineRule="exact"/>
              <w:jc w:val="center"/>
              <w:rPr>
                <w:rFonts w:ascii="Times New Roman" w:hAnsi="Times New Roman" w:eastAsia="楷体"/>
                <w:kern w:val="0"/>
                <w:sz w:val="18"/>
                <w:szCs w:val="18"/>
              </w:rPr>
            </w:pPr>
            <w:r>
              <w:rPr>
                <w:rFonts w:ascii="Times New Roman" w:hAnsi="Times New Roman"/>
                <w:sz w:val="22"/>
              </w:rPr>
              <w:t>2299</w:t>
            </w:r>
          </w:p>
        </w:tc>
        <w:tc>
          <w:tcPr>
            <w:tcW w:w="643" w:type="pct"/>
            <w:vAlign w:val="center"/>
          </w:tcPr>
          <w:p w14:paraId="0442081E">
            <w:pPr>
              <w:widowControl/>
              <w:spacing w:line="280" w:lineRule="exact"/>
              <w:jc w:val="center"/>
              <w:rPr>
                <w:rFonts w:ascii="Times New Roman" w:hAnsi="Times New Roman" w:eastAsia="楷体"/>
                <w:kern w:val="0"/>
                <w:sz w:val="18"/>
                <w:szCs w:val="18"/>
              </w:rPr>
            </w:pPr>
            <w:r>
              <w:rPr>
                <w:rFonts w:ascii="Times New Roman" w:hAnsi="Times New Roman"/>
                <w:sz w:val="22"/>
              </w:rPr>
              <w:t>7.5</w:t>
            </w:r>
          </w:p>
        </w:tc>
        <w:tc>
          <w:tcPr>
            <w:tcW w:w="643" w:type="pct"/>
            <w:vAlign w:val="center"/>
          </w:tcPr>
          <w:p w14:paraId="4FC206C3">
            <w:pPr>
              <w:widowControl/>
              <w:spacing w:line="280" w:lineRule="exact"/>
              <w:jc w:val="center"/>
              <w:rPr>
                <w:rFonts w:ascii="Times New Roman" w:hAnsi="Times New Roman" w:eastAsia="楷体"/>
                <w:kern w:val="0"/>
                <w:sz w:val="18"/>
                <w:szCs w:val="18"/>
              </w:rPr>
            </w:pPr>
            <w:r>
              <w:rPr>
                <w:rFonts w:ascii="Times New Roman" w:hAnsi="Times New Roman"/>
                <w:sz w:val="22"/>
              </w:rPr>
              <w:t>31.94</w:t>
            </w:r>
          </w:p>
        </w:tc>
        <w:tc>
          <w:tcPr>
            <w:tcW w:w="674" w:type="pct"/>
            <w:vAlign w:val="center"/>
          </w:tcPr>
          <w:p w14:paraId="7386720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 </w:t>
            </w:r>
          </w:p>
        </w:tc>
      </w:tr>
    </w:tbl>
    <w:p w14:paraId="15F70A1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大中小型水库工程前期工作扎实推进，为全县水利未来持续发展储备坚实后劲，按照重庆市水源工程建设三年行动计划，大力推进了野茶水库、天赐湖水库、百岛湖水库等中型骨干水源工程的前期工作，其中野茶水库完成初步设计审批，百岛湖水库完成可研审批工作。组织编制了《奉节县县域水源工程规划（2018-2035年）》，规划中小型水库24座，兰天水库、乌龙溪水库、红椿坝水库、尖峰水库等项目已经进入单项工程规划方案研究，招峰水库已完成工程设计。为支撑长江经济带战略发展要求，适应重庆一区两群战略布局发展要求，谋划默玺湖、渚清等2座大型水库作为县域南北两岸战略性骨干水源工程，并开展了有关前期工作，支撑县域水资源配置体系的持续优化。朱衣河生态调节堰项目也正在开展前期方案论证工作。</w:t>
      </w:r>
    </w:p>
    <w:p w14:paraId="0B7670A8">
      <w:pPr>
        <w:pStyle w:val="80"/>
        <w:spacing w:line="520" w:lineRule="exact"/>
        <w:rPr>
          <w:rFonts w:ascii="宋体" w:hAnsi="宋体" w:cs="宋体"/>
          <w:b/>
          <w:bCs w:val="0"/>
          <w:sz w:val="24"/>
          <w:szCs w:val="24"/>
        </w:rPr>
      </w:pPr>
      <w:r>
        <w:rPr>
          <w:rFonts w:hint="eastAsia" w:ascii="宋体" w:hAnsi="宋体" w:cs="宋体"/>
          <w:b/>
          <w:bCs w:val="0"/>
          <w:sz w:val="24"/>
          <w:szCs w:val="24"/>
        </w:rPr>
        <w:t>专栏1：重点水源建设新突破</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1"/>
      </w:tblGrid>
      <w:tr w14:paraId="34E6D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41" w:type="dxa"/>
            <w:vAlign w:val="center"/>
          </w:tcPr>
          <w:p w14:paraId="53E02542">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挂图作战强推进：</w:t>
            </w:r>
            <w:r>
              <w:rPr>
                <w:rFonts w:ascii="Times New Roman" w:hAnsi="Times New Roman" w:eastAsia="方正楷体_GBK"/>
                <w:bCs/>
                <w:szCs w:val="24"/>
              </w:rPr>
              <w:t>以“四中十一小”重点水源工程为重点，成立重点项目办，将项目开工建设前各阶段工作任务、时间节点、目标责任，逐一细化分解到具体牵头局领导和责任人员，确保项目序时推进。草坪河水库工程将完成枢纽建设，野茶水库完成初设审批；百岛湖水库完成可研审批。尖山、湾口、三蹬坡水库已完成建设；西牛冲、蓼叶溪、林政、水竹槽水库已开工建设；晓阳水库正在开展技术方案论证。青莲溪水库扫尾问题取得重大进展，完成审计报告，为竣工验收铺平了道路。</w:t>
            </w:r>
          </w:p>
          <w:p w14:paraId="64874432">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勇于创新破瓶颈：</w:t>
            </w:r>
            <w:r>
              <w:rPr>
                <w:rFonts w:ascii="Times New Roman" w:hAnsi="Times New Roman" w:eastAsia="方正楷体_GBK"/>
                <w:bCs/>
                <w:szCs w:val="24"/>
              </w:rPr>
              <w:t>将严重缺乏建设资金的西牛冲、林政、水竹槽等3座水库列入2020年三峡后续工作第一批资金预算，拟争取三峡后续资金支持12331万元。</w:t>
            </w:r>
          </w:p>
          <w:p w14:paraId="016C1AA3">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超前谋划定目标：</w:t>
            </w:r>
            <w:r>
              <w:rPr>
                <w:rFonts w:ascii="Times New Roman" w:hAnsi="Times New Roman" w:eastAsia="方正楷体_GBK"/>
                <w:bCs/>
                <w:szCs w:val="24"/>
              </w:rPr>
              <w:t>完成奉节县2018—2035年水源工程规划，规划新水源工程项目25项，纳入县“多规合一”平台。策划的墨玺湖、渚清等2座大型水库，已列入《重庆市水利发展“十四五”规划》《重庆市重大基础水利设施网络建设专题研究》《重庆市水利基础设施空间布局规划》，并上报至水利部。</w:t>
            </w:r>
          </w:p>
        </w:tc>
      </w:tr>
    </w:tbl>
    <w:p w14:paraId="2EFE0961">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2.1.2 城乡供水安全得到有效保障</w:t>
      </w:r>
    </w:p>
    <w:p w14:paraId="449AE974">
      <w:pPr>
        <w:adjustRightInd w:val="0"/>
        <w:snapToGrid w:val="0"/>
        <w:spacing w:line="520" w:lineRule="exact"/>
        <w:ind w:firstLine="560" w:firstLineChars="200"/>
        <w:rPr>
          <w:rFonts w:ascii="Times New Roman" w:hAnsi="Times New Roman" w:eastAsia="楷体"/>
          <w:kern w:val="0"/>
          <w:sz w:val="28"/>
          <w:szCs w:val="28"/>
        </w:rPr>
      </w:pPr>
      <w:r>
        <w:rPr>
          <w:rFonts w:ascii="Times New Roman" w:hAnsi="Times New Roman" w:eastAsia="楷体"/>
          <w:kern w:val="0"/>
          <w:sz w:val="28"/>
          <w:szCs w:val="28"/>
        </w:rPr>
        <w:t>近年来，以脱贫攻坚工作为统揽，全县农村饮水安全工作取得了巨大成效，农村群众的饮水安全问题得到了极大改善。2015年至2020年，全县累计投入饮水安全资金8.13亿元，建成农村饮水安全工程共计5465处，其中集中供水工程2075处，分散式供水工程3390处，覆盖31个乡镇376个村或社区，覆盖人口216217户681497人，全县集中供水工程供水率达到90.69%（</w:t>
      </w:r>
      <w:r>
        <w:rPr>
          <w:rFonts w:hint="eastAsia" w:ascii="Times New Roman" w:hAnsi="Times New Roman" w:eastAsia="楷体"/>
          <w:kern w:val="0"/>
          <w:sz w:val="28"/>
          <w:szCs w:val="28"/>
          <w:lang w:eastAsia="zh-CN"/>
        </w:rPr>
        <w:t>“</w:t>
      </w:r>
      <w:r>
        <w:rPr>
          <w:rFonts w:ascii="Times New Roman" w:hAnsi="Times New Roman" w:eastAsia="楷体"/>
          <w:kern w:val="0"/>
          <w:sz w:val="28"/>
          <w:szCs w:val="28"/>
        </w:rPr>
        <w:t>十三五</w:t>
      </w:r>
      <w:r>
        <w:rPr>
          <w:rFonts w:hint="eastAsia" w:ascii="Times New Roman" w:hAnsi="Times New Roman" w:eastAsia="楷体"/>
          <w:kern w:val="0"/>
          <w:sz w:val="28"/>
          <w:szCs w:val="28"/>
          <w:lang w:eastAsia="zh-CN"/>
        </w:rPr>
        <w:t>”</w:t>
      </w:r>
      <w:r>
        <w:rPr>
          <w:rFonts w:ascii="Times New Roman" w:hAnsi="Times New Roman" w:eastAsia="楷体"/>
          <w:kern w:val="0"/>
          <w:sz w:val="28"/>
          <w:szCs w:val="28"/>
        </w:rPr>
        <w:t>目标值为85%），规模化（千吨万人）以上供水工程7处，覆盖176092人，规模化供水率为25.83%（全市平均水平46.54%），千人以上集中供水工程水源保护区范围划定比例为68.33%（与全市平均水平持平）。</w:t>
      </w:r>
    </w:p>
    <w:p w14:paraId="5B1E87D6">
      <w:pPr>
        <w:adjustRightInd w:val="0"/>
        <w:snapToGrid w:val="0"/>
        <w:rPr>
          <w:rFonts w:ascii="Times New Roman" w:hAnsi="Times New Roman" w:eastAsia="楷体"/>
          <w:kern w:val="0"/>
          <w:sz w:val="28"/>
          <w:szCs w:val="28"/>
        </w:rPr>
      </w:pPr>
      <w:r>
        <w:rPr>
          <w:rFonts w:ascii="Times New Roman" w:hAnsi="Times New Roman"/>
        </w:rPr>
        <w:drawing>
          <wp:inline distT="0" distB="0" distL="0" distR="0">
            <wp:extent cx="5751195" cy="2912745"/>
            <wp:effectExtent l="5071" t="4455" r="13944" b="14637"/>
            <wp:docPr id="4"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40A3F1">
      <w:pPr>
        <w:adjustRightInd w:val="0"/>
        <w:snapToGrid w:val="0"/>
        <w:rPr>
          <w:rFonts w:ascii="Times New Roman" w:hAnsi="Times New Roman" w:eastAsia="楷体"/>
          <w:kern w:val="0"/>
          <w:sz w:val="28"/>
          <w:szCs w:val="28"/>
        </w:rPr>
      </w:pPr>
    </w:p>
    <w:p w14:paraId="0A3E02A9">
      <w:pPr>
        <w:adjustRightInd w:val="0"/>
        <w:snapToGrid w:val="0"/>
        <w:rPr>
          <w:rFonts w:ascii="Times New Roman" w:hAnsi="Times New Roman" w:eastAsia="楷体"/>
          <w:kern w:val="0"/>
          <w:sz w:val="28"/>
          <w:szCs w:val="28"/>
        </w:rPr>
      </w:pPr>
    </w:p>
    <w:p w14:paraId="53B260AB">
      <w:pPr>
        <w:adjustRightInd w:val="0"/>
        <w:snapToGrid w:val="0"/>
        <w:rPr>
          <w:rFonts w:ascii="Times New Roman" w:hAnsi="Times New Roman"/>
        </w:rPr>
      </w:pPr>
      <w:r>
        <w:rPr>
          <w:rFonts w:ascii="Times New Roman" w:hAnsi="Times New Roman"/>
        </w:rPr>
        <w:drawing>
          <wp:inline distT="0" distB="0" distL="0" distR="0">
            <wp:extent cx="5751195" cy="2991485"/>
            <wp:effectExtent l="4437" t="4456" r="14578" b="14642"/>
            <wp:docPr id="5" name="图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71F87F7">
      <w:pPr>
        <w:pStyle w:val="2"/>
        <w:rPr>
          <w:rFonts w:ascii="Times New Roman" w:cs="Times New Roman"/>
        </w:rPr>
      </w:pPr>
    </w:p>
    <w:p w14:paraId="161972F7">
      <w:pPr>
        <w:rPr>
          <w:rFonts w:ascii="Times New Roman" w:hAnsi="Times New Roman"/>
        </w:rPr>
      </w:pPr>
    </w:p>
    <w:p w14:paraId="2B9156A6">
      <w:pPr>
        <w:pStyle w:val="2"/>
        <w:rPr>
          <w:rFonts w:ascii="Times New Roman" w:cs="Times New Roman"/>
        </w:rPr>
      </w:pPr>
    </w:p>
    <w:p w14:paraId="7E6D524B">
      <w:pPr>
        <w:rPr>
          <w:rFonts w:ascii="Times New Roman" w:hAnsi="Times New Roman"/>
        </w:rPr>
      </w:pPr>
    </w:p>
    <w:p w14:paraId="75A9AEED">
      <w:pPr>
        <w:pStyle w:val="2"/>
        <w:rPr>
          <w:rFonts w:ascii="Times New Roman" w:cs="Times New Roman"/>
        </w:rPr>
      </w:pPr>
    </w:p>
    <w:p w14:paraId="098BC19D">
      <w:pPr>
        <w:rPr>
          <w:rFonts w:ascii="Times New Roman" w:hAnsi="Times New Roman"/>
        </w:rPr>
      </w:pPr>
    </w:p>
    <w:p w14:paraId="29661410">
      <w:pPr>
        <w:pStyle w:val="2"/>
        <w:rPr>
          <w:rFonts w:ascii="Times New Roman" w:cs="Times New Roman"/>
        </w:rPr>
      </w:pPr>
    </w:p>
    <w:p w14:paraId="66EADB7B">
      <w:pPr>
        <w:rPr>
          <w:rFonts w:ascii="Times New Roman" w:hAnsi="Times New Roman"/>
        </w:rPr>
      </w:pPr>
    </w:p>
    <w:p w14:paraId="68321507">
      <w:pPr>
        <w:pStyle w:val="2"/>
        <w:rPr>
          <w:rFonts w:ascii="Times New Roman" w:cs="Times New Roman"/>
        </w:rPr>
      </w:pPr>
    </w:p>
    <w:p w14:paraId="0D71B7D9">
      <w:pPr>
        <w:rPr>
          <w:rFonts w:ascii="Times New Roman" w:hAnsi="Times New Roman"/>
        </w:rPr>
      </w:pPr>
    </w:p>
    <w:p w14:paraId="1748B98D">
      <w:pPr>
        <w:pStyle w:val="2"/>
        <w:spacing w:line="520" w:lineRule="exact"/>
        <w:jc w:val="center"/>
        <w:rPr>
          <w:rFonts w:hint="eastAsia" w:ascii="宋体" w:hAnsi="宋体" w:eastAsia="宋体" w:cs="宋体"/>
          <w:b/>
          <w:lang w:eastAsia="zh-CN"/>
        </w:rPr>
      </w:pPr>
      <w:r>
        <w:rPr>
          <w:rFonts w:hint="eastAsia" w:ascii="宋体" w:hAnsi="宋体" w:eastAsia="宋体" w:cs="宋体"/>
          <w:b/>
        </w:rPr>
        <w:t>专栏2：饮水安全巩固提升，打赢水利</w:t>
      </w:r>
      <w:r>
        <w:rPr>
          <w:rFonts w:hint="eastAsia" w:ascii="宋体" w:hAnsi="宋体" w:eastAsia="宋体" w:cs="宋体"/>
          <w:b/>
          <w:lang w:eastAsia="zh-CN"/>
        </w:rPr>
        <w:t>脱贫攻坚战</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792A5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9040" w:type="dxa"/>
            <w:vAlign w:val="center"/>
          </w:tcPr>
          <w:p w14:paraId="07735223">
            <w:pPr>
              <w:pStyle w:val="80"/>
              <w:adjustRightInd w:val="0"/>
              <w:snapToGrid w:val="0"/>
              <w:ind w:firstLine="542"/>
              <w:jc w:val="both"/>
              <w:rPr>
                <w:rFonts w:eastAsia="方正楷体_GBK"/>
                <w:szCs w:val="24"/>
              </w:rPr>
            </w:pPr>
            <w:r>
              <w:rPr>
                <w:rFonts w:eastAsia="方正楷体_GBK"/>
                <w:b/>
                <w:szCs w:val="24"/>
              </w:rPr>
              <w:t>大力实施饮水扶贫：</w:t>
            </w:r>
            <w:r>
              <w:rPr>
                <w:rFonts w:eastAsia="方正楷体_GBK"/>
                <w:szCs w:val="24"/>
              </w:rPr>
              <w:t>在135个贫困村建设集中式供水工程195处，已完工195处，完工率100%，巩固提升6.6万人安全饮水；脱贫的60个贫困村实施自来水户户通工程，已全面开工并建设完成，解决2.2万人饮水。</w:t>
            </w:r>
          </w:p>
          <w:p w14:paraId="10C175BE">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办好办实民生实事：</w:t>
            </w:r>
            <w:r>
              <w:rPr>
                <w:rFonts w:ascii="Times New Roman" w:hAnsi="Times New Roman" w:eastAsia="方正楷体_GBK"/>
                <w:bCs/>
                <w:szCs w:val="24"/>
              </w:rPr>
              <w:t>完成910口山坪塘整治规划设计并下达批复（涉及70个贫困村364口），占市级目标任务的112%。已完工910口，超额完成目标。完成县级民生实事渠堰162公里的整治配套实施。</w:t>
            </w:r>
          </w:p>
          <w:p w14:paraId="78C798AF">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创新农村水利发展机制：</w:t>
            </w:r>
            <w:r>
              <w:rPr>
                <w:rFonts w:ascii="Times New Roman" w:hAnsi="Times New Roman" w:eastAsia="方正楷体_GBK"/>
                <w:bCs/>
                <w:szCs w:val="24"/>
              </w:rPr>
              <w:t>出台了《关于建立健全全县农村用水户协会的通知》，为管好用好此资金为小型水利设施维护运行提供了政策支持和资金保障。</w:t>
            </w:r>
          </w:p>
          <w:p w14:paraId="48B40FF2">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聚焦饮水安全巩固提升：</w:t>
            </w:r>
            <w:r>
              <w:rPr>
                <w:rFonts w:ascii="Times New Roman" w:hAnsi="Times New Roman" w:eastAsia="方正楷体_GBK"/>
                <w:bCs/>
                <w:szCs w:val="24"/>
              </w:rPr>
              <w:t>不安全饮水问题全部清零，奉节县水利局因此被县委、县政府评为2019年度脱贫攻坚先进集体。组建水利扶贫督导组，完成饮水安全普查，分村建立饮水安全信息台账，综合采取“天上接、地下找、河里抽、山上蓄”等工作措施，着力补齐了农村安全饮水短板。出台《饮水安全巩固提升试点工作方案》《奉节县农村供水工程水价核定与征收工作方案》等制度文件，建立“公司管、协会管、公益岗位管、受益农户管”等机制，落实供水管护人员，解决管护工作“缺钱、缺人”问题，全县390个村（社区）饮水安全工程建后管护机制逐渐健全。</w:t>
            </w:r>
          </w:p>
        </w:tc>
      </w:tr>
    </w:tbl>
    <w:p w14:paraId="34D35C72">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2.1.3 水旱灾害防御能力持续提升</w:t>
      </w:r>
    </w:p>
    <w:p w14:paraId="67A47B0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五年来，全县各级水利工作人员积极践行“两个坚持、三个转变”防灾救灾理念，强化部门协同，精心组织水雨情监测预报，科学精细调度水工程，严格水库汛限水位监管，全力做好防御工作。在历次洪水防御过程中，县水利局有关部门科学制定渡口坝水库运行调度方案，提前预泄、精准拦蓄，有效降低下游洪峰水位，确保下游场镇防洪安全。</w:t>
      </w:r>
    </w:p>
    <w:p w14:paraId="455BDE8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完成了长滩河羊市镇、崔家河大树镇、竹园镇等重点河段综合治理工程共15段，共建成各类堤防工程23.15km，显著提高了各乡镇场镇河段防洪能力。完成堤防工程建设总投资3.33亿元。针对平安乡的特殊防洪需求，在副市长亲自督办和关怀下，利用市级专项资金，创新洪水防御思路，以非常规手段开展工程措施的规划，通过蓄洪池有效解决了该地区防洪问题，高效地完成了市级防洪薄弱点——平安乡防洪工程的建设并发挥效益。</w:t>
      </w:r>
    </w:p>
    <w:p w14:paraId="44363BD2">
      <w:pPr>
        <w:spacing w:line="400" w:lineRule="exact"/>
        <w:ind w:firstLine="560" w:firstLineChars="200"/>
        <w:jc w:val="center"/>
        <w:rPr>
          <w:rFonts w:ascii="Times New Roman" w:hAnsi="Times New Roman" w:eastAsiaTheme="minorEastAsia"/>
          <w:sz w:val="28"/>
          <w:szCs w:val="28"/>
        </w:rPr>
      </w:pPr>
    </w:p>
    <w:p w14:paraId="5726719D">
      <w:pPr>
        <w:spacing w:line="400" w:lineRule="exact"/>
        <w:ind w:firstLine="562" w:firstLineChars="200"/>
        <w:jc w:val="center"/>
        <w:rPr>
          <w:rFonts w:ascii="Times New Roman" w:hAnsi="Times New Roman" w:eastAsiaTheme="minorEastAsia"/>
          <w:b/>
          <w:bCs/>
          <w:sz w:val="28"/>
          <w:szCs w:val="28"/>
        </w:rPr>
      </w:pPr>
    </w:p>
    <w:p w14:paraId="701A95C7">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w:t>
      </w:r>
      <w:r>
        <w:rPr>
          <w:rFonts w:hint="eastAsia" w:ascii="Times New Roman" w:hAnsi="Times New Roman" w:eastAsiaTheme="minorEastAsia"/>
          <w:b/>
          <w:bCs/>
          <w:sz w:val="28"/>
          <w:szCs w:val="28"/>
          <w:lang w:eastAsia="zh-CN"/>
        </w:rPr>
        <w:t>“</w:t>
      </w:r>
      <w:r>
        <w:rPr>
          <w:rFonts w:ascii="Times New Roman" w:hAnsi="Times New Roman" w:eastAsiaTheme="minorEastAsia"/>
          <w:b/>
          <w:bCs/>
          <w:sz w:val="28"/>
          <w:szCs w:val="28"/>
        </w:rPr>
        <w:t>十三五</w:t>
      </w:r>
      <w:r>
        <w:rPr>
          <w:rFonts w:hint="eastAsia" w:ascii="Times New Roman" w:hAnsi="Times New Roman" w:eastAsiaTheme="minorEastAsia"/>
          <w:b/>
          <w:bCs/>
          <w:sz w:val="28"/>
          <w:szCs w:val="28"/>
          <w:lang w:eastAsia="zh-CN"/>
        </w:rPr>
        <w:t>”</w:t>
      </w:r>
      <w:r>
        <w:rPr>
          <w:rFonts w:ascii="Times New Roman" w:hAnsi="Times New Roman" w:eastAsiaTheme="minorEastAsia"/>
          <w:b/>
          <w:bCs/>
          <w:sz w:val="28"/>
          <w:szCs w:val="28"/>
        </w:rPr>
        <w:t>期间防洪工程建设情况统计表</w:t>
      </w:r>
    </w:p>
    <w:p w14:paraId="1724F112">
      <w:pPr>
        <w:spacing w:line="520" w:lineRule="exact"/>
        <w:ind w:firstLine="480" w:firstLineChars="200"/>
        <w:jc w:val="left"/>
        <w:rPr>
          <w:rFonts w:ascii="Times New Roman" w:hAnsi="Times New Roman"/>
          <w:sz w:val="24"/>
          <w:szCs w:val="24"/>
        </w:rPr>
      </w:pPr>
      <w:r>
        <w:rPr>
          <w:rFonts w:ascii="Times New Roman" w:hAnsi="Times New Roman"/>
          <w:sz w:val="24"/>
          <w:szCs w:val="24"/>
        </w:rPr>
        <w:t>表2.1-3</w:t>
      </w:r>
    </w:p>
    <w:tbl>
      <w:tblPr>
        <w:tblStyle w:val="26"/>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6894"/>
        <w:gridCol w:w="1473"/>
      </w:tblGrid>
      <w:tr w14:paraId="0D87C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3833267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序号</w:t>
            </w:r>
          </w:p>
        </w:tc>
        <w:tc>
          <w:tcPr>
            <w:tcW w:w="3711" w:type="pct"/>
            <w:vAlign w:val="center"/>
          </w:tcPr>
          <w:p w14:paraId="4460508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工程名称</w:t>
            </w:r>
          </w:p>
        </w:tc>
        <w:tc>
          <w:tcPr>
            <w:tcW w:w="793" w:type="pct"/>
            <w:vAlign w:val="center"/>
          </w:tcPr>
          <w:p w14:paraId="4DFE283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保护区域</w:t>
            </w:r>
          </w:p>
        </w:tc>
      </w:tr>
      <w:tr w14:paraId="008CC2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4" w:type="pct"/>
            <w:vAlign w:val="center"/>
          </w:tcPr>
          <w:p w14:paraId="57C19B4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w:t>
            </w:r>
          </w:p>
        </w:tc>
        <w:tc>
          <w:tcPr>
            <w:tcW w:w="3711" w:type="pct"/>
            <w:vAlign w:val="center"/>
          </w:tcPr>
          <w:p w14:paraId="350B0D7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重庆市奉节县石马河（安坪镇）河段综合治理工程</w:t>
            </w:r>
          </w:p>
        </w:tc>
        <w:tc>
          <w:tcPr>
            <w:tcW w:w="793" w:type="pct"/>
            <w:vAlign w:val="center"/>
          </w:tcPr>
          <w:p w14:paraId="33F3C81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安坪镇</w:t>
            </w:r>
          </w:p>
        </w:tc>
      </w:tr>
      <w:tr w14:paraId="65E88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2F895AC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w:t>
            </w:r>
          </w:p>
        </w:tc>
        <w:tc>
          <w:tcPr>
            <w:tcW w:w="3711" w:type="pct"/>
            <w:vAlign w:val="center"/>
          </w:tcPr>
          <w:p w14:paraId="706ED46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重庆市奉节县梅溪河支流崔家河竹园镇河段综合治理工程</w:t>
            </w:r>
          </w:p>
        </w:tc>
        <w:tc>
          <w:tcPr>
            <w:tcW w:w="793" w:type="pct"/>
            <w:vAlign w:val="center"/>
          </w:tcPr>
          <w:p w14:paraId="44CB965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竹园镇</w:t>
            </w:r>
          </w:p>
        </w:tc>
      </w:tr>
      <w:tr w14:paraId="4A066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01CC0B1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w:t>
            </w:r>
          </w:p>
        </w:tc>
        <w:tc>
          <w:tcPr>
            <w:tcW w:w="3711" w:type="pct"/>
            <w:vAlign w:val="center"/>
          </w:tcPr>
          <w:p w14:paraId="36B25DF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重庆市奉节县大溪河兴隆镇石乳河段综合工程（一标段）</w:t>
            </w:r>
          </w:p>
        </w:tc>
        <w:tc>
          <w:tcPr>
            <w:tcW w:w="793" w:type="pct"/>
            <w:vAlign w:val="center"/>
          </w:tcPr>
          <w:p w14:paraId="1E3C1B2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兴隆镇</w:t>
            </w:r>
          </w:p>
        </w:tc>
      </w:tr>
      <w:tr w14:paraId="5AA5F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7228B31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w:t>
            </w:r>
          </w:p>
        </w:tc>
        <w:tc>
          <w:tcPr>
            <w:tcW w:w="3711" w:type="pct"/>
            <w:vAlign w:val="center"/>
          </w:tcPr>
          <w:p w14:paraId="1809154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奉节县新民河重点河段综合治理工程</w:t>
            </w:r>
          </w:p>
        </w:tc>
        <w:tc>
          <w:tcPr>
            <w:tcW w:w="793" w:type="pct"/>
            <w:vAlign w:val="center"/>
          </w:tcPr>
          <w:p w14:paraId="3E72DC8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新民镇</w:t>
            </w:r>
          </w:p>
        </w:tc>
      </w:tr>
      <w:tr w14:paraId="35202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7C1FCEB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5</w:t>
            </w:r>
          </w:p>
        </w:tc>
        <w:tc>
          <w:tcPr>
            <w:tcW w:w="3711" w:type="pct"/>
            <w:vAlign w:val="center"/>
          </w:tcPr>
          <w:p w14:paraId="690F7F2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奉节县汾河重点河段综合治理工程</w:t>
            </w:r>
          </w:p>
        </w:tc>
        <w:tc>
          <w:tcPr>
            <w:tcW w:w="793" w:type="pct"/>
            <w:vAlign w:val="center"/>
          </w:tcPr>
          <w:p w14:paraId="5304654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汾河镇</w:t>
            </w:r>
          </w:p>
        </w:tc>
      </w:tr>
      <w:tr w14:paraId="56E53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6BB1934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w:t>
            </w:r>
          </w:p>
        </w:tc>
        <w:tc>
          <w:tcPr>
            <w:tcW w:w="3711" w:type="pct"/>
            <w:vAlign w:val="center"/>
          </w:tcPr>
          <w:p w14:paraId="586CF11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重庆市奉节县大溪河支流新民河吐祥镇河段综合治理工程</w:t>
            </w:r>
          </w:p>
        </w:tc>
        <w:tc>
          <w:tcPr>
            <w:tcW w:w="793" w:type="pct"/>
            <w:vAlign w:val="center"/>
          </w:tcPr>
          <w:p w14:paraId="3584984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吐祥镇</w:t>
            </w:r>
          </w:p>
        </w:tc>
      </w:tr>
      <w:tr w14:paraId="59BF4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234C3CD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7</w:t>
            </w:r>
          </w:p>
        </w:tc>
        <w:tc>
          <w:tcPr>
            <w:tcW w:w="3711" w:type="pct"/>
            <w:vAlign w:val="center"/>
          </w:tcPr>
          <w:p w14:paraId="52C639F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重庆市奉节县大溪河兴隆镇石乳河段综合工程（二标段）</w:t>
            </w:r>
          </w:p>
        </w:tc>
        <w:tc>
          <w:tcPr>
            <w:tcW w:w="793" w:type="pct"/>
            <w:vAlign w:val="center"/>
          </w:tcPr>
          <w:p w14:paraId="3D999B4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兴隆镇</w:t>
            </w:r>
          </w:p>
        </w:tc>
      </w:tr>
      <w:tr w14:paraId="60F64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40D3BAE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8</w:t>
            </w:r>
          </w:p>
        </w:tc>
        <w:tc>
          <w:tcPr>
            <w:tcW w:w="3711" w:type="pct"/>
            <w:vAlign w:val="center"/>
          </w:tcPr>
          <w:p w14:paraId="247CCD2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奉节县梅江河重点河段（甲高镇）综合治理工程</w:t>
            </w:r>
          </w:p>
        </w:tc>
        <w:tc>
          <w:tcPr>
            <w:tcW w:w="793" w:type="pct"/>
            <w:vAlign w:val="center"/>
          </w:tcPr>
          <w:p w14:paraId="77FB88C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甲高镇</w:t>
            </w:r>
          </w:p>
        </w:tc>
      </w:tr>
      <w:tr w14:paraId="3A819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107E253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9</w:t>
            </w:r>
          </w:p>
        </w:tc>
        <w:tc>
          <w:tcPr>
            <w:tcW w:w="3711" w:type="pct"/>
            <w:vAlign w:val="center"/>
          </w:tcPr>
          <w:p w14:paraId="31F9D3D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奉节县平安乡防洪排涝综合治理工程</w:t>
            </w:r>
          </w:p>
        </w:tc>
        <w:tc>
          <w:tcPr>
            <w:tcW w:w="793" w:type="pct"/>
            <w:vAlign w:val="center"/>
          </w:tcPr>
          <w:p w14:paraId="4195A76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平安乡</w:t>
            </w:r>
          </w:p>
        </w:tc>
      </w:tr>
      <w:tr w14:paraId="2B477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448440A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10</w:t>
            </w:r>
          </w:p>
        </w:tc>
        <w:tc>
          <w:tcPr>
            <w:tcW w:w="3711" w:type="pct"/>
            <w:vAlign w:val="center"/>
          </w:tcPr>
          <w:p w14:paraId="32D6558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奉节县车家坝河重点河段综合治理工程</w:t>
            </w:r>
          </w:p>
        </w:tc>
        <w:tc>
          <w:tcPr>
            <w:tcW w:w="793" w:type="pct"/>
            <w:vAlign w:val="center"/>
          </w:tcPr>
          <w:p w14:paraId="3CB56B8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红土乡</w:t>
            </w:r>
          </w:p>
        </w:tc>
      </w:tr>
      <w:tr w14:paraId="7B01B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7AC905D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11</w:t>
            </w:r>
          </w:p>
        </w:tc>
        <w:tc>
          <w:tcPr>
            <w:tcW w:w="3711" w:type="pct"/>
            <w:vAlign w:val="center"/>
          </w:tcPr>
          <w:p w14:paraId="7F254EF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奉节县崔家河重点河段综合治理工程</w:t>
            </w:r>
          </w:p>
        </w:tc>
        <w:tc>
          <w:tcPr>
            <w:tcW w:w="793" w:type="pct"/>
            <w:vAlign w:val="center"/>
          </w:tcPr>
          <w:p w14:paraId="63B0EBF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竹园镇、</w:t>
            </w:r>
          </w:p>
          <w:p w14:paraId="35752B2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大树</w:t>
            </w:r>
            <w:r>
              <w:rPr>
                <w:rFonts w:hint="eastAsia" w:ascii="Times New Roman" w:hAnsi="Times New Roman" w:eastAsia="楷体"/>
                <w:kern w:val="0"/>
                <w:sz w:val="18"/>
                <w:szCs w:val="18"/>
              </w:rPr>
              <w:t>镇</w:t>
            </w:r>
          </w:p>
        </w:tc>
      </w:tr>
      <w:tr w14:paraId="6B7D84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43F69E1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12</w:t>
            </w:r>
          </w:p>
        </w:tc>
        <w:tc>
          <w:tcPr>
            <w:tcW w:w="3711" w:type="pct"/>
            <w:vAlign w:val="center"/>
          </w:tcPr>
          <w:p w14:paraId="005F989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奉节县新民河吐祥镇（上游段）综合治理工程</w:t>
            </w:r>
          </w:p>
        </w:tc>
        <w:tc>
          <w:tcPr>
            <w:tcW w:w="793" w:type="pct"/>
            <w:vAlign w:val="center"/>
          </w:tcPr>
          <w:p w14:paraId="49AD3CD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吐祥镇</w:t>
            </w:r>
          </w:p>
        </w:tc>
      </w:tr>
      <w:tr w14:paraId="30FB02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5E6BD14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13</w:t>
            </w:r>
          </w:p>
        </w:tc>
        <w:tc>
          <w:tcPr>
            <w:tcW w:w="3711" w:type="pct"/>
            <w:vAlign w:val="center"/>
          </w:tcPr>
          <w:p w14:paraId="4B196D3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奉节县长滩河重点河段综合治理工程</w:t>
            </w:r>
          </w:p>
        </w:tc>
        <w:tc>
          <w:tcPr>
            <w:tcW w:w="793" w:type="pct"/>
            <w:vAlign w:val="center"/>
          </w:tcPr>
          <w:p w14:paraId="74D157A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羊市镇</w:t>
            </w:r>
          </w:p>
        </w:tc>
      </w:tr>
      <w:tr w14:paraId="6F096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268DADD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14</w:t>
            </w:r>
          </w:p>
        </w:tc>
        <w:tc>
          <w:tcPr>
            <w:tcW w:w="3711" w:type="pct"/>
            <w:vAlign w:val="center"/>
          </w:tcPr>
          <w:p w14:paraId="2BEE8B0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奉节县梅溪河重点河段综合治理工程</w:t>
            </w:r>
          </w:p>
        </w:tc>
        <w:tc>
          <w:tcPr>
            <w:tcW w:w="793" w:type="pct"/>
            <w:vAlign w:val="center"/>
          </w:tcPr>
          <w:p w14:paraId="46662D0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竹园镇</w:t>
            </w:r>
          </w:p>
        </w:tc>
      </w:tr>
      <w:tr w14:paraId="492DC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034DF52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15</w:t>
            </w:r>
          </w:p>
        </w:tc>
        <w:tc>
          <w:tcPr>
            <w:tcW w:w="3711" w:type="pct"/>
            <w:vAlign w:val="center"/>
          </w:tcPr>
          <w:p w14:paraId="480E944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重庆市奉节县大溪河兴隆镇清泉河段综合治理工程</w:t>
            </w:r>
          </w:p>
        </w:tc>
        <w:tc>
          <w:tcPr>
            <w:tcW w:w="793" w:type="pct"/>
            <w:vAlign w:val="center"/>
          </w:tcPr>
          <w:p w14:paraId="4061020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兴隆镇</w:t>
            </w:r>
          </w:p>
        </w:tc>
      </w:tr>
      <w:tr w14:paraId="7B7296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94" w:type="pct"/>
            <w:vAlign w:val="center"/>
          </w:tcPr>
          <w:p w14:paraId="55D7A69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16</w:t>
            </w:r>
          </w:p>
        </w:tc>
        <w:tc>
          <w:tcPr>
            <w:tcW w:w="3711" w:type="pct"/>
            <w:vAlign w:val="center"/>
          </w:tcPr>
          <w:p w14:paraId="39F08ED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重庆市奉节县大溪河流域重点河段综合治理工程</w:t>
            </w:r>
          </w:p>
        </w:tc>
        <w:tc>
          <w:tcPr>
            <w:tcW w:w="793" w:type="pct"/>
            <w:vAlign w:val="center"/>
          </w:tcPr>
          <w:p w14:paraId="5C9F46B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新民镇、五马镇</w:t>
            </w:r>
          </w:p>
        </w:tc>
      </w:tr>
    </w:tbl>
    <w:p w14:paraId="0629F43C">
      <w:pPr>
        <w:spacing w:line="400" w:lineRule="exact"/>
        <w:rPr>
          <w:rFonts w:ascii="Times New Roman" w:hAnsi="Times New Roman" w:eastAsia="楷体"/>
          <w:sz w:val="28"/>
          <w:szCs w:val="28"/>
        </w:rPr>
      </w:pPr>
    </w:p>
    <w:p w14:paraId="207E32D5">
      <w:pPr>
        <w:pStyle w:val="80"/>
        <w:spacing w:line="520" w:lineRule="exact"/>
        <w:ind w:firstLine="544"/>
        <w:rPr>
          <w:rFonts w:ascii="宋体" w:hAnsi="宋体" w:cs="宋体"/>
          <w:b/>
          <w:bCs w:val="0"/>
          <w:sz w:val="24"/>
          <w:szCs w:val="24"/>
        </w:rPr>
      </w:pPr>
      <w:r>
        <w:rPr>
          <w:rFonts w:hint="eastAsia" w:ascii="宋体" w:hAnsi="宋体" w:cs="宋体"/>
          <w:b/>
          <w:bCs w:val="0"/>
          <w:sz w:val="24"/>
          <w:szCs w:val="24"/>
        </w:rPr>
        <w:t>专栏3：防洪减灾除隐患</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E165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vAlign w:val="center"/>
          </w:tcPr>
          <w:p w14:paraId="1488A78B">
            <w:pPr>
              <w:spacing w:line="440" w:lineRule="exact"/>
              <w:ind w:firstLine="482"/>
              <w:jc w:val="left"/>
              <w:rPr>
                <w:rFonts w:ascii="Times New Roman" w:hAnsi="Times New Roman" w:eastAsia="方正楷体_GBK"/>
                <w:bCs/>
                <w:szCs w:val="24"/>
              </w:rPr>
            </w:pPr>
            <w:r>
              <w:rPr>
                <w:rFonts w:ascii="Times New Roman" w:hAnsi="Times New Roman" w:eastAsia="方正楷体_GBK"/>
                <w:b/>
                <w:szCs w:val="24"/>
              </w:rPr>
              <w:t>大江大河工程体系不断完善：</w:t>
            </w:r>
            <w:r>
              <w:rPr>
                <w:rFonts w:ascii="Times New Roman" w:hAnsi="Times New Roman" w:eastAsia="方正楷体_GBK"/>
                <w:bCs/>
                <w:szCs w:val="24"/>
              </w:rPr>
              <w:t>奉节县西部新区防洪护岸综合治理工程应实施部分现已完工，累计完成总投资1613.4568万元。</w:t>
            </w:r>
          </w:p>
          <w:p w14:paraId="0DC80F4D">
            <w:pPr>
              <w:spacing w:line="440" w:lineRule="exact"/>
              <w:ind w:firstLine="482"/>
              <w:jc w:val="left"/>
              <w:rPr>
                <w:rFonts w:ascii="Times New Roman" w:hAnsi="Times New Roman" w:eastAsia="方正楷体_GBK"/>
                <w:bCs/>
                <w:szCs w:val="24"/>
              </w:rPr>
            </w:pPr>
            <w:r>
              <w:rPr>
                <w:rFonts w:ascii="Times New Roman" w:hAnsi="Times New Roman" w:eastAsia="方正楷体_GBK"/>
                <w:b/>
                <w:szCs w:val="24"/>
              </w:rPr>
              <w:t>中小流域治理补短板：</w:t>
            </w:r>
            <w:r>
              <w:rPr>
                <w:rFonts w:ascii="Times New Roman" w:hAnsi="Times New Roman" w:eastAsia="方正楷体_GBK"/>
                <w:bCs/>
                <w:szCs w:val="24"/>
              </w:rPr>
              <w:t>奉节县中小河流治理工程自开工以来累计下达资金2.71亿元。奉节县车家坝河重点河段综合治理工程主体工程、奉节县长滩河重点河段综合治理工程主体工程、奉节县新民河吐祥镇河段（上游段）综合治理工程已基本完工；奉节县崔家河重点河段综合治理工程完成建设。</w:t>
            </w:r>
          </w:p>
          <w:p w14:paraId="5693A007">
            <w:pPr>
              <w:spacing w:line="440" w:lineRule="exact"/>
              <w:ind w:firstLine="482"/>
              <w:jc w:val="left"/>
              <w:rPr>
                <w:rFonts w:ascii="Times New Roman" w:hAnsi="Times New Roman" w:eastAsia="方正楷体_GBK"/>
                <w:bCs/>
                <w:szCs w:val="24"/>
              </w:rPr>
            </w:pPr>
            <w:r>
              <w:rPr>
                <w:rFonts w:ascii="Times New Roman" w:hAnsi="Times New Roman" w:eastAsia="方正楷体_GBK"/>
                <w:b/>
                <w:szCs w:val="24"/>
              </w:rPr>
              <w:t>防汛制度不断完善，防汛措施落实到位：</w:t>
            </w:r>
            <w:r>
              <w:rPr>
                <w:rFonts w:ascii="Times New Roman" w:hAnsi="Times New Roman" w:eastAsia="方正楷体_GBK"/>
                <w:bCs/>
                <w:szCs w:val="24"/>
              </w:rPr>
              <w:t>落实防汛抗旱责任制，与各乡镇（街道）、各重点工程签订了防汛安全责任书，完成山洪灾害调查评价237个点，完善县级预案1个、完善乡镇预案33个、完善村级预案386个和培训322人天，完成演练34场次。开展防汛安全检查，限期整改，跟踪督办。提升综合防御能力，规范涉河建设项目审批程序。加强防汛值班值守，严格汛期24小时值班制度。</w:t>
            </w:r>
          </w:p>
        </w:tc>
      </w:tr>
    </w:tbl>
    <w:p w14:paraId="0EEA5C96">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2.1.4 农田灌溉取得积极进展</w:t>
      </w:r>
    </w:p>
    <w:p w14:paraId="239C5530">
      <w:pPr>
        <w:adjustRightInd w:val="0"/>
        <w:snapToGrid w:val="0"/>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在“十三五”期间，奉节县完成了甲高中型灌区节水配套改造项目建设工作，该项目涉及奉节县新民镇、鹤峰乡、汾河镇、白帝镇等4个乡镇，共计8个村社。完成渠首工程改造12座，渠道工程改造23.807km，渠系建筑物改造68座，累计完成投资1526万元。甲高中型灌区建成后灌区灌面3.09万亩，新增灌面0.05万亩，改善灌面0.85万亩，恢复灌面2.19万亩。</w:t>
      </w:r>
    </w:p>
    <w:p w14:paraId="5192FE2E">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为加强灌区管理，奉节县还组建了农业水价综合改革领导小组，由县长任组长，分管副县长任副组长，县相关部门主要领导为小组成员，明确了各小组成员职责；制定了农业灌溉用水水价，分为自流灌溉农业水价与提水灌溉农业水价两类，完成了用水定额核定，开始实行阶梯水价；印发了农业灌溉水权管理办法，规范水权确定和水权转让秩序，完善用水总量控制和水量分配方案；印发了农田水利工程管护办法，科学、制度、规范化管理，建立用水协会，负责灌区的日常管理工作。根据农业综合水价改革任务目标，目前，我县已累计完成农业水价综合改革4.7万亩。</w:t>
      </w:r>
    </w:p>
    <w:p w14:paraId="03C030B1">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灌区事业的蓬勃发展，为促进全县农业生产高质量发展、保障粮食安全提供了有力保障。</w:t>
      </w:r>
    </w:p>
    <w:p w14:paraId="4FB7E53B">
      <w:pPr>
        <w:pStyle w:val="2"/>
        <w:spacing w:line="520" w:lineRule="exact"/>
        <w:jc w:val="center"/>
        <w:rPr>
          <w:rFonts w:ascii="宋体" w:hAnsi="宋体" w:eastAsia="宋体" w:cs="宋体"/>
        </w:rPr>
      </w:pPr>
      <w:r>
        <w:rPr>
          <w:rFonts w:hint="eastAsia" w:ascii="宋体" w:hAnsi="宋体" w:eastAsia="宋体" w:cs="宋体"/>
          <w:b/>
        </w:rPr>
        <w:t>专栏4：夯实农业发展基础保障</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0"/>
      </w:tblGrid>
      <w:tr w14:paraId="48CE7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40" w:type="dxa"/>
            <w:vAlign w:val="center"/>
          </w:tcPr>
          <w:p w14:paraId="5E3B1DA1">
            <w:pPr>
              <w:spacing w:line="360" w:lineRule="auto"/>
              <w:ind w:firstLine="480"/>
              <w:jc w:val="left"/>
              <w:rPr>
                <w:rFonts w:ascii="Times New Roman" w:hAnsi="Times New Roman"/>
                <w:bCs/>
                <w:szCs w:val="24"/>
              </w:rPr>
            </w:pPr>
            <w:r>
              <w:rPr>
                <w:rFonts w:ascii="Times New Roman" w:hAnsi="Times New Roman" w:eastAsia="方正楷体_GBK"/>
                <w:bCs/>
                <w:szCs w:val="24"/>
              </w:rPr>
              <w:t>加快推进了青莲溪、草堂、兴隆等中小型灌区续建配套，加强以山坪塘为重点的小微型水利设施建设，切实治理病险水利设施，解决农田灌溉“最后一公里”问题。建成中型灌区1座，恢复和新增灌溉面积3.09万亩。</w:t>
            </w:r>
          </w:p>
        </w:tc>
      </w:tr>
    </w:tbl>
    <w:p w14:paraId="3B4A8A83">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2.1.5 水生态建设卓有成效</w:t>
      </w:r>
    </w:p>
    <w:p w14:paraId="11B12754">
      <w:pPr>
        <w:spacing w:line="520" w:lineRule="exact"/>
        <w:ind w:firstLine="560" w:firstLineChars="200"/>
        <w:rPr>
          <w:rFonts w:ascii="Times New Roman" w:hAnsi="Times New Roman" w:eastAsia="方正小标宋_GBK"/>
          <w:sz w:val="24"/>
          <w:szCs w:val="24"/>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全县水土保持工作以生态文明建设为契机，以水土流失综合治理和预防保护为重点，统筹推进水土流失综合防治工作，积极适应生态文明建设和“放管服”改革的新形势要求，切实加强水土保持机构和队伍建设，严格水土保持方案审批程序，加强生产建设项目事中事后监管，完善水土保持信息化监管服务体系，进一步提升水土保持社会管理和公共服务水平，为修复长江流域生态环境和推动长江经济带发展提供了有力支撑。2016-2019年，全县共完成水土流失综合治理面积254.86km</w:t>
      </w:r>
      <w:r>
        <w:rPr>
          <w:rFonts w:ascii="Times New Roman" w:hAnsi="Times New Roman" w:eastAsia="楷体"/>
          <w:sz w:val="28"/>
          <w:szCs w:val="28"/>
          <w:vertAlign w:val="superscript"/>
        </w:rPr>
        <w:t>2</w:t>
      </w:r>
      <w:r>
        <w:rPr>
          <w:rFonts w:ascii="Times New Roman" w:hAnsi="Times New Roman" w:eastAsia="楷体"/>
          <w:sz w:val="28"/>
          <w:szCs w:val="28"/>
        </w:rPr>
        <w:t>，全县共审批生产建设项目水土保持方案157项，明确水土流失防治责任范围10.23km</w:t>
      </w:r>
      <w:r>
        <w:rPr>
          <w:rFonts w:ascii="Times New Roman" w:hAnsi="Times New Roman" w:eastAsia="楷体"/>
          <w:sz w:val="28"/>
          <w:szCs w:val="28"/>
          <w:vertAlign w:val="superscript"/>
        </w:rPr>
        <w:t>2</w:t>
      </w:r>
      <w:r>
        <w:rPr>
          <w:rFonts w:ascii="Times New Roman" w:hAnsi="Times New Roman" w:eastAsia="楷体"/>
          <w:sz w:val="28"/>
          <w:szCs w:val="28"/>
        </w:rPr>
        <w:t>，投入水土流失防治资金49112.11万元。积极落实国家降低行政事业收费有关标准，降低水土保持补偿费标准，切实减轻企业负担，促进实体经济发展，全县共征收水土保持费925.49万元。</w:t>
      </w:r>
    </w:p>
    <w:p w14:paraId="30941055">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奉节县十三五期间各年度水土保持工作主要情况统计表</w:t>
      </w:r>
    </w:p>
    <w:p w14:paraId="7E027123">
      <w:pPr>
        <w:jc w:val="left"/>
        <w:rPr>
          <w:rFonts w:ascii="Times New Roman" w:hAnsi="Times New Roman"/>
          <w:b/>
          <w:bCs/>
          <w:sz w:val="24"/>
          <w:szCs w:val="24"/>
        </w:rPr>
      </w:pPr>
      <w:r>
        <w:rPr>
          <w:rFonts w:ascii="Times New Roman" w:hAnsi="Times New Roman"/>
          <w:b/>
          <w:bCs/>
          <w:sz w:val="24"/>
          <w:szCs w:val="24"/>
        </w:rPr>
        <w:t>表2.1-4</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72"/>
        <w:gridCol w:w="1328"/>
        <w:gridCol w:w="1332"/>
        <w:gridCol w:w="1486"/>
        <w:gridCol w:w="1221"/>
        <w:gridCol w:w="1267"/>
        <w:gridCol w:w="1180"/>
      </w:tblGrid>
      <w:tr w14:paraId="1FD9B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Merge w:val="restart"/>
            <w:vAlign w:val="center"/>
          </w:tcPr>
          <w:p w14:paraId="31FC0F8B">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年度</w:t>
            </w:r>
          </w:p>
        </w:tc>
        <w:tc>
          <w:tcPr>
            <w:tcW w:w="2232" w:type="pct"/>
            <w:gridSpan w:val="3"/>
            <w:vAlign w:val="center"/>
          </w:tcPr>
          <w:p w14:paraId="1E124EF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审批</w:t>
            </w:r>
          </w:p>
        </w:tc>
        <w:tc>
          <w:tcPr>
            <w:tcW w:w="657" w:type="pct"/>
            <w:vMerge w:val="restart"/>
            <w:vAlign w:val="center"/>
          </w:tcPr>
          <w:p w14:paraId="4D5BF8A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水土保持补偿费征收（万元）</w:t>
            </w:r>
          </w:p>
        </w:tc>
        <w:tc>
          <w:tcPr>
            <w:tcW w:w="1317" w:type="pct"/>
            <w:gridSpan w:val="2"/>
            <w:vAlign w:val="center"/>
          </w:tcPr>
          <w:p w14:paraId="01D8FBB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治理情况</w:t>
            </w:r>
          </w:p>
        </w:tc>
      </w:tr>
      <w:tr w14:paraId="1CD33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Merge w:val="continue"/>
            <w:vAlign w:val="center"/>
          </w:tcPr>
          <w:p w14:paraId="1DF41905">
            <w:pPr>
              <w:widowControl/>
              <w:spacing w:line="280" w:lineRule="exact"/>
              <w:jc w:val="center"/>
              <w:rPr>
                <w:rFonts w:ascii="Times New Roman" w:hAnsi="Times New Roman" w:eastAsia="楷体"/>
                <w:kern w:val="0"/>
                <w:sz w:val="18"/>
                <w:szCs w:val="18"/>
              </w:rPr>
            </w:pPr>
          </w:p>
        </w:tc>
        <w:tc>
          <w:tcPr>
            <w:tcW w:w="715" w:type="pct"/>
            <w:vAlign w:val="center"/>
          </w:tcPr>
          <w:p w14:paraId="4D4DBFF8">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审批方案数（项）</w:t>
            </w:r>
          </w:p>
        </w:tc>
        <w:tc>
          <w:tcPr>
            <w:tcW w:w="717" w:type="pct"/>
            <w:vAlign w:val="center"/>
          </w:tcPr>
          <w:p w14:paraId="71C3C19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防治责任范围（km2）</w:t>
            </w:r>
          </w:p>
        </w:tc>
        <w:tc>
          <w:tcPr>
            <w:tcW w:w="800" w:type="pct"/>
            <w:vAlign w:val="center"/>
          </w:tcPr>
          <w:p w14:paraId="3E337F2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投资（万元）</w:t>
            </w:r>
          </w:p>
        </w:tc>
        <w:tc>
          <w:tcPr>
            <w:tcW w:w="657" w:type="pct"/>
            <w:vMerge w:val="continue"/>
            <w:vAlign w:val="center"/>
          </w:tcPr>
          <w:p w14:paraId="75B88AB2">
            <w:pPr>
              <w:widowControl/>
              <w:spacing w:line="280" w:lineRule="exact"/>
              <w:jc w:val="center"/>
              <w:rPr>
                <w:rFonts w:ascii="Times New Roman" w:hAnsi="Times New Roman" w:eastAsia="楷体"/>
                <w:kern w:val="0"/>
                <w:sz w:val="18"/>
                <w:szCs w:val="18"/>
              </w:rPr>
            </w:pPr>
          </w:p>
        </w:tc>
        <w:tc>
          <w:tcPr>
            <w:tcW w:w="682" w:type="pct"/>
            <w:vAlign w:val="center"/>
          </w:tcPr>
          <w:p w14:paraId="6A59DFC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治理面积（km2）</w:t>
            </w:r>
          </w:p>
        </w:tc>
        <w:tc>
          <w:tcPr>
            <w:tcW w:w="634" w:type="pct"/>
            <w:vAlign w:val="center"/>
          </w:tcPr>
          <w:p w14:paraId="51D1B1F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小型水利水保工程（座）</w:t>
            </w:r>
          </w:p>
        </w:tc>
      </w:tr>
      <w:tr w14:paraId="594FC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14:paraId="536CD6F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2016</w:t>
            </w:r>
          </w:p>
        </w:tc>
        <w:tc>
          <w:tcPr>
            <w:tcW w:w="715" w:type="pct"/>
            <w:vAlign w:val="center"/>
          </w:tcPr>
          <w:p w14:paraId="72A62F9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w:t>
            </w:r>
          </w:p>
        </w:tc>
        <w:tc>
          <w:tcPr>
            <w:tcW w:w="717" w:type="pct"/>
            <w:vAlign w:val="center"/>
          </w:tcPr>
          <w:p w14:paraId="19D9513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0.44</w:t>
            </w:r>
          </w:p>
        </w:tc>
        <w:tc>
          <w:tcPr>
            <w:tcW w:w="800" w:type="pct"/>
            <w:vAlign w:val="center"/>
          </w:tcPr>
          <w:p w14:paraId="09C4C6F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3422.21</w:t>
            </w:r>
          </w:p>
        </w:tc>
        <w:tc>
          <w:tcPr>
            <w:tcW w:w="657" w:type="pct"/>
            <w:vAlign w:val="center"/>
          </w:tcPr>
          <w:p w14:paraId="4147F5A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74.19</w:t>
            </w:r>
          </w:p>
        </w:tc>
        <w:tc>
          <w:tcPr>
            <w:tcW w:w="682" w:type="pct"/>
            <w:vAlign w:val="center"/>
          </w:tcPr>
          <w:p w14:paraId="6EBD316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36.71</w:t>
            </w:r>
          </w:p>
        </w:tc>
        <w:tc>
          <w:tcPr>
            <w:tcW w:w="634" w:type="pct"/>
            <w:vAlign w:val="center"/>
          </w:tcPr>
          <w:p w14:paraId="1B1A971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89</w:t>
            </w:r>
          </w:p>
        </w:tc>
      </w:tr>
      <w:tr w14:paraId="2C3A6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14:paraId="1398FD8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2017</w:t>
            </w:r>
          </w:p>
        </w:tc>
        <w:tc>
          <w:tcPr>
            <w:tcW w:w="715" w:type="pct"/>
            <w:vAlign w:val="center"/>
          </w:tcPr>
          <w:p w14:paraId="06A35E0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50</w:t>
            </w:r>
          </w:p>
        </w:tc>
        <w:tc>
          <w:tcPr>
            <w:tcW w:w="717" w:type="pct"/>
            <w:vAlign w:val="center"/>
          </w:tcPr>
          <w:p w14:paraId="3DBDF56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2.25</w:t>
            </w:r>
          </w:p>
        </w:tc>
        <w:tc>
          <w:tcPr>
            <w:tcW w:w="800" w:type="pct"/>
            <w:vAlign w:val="center"/>
          </w:tcPr>
          <w:p w14:paraId="39B2EC5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16324</w:t>
            </w:r>
          </w:p>
        </w:tc>
        <w:tc>
          <w:tcPr>
            <w:tcW w:w="657" w:type="pct"/>
            <w:vAlign w:val="center"/>
          </w:tcPr>
          <w:p w14:paraId="37464DCA">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131.5</w:t>
            </w:r>
          </w:p>
        </w:tc>
        <w:tc>
          <w:tcPr>
            <w:tcW w:w="682" w:type="pct"/>
            <w:vAlign w:val="center"/>
          </w:tcPr>
          <w:p w14:paraId="52DE716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68.47</w:t>
            </w:r>
          </w:p>
        </w:tc>
        <w:tc>
          <w:tcPr>
            <w:tcW w:w="634" w:type="pct"/>
            <w:vAlign w:val="center"/>
          </w:tcPr>
          <w:p w14:paraId="2539BD20">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99</w:t>
            </w:r>
          </w:p>
        </w:tc>
      </w:tr>
      <w:tr w14:paraId="6A9A7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14:paraId="508DD39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2018</w:t>
            </w:r>
          </w:p>
        </w:tc>
        <w:tc>
          <w:tcPr>
            <w:tcW w:w="715" w:type="pct"/>
            <w:vAlign w:val="center"/>
          </w:tcPr>
          <w:p w14:paraId="76EBB06E">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55</w:t>
            </w:r>
          </w:p>
        </w:tc>
        <w:tc>
          <w:tcPr>
            <w:tcW w:w="717" w:type="pct"/>
            <w:vAlign w:val="center"/>
          </w:tcPr>
          <w:p w14:paraId="2BAC6AE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6.16</w:t>
            </w:r>
          </w:p>
        </w:tc>
        <w:tc>
          <w:tcPr>
            <w:tcW w:w="800" w:type="pct"/>
            <w:vAlign w:val="center"/>
          </w:tcPr>
          <w:p w14:paraId="4D2CCFA9">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14039.90</w:t>
            </w:r>
          </w:p>
        </w:tc>
        <w:tc>
          <w:tcPr>
            <w:tcW w:w="657" w:type="pct"/>
            <w:vAlign w:val="center"/>
          </w:tcPr>
          <w:p w14:paraId="4B84D8BC">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283.39</w:t>
            </w:r>
          </w:p>
        </w:tc>
        <w:tc>
          <w:tcPr>
            <w:tcW w:w="682" w:type="pct"/>
            <w:vAlign w:val="center"/>
          </w:tcPr>
          <w:p w14:paraId="0D9E73D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87.11</w:t>
            </w:r>
          </w:p>
        </w:tc>
        <w:tc>
          <w:tcPr>
            <w:tcW w:w="634" w:type="pct"/>
            <w:vAlign w:val="center"/>
          </w:tcPr>
          <w:p w14:paraId="2DEB9308">
            <w:pPr>
              <w:widowControl/>
              <w:spacing w:line="280" w:lineRule="exact"/>
              <w:jc w:val="center"/>
              <w:rPr>
                <w:rFonts w:ascii="Times New Roman" w:hAnsi="Times New Roman" w:eastAsia="楷体"/>
                <w:kern w:val="0"/>
                <w:sz w:val="18"/>
                <w:szCs w:val="18"/>
              </w:rPr>
            </w:pPr>
          </w:p>
        </w:tc>
      </w:tr>
      <w:tr w14:paraId="15FC8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14:paraId="32E85A0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2019</w:t>
            </w:r>
          </w:p>
        </w:tc>
        <w:tc>
          <w:tcPr>
            <w:tcW w:w="715" w:type="pct"/>
            <w:vAlign w:val="center"/>
          </w:tcPr>
          <w:p w14:paraId="23B2B122">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48</w:t>
            </w:r>
          </w:p>
        </w:tc>
        <w:tc>
          <w:tcPr>
            <w:tcW w:w="717" w:type="pct"/>
            <w:vAlign w:val="center"/>
          </w:tcPr>
          <w:p w14:paraId="2F74CB2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1.38</w:t>
            </w:r>
          </w:p>
        </w:tc>
        <w:tc>
          <w:tcPr>
            <w:tcW w:w="800" w:type="pct"/>
            <w:vAlign w:val="center"/>
          </w:tcPr>
          <w:p w14:paraId="08FA09D3">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15326</w:t>
            </w:r>
          </w:p>
        </w:tc>
        <w:tc>
          <w:tcPr>
            <w:tcW w:w="657" w:type="pct"/>
            <w:vAlign w:val="center"/>
          </w:tcPr>
          <w:p w14:paraId="570E71E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436.41</w:t>
            </w:r>
          </w:p>
        </w:tc>
        <w:tc>
          <w:tcPr>
            <w:tcW w:w="682" w:type="pct"/>
            <w:vAlign w:val="center"/>
          </w:tcPr>
          <w:p w14:paraId="508764D7">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62.57</w:t>
            </w:r>
          </w:p>
        </w:tc>
        <w:tc>
          <w:tcPr>
            <w:tcW w:w="634" w:type="pct"/>
            <w:vAlign w:val="center"/>
          </w:tcPr>
          <w:p w14:paraId="485324BE">
            <w:pPr>
              <w:widowControl/>
              <w:spacing w:line="280" w:lineRule="exact"/>
              <w:jc w:val="center"/>
              <w:rPr>
                <w:rFonts w:ascii="Times New Roman" w:hAnsi="Times New Roman" w:eastAsia="楷体"/>
                <w:kern w:val="0"/>
                <w:sz w:val="18"/>
                <w:szCs w:val="18"/>
              </w:rPr>
            </w:pPr>
          </w:p>
        </w:tc>
      </w:tr>
      <w:tr w14:paraId="15FC2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2" w:type="pct"/>
            <w:vAlign w:val="center"/>
          </w:tcPr>
          <w:p w14:paraId="03AEDAE5">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合计</w:t>
            </w:r>
          </w:p>
        </w:tc>
        <w:tc>
          <w:tcPr>
            <w:tcW w:w="715" w:type="pct"/>
            <w:vAlign w:val="center"/>
          </w:tcPr>
          <w:p w14:paraId="420D0D4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157</w:t>
            </w:r>
          </w:p>
        </w:tc>
        <w:tc>
          <w:tcPr>
            <w:tcW w:w="717" w:type="pct"/>
            <w:vAlign w:val="center"/>
          </w:tcPr>
          <w:p w14:paraId="5FF88534">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10.23</w:t>
            </w:r>
          </w:p>
        </w:tc>
        <w:tc>
          <w:tcPr>
            <w:tcW w:w="800" w:type="pct"/>
            <w:vAlign w:val="center"/>
          </w:tcPr>
          <w:p w14:paraId="4202A0B6">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49112.11</w:t>
            </w:r>
          </w:p>
        </w:tc>
        <w:tc>
          <w:tcPr>
            <w:tcW w:w="657" w:type="pct"/>
            <w:vAlign w:val="center"/>
          </w:tcPr>
          <w:p w14:paraId="66E9BE61">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925.49</w:t>
            </w:r>
          </w:p>
        </w:tc>
        <w:tc>
          <w:tcPr>
            <w:tcW w:w="682" w:type="pct"/>
            <w:vAlign w:val="center"/>
          </w:tcPr>
          <w:p w14:paraId="1FE9B81F">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254.86</w:t>
            </w:r>
          </w:p>
        </w:tc>
        <w:tc>
          <w:tcPr>
            <w:tcW w:w="634" w:type="pct"/>
            <w:vAlign w:val="center"/>
          </w:tcPr>
          <w:p w14:paraId="24C0B0AD">
            <w:pPr>
              <w:widowControl/>
              <w:spacing w:line="280" w:lineRule="exact"/>
              <w:jc w:val="center"/>
              <w:rPr>
                <w:rFonts w:ascii="Times New Roman" w:hAnsi="Times New Roman" w:eastAsia="楷体"/>
                <w:kern w:val="0"/>
                <w:sz w:val="18"/>
                <w:szCs w:val="18"/>
              </w:rPr>
            </w:pPr>
            <w:r>
              <w:rPr>
                <w:rFonts w:ascii="Times New Roman" w:hAnsi="Times New Roman" w:eastAsia="楷体"/>
                <w:kern w:val="0"/>
                <w:sz w:val="18"/>
                <w:szCs w:val="18"/>
              </w:rPr>
              <w:t>188</w:t>
            </w:r>
          </w:p>
        </w:tc>
      </w:tr>
    </w:tbl>
    <w:p w14:paraId="299CDACA">
      <w:pPr>
        <w:rPr>
          <w:rFonts w:ascii="Times New Roman" w:hAnsi="Times New Roman"/>
        </w:rPr>
      </w:pPr>
    </w:p>
    <w:p w14:paraId="2B07829A">
      <w:pPr>
        <w:pStyle w:val="80"/>
        <w:spacing w:line="520" w:lineRule="exact"/>
        <w:ind w:firstLine="544"/>
        <w:rPr>
          <w:rFonts w:ascii="宋体" w:hAnsi="宋体" w:cs="宋体"/>
          <w:b/>
          <w:bCs w:val="0"/>
          <w:sz w:val="24"/>
          <w:szCs w:val="24"/>
        </w:rPr>
      </w:pPr>
      <w:r>
        <w:rPr>
          <w:rFonts w:hint="eastAsia" w:ascii="宋体" w:hAnsi="宋体" w:cs="宋体"/>
          <w:b/>
          <w:bCs w:val="0"/>
          <w:sz w:val="24"/>
          <w:szCs w:val="24"/>
        </w:rPr>
        <w:t>专栏5：</w:t>
      </w:r>
      <w:r>
        <w:rPr>
          <w:rFonts w:hint="eastAsia" w:ascii="宋体" w:hAnsi="宋体" w:cs="宋体"/>
          <w:b/>
          <w:szCs w:val="24"/>
        </w:rPr>
        <w:t>水生态文明建设持续推进</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32772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330EF69">
            <w:pPr>
              <w:spacing w:line="520" w:lineRule="exact"/>
              <w:ind w:firstLine="482"/>
              <w:jc w:val="left"/>
              <w:rPr>
                <w:rFonts w:ascii="Times New Roman" w:hAnsi="Times New Roman" w:eastAsia="方正楷体_GBK"/>
                <w:bCs/>
                <w:szCs w:val="24"/>
              </w:rPr>
            </w:pPr>
            <w:r>
              <w:rPr>
                <w:rFonts w:ascii="Times New Roman" w:hAnsi="Times New Roman" w:eastAsia="方正楷体_GBK"/>
                <w:bCs/>
                <w:szCs w:val="24"/>
              </w:rPr>
              <w:t>积极落实河库管理与保护制度：严格执行河库管理与保护制度，完善河库管理、河道采砂、岸线保护等规划，依法划定河库管理和保护范围，严格水域保护。制定实施河库水生态系统修复和保护规划，因地制宜推行河道管理“河长制”，落实管护主体、管护责任和管护经费。</w:t>
            </w:r>
          </w:p>
          <w:p w14:paraId="0E504D3E">
            <w:pPr>
              <w:spacing w:line="520" w:lineRule="exact"/>
              <w:ind w:firstLine="482"/>
              <w:jc w:val="left"/>
              <w:rPr>
                <w:rFonts w:ascii="Times New Roman" w:hAnsi="Times New Roman" w:eastAsia="方正楷体_GBK"/>
                <w:bCs/>
                <w:szCs w:val="24"/>
              </w:rPr>
            </w:pPr>
            <w:r>
              <w:rPr>
                <w:rFonts w:ascii="Times New Roman" w:hAnsi="Times New Roman" w:eastAsia="方正楷体_GBK"/>
                <w:bCs/>
                <w:szCs w:val="24"/>
              </w:rPr>
              <w:t>水资源管理开发：辖区内重要江河湖泊的水质监测全面达标，高标准完成最严格水资源考核建档。</w:t>
            </w:r>
          </w:p>
          <w:p w14:paraId="637B7B8C">
            <w:pPr>
              <w:spacing w:line="520" w:lineRule="exact"/>
              <w:ind w:firstLine="482"/>
              <w:jc w:val="left"/>
              <w:rPr>
                <w:rFonts w:ascii="Times New Roman" w:hAnsi="Times New Roman" w:eastAsia="方正楷体_GBK"/>
                <w:bCs/>
                <w:szCs w:val="24"/>
              </w:rPr>
            </w:pPr>
            <w:r>
              <w:rPr>
                <w:rFonts w:ascii="Times New Roman" w:hAnsi="Times New Roman" w:eastAsia="方正楷体_GBK"/>
                <w:bCs/>
                <w:szCs w:val="24"/>
              </w:rPr>
              <w:t>水土保持：全面建设完工重庆市第一座水土保持教育基地——巴蜀渝东中学水土保持教育实践基地，完成水保工程青杠岭项目区主要建设任务，建设坡耕地综合治理工程新民项目区和水土保持国家重点治理项目大溪河流域新民河（鹤峰片）。</w:t>
            </w:r>
          </w:p>
          <w:p w14:paraId="30D5A080">
            <w:pPr>
              <w:spacing w:line="520" w:lineRule="exact"/>
              <w:ind w:firstLine="482"/>
              <w:jc w:val="left"/>
              <w:rPr>
                <w:rFonts w:ascii="Times New Roman" w:hAnsi="Times New Roman" w:eastAsia="方正楷体_GBK"/>
                <w:bCs/>
                <w:szCs w:val="24"/>
              </w:rPr>
            </w:pPr>
            <w:r>
              <w:rPr>
                <w:rFonts w:ascii="Times New Roman" w:hAnsi="Times New Roman" w:eastAsia="方正楷体_GBK"/>
                <w:bCs/>
                <w:szCs w:val="24"/>
              </w:rPr>
              <w:t>河道管理治理：完成长江河道采砂实施方案编制并上报，完成九盘河管理示范区初步规划，大溪河等6处重点河段综合治理工程组织协调得力，形象进度明显加快；完成大树镇槽木堰塞湖、新民河等5处工程的完工验收。</w:t>
            </w:r>
          </w:p>
        </w:tc>
      </w:tr>
    </w:tbl>
    <w:p w14:paraId="2DB779F5">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2.1.6 河长制工作有名有实</w:t>
      </w:r>
    </w:p>
    <w:p w14:paraId="7EDE9285">
      <w:pPr>
        <w:adjustRightInd w:val="0"/>
        <w:snapToGrid w:val="0"/>
        <w:spacing w:line="520" w:lineRule="exact"/>
        <w:ind w:firstLine="560" w:firstLineChars="200"/>
        <w:rPr>
          <w:rFonts w:ascii="Times New Roman" w:hAnsi="Times New Roman" w:eastAsia="楷体"/>
          <w:sz w:val="28"/>
          <w:szCs w:val="28"/>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时期，是我国全面推行河长制的第一个五年，五年来，县河长办紧紧围绕“河畅、水清、岸绿、景美”河长制工作目标，坚持“共抓大保护，不搞大开发”，聚焦管好“盆”和“水”，对河库“水脏”、“水浑”顽疾宣战，持续发力、久久为功，还河库健康美丽，境内“一江五河”水质持续稳定达标，水功能区水质达标率100%。</w:t>
      </w:r>
    </w:p>
    <w:p w14:paraId="7E39980C">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依据</w:t>
      </w:r>
      <w:r>
        <w:rPr>
          <w:rFonts w:ascii="Times New Roman" w:hAnsi="Times New Roman" w:eastAsia="楷体"/>
          <w:sz w:val="28"/>
          <w:szCs w:val="28"/>
          <w:lang w:val="zh-CN"/>
        </w:rPr>
        <w:t>“三</w:t>
      </w:r>
      <w:r>
        <w:rPr>
          <w:rFonts w:ascii="Times New Roman" w:hAnsi="Times New Roman" w:eastAsia="楷体"/>
          <w:sz w:val="28"/>
          <w:szCs w:val="28"/>
        </w:rPr>
        <w:t>张牌”</w:t>
      </w:r>
      <w:r>
        <w:rPr>
          <w:rStyle w:val="35"/>
          <w:rFonts w:ascii="Times New Roman" w:hAnsi="Times New Roman" w:eastAsia="楷体"/>
          <w:sz w:val="28"/>
          <w:szCs w:val="28"/>
        </w:rPr>
        <w:footnoteReference w:id="1"/>
      </w:r>
      <w:r>
        <w:rPr>
          <w:rFonts w:ascii="Times New Roman" w:hAnsi="Times New Roman" w:eastAsia="楷体"/>
          <w:sz w:val="28"/>
          <w:szCs w:val="28"/>
        </w:rPr>
        <w:t>，筑牢管护防线，建立健全县、乡（镇）、村三级河长组织体系，由县委书记、县长担任县总河长。实现县域212条河流、54座水库全覆盖。三级河长累计巡河1.4万人次3.3万公里，解决处置问题187个。全面梳理掌握河库概况、水质现状，找准问题</w:t>
      </w:r>
      <w:r>
        <w:rPr>
          <w:rFonts w:ascii="Times New Roman" w:hAnsi="Times New Roman" w:eastAsia="楷体"/>
          <w:sz w:val="28"/>
          <w:szCs w:val="28"/>
          <w:lang w:val="zh-CN"/>
        </w:rPr>
        <w:t>“病</w:t>
      </w:r>
      <w:r>
        <w:rPr>
          <w:rFonts w:ascii="Times New Roman" w:hAnsi="Times New Roman" w:eastAsia="楷体"/>
          <w:sz w:val="28"/>
          <w:szCs w:val="28"/>
        </w:rPr>
        <w:t>根”，精准建立</w:t>
      </w:r>
      <w:r>
        <w:rPr>
          <w:rFonts w:ascii="Times New Roman" w:hAnsi="Times New Roman" w:eastAsia="楷体"/>
          <w:sz w:val="28"/>
          <w:szCs w:val="28"/>
          <w:lang w:val="zh-CN"/>
        </w:rPr>
        <w:t>“一河</w:t>
      </w:r>
      <w:r>
        <w:rPr>
          <w:rFonts w:ascii="Times New Roman" w:hAnsi="Times New Roman" w:eastAsia="楷体"/>
          <w:sz w:val="28"/>
          <w:szCs w:val="28"/>
        </w:rPr>
        <w:t>一档”，巫山、巫溪、云阳等邻县深度合作，推行边界河流联防联控，打破边界河流治理</w:t>
      </w:r>
      <w:r>
        <w:rPr>
          <w:rFonts w:ascii="Times New Roman" w:hAnsi="Times New Roman" w:eastAsia="楷体"/>
          <w:sz w:val="28"/>
          <w:szCs w:val="28"/>
          <w:lang w:val="zh-CN"/>
        </w:rPr>
        <w:t>“藩</w:t>
      </w:r>
      <w:r>
        <w:rPr>
          <w:rFonts w:ascii="Times New Roman" w:hAnsi="Times New Roman" w:eastAsia="楷体"/>
          <w:sz w:val="28"/>
          <w:szCs w:val="28"/>
        </w:rPr>
        <w:t>篱”。深入推进国土绿化、义务植树等治理行动，植树造林30.8万亩。</w:t>
      </w:r>
    </w:p>
    <w:p w14:paraId="6C5AC2DA">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精准控</w:t>
      </w:r>
      <w:r>
        <w:rPr>
          <w:rFonts w:ascii="Times New Roman" w:hAnsi="Times New Roman" w:eastAsia="楷体"/>
          <w:sz w:val="28"/>
          <w:szCs w:val="28"/>
          <w:lang w:val="zh-CN"/>
        </w:rPr>
        <w:t>“污”，</w:t>
      </w:r>
      <w:r>
        <w:rPr>
          <w:rFonts w:ascii="Times New Roman" w:hAnsi="Times New Roman" w:eastAsia="楷体"/>
          <w:sz w:val="28"/>
          <w:szCs w:val="28"/>
        </w:rPr>
        <w:t>运用</w:t>
      </w:r>
      <w:r>
        <w:rPr>
          <w:rFonts w:ascii="Times New Roman" w:hAnsi="Times New Roman" w:eastAsia="楷体"/>
          <w:sz w:val="28"/>
          <w:szCs w:val="28"/>
          <w:lang w:val="zh-CN"/>
        </w:rPr>
        <w:t>“户</w:t>
      </w:r>
      <w:r>
        <w:rPr>
          <w:rFonts w:ascii="Times New Roman" w:hAnsi="Times New Roman" w:eastAsia="楷体"/>
          <w:sz w:val="28"/>
          <w:szCs w:val="28"/>
        </w:rPr>
        <w:t>集、村收、乡（镇）运、区域”处理治理模式，建成10个乡镇垃圾压缩中转站，配备垃圾压缩清运车165辆，年处置生活垃圾4.6万吨。完成103家规模化畜禽养殖场污染治理，畜禽粪污综合利用率91.5%，改扩建污水处理厂3座，建成二三级污水管网25公里，城乡污水收集率分别达95%、85%。深入开展</w:t>
      </w:r>
      <w:r>
        <w:rPr>
          <w:rFonts w:ascii="Times New Roman" w:hAnsi="Times New Roman" w:eastAsia="楷体"/>
          <w:sz w:val="28"/>
          <w:szCs w:val="28"/>
          <w:lang w:val="zh-CN"/>
        </w:rPr>
        <w:t>“三</w:t>
      </w:r>
      <w:r>
        <w:rPr>
          <w:rFonts w:ascii="Times New Roman" w:hAnsi="Times New Roman" w:eastAsia="楷体"/>
          <w:sz w:val="28"/>
          <w:szCs w:val="28"/>
        </w:rPr>
        <w:t>乱”专项整治，制止水事违法行为</w:t>
      </w:r>
      <w:r>
        <w:rPr>
          <w:rFonts w:ascii="Times New Roman" w:hAnsi="Times New Roman" w:eastAsia="楷体"/>
          <w:sz w:val="28"/>
          <w:szCs w:val="28"/>
          <w:lang w:val="zh-CN"/>
        </w:rPr>
        <w:t>26</w:t>
      </w:r>
      <w:r>
        <w:rPr>
          <w:rFonts w:ascii="Times New Roman" w:hAnsi="Times New Roman" w:eastAsia="楷体"/>
          <w:sz w:val="28"/>
          <w:szCs w:val="28"/>
        </w:rPr>
        <w:t>起，查处污水乱排问题16个，取缔非法码头4座，拆除河道违法违规建筑物2.3万平方米。</w:t>
      </w:r>
    </w:p>
    <w:p w14:paraId="4402B3D1">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2.1.7 水利</w:t>
      </w:r>
      <w:r>
        <w:rPr>
          <w:rFonts w:hint="eastAsia" w:ascii="Times New Roman" w:hAnsi="Times New Roman" w:eastAsia="楷体"/>
          <w:sz w:val="28"/>
          <w:szCs w:val="28"/>
          <w:lang w:eastAsia="zh-CN"/>
        </w:rPr>
        <w:t>脱贫攻坚战</w:t>
      </w:r>
      <w:r>
        <w:rPr>
          <w:rFonts w:ascii="Times New Roman" w:hAnsi="Times New Roman" w:eastAsia="楷体"/>
          <w:sz w:val="28"/>
          <w:szCs w:val="28"/>
        </w:rPr>
        <w:t>取得全面胜利</w:t>
      </w:r>
    </w:p>
    <w:p w14:paraId="42B6B1E4">
      <w:pPr>
        <w:adjustRightInd w:val="0"/>
        <w:snapToGrid w:val="0"/>
        <w:spacing w:line="520" w:lineRule="exact"/>
        <w:ind w:firstLine="560" w:firstLineChars="200"/>
        <w:rPr>
          <w:rFonts w:ascii="Times New Roman" w:hAnsi="Times New Roman" w:eastAsia="楷体"/>
          <w:sz w:val="28"/>
          <w:szCs w:val="28"/>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期间，在奉节县县委县政府的带领下，精准实施扶贫政策，广大人民群众开拓奋进，如期实现全面脱贫，成功</w:t>
      </w:r>
      <w:r>
        <w:rPr>
          <w:rFonts w:hint="eastAsia" w:ascii="Times New Roman" w:hAnsi="Times New Roman" w:eastAsia="楷体"/>
          <w:sz w:val="28"/>
          <w:szCs w:val="28"/>
        </w:rPr>
        <w:t>于</w:t>
      </w:r>
      <w:r>
        <w:rPr>
          <w:rFonts w:ascii="Times New Roman" w:hAnsi="Times New Roman" w:eastAsia="楷体"/>
          <w:sz w:val="28"/>
          <w:szCs w:val="28"/>
        </w:rPr>
        <w:t>2020年4月正式整县“脱贫摘帽”。五年来，全县水利脱贫阵线成效显著，全县累计投入饮水资金约5亿元，成功实现了农村饮水安全工程措施全覆盖，为打赢脱贫攻坚战奠定了坚实基础。</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期间，全县水利扶贫供水工程共有4800多处，涉及人口约28.16万人，占奉节县农村供水总人口的33.8%。完成太和乡饮水工程等项目建设，铺设各类管道16.1千米，水池22口，受益贫困户347户。</w:t>
      </w:r>
    </w:p>
    <w:p w14:paraId="4610267B">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 xml:space="preserve">借力三峡后续工作，助力全县“32321”建设，支持新建或改造沿江北路、沿江南路、农村居民点道路和康乐大桥、伍家嘴大桥，建设总里程达170.73千米，在39个农村移民安置村实施精准帮扶，8个移民贫困村668户2750贫困人口生活水平大幅提升，移民生产生活条件显著改善，存在的突出问题逐步得到解决。为解决农村人畜饮水，支持建设大水田、水竹槽、林政水库和康坪、白帝、朱衣、鹤峰四个乡镇农村安全饮水巩固提升。 </w:t>
      </w:r>
    </w:p>
    <w:p w14:paraId="2CD79F3A">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2.1.8 三峡后续扎实推进，移民后扶有力有效</w:t>
      </w:r>
    </w:p>
    <w:p w14:paraId="5186D995">
      <w:pPr>
        <w:adjustRightInd w:val="0"/>
        <w:snapToGrid w:val="0"/>
        <w:spacing w:line="520" w:lineRule="exact"/>
        <w:ind w:firstLine="560" w:firstLineChars="200"/>
        <w:rPr>
          <w:rFonts w:ascii="Times New Roman" w:hAnsi="Times New Roman" w:eastAsia="楷体"/>
          <w:kern w:val="0"/>
          <w:sz w:val="28"/>
          <w:szCs w:val="28"/>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期间，奉节县三峡后续工作、大中型水库后期扶持工作持续发力，</w:t>
      </w:r>
      <w:r>
        <w:rPr>
          <w:rFonts w:ascii="Times New Roman" w:hAnsi="Times New Roman" w:eastAsia="楷体"/>
          <w:kern w:val="0"/>
          <w:sz w:val="28"/>
          <w:szCs w:val="28"/>
        </w:rPr>
        <w:t>有力推动了全县各项基础设施的系统建设，促进了城乡面貌明显向好，生态环境有效改善，极大地推动了库区可持续发展和移民安稳致富。</w:t>
      </w:r>
    </w:p>
    <w:p w14:paraId="6210371B">
      <w:pPr>
        <w:adjustRightInd w:val="0"/>
        <w:snapToGrid w:val="0"/>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过去的5年，奉节县以三峡后续工作为契机，大力实施集城市地质灾害防治、库岸整治、城市防洪、消落区治理、城市交通完善等功能为一体的“金汤工程”，整治库岸7.92km，治理消落区50.8万m</w:t>
      </w:r>
      <w:r>
        <w:rPr>
          <w:rFonts w:ascii="Times New Roman" w:hAnsi="Times New Roman" w:eastAsia="楷体"/>
          <w:sz w:val="28"/>
          <w:szCs w:val="28"/>
          <w:vertAlign w:val="superscript"/>
        </w:rPr>
        <w:t>2</w:t>
      </w:r>
      <w:r>
        <w:rPr>
          <w:rFonts w:ascii="Times New Roman" w:hAnsi="Times New Roman" w:eastAsia="楷体"/>
          <w:sz w:val="28"/>
          <w:szCs w:val="28"/>
        </w:rPr>
        <w:t>，提高了城市发展品质。整治城市一、二、三级雨污管网74.69km，建设18座污水处理厂和5处垃圾处理设施，助力乡镇污水处理厂实现全覆盖。实施生态屏障区植被恢复42.67万亩、2个水源地保护、7个农村居民点生活污染和环境整治。实施县城东西安全出口通道12.89km，改造城市道路“白改黑”29.02千米， 23个城镇小区实施了综合帮扶，城市功能更加完善，生活品质不断提升。大力实施175米试验性蓄水受影响搬迁2959人，治理高切坡项目17个，高切坡专业监测81处、群防群测323处；60个临江村（社区）库岸巡查实现全覆盖；安坪镇藕塘滑坡1006户4380名受影响群众全部搬离险区，17.8万平方米房屋全部拆除，集镇迁建新区基础设施全部建成并投入运行</w:t>
      </w:r>
      <w:r>
        <w:rPr>
          <w:rFonts w:hint="eastAsia" w:ascii="Times New Roman" w:hAnsi="Times New Roman" w:eastAsia="楷体"/>
          <w:sz w:val="28"/>
          <w:szCs w:val="28"/>
        </w:rPr>
        <w:t>，</w:t>
      </w:r>
      <w:r>
        <w:rPr>
          <w:rFonts w:ascii="Times New Roman" w:hAnsi="Times New Roman" w:eastAsia="楷体"/>
          <w:sz w:val="28"/>
          <w:szCs w:val="28"/>
        </w:rPr>
        <w:t>单位和居民全部搬迁入住，美丽风情小镇已经建成。</w:t>
      </w:r>
    </w:p>
    <w:p w14:paraId="1B4987E8">
      <w:pPr>
        <w:spacing w:line="520" w:lineRule="exact"/>
        <w:ind w:firstLine="560" w:firstLineChars="200"/>
        <w:rPr>
          <w:rFonts w:ascii="Times New Roman" w:hAnsi="Times New Roman"/>
          <w:sz w:val="24"/>
        </w:rPr>
      </w:pPr>
      <w:r>
        <w:rPr>
          <w:rFonts w:ascii="Times New Roman" w:hAnsi="Times New Roman" w:eastAsia="楷体"/>
          <w:sz w:val="28"/>
          <w:szCs w:val="28"/>
        </w:rPr>
        <w:t>截至2020年底，奉节县大中型水库移民人口核定49081人，直补移民11881人，其中大中型水库（不含三峡水库）直补移民1336人，三峡水库直补移民10545人。移民增收致富能力不断提升，奉节县区在“十三五”期间，按照党的十八大提出城乡居民收入增倍的要求，结合本地区移民工作实际，共建设实施水利工程项目20个，项目完成总投资3642.256万元。以本地区移民村组出行、饮水等基础设施为重点，共建设实施了新建水池35口/15800m</w:t>
      </w:r>
      <w:r>
        <w:rPr>
          <w:rFonts w:ascii="Times New Roman" w:hAnsi="Times New Roman" w:eastAsia="楷体"/>
          <w:sz w:val="28"/>
          <w:szCs w:val="28"/>
          <w:vertAlign w:val="superscript"/>
        </w:rPr>
        <w:t>3</w:t>
      </w:r>
      <w:r>
        <w:rPr>
          <w:rFonts w:ascii="Times New Roman" w:hAnsi="Times New Roman" w:eastAsia="楷体"/>
          <w:sz w:val="28"/>
          <w:szCs w:val="28"/>
        </w:rPr>
        <w:t>，敷设输水管网12.7km，新修公路55.44km，整修公路17.62km，人行便道38.3km，项目完成总投资17372.57万元。项目建设实施共计受益人数52713人，其中受益移民45423人。以上项目的实施，村民出行、饮水等基础设施逐步完善，大幅度改善了项目区基础设施条件，三峡城镇移民遗留问题不断地得到解决。</w:t>
      </w:r>
    </w:p>
    <w:p w14:paraId="4A1BD39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移民美丽家园建设初见成效，按照全面建成小康社会和社会主义新农村建设的要求，共建设实施了20个美丽家园项目，完成总投资2374.0万元。移民美丽家园类项目建设实施共计受益人数11709人，其中受益移民7921人。移民美丽家园类项目的实施，极大改观了农村饮水不安全、道路交通出行难等突出问题，改善了移民群众文化活动条件，移民群众的生产生活条件得到改善，生活环境得到美化，明显提高了生活品质，促进农村社会稳定和移民安置区经济社会可持续发展，为移民群众奔小康奠定了坚实的基础，移民美丽家园建设初见成效。</w:t>
      </w:r>
    </w:p>
    <w:p w14:paraId="5CD6E5DF">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2.1.9 行业能力建设不断加强</w:t>
      </w:r>
    </w:p>
    <w:p w14:paraId="156E5299">
      <w:pPr>
        <w:spacing w:line="520" w:lineRule="exact"/>
        <w:ind w:firstLine="560" w:firstLineChars="200"/>
        <w:rPr>
          <w:rFonts w:ascii="Times New Roman" w:hAnsi="Times New Roman" w:eastAsia="楷体"/>
          <w:sz w:val="28"/>
          <w:szCs w:val="28"/>
        </w:rPr>
      </w:pP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期间，县级水行政主管部门进一步加强河道依法管理，全县共完成涉河建设项目审批共55项，较</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期间增加28项，其中长江委审批1项，县级水行政主管部门审批54项。取缔采砂许可10宗，涉及河段长度9.71km，控制年开采量20.79万m</w:t>
      </w:r>
      <w:r>
        <w:rPr>
          <w:rFonts w:ascii="Times New Roman" w:hAnsi="Times New Roman" w:eastAsia="楷体"/>
          <w:sz w:val="28"/>
          <w:szCs w:val="28"/>
          <w:vertAlign w:val="superscript"/>
        </w:rPr>
        <w:t>3</w:t>
      </w:r>
      <w:r>
        <w:rPr>
          <w:rFonts w:ascii="Times New Roman" w:hAnsi="Times New Roman" w:eastAsia="楷体"/>
          <w:sz w:val="28"/>
          <w:szCs w:val="28"/>
        </w:rPr>
        <w:t>。</w:t>
      </w:r>
    </w:p>
    <w:p w14:paraId="67650F9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设置无线预警广播站23处，涉及5个乡镇。对水利部暗访发现新增河湖“四乱”15处问题项目，提出整改措施并完成整改。1000平方公里以上河道“清四乱”专项行动，排查问题10项，销号9项，其中涉及乱占问题1项，乱堆问题1项，乱建问题2项，其他违规问题1项。</w:t>
      </w:r>
    </w:p>
    <w:p w14:paraId="130DA37C">
      <w:pPr>
        <w:spacing w:line="520" w:lineRule="exact"/>
        <w:ind w:firstLine="560" w:firstLineChars="200"/>
        <w:rPr>
          <w:rFonts w:ascii="Times New Roman" w:hAnsi="Times New Roman" w:eastAsia="楷体"/>
          <w:sz w:val="28"/>
          <w:szCs w:val="28"/>
        </w:rPr>
        <w:sectPr>
          <w:headerReference r:id="rId19" w:type="default"/>
          <w:pgSz w:w="11906" w:h="16838"/>
          <w:pgMar w:top="1418" w:right="1418" w:bottom="1418" w:left="1418" w:header="851" w:footer="992" w:gutter="0"/>
          <w:cols w:space="720" w:num="1"/>
          <w:docGrid w:type="lines" w:linePitch="312" w:charSpace="0"/>
        </w:sectPr>
      </w:pPr>
      <w:r>
        <w:rPr>
          <w:rFonts w:ascii="Times New Roman" w:hAnsi="Times New Roman" w:eastAsia="楷体"/>
          <w:sz w:val="28"/>
          <w:szCs w:val="28"/>
        </w:rPr>
        <w:t>大中小型水库工程前期工作扎实推进，为全县水利未来持续发展奠定了坚实基础，按照重庆市水源工程建设三年行动计划，大力推进了野茶水库、天赐湖水库、百岛湖水库等中型骨干水源工程的前期工作，其中野茶水库完成可研审批已进入初步设计阶段，百岛湖水库正在推进可研审批工作。同时，组织编制了《奉节县县域水源工程规划（2018-2035年）》，共规划中小型水库24座，其中中型水库1座，小（1）型水库9座，小（2）型水库14座，新增水库兴利库容4423万m</w:t>
      </w:r>
      <w:r>
        <w:rPr>
          <w:rFonts w:ascii="Times New Roman" w:hAnsi="Times New Roman" w:eastAsia="楷体"/>
          <w:sz w:val="28"/>
          <w:szCs w:val="28"/>
          <w:vertAlign w:val="superscript"/>
        </w:rPr>
        <w:t>3</w:t>
      </w:r>
      <w:r>
        <w:rPr>
          <w:rFonts w:ascii="Times New Roman" w:hAnsi="Times New Roman" w:eastAsia="楷体"/>
          <w:sz w:val="28"/>
          <w:szCs w:val="28"/>
        </w:rPr>
        <w:t>，设计灌溉面积12万亩，新增供水人口26.1万人，其中，兰天水库、乌龙溪水库、红椿坝水库、尖峰水库、老沟水库等项目已经进入单项工程规划方案研究。为支撑长江经济带战略发展要求，适应重庆一区两群战略布局发展要求，谋划默玺湖、渚清等2座大型水库作为县域南北两岸战略性骨干水源工程，并开展了有关前期工作，支撑县域水资源配置体系的持续优化。朱衣河生态调节堰项目也正在开展前期方案论证工作。</w:t>
      </w:r>
    </w:p>
    <w:p w14:paraId="6355F59B">
      <w:pPr>
        <w:pStyle w:val="80"/>
        <w:spacing w:line="520" w:lineRule="exact"/>
        <w:ind w:firstLine="544"/>
        <w:rPr>
          <w:rFonts w:ascii="宋体" w:hAnsi="宋体" w:cs="宋体"/>
          <w:b/>
          <w:bCs w:val="0"/>
          <w:sz w:val="24"/>
          <w:szCs w:val="24"/>
        </w:rPr>
      </w:pPr>
      <w:r>
        <w:rPr>
          <w:rFonts w:hint="eastAsia" w:ascii="宋体" w:hAnsi="宋体" w:cs="宋体"/>
          <w:b/>
          <w:bCs w:val="0"/>
          <w:sz w:val="24"/>
          <w:szCs w:val="24"/>
        </w:rPr>
        <w:t>专栏6：</w:t>
      </w:r>
      <w:r>
        <w:rPr>
          <w:rFonts w:hint="eastAsia" w:ascii="宋体" w:hAnsi="宋体" w:cs="宋体"/>
          <w:b/>
          <w:szCs w:val="24"/>
        </w:rPr>
        <w:t>行业能力建设迈向新台阶</w:t>
      </w: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41"/>
      </w:tblGrid>
      <w:tr w14:paraId="1A7FB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041" w:type="dxa"/>
            <w:vAlign w:val="center"/>
          </w:tcPr>
          <w:p w14:paraId="05C5F1B3">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加快转变水行政管理职能：</w:t>
            </w:r>
            <w:r>
              <w:rPr>
                <w:rFonts w:ascii="Times New Roman" w:hAnsi="Times New Roman" w:eastAsia="方正楷体_GBK"/>
                <w:bCs/>
                <w:szCs w:val="24"/>
              </w:rPr>
              <w:t>奉节县水利局成立了行政审批科，专门负责行政审批和行政服务窗口工作，进一步精简、规范审批手续，制定并印发《行政审批工作细则》和《水行政审批事项技术评审工作制度（试行）》两个制度。公开奉节县水利局行政审批权力清单，依法设定权力和运行流程图。制定精简前置审批手续、实行网上并联审批实施方案，建立健全纵横联动协同监管机制。对涉水行政审批的项目实行并联审批，为提高审批效率和质量提供了条件。</w:t>
            </w:r>
          </w:p>
          <w:p w14:paraId="1638132D">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镇乡集镇自来水价格初步理顺：</w:t>
            </w:r>
            <w:r>
              <w:rPr>
                <w:rFonts w:ascii="Times New Roman" w:hAnsi="Times New Roman" w:eastAsia="方正楷体_GBK"/>
                <w:bCs/>
                <w:szCs w:val="24"/>
              </w:rPr>
              <w:t>由原奉节县水务局下属国有企业重庆市新夔水资源开发有限责任公司统一定价，实现了价格调整实施，初步理顺了镇乡自来水价格。</w:t>
            </w:r>
          </w:p>
          <w:p w14:paraId="2BADC170">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全力维护河库良好秩序：</w:t>
            </w:r>
            <w:r>
              <w:rPr>
                <w:rFonts w:ascii="Times New Roman" w:hAnsi="Times New Roman" w:eastAsia="方正楷体_GBK"/>
                <w:bCs/>
                <w:szCs w:val="24"/>
              </w:rPr>
              <w:t>坚持“铁标、铁腕、铁纪”全面落实河长制工作，全面整治，落实“双总河长”制，建立健全三级河长体系，分流域打响污染防治攻坚战，实现河长制全覆盖。认真组织编制《奉节县朱衣河流域综合规划》和《奉节县朱衣河流域综合治理实施方案》，规划建设的朱衣河生态调节堰作为朱衣河流域综合治理项目的一个子项，已列为《三峡水库重庆库区生态调节坝（堰、闸）开发方案》排序第一项目上报至水利部。</w:t>
            </w:r>
          </w:p>
          <w:p w14:paraId="50DD59B9">
            <w:pPr>
              <w:spacing w:line="520" w:lineRule="exact"/>
              <w:ind w:firstLine="482"/>
              <w:jc w:val="left"/>
              <w:rPr>
                <w:rFonts w:ascii="Times New Roman" w:hAnsi="Times New Roman" w:eastAsia="方正楷体_GBK"/>
                <w:bCs/>
                <w:szCs w:val="24"/>
              </w:rPr>
            </w:pPr>
            <w:r>
              <w:rPr>
                <w:rFonts w:ascii="Times New Roman" w:hAnsi="Times New Roman" w:eastAsia="方正楷体_GBK"/>
                <w:b/>
                <w:szCs w:val="24"/>
              </w:rPr>
              <w:t>群众获得感不断增强：</w:t>
            </w:r>
            <w:r>
              <w:rPr>
                <w:rFonts w:ascii="Times New Roman" w:hAnsi="Times New Roman" w:eastAsia="方正楷体_GBK"/>
                <w:bCs/>
                <w:szCs w:val="24"/>
              </w:rPr>
              <w:t>用足政策，改善移民生活；用情化解，维护库区稳定；用力防范，确保群众安全；是用心推进，落实交办工作。化巡查防守，顺利实现“零”事故目标。成功应对吐祥“6·21”暴雨洪灾，紧急转移安置受威胁群众496人，确保人员安全，并因此被县委、县政府表彰为2019年“6·21”抢险救灾先进集体。基础设施功能进一步完善，群众获得感、幸福感进一步增强。</w:t>
            </w:r>
          </w:p>
          <w:p w14:paraId="6E03224E">
            <w:pPr>
              <w:spacing w:line="520" w:lineRule="exact"/>
              <w:ind w:firstLine="482"/>
              <w:jc w:val="left"/>
              <w:rPr>
                <w:rFonts w:ascii="Times New Roman" w:hAnsi="Times New Roman" w:eastAsia="方正楷体_GBK"/>
                <w:bCs/>
                <w:szCs w:val="24"/>
              </w:rPr>
            </w:pPr>
            <w:r>
              <w:rPr>
                <w:rFonts w:ascii="Times New Roman" w:hAnsi="Times New Roman"/>
                <w:b/>
                <w:szCs w:val="24"/>
              </w:rPr>
              <w:t>尽</w:t>
            </w:r>
            <w:r>
              <w:rPr>
                <w:rFonts w:ascii="Times New Roman" w:hAnsi="Times New Roman" w:eastAsia="___WRD_EMBED_SUB_274"/>
                <w:b/>
                <w:szCs w:val="24"/>
              </w:rPr>
              <w:t>心组织有关规划编制：</w:t>
            </w:r>
            <w:r>
              <w:rPr>
                <w:rFonts w:ascii="Times New Roman" w:hAnsi="Times New Roman" w:eastAsia="方正楷体_GBK"/>
                <w:bCs/>
                <w:szCs w:val="24"/>
              </w:rPr>
              <w:t>组织编制了一大批水利行业专项规划，部分成果在市级有关评选中获得表彰。其中，《重庆市奉节县长江北岸片区水资源配置规划》，为县域长江北岸水资源优化配置和百岛湖等骨干水源工程的有效推进提供了坚实基础，并荣获2018年全市优秀工程咨询成果奖一等奖。组织编制的《重庆市奉节县长江南岸片区水资源配置规划》，为县域长江南岸水资源优化配置和天赐湖、野茶、蓼叶溪等骨干水源工程的有效推进提供了坚实基础，并荣获2016年全市优秀工程咨询成果奖三等奖；组织编制的《奉节县水利发展</w:t>
            </w:r>
            <w:r>
              <w:rPr>
                <w:rFonts w:hint="eastAsia" w:ascii="Times New Roman" w:hAnsi="Times New Roman" w:eastAsia="方正楷体_GBK"/>
                <w:bCs/>
                <w:szCs w:val="24"/>
                <w:lang w:eastAsia="zh-CN"/>
              </w:rPr>
              <w:t>“</w:t>
            </w:r>
            <w:r>
              <w:rPr>
                <w:rFonts w:ascii="Times New Roman" w:hAnsi="Times New Roman" w:eastAsia="方正楷体_GBK"/>
                <w:bCs/>
                <w:szCs w:val="24"/>
              </w:rPr>
              <w:t>十三五</w:t>
            </w:r>
            <w:r>
              <w:rPr>
                <w:rFonts w:hint="eastAsia" w:ascii="Times New Roman" w:hAnsi="Times New Roman" w:eastAsia="方正楷体_GBK"/>
                <w:bCs/>
                <w:szCs w:val="24"/>
                <w:lang w:eastAsia="zh-CN"/>
              </w:rPr>
              <w:t>”</w:t>
            </w:r>
            <w:r>
              <w:rPr>
                <w:rFonts w:ascii="Times New Roman" w:hAnsi="Times New Roman" w:eastAsia="方正楷体_GBK"/>
                <w:bCs/>
                <w:szCs w:val="24"/>
              </w:rPr>
              <w:t>规划》荣获2018年全市优秀工程咨询成果奖三等奖。</w:t>
            </w:r>
          </w:p>
        </w:tc>
      </w:tr>
    </w:tbl>
    <w:p w14:paraId="4629FCA6">
      <w:pPr>
        <w:rPr>
          <w:rFonts w:ascii="Times New Roman" w:hAnsi="Times New Roman"/>
        </w:rPr>
      </w:pPr>
    </w:p>
    <w:p w14:paraId="153C92AE">
      <w:pPr>
        <w:pStyle w:val="4"/>
        <w:numPr>
          <w:ilvl w:val="0"/>
          <w:numId w:val="0"/>
        </w:numPr>
        <w:spacing w:before="0" w:after="0" w:line="360" w:lineRule="auto"/>
        <w:jc w:val="left"/>
        <w:rPr>
          <w:rFonts w:ascii="Times New Roman" w:hAnsi="Times New Roman" w:eastAsia="方正仿宋_GBK"/>
          <w:spacing w:val="6"/>
          <w:szCs w:val="32"/>
        </w:rPr>
      </w:pPr>
      <w:bookmarkStart w:id="35" w:name="_Toc12787"/>
      <w:bookmarkStart w:id="36" w:name="_Toc92995412"/>
      <w:r>
        <w:rPr>
          <w:rFonts w:ascii="Times New Roman" w:hAnsi="Times New Roman" w:eastAsia="方正仿宋_GBK"/>
          <w:spacing w:val="6"/>
          <w:szCs w:val="32"/>
        </w:rPr>
        <w:t>2.2 奉节县水安全保障现状</w:t>
      </w:r>
      <w:bookmarkEnd w:id="35"/>
      <w:bookmarkEnd w:id="36"/>
    </w:p>
    <w:p w14:paraId="14267EEF">
      <w:pPr>
        <w:spacing w:line="594" w:lineRule="exact"/>
        <w:ind w:firstLine="560" w:firstLineChars="200"/>
        <w:rPr>
          <w:rFonts w:ascii="Times New Roman" w:hAnsi="Times New Roman" w:eastAsia="楷体"/>
          <w:sz w:val="28"/>
          <w:szCs w:val="28"/>
        </w:rPr>
      </w:pPr>
      <w:r>
        <w:rPr>
          <w:rFonts w:ascii="Times New Roman" w:hAnsi="Times New Roman" w:eastAsia="楷体"/>
          <w:sz w:val="28"/>
          <w:szCs w:val="28"/>
        </w:rPr>
        <w:t>经过多年的发展，奉节县已基本形成了集供水、防洪、水生态保护与修复等于一体的综合水利工程体系，有力保障了全县经济社会持续发展。</w:t>
      </w:r>
    </w:p>
    <w:p w14:paraId="583E4FCA">
      <w:pPr>
        <w:spacing w:line="594" w:lineRule="exact"/>
        <w:ind w:firstLine="560" w:firstLineChars="200"/>
        <w:rPr>
          <w:rFonts w:ascii="Times New Roman" w:hAnsi="Times New Roman" w:eastAsia="楷体"/>
          <w:snapToGrid w:val="0"/>
          <w:kern w:val="32"/>
          <w:sz w:val="28"/>
          <w:szCs w:val="28"/>
        </w:rPr>
      </w:pPr>
      <w:r>
        <w:rPr>
          <w:rFonts w:ascii="Times New Roman" w:hAnsi="Times New Roman" w:eastAsia="楷体"/>
          <w:sz w:val="28"/>
          <w:szCs w:val="28"/>
        </w:rPr>
        <w:t>城乡供水安全。截至2020年底，全县已建水库工程53座，其中，中型水库2座，小型水库51座，总库容13857万m</w:t>
      </w:r>
      <w:r>
        <w:rPr>
          <w:rFonts w:ascii="Times New Roman" w:hAnsi="Times New Roman" w:eastAsia="楷体"/>
          <w:sz w:val="28"/>
          <w:szCs w:val="28"/>
          <w:vertAlign w:val="superscript"/>
        </w:rPr>
        <w:t>3</w:t>
      </w:r>
      <w:r>
        <w:rPr>
          <w:rFonts w:ascii="Times New Roman" w:hAnsi="Times New Roman" w:eastAsia="楷体"/>
          <w:sz w:val="28"/>
          <w:szCs w:val="28"/>
        </w:rPr>
        <w:t>。全县建成农村饮水安全工程共计5465处，其中集中供水工程2075处，分散式供水工程3390处，总供水能力1.403亿m</w:t>
      </w:r>
      <w:r>
        <w:rPr>
          <w:rFonts w:ascii="Times New Roman" w:hAnsi="Times New Roman" w:eastAsia="楷体"/>
          <w:sz w:val="28"/>
          <w:szCs w:val="28"/>
          <w:vertAlign w:val="superscript"/>
        </w:rPr>
        <w:t>3</w:t>
      </w:r>
      <w:r>
        <w:rPr>
          <w:rFonts w:ascii="Times New Roman" w:hAnsi="Times New Roman" w:eastAsia="楷体"/>
          <w:sz w:val="28"/>
          <w:szCs w:val="28"/>
        </w:rPr>
        <w:t>/a。全县现状有效灌溉面积16.62万亩，初步形成以中型为骨干、小型为辅助，蓄、引、提水相结合的城乡供水保障体系。</w:t>
      </w:r>
      <w:r>
        <w:rPr>
          <w:rFonts w:ascii="Times New Roman" w:hAnsi="Times New Roman" w:eastAsia="楷体"/>
          <w:spacing w:val="6"/>
          <w:sz w:val="28"/>
          <w:szCs w:val="28"/>
        </w:rPr>
        <w:t>现状有效灌溉面积16.62万亩，实际耕地灌溉面积7.11万亩（实际灌溉比例为</w:t>
      </w:r>
      <w:r>
        <w:rPr>
          <w:rFonts w:ascii="Times New Roman" w:hAnsi="Times New Roman" w:eastAsia="楷体"/>
          <w:sz w:val="28"/>
          <w:szCs w:val="28"/>
        </w:rPr>
        <w:t>42.78%）。跨区域骨干供水工程少，网络化程度低，调配能力弱，中型水库可供水量仅占蓄水工程可供水量的42.73%。集中式农村供水工程虽有2075座，但以山泉水为水源的有1465处，比例为70.6%。且目前尚有部分水库生态供水未达到相应的保障要求，尚未形成多源互补、区域互通、互为备用的供水水源保障体系，部分地区供水安全风险较高。</w:t>
      </w:r>
    </w:p>
    <w:p w14:paraId="1B7A9B92">
      <w:pPr>
        <w:spacing w:line="594" w:lineRule="exact"/>
        <w:ind w:firstLine="560" w:firstLineChars="200"/>
        <w:rPr>
          <w:rFonts w:ascii="Times New Roman" w:hAnsi="Times New Roman" w:eastAsia="楷体"/>
          <w:spacing w:val="6"/>
          <w:sz w:val="28"/>
          <w:szCs w:val="28"/>
        </w:rPr>
      </w:pPr>
      <w:r>
        <w:rPr>
          <w:rFonts w:ascii="Times New Roman" w:hAnsi="Times New Roman" w:eastAsia="楷体"/>
          <w:sz w:val="28"/>
          <w:szCs w:val="28"/>
        </w:rPr>
        <w:t>防洪安全。</w:t>
      </w:r>
      <w:r>
        <w:rPr>
          <w:rFonts w:ascii="Times New Roman" w:hAnsi="Times New Roman" w:eastAsia="楷体"/>
          <w:spacing w:val="6"/>
          <w:sz w:val="28"/>
          <w:szCs w:val="28"/>
        </w:rPr>
        <w:t>已建3级以上堤防护岸长度94.56km，5级以上堤防</w:t>
      </w:r>
      <w:r>
        <w:rPr>
          <w:rFonts w:ascii="Times New Roman" w:hAnsi="Times New Roman" w:eastAsia="楷体"/>
          <w:sz w:val="28"/>
          <w:szCs w:val="28"/>
        </w:rPr>
        <w:t>达标率35%，保现状灌溉面积16.62万亩，重要防洪镇街预警水位站、重要中小河流水文监测站点全覆盖，基本建成以工程措施和非工程措施相结合的洪水</w:t>
      </w:r>
      <w:r>
        <w:rPr>
          <w:rFonts w:ascii="Times New Roman" w:hAnsi="Times New Roman" w:eastAsia="楷体"/>
          <w:spacing w:val="6"/>
          <w:sz w:val="28"/>
          <w:szCs w:val="28"/>
        </w:rPr>
        <w:t>防御体系。但目前县内防洪水库建设还有待加强，尚有局部河段未形成完整保护圈，防洪能力不足，山洪灾害防御能力不足，未能形成完备的防洪体系，防洪减灾基础设施仍存在薄弱环节。随着经济社会的快速发展，人口增长与经济集中，城镇化进程加快，基础设施建设增加，洪水造成的损失将不断增加，对防洪保安提出更高的要求，亟需完善现有防洪体系。</w:t>
      </w:r>
    </w:p>
    <w:p w14:paraId="5A6DF456">
      <w:pPr>
        <w:spacing w:line="594" w:lineRule="exact"/>
        <w:ind w:firstLine="560" w:firstLineChars="200"/>
        <w:rPr>
          <w:rFonts w:ascii="Times New Roman" w:hAnsi="Times New Roman" w:eastAsia="楷体"/>
          <w:spacing w:val="6"/>
          <w:sz w:val="28"/>
          <w:szCs w:val="28"/>
        </w:rPr>
      </w:pPr>
      <w:r>
        <w:rPr>
          <w:rFonts w:ascii="Times New Roman" w:hAnsi="Times New Roman" w:eastAsia="楷体"/>
          <w:sz w:val="28"/>
          <w:szCs w:val="28"/>
        </w:rPr>
        <w:t>水生态安全。</w:t>
      </w:r>
      <w:r>
        <w:rPr>
          <w:rFonts w:ascii="Times New Roman" w:hAnsi="Times New Roman" w:eastAsia="楷体"/>
          <w:spacing w:val="6"/>
          <w:sz w:val="28"/>
          <w:szCs w:val="28"/>
        </w:rPr>
        <w:t>累计治理水土流失面积</w:t>
      </w:r>
      <w:r>
        <w:rPr>
          <w:rFonts w:ascii="Times New Roman" w:hAnsi="Times New Roman" w:eastAsia="楷体"/>
          <w:sz w:val="28"/>
          <w:szCs w:val="28"/>
        </w:rPr>
        <w:t>254.86</w:t>
      </w:r>
      <w:r>
        <w:rPr>
          <w:rFonts w:ascii="Times New Roman" w:hAnsi="Times New Roman" w:eastAsia="楷体"/>
          <w:spacing w:val="6"/>
          <w:sz w:val="28"/>
          <w:szCs w:val="28"/>
        </w:rPr>
        <w:t>km</w:t>
      </w:r>
      <w:r>
        <w:rPr>
          <w:rFonts w:ascii="Times New Roman" w:hAnsi="Times New Roman" w:eastAsia="楷体"/>
          <w:spacing w:val="6"/>
          <w:sz w:val="28"/>
          <w:szCs w:val="28"/>
          <w:vertAlign w:val="superscript"/>
        </w:rPr>
        <w:t>2</w:t>
      </w:r>
      <w:r>
        <w:rPr>
          <w:rFonts w:ascii="Times New Roman" w:hAnsi="Times New Roman" w:eastAsia="楷体"/>
          <w:spacing w:val="6"/>
          <w:sz w:val="28"/>
          <w:szCs w:val="28"/>
        </w:rPr>
        <w:t>，全县水土保持和水源涵养生态功能持续增强，河湖面貌持续改善、非法采砂基本得到控制，水生态环境得到有效保护和修复。但部分区域水生态形势依然严峻，相当数量的河流断面存在生态流量不足、水质不稳定等问题</w:t>
      </w:r>
      <w:r>
        <w:rPr>
          <w:rFonts w:ascii="Times New Roman" w:hAnsi="Times New Roman" w:eastAsia="楷体"/>
          <w:sz w:val="28"/>
          <w:szCs w:val="28"/>
        </w:rPr>
        <w:t>，</w:t>
      </w:r>
      <w:r>
        <w:rPr>
          <w:rFonts w:ascii="Times New Roman" w:hAnsi="Times New Roman" w:eastAsia="楷体"/>
          <w:spacing w:val="6"/>
          <w:sz w:val="28"/>
          <w:szCs w:val="28"/>
        </w:rPr>
        <w:t>三峡库区消落区生态环境脆弱。</w:t>
      </w:r>
      <w:r>
        <w:rPr>
          <w:rFonts w:ascii="Times New Roman" w:hAnsi="Times New Roman" w:eastAsia="楷体"/>
          <w:sz w:val="28"/>
          <w:szCs w:val="28"/>
        </w:rPr>
        <w:t>农村部分河道存在防洪标准偏低、水域岸线遭侵占、淤塞萎缩、水生态环境差等问题。</w:t>
      </w:r>
    </w:p>
    <w:p w14:paraId="6BD064EF">
      <w:pPr>
        <w:spacing w:line="594" w:lineRule="exact"/>
        <w:ind w:firstLine="560" w:firstLineChars="200"/>
        <w:rPr>
          <w:rFonts w:ascii="Times New Roman" w:hAnsi="Times New Roman" w:eastAsia="楷体"/>
          <w:sz w:val="28"/>
          <w:szCs w:val="28"/>
        </w:rPr>
      </w:pPr>
      <w:r>
        <w:rPr>
          <w:rFonts w:ascii="Times New Roman" w:hAnsi="Times New Roman" w:eastAsia="楷体"/>
          <w:sz w:val="28"/>
          <w:szCs w:val="28"/>
        </w:rPr>
        <w:t>总体来看，全县供水安全、防洪安全可以基本保障当前经济社会发展和人民生活，水生态状况持续改善、稳中向好，水安全保障能力不断提升，总体处于基本安全状态，但与高质量发展高品质生活新范例、山清水秀美丽之地要求相比尚有一定差距。</w:t>
      </w:r>
    </w:p>
    <w:p w14:paraId="48B45602">
      <w:pPr>
        <w:pStyle w:val="16"/>
        <w:rPr>
          <w:rFonts w:ascii="Times New Roman" w:hAnsi="Times New Roman"/>
        </w:rPr>
        <w:sectPr>
          <w:pgSz w:w="11906" w:h="16838"/>
          <w:pgMar w:top="1418" w:right="1418" w:bottom="1418" w:left="1418" w:header="851" w:footer="992" w:gutter="0"/>
          <w:cols w:space="720" w:num="1"/>
          <w:docGrid w:type="lines" w:linePitch="312" w:charSpace="0"/>
        </w:sectPr>
      </w:pPr>
    </w:p>
    <w:bookmarkEnd w:id="0"/>
    <w:bookmarkEnd w:id="1"/>
    <w:bookmarkEnd w:id="31"/>
    <w:bookmarkEnd w:id="32"/>
    <w:bookmarkEnd w:id="33"/>
    <w:bookmarkEnd w:id="34"/>
    <w:p w14:paraId="6A39E728">
      <w:pPr>
        <w:pStyle w:val="4"/>
        <w:numPr>
          <w:ilvl w:val="0"/>
          <w:numId w:val="0"/>
        </w:numPr>
        <w:spacing w:before="0" w:after="0" w:line="360" w:lineRule="auto"/>
        <w:jc w:val="left"/>
        <w:rPr>
          <w:rFonts w:ascii="Times New Roman" w:hAnsi="Times New Roman" w:eastAsia="方正仿宋_GBK"/>
          <w:spacing w:val="6"/>
          <w:szCs w:val="32"/>
        </w:rPr>
      </w:pPr>
      <w:bookmarkStart w:id="37" w:name="_Toc13305"/>
      <w:bookmarkStart w:id="38" w:name="_Toc92995413"/>
      <w:bookmarkStart w:id="39" w:name="_Toc6650"/>
      <w:bookmarkStart w:id="40" w:name="_Toc20296"/>
      <w:bookmarkStart w:id="41" w:name="_Toc449795112"/>
      <w:r>
        <w:rPr>
          <w:rFonts w:ascii="Times New Roman" w:hAnsi="Times New Roman" w:eastAsia="方正仿宋_GBK"/>
          <w:spacing w:val="6"/>
          <w:szCs w:val="32"/>
        </w:rPr>
        <w:t>2.3 行业发展面临形势</w:t>
      </w:r>
      <w:bookmarkEnd w:id="37"/>
      <w:bookmarkEnd w:id="38"/>
      <w:bookmarkEnd w:id="39"/>
    </w:p>
    <w:p w14:paraId="7AA150F2">
      <w:pPr>
        <w:pStyle w:val="52"/>
        <w:spacing w:line="520" w:lineRule="exact"/>
        <w:ind w:firstLine="562"/>
        <w:rPr>
          <w:rFonts w:ascii="Times New Roman" w:hAnsi="Times New Roman" w:eastAsia="楷体"/>
          <w:sz w:val="28"/>
          <w:szCs w:val="28"/>
        </w:rPr>
      </w:pPr>
      <w:r>
        <w:rPr>
          <w:rFonts w:ascii="Times New Roman" w:hAnsi="Times New Roman" w:eastAsia="楷体"/>
          <w:b/>
          <w:bCs/>
          <w:sz w:val="28"/>
          <w:szCs w:val="28"/>
        </w:rPr>
        <w:drawing>
          <wp:anchor distT="0" distB="0" distL="114300" distR="114300" simplePos="0" relativeHeight="251661312" behindDoc="0" locked="0" layoutInCell="1" allowOverlap="1">
            <wp:simplePos x="0" y="0"/>
            <wp:positionH relativeFrom="column">
              <wp:posOffset>194310</wp:posOffset>
            </wp:positionH>
            <wp:positionV relativeFrom="paragraph">
              <wp:posOffset>1085850</wp:posOffset>
            </wp:positionV>
            <wp:extent cx="5486400" cy="3352165"/>
            <wp:effectExtent l="0" t="19050" r="0" b="0"/>
            <wp:wrapTopAndBottom/>
            <wp:docPr id="10" name="图示 1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Pr>
          <w:rFonts w:ascii="Times New Roman" w:hAnsi="Times New Roman" w:eastAsia="楷体"/>
          <w:sz w:val="28"/>
          <w:szCs w:val="28"/>
        </w:rPr>
        <w:t>“十四五”时期是我国发展的重要战略机遇期，也是加快水利改革发展的关键期。必须自觉立足党和国家工作大局，准确把握水利改革发展面临的新形势新要求。</w:t>
      </w:r>
    </w:p>
    <w:p w14:paraId="149D8E9C">
      <w:pPr>
        <w:pStyle w:val="52"/>
        <w:spacing w:line="520" w:lineRule="exact"/>
        <w:ind w:firstLine="562"/>
        <w:rPr>
          <w:rFonts w:ascii="Times New Roman" w:hAnsi="Times New Roman" w:eastAsia="楷体"/>
          <w:b/>
          <w:bCs/>
          <w:sz w:val="28"/>
          <w:szCs w:val="28"/>
        </w:rPr>
      </w:pPr>
      <w:r>
        <w:rPr>
          <w:rFonts w:ascii="Times New Roman" w:hAnsi="Times New Roman" w:eastAsia="楷体"/>
          <w:b/>
          <w:bCs/>
          <w:sz w:val="28"/>
          <w:szCs w:val="28"/>
        </w:rPr>
        <w:t>一、从适应新发展阶段看，新发展阶段是中华民族伟大复兴历史进程的大跨越。</w:t>
      </w:r>
    </w:p>
    <w:p w14:paraId="32F3736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新发展阶段，是我国全面建设社会主义现代化国家的新征程，要深刻认识人民对美好生活的向往已呈现出多样化、多层次、多方面的特点，把握好从“有没有”转向“好不好”这个关键，正确认识治水主要矛盾变化，在更好解决水灾害问题的同时，下大气力解决水资源短缺、水生态损害、水环境污染等问题，更好地满足人民对美好生活的向往。</w:t>
      </w:r>
    </w:p>
    <w:p w14:paraId="2DAFA86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进入新发展阶段，也意味着水利工作需要全面提升标准。满足新需求，就要对照新标准。面对阶梯式递进、不断发展进步的历史进程，无论是支撑社会主义现代化建设，还是满足人民的美好生活向往，都要求水利工作全面提升标准。具体地讲，就是在持久水安全、优质水资源、健康水生态、宜居水环境、先进水文化等五个方面提高标准，实现升级。</w:t>
      </w:r>
    </w:p>
    <w:p w14:paraId="57A71D6B">
      <w:pPr>
        <w:pStyle w:val="23"/>
        <w:adjustRightInd w:val="0"/>
        <w:snapToGrid w:val="0"/>
        <w:spacing w:beforeAutospacing="0" w:afterAutospacing="0" w:line="520" w:lineRule="exact"/>
        <w:jc w:val="center"/>
        <w:rPr>
          <w:rFonts w:ascii="Times New Roman" w:hAnsi="Times New Roman"/>
          <w:b/>
          <w:szCs w:val="24"/>
        </w:rPr>
      </w:pPr>
      <w:r>
        <w:rPr>
          <w:rFonts w:ascii="Times New Roman" w:hAnsi="Times New Roman"/>
          <w:b/>
          <w:szCs w:val="24"/>
        </w:rPr>
        <w:t>专栏7：新阶段水利工作——五个标准</w:t>
      </w: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4904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tcPr>
          <w:p w14:paraId="65A4F3BD">
            <w:pPr>
              <w:pStyle w:val="52"/>
              <w:spacing w:line="520" w:lineRule="exact"/>
              <w:ind w:firstLine="422"/>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 1 \* GB3 </w:instrText>
            </w:r>
            <w:r>
              <w:rPr>
                <w:rFonts w:ascii="Times New Roman" w:hAnsi="Times New Roman"/>
                <w:b/>
                <w:bCs/>
                <w:szCs w:val="21"/>
              </w:rPr>
              <w:fldChar w:fldCharType="separate"/>
            </w:r>
            <w:r>
              <w:rPr>
                <w:rFonts w:ascii="Times New Roman" w:hAnsi="Times New Roman"/>
                <w:b/>
                <w:bCs/>
                <w:szCs w:val="21"/>
              </w:rPr>
              <w:t>①</w:t>
            </w:r>
            <w:r>
              <w:rPr>
                <w:rFonts w:ascii="Times New Roman" w:hAnsi="Times New Roman"/>
                <w:b/>
                <w:bCs/>
                <w:szCs w:val="21"/>
              </w:rPr>
              <w:fldChar w:fldCharType="end"/>
            </w:r>
            <w:r>
              <w:rPr>
                <w:rFonts w:ascii="Times New Roman" w:hAnsi="Times New Roman"/>
                <w:b/>
                <w:bCs/>
                <w:szCs w:val="21"/>
              </w:rPr>
              <w:t>在持久水安全方面，</w:t>
            </w:r>
            <w:r>
              <w:rPr>
                <w:rFonts w:ascii="Times New Roman" w:hAnsi="Times New Roman"/>
                <w:szCs w:val="21"/>
              </w:rPr>
              <w:t>提升防洪工程建设和管护标准，实现防洪减灾能力与现代化灾害承受能力相匹配。</w:t>
            </w:r>
          </w:p>
          <w:p w14:paraId="32E3D666">
            <w:pPr>
              <w:pStyle w:val="52"/>
              <w:spacing w:line="520" w:lineRule="exact"/>
              <w:ind w:firstLine="422"/>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 2 \* GB3 </w:instrText>
            </w:r>
            <w:r>
              <w:rPr>
                <w:rFonts w:ascii="Times New Roman" w:hAnsi="Times New Roman"/>
                <w:b/>
                <w:bCs/>
                <w:szCs w:val="21"/>
              </w:rPr>
              <w:fldChar w:fldCharType="separate"/>
            </w:r>
            <w:r>
              <w:rPr>
                <w:rFonts w:ascii="Times New Roman" w:hAnsi="Times New Roman"/>
                <w:b/>
                <w:bCs/>
                <w:szCs w:val="21"/>
              </w:rPr>
              <w:t>②</w:t>
            </w:r>
            <w:r>
              <w:rPr>
                <w:rFonts w:ascii="Times New Roman" w:hAnsi="Times New Roman"/>
                <w:b/>
                <w:bCs/>
                <w:szCs w:val="21"/>
              </w:rPr>
              <w:fldChar w:fldCharType="end"/>
            </w:r>
            <w:r>
              <w:rPr>
                <w:rFonts w:ascii="Times New Roman" w:hAnsi="Times New Roman"/>
                <w:b/>
                <w:bCs/>
                <w:szCs w:val="21"/>
              </w:rPr>
              <w:t>在优质水资源方面，</w:t>
            </w:r>
            <w:r>
              <w:rPr>
                <w:rFonts w:ascii="Times New Roman" w:hAnsi="Times New Roman"/>
                <w:szCs w:val="21"/>
              </w:rPr>
              <w:t>提高供水保障标准、水资源集约安全利用标准，实现水资源供给保证率和利用效率大幅提高，与现代化经济社会发展水平相匹配。</w:t>
            </w:r>
          </w:p>
          <w:p w14:paraId="1D4DF7BE">
            <w:pPr>
              <w:pStyle w:val="52"/>
              <w:spacing w:line="520" w:lineRule="exact"/>
              <w:ind w:firstLine="422"/>
              <w:rPr>
                <w:rFonts w:ascii="Times New Roman" w:hAnsi="Times New Roman"/>
                <w:b/>
                <w:bCs/>
                <w:szCs w:val="21"/>
              </w:rPr>
            </w:pPr>
            <w:r>
              <w:rPr>
                <w:rFonts w:ascii="Times New Roman" w:hAnsi="Times New Roman"/>
                <w:b/>
                <w:bCs/>
                <w:szCs w:val="21"/>
              </w:rPr>
              <w:fldChar w:fldCharType="begin"/>
            </w:r>
            <w:r>
              <w:rPr>
                <w:rFonts w:ascii="Times New Roman" w:hAnsi="Times New Roman"/>
                <w:b/>
                <w:bCs/>
                <w:szCs w:val="21"/>
              </w:rPr>
              <w:instrText xml:space="preserve"> = 3 \* GB3 </w:instrText>
            </w:r>
            <w:r>
              <w:rPr>
                <w:rFonts w:ascii="Times New Roman" w:hAnsi="Times New Roman"/>
                <w:b/>
                <w:bCs/>
                <w:szCs w:val="21"/>
              </w:rPr>
              <w:fldChar w:fldCharType="separate"/>
            </w:r>
            <w:r>
              <w:rPr>
                <w:rFonts w:ascii="Times New Roman" w:hAnsi="Times New Roman"/>
                <w:b/>
                <w:bCs/>
                <w:szCs w:val="21"/>
              </w:rPr>
              <w:t>③</w:t>
            </w:r>
            <w:r>
              <w:rPr>
                <w:rFonts w:ascii="Times New Roman" w:hAnsi="Times New Roman"/>
                <w:b/>
                <w:bCs/>
                <w:szCs w:val="21"/>
              </w:rPr>
              <w:fldChar w:fldCharType="end"/>
            </w:r>
            <w:r>
              <w:rPr>
                <w:rFonts w:ascii="Times New Roman" w:hAnsi="Times New Roman"/>
                <w:b/>
                <w:bCs/>
                <w:szCs w:val="21"/>
              </w:rPr>
              <w:t>在健康水生态方面，</w:t>
            </w:r>
            <w:r>
              <w:rPr>
                <w:rFonts w:ascii="Times New Roman" w:hAnsi="Times New Roman"/>
                <w:szCs w:val="21"/>
              </w:rPr>
              <w:t>提高水土保持率等水生态安全标准，实现水生态系统质量与现代化绿色发展相匹配。</w:t>
            </w:r>
          </w:p>
          <w:p w14:paraId="25D3E379">
            <w:pPr>
              <w:pStyle w:val="52"/>
              <w:spacing w:line="520" w:lineRule="exact"/>
              <w:ind w:firstLine="422"/>
              <w:rPr>
                <w:rFonts w:ascii="Times New Roman" w:hAnsi="Times New Roman"/>
                <w:szCs w:val="21"/>
              </w:rPr>
            </w:pPr>
            <w:r>
              <w:rPr>
                <w:rFonts w:ascii="Times New Roman" w:hAnsi="Times New Roman"/>
                <w:b/>
                <w:bCs/>
                <w:szCs w:val="21"/>
              </w:rPr>
              <w:fldChar w:fldCharType="begin"/>
            </w:r>
            <w:r>
              <w:rPr>
                <w:rFonts w:ascii="Times New Roman" w:hAnsi="Times New Roman"/>
                <w:b/>
                <w:bCs/>
                <w:szCs w:val="21"/>
              </w:rPr>
              <w:instrText xml:space="preserve"> = 4 \* GB3 </w:instrText>
            </w:r>
            <w:r>
              <w:rPr>
                <w:rFonts w:ascii="Times New Roman" w:hAnsi="Times New Roman"/>
                <w:b/>
                <w:bCs/>
                <w:szCs w:val="21"/>
              </w:rPr>
              <w:fldChar w:fldCharType="separate"/>
            </w:r>
            <w:r>
              <w:rPr>
                <w:rFonts w:ascii="Times New Roman" w:hAnsi="Times New Roman"/>
                <w:b/>
                <w:bCs/>
                <w:szCs w:val="21"/>
              </w:rPr>
              <w:t>④</w:t>
            </w:r>
            <w:r>
              <w:rPr>
                <w:rFonts w:ascii="Times New Roman" w:hAnsi="Times New Roman"/>
                <w:b/>
                <w:bCs/>
                <w:szCs w:val="21"/>
              </w:rPr>
              <w:fldChar w:fldCharType="end"/>
            </w:r>
            <w:r>
              <w:rPr>
                <w:rFonts w:ascii="Times New Roman" w:hAnsi="Times New Roman"/>
                <w:b/>
                <w:bCs/>
                <w:szCs w:val="21"/>
              </w:rPr>
              <w:t>在宜居水环境方面，</w:t>
            </w:r>
            <w:r>
              <w:rPr>
                <w:rFonts w:ascii="Times New Roman" w:hAnsi="Times New Roman"/>
                <w:szCs w:val="21"/>
              </w:rPr>
              <w:t>提高江河湖泊管护标准，实现水环境状态与现代化人民美好生活需求相匹配。</w:t>
            </w:r>
          </w:p>
          <w:p w14:paraId="4D1B3083">
            <w:pPr>
              <w:pStyle w:val="52"/>
              <w:spacing w:line="520" w:lineRule="exact"/>
              <w:ind w:firstLine="422"/>
              <w:rPr>
                <w:rFonts w:ascii="Times New Roman" w:hAnsi="Times New Roman" w:eastAsia="楷体"/>
                <w:sz w:val="28"/>
                <w:szCs w:val="28"/>
              </w:rPr>
            </w:pPr>
            <w:r>
              <w:rPr>
                <w:rFonts w:ascii="Times New Roman" w:hAnsi="Times New Roman"/>
                <w:b/>
                <w:bCs/>
                <w:szCs w:val="21"/>
              </w:rPr>
              <w:fldChar w:fldCharType="begin"/>
            </w:r>
            <w:r>
              <w:rPr>
                <w:rFonts w:ascii="Times New Roman" w:hAnsi="Times New Roman"/>
                <w:b/>
                <w:bCs/>
                <w:szCs w:val="21"/>
              </w:rPr>
              <w:instrText xml:space="preserve"> = 5 \* GB3 </w:instrText>
            </w:r>
            <w:r>
              <w:rPr>
                <w:rFonts w:ascii="Times New Roman" w:hAnsi="Times New Roman"/>
                <w:b/>
                <w:bCs/>
                <w:szCs w:val="21"/>
              </w:rPr>
              <w:fldChar w:fldCharType="separate"/>
            </w:r>
            <w:r>
              <w:rPr>
                <w:rFonts w:ascii="Times New Roman" w:hAnsi="Times New Roman"/>
                <w:b/>
                <w:bCs/>
                <w:szCs w:val="21"/>
              </w:rPr>
              <w:t>⑤</w:t>
            </w:r>
            <w:r>
              <w:rPr>
                <w:rFonts w:ascii="Times New Roman" w:hAnsi="Times New Roman"/>
                <w:b/>
                <w:bCs/>
                <w:szCs w:val="21"/>
              </w:rPr>
              <w:fldChar w:fldCharType="end"/>
            </w:r>
            <w:r>
              <w:rPr>
                <w:rFonts w:ascii="Times New Roman" w:hAnsi="Times New Roman"/>
                <w:b/>
                <w:bCs/>
                <w:szCs w:val="21"/>
              </w:rPr>
              <w:t>在先进水文化方面，</w:t>
            </w:r>
            <w:r>
              <w:rPr>
                <w:rFonts w:ascii="Times New Roman" w:hAnsi="Times New Roman"/>
                <w:szCs w:val="21"/>
              </w:rPr>
              <w:t>保护传承弘扬优秀治水文化，实现水文化创造性转化、创新性发展。</w:t>
            </w:r>
          </w:p>
        </w:tc>
      </w:tr>
    </w:tbl>
    <w:p w14:paraId="37E81EAB">
      <w:pPr>
        <w:pStyle w:val="52"/>
        <w:spacing w:line="520" w:lineRule="exact"/>
        <w:ind w:firstLine="562"/>
        <w:rPr>
          <w:rFonts w:ascii="Times New Roman" w:hAnsi="Times New Roman" w:eastAsia="楷体"/>
          <w:b/>
          <w:bCs/>
          <w:sz w:val="28"/>
          <w:szCs w:val="28"/>
        </w:rPr>
      </w:pPr>
      <w:r>
        <w:rPr>
          <w:rFonts w:ascii="Times New Roman" w:hAnsi="Times New Roman" w:eastAsia="楷体"/>
          <w:b/>
          <w:bCs/>
          <w:sz w:val="28"/>
          <w:szCs w:val="28"/>
        </w:rPr>
        <w:t>二、从贯彻新发展理念看，当前我国发展中的矛盾和问题集中体现在发展质量上，新时代新阶段的发展必须贯彻新发展理念，实现高质量发展。</w:t>
      </w:r>
    </w:p>
    <w:p w14:paraId="77E2F93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水是经济社会发展的基础性、先导性、控制性要素，水的承载空间决定了高质量发展的成长空间。因此，我们必须围绕统筹发展与安全，树牢底线思维，增强风险意识，既要夯实水利风险防控的物质基础，更要加强各领域各环节各类涉水行为的管理规范，堵漏洞、强弱项，下好风险防控的先手棋，夯实高质量发展的水安全基础。</w:t>
      </w:r>
    </w:p>
    <w:p w14:paraId="0744BC55">
      <w:pPr>
        <w:pStyle w:val="23"/>
        <w:adjustRightInd w:val="0"/>
        <w:snapToGrid w:val="0"/>
        <w:spacing w:beforeAutospacing="0" w:afterAutospacing="0" w:line="520" w:lineRule="exact"/>
        <w:jc w:val="center"/>
        <w:rPr>
          <w:rFonts w:ascii="Times New Roman" w:hAnsi="Times New Roman"/>
          <w:b/>
          <w:szCs w:val="24"/>
        </w:rPr>
      </w:pPr>
      <w:r>
        <w:rPr>
          <w:rFonts w:ascii="Times New Roman" w:hAnsi="Times New Roman"/>
          <w:b/>
          <w:szCs w:val="24"/>
        </w:rPr>
        <w:t>专栏8：水利行业如何贯彻新发展理念</w:t>
      </w:r>
    </w:p>
    <w:tbl>
      <w:tblPr>
        <w:tblStyle w:val="2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04CD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60" w:type="dxa"/>
          </w:tcPr>
          <w:p w14:paraId="1669A36A">
            <w:pPr>
              <w:pStyle w:val="52"/>
              <w:spacing w:line="520" w:lineRule="exact"/>
              <w:rPr>
                <w:rFonts w:ascii="Times New Roman" w:hAnsi="Times New Roman"/>
                <w:szCs w:val="21"/>
              </w:rPr>
            </w:pPr>
            <w:r>
              <w:rPr>
                <w:rFonts w:ascii="Times New Roman" w:hAnsi="Times New Roman"/>
                <w:szCs w:val="21"/>
              </w:rPr>
              <w:t>贯彻新发展理念、实现高质量发展，就必须着眼满足人民日益增长的美好生活需要，着力解决人民群众最关心最直接最现实的利益问题。既要完善普惠共享的水利基础设施体系，更要提高水安全、水资源、水生态、水环境、水文化等领域公共产品的供给质量，不断提高人民生活品质，给人民带来更多实实在在的获得感、幸福感、安全感。</w:t>
            </w:r>
          </w:p>
          <w:p w14:paraId="61454E67">
            <w:pPr>
              <w:pStyle w:val="52"/>
              <w:spacing w:line="520" w:lineRule="exact"/>
              <w:rPr>
                <w:rFonts w:ascii="Times New Roman" w:hAnsi="Times New Roman" w:eastAsia="楷体"/>
                <w:sz w:val="28"/>
                <w:szCs w:val="28"/>
              </w:rPr>
            </w:pPr>
            <w:r>
              <w:rPr>
                <w:rFonts w:ascii="Times New Roman" w:hAnsi="Times New Roman"/>
                <w:szCs w:val="21"/>
              </w:rPr>
              <w:t>贯彻新发展理念，还必须坚持问题导向，既要加快解决水利工程体系方面不平衡不充分的问题，更要发现具体问题、分析具体问题、解决具体问题，并以此建立概念，在标准、手段、对策与布局方面采取更加精准务实的举措，更好地解决水利工程体系不平衡不充分的问题。要从忧患意识上把握，安全是发展的基础，贯彻新发展理念，必须把安全发展贯穿到发展的各领域全过程。</w:t>
            </w:r>
          </w:p>
        </w:tc>
      </w:tr>
    </w:tbl>
    <w:p w14:paraId="7B6968D0">
      <w:pPr>
        <w:pStyle w:val="52"/>
        <w:spacing w:line="520" w:lineRule="exact"/>
        <w:ind w:firstLine="562"/>
        <w:rPr>
          <w:rFonts w:ascii="Times New Roman" w:hAnsi="Times New Roman" w:eastAsia="楷体"/>
          <w:b/>
          <w:bCs/>
          <w:sz w:val="28"/>
          <w:szCs w:val="28"/>
        </w:rPr>
      </w:pPr>
      <w:r>
        <w:rPr>
          <w:rFonts w:ascii="Times New Roman" w:hAnsi="Times New Roman" w:eastAsia="楷体"/>
          <w:b/>
          <w:bCs/>
          <w:sz w:val="28"/>
          <w:szCs w:val="28"/>
        </w:rPr>
        <w:t>三、从构建新发展格局看，构建以国内大循环为主体、国内国际双循环相互促进的新发展格局，关键在于经济循环的畅通无阻。</w:t>
      </w:r>
    </w:p>
    <w:p w14:paraId="5EC5FC34">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drawing>
          <wp:anchor distT="0" distB="0" distL="114300" distR="114300" simplePos="0" relativeHeight="251664384" behindDoc="0" locked="0" layoutInCell="1" allowOverlap="1">
            <wp:simplePos x="0" y="0"/>
            <wp:positionH relativeFrom="column">
              <wp:posOffset>591820</wp:posOffset>
            </wp:positionH>
            <wp:positionV relativeFrom="paragraph">
              <wp:posOffset>1127125</wp:posOffset>
            </wp:positionV>
            <wp:extent cx="4735830" cy="2266315"/>
            <wp:effectExtent l="0" t="57150" r="0" b="95885"/>
            <wp:wrapTopAndBottom/>
            <wp:docPr id="9" name="图示 1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Pr>
          <w:rFonts w:ascii="Times New Roman" w:hAnsi="Times New Roman" w:eastAsia="楷体"/>
          <w:sz w:val="28"/>
          <w:szCs w:val="28"/>
        </w:rPr>
        <w:t>水资源格局关系着发展格局，加快水利工程建设，完善我国水利基础设施体系，既能拉动内需，也能增加有效供给，是畅通经济循环、构建新发展格局的重要举措。</w:t>
      </w:r>
    </w:p>
    <w:p w14:paraId="382F4D84">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在创造需求方面，要牢牢把握扩大内需这个战略基点，充分发挥水利工程建设吸纳投资多、覆盖范围大、产业链条长的优势，建设一批强基础、增功能、利长远的重大水利项目，拓展投资空间，优化投资结构，更好发挥水利投资对经济增长的拉动作用。在提升供给方面，要紧紧围绕供给侧结构性改革，以全国江河湖泊水系为基础、输排水工程为通道、控制性调蓄工程为节点、智慧化调控为手段，加快构建循环畅通、功能协同、安全可靠、调控自如的水利基础设施网络，进一步提高水资源供给的质量、效率和水平，增强水资源要素与其他经济要素的适配性，为增强供给体系的韧性提供有力支撑。在促进协调发展方面，要主动衔接区域重大战略、区域协调发展战略、主体功能区战略和全面推进乡村振兴、加快农业农村现代化、推进新型城镇化等，科学布局、加快建设一批支撑性、保障性水利工程，同步推进传统水利工程智能升级，提高水利基础设施通达程度和公共服务均等化水平，促进经济社会发展更加协调。</w:t>
      </w:r>
    </w:p>
    <w:p w14:paraId="1F179C99">
      <w:pPr>
        <w:pStyle w:val="4"/>
        <w:numPr>
          <w:ilvl w:val="0"/>
          <w:numId w:val="0"/>
        </w:numPr>
        <w:spacing w:before="0" w:after="0" w:line="520" w:lineRule="exact"/>
        <w:jc w:val="left"/>
        <w:rPr>
          <w:rFonts w:ascii="Times New Roman" w:hAnsi="Times New Roman" w:eastAsia="方正仿宋_GBK"/>
          <w:spacing w:val="6"/>
          <w:szCs w:val="32"/>
        </w:rPr>
      </w:pPr>
      <w:bookmarkStart w:id="42" w:name="_Toc19445"/>
      <w:bookmarkStart w:id="43" w:name="_Toc4426"/>
      <w:bookmarkStart w:id="44" w:name="_Toc92995414"/>
      <w:r>
        <w:rPr>
          <w:rFonts w:ascii="Times New Roman" w:hAnsi="Times New Roman" w:eastAsia="方正仿宋_GBK"/>
          <w:spacing w:val="6"/>
          <w:szCs w:val="32"/>
        </w:rPr>
        <w:t>2.4 奉节县水安全面临形势</w:t>
      </w:r>
      <w:bookmarkEnd w:id="42"/>
      <w:bookmarkEnd w:id="43"/>
      <w:bookmarkEnd w:id="44"/>
    </w:p>
    <w:p w14:paraId="597BEEDA">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2.4.1 全县水利发展面临形势</w:t>
      </w:r>
    </w:p>
    <w:p w14:paraId="6E0F6A61">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 xml:space="preserve"> “十四五”时期，是开启全面建设社会主义现代化国家新征程的第一个五年，是全面落实习近平总书记赋予重庆新定位、新使命的重要阶段，是全面提升水安全保障能力的关键时期，也是水利工程补短板、水利行业强监管的攻坚期。奉节县紧邻便捷的长江水运通道，区位优势明显，但也位于三峡库区腹心，区内属山地丘陵，自然条件也存在不利因素，肩负保障三峡一库清水的时代任务，特殊的自然条件和发展环境，决定了全县治水难度大，治水要求高，水安全保障面临形势严峻：</w:t>
      </w:r>
    </w:p>
    <w:p w14:paraId="3BEBAEB3">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一是，全面贯彻落实习近平总书记对重庆提出的“两点”定位、“两地”、“两高”目标和发挥“三个作用”及营造良好政治生态的重要指示要求，坚持从全局谋划一域、以一域服务全局，奉节县水利要有新作为；</w:t>
      </w:r>
    </w:p>
    <w:p w14:paraId="5627F91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二是，贯彻新发展理念，落实“一带一路”、长江经济带、新时代西部大开发、一区两群等战略发展要求，以及乡村振兴、城乡融合发展等方针指引，奉节县水利要有新成效；</w:t>
      </w:r>
    </w:p>
    <w:p w14:paraId="705C6988">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三是坚持以人民为中心的发展思想，顺应人民群众对防洪保安全、优质水资源、健康水生态、宜居水环境、先进水文化的需求，奉节县水利要有新保障；</w:t>
      </w:r>
    </w:p>
    <w:p w14:paraId="3C65C1F5">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四是贯彻新时期治水思路，着力解决水资源短缺、水生态不良、水环境污染和水灾害突出等新老问题，奉节县水利要有新举措；</w:t>
      </w:r>
    </w:p>
    <w:p w14:paraId="6307C36D">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五是全面深化改革，推进国家治理体系和治理能力现代化，破除水利行业监管体制机制障碍，建立健全水治理体制机制，奉节县水利要有新突破。</w:t>
      </w:r>
    </w:p>
    <w:p w14:paraId="160B8A79">
      <w:pPr>
        <w:pStyle w:val="5"/>
        <w:keepNext w:val="0"/>
        <w:keepLines w:val="0"/>
        <w:tabs>
          <w:tab w:val="left" w:pos="7820"/>
        </w:tabs>
        <w:adjustRightInd w:val="0"/>
        <w:snapToGrid w:val="0"/>
        <w:spacing w:line="520" w:lineRule="exact"/>
        <w:rPr>
          <w:rFonts w:ascii="Times New Roman" w:hAnsi="Times New Roman" w:eastAsia="楷体"/>
          <w:sz w:val="28"/>
          <w:szCs w:val="28"/>
        </w:rPr>
        <w:sectPr>
          <w:headerReference r:id="rId20" w:type="default"/>
          <w:footerReference r:id="rId21" w:type="default"/>
          <w:pgSz w:w="11906" w:h="16838"/>
          <w:pgMar w:top="1418" w:right="1418" w:bottom="1418" w:left="1418" w:header="851" w:footer="992" w:gutter="0"/>
          <w:cols w:space="720" w:num="1"/>
          <w:docGrid w:type="lines" w:linePitch="312" w:charSpace="0"/>
        </w:sectPr>
      </w:pPr>
    </w:p>
    <w:p w14:paraId="119B6C85">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2.4.2 水利发展存在问题</w:t>
      </w:r>
    </w:p>
    <w:p w14:paraId="294A1E5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对照新时代新要求，奉节县水利还存在不少差距和突出短板弱项，水安全面临严峻形势与挑战。</w:t>
      </w:r>
    </w:p>
    <w:p w14:paraId="5F9E0AFA">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 xml:space="preserve">一是防洪薄弱环节仍然存在，防洪减灾体系不完善。由于地处三峡库区，山区地形，受长江和区内中小河流洪水的共同影响，全县各地洪涝灾害十分频繁，目前，全县建成各类堤防护岸工程94.56km，堤防工程达标率仅为35%，整体防洪能力不足，平安乡场镇、青莲场镇、竹园场镇属市级防洪薄弱点，尚有吐祥龙泉社区、大树场镇、兴隆镇（繁荣中学至情人桥）、青龙场镇、黄井场镇等8处县级防洪薄弱点，大多数防洪薄弱点现状防洪能力不足5年一遇。县城区域防洪问题也十分严峻，由于用地条件不足和滑坡地形等因素影响，城区多为暗涵排洪，防洪隐患十分突出，随着城市规模和人居要求的不断提升，目前城市防洪标准已由原来的20年提升到50年一遇，对防洪安全保障提出了更高的要求。全县山洪灾害隐患仍然突出，全县尚有约7.33万人常年受到山洪灾害威胁。全县防汛预警预报系统不完善，水文监测站点对河流的覆盖程度还不高，墒情监测水平较低，中小水库监测预警系统不完备，雨洪预报水平不高，水文、气象、国土等部门的监测预警信息还需进一步整合共享。重要江河及中小河流保证水位和警戒水位未全面划定，部分重要中小河流调度体系及镇街洪水防御方案还不完善。随着奉节县经济的增长、人口财富集聚加快，同等量级洪水造成的洪灾损失将越来越大，对防洪保安的要求也越来越高，因此，全县防洪安全任务依然艰巨。 </w:t>
      </w:r>
    </w:p>
    <w:p w14:paraId="2B39BFC9">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二是工程性缺水突出，城乡供水安全保障程度不高。全县现状蓄引提能力14031万m³，人均仅为192m</w:t>
      </w:r>
      <w:r>
        <w:rPr>
          <w:rFonts w:ascii="Times New Roman" w:hAnsi="Times New Roman" w:eastAsia="楷体"/>
          <w:sz w:val="28"/>
          <w:szCs w:val="28"/>
          <w:vertAlign w:val="superscript"/>
        </w:rPr>
        <w:t>3</w:t>
      </w:r>
      <w:r>
        <w:rPr>
          <w:rFonts w:ascii="Times New Roman" w:hAnsi="Times New Roman" w:eastAsia="楷体"/>
          <w:sz w:val="28"/>
          <w:szCs w:val="28"/>
        </w:rPr>
        <w:t>（仅占全市人均水平——347m</w:t>
      </w:r>
      <w:r>
        <w:rPr>
          <w:rFonts w:ascii="Times New Roman" w:hAnsi="Times New Roman" w:eastAsia="楷体"/>
          <w:sz w:val="28"/>
          <w:szCs w:val="28"/>
          <w:vertAlign w:val="superscript"/>
        </w:rPr>
        <w:t>3</w:t>
      </w:r>
      <w:r>
        <w:rPr>
          <w:rFonts w:ascii="Times New Roman" w:hAnsi="Times New Roman" w:eastAsia="楷体"/>
          <w:sz w:val="28"/>
          <w:szCs w:val="28"/>
        </w:rPr>
        <w:t>的55%），也低于周边各区县，整体水源保障能力不足。从水库为代表的骨干水源工程数量来看，全县现有水库数量53座，在全市水库数量占比为1.72%，而奉节县在全市的国土面积占比和人口占比分别为4.97%、3.27%，因此无论从供水能力、工程保有量还是人均占有率来说，远未达到其应有水平，全县仍存在十分突出的工程性缺水问题。县域内水系连通工程少，水资源统一调配条件单一、网络化程度低，调配能力弱。部分水库灌溉功能调整为城镇供水，灌溉供水长期被城镇用水挤占。全县农村饮水安全工程共计5465处，其中集中供水工程2075处，分散式供水工程3390处，覆盖31个乡镇376个村或社区，覆盖人口216217户681497人，按照全市集中供水率统计口径（供水100人以上），全县集中供水率为90.69%（</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 xml:space="preserve">目标值为85%），规模化（千吨万人）以上供水工程7处，覆盖176092人，规模化供水率为25.83%（全市平均水平46.54%），千人以上集中供水工程水源保护区范围划定比例为68.33%。农村供水工程普遍存在建设标准低、供水设施老化、净化消毒设施不完备等突出问题，农村供水安全保障程度还比较低。农田灌溉以中小型灌区为主，且灌排设施标准低、渠系配套不全、老化损毁严重，农业灌溉配水能力和节水水平都十分低下。全社会缺水与水资源浪费并存，部分地区用水方式粗放加剧了供需矛盾，工业用水重复利用率不高；农田灌溉水有效利用系数仅为0.537，低于周边区县。 </w:t>
      </w:r>
    </w:p>
    <w:p w14:paraId="036DD0B2">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 xml:space="preserve">三是水生态安全形势严峻，河湖健康发展任务艰巨。水利空间发展要素有待与其他国土要素进行有效的协调，河湖水域岸线功能分区管控未能有效落实，河湖管理范围内乱占、乱采、乱堆、乱建等“四乱”问题尚未根治。全县水利工程生态流量泄放机制尚未全面形成，朱衣河、草堂河、梅溪河、崔家河等河道内水生态环境不容乐观，河流生态流量难以保证。三峡水库消落区生态问题仍然存在，亟需采取治理措施。农村河道数量众多，尚未全面开展农村水系综合整治，农村水脏、水少的问题十分突出。水土流失问题仍然突出，现状水土流失率43.68%。新老水生态环境问题叠加增加了治理难度，迫切需要营造人与自然和谐共生的良好生态环境，提供更多优质生态产品，满足人民群众对健康水生态、宜居水环境的要求。 </w:t>
      </w:r>
    </w:p>
    <w:p w14:paraId="763DBEDC">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四是水利信息化基础设施建设未形成体系，智慧化程度不高。监测感知覆盖范围和要素内容不全面，监测体系不健全，特别是用水计量、水土保持监管、工程安全、河道管理等方面自动监测能力薄弱。水利信息资源和业务系统有效整合不足，智慧河长框架和体系尚处于起步阶段，各行业层级间、区域间信息化资源得不到充分、合理、有效地利用。</w:t>
      </w:r>
    </w:p>
    <w:p w14:paraId="486C9D8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五是水治理体系亟待完善，水治理能力亟待提升。全县江河湖库、水资源、水利工程、水土保持等重点领域管理标准化、规范化程度低，部分水利工程长效运行管理机制不健全，存在管理和维修经费不落实、管护工程配套不完善、管理手段较落后等问题。稳定长效的水利投入机制没有形成，政府投资杠杆作用发挥不充分，水市场主体培育乏力，水市场发育不足，水市场作用发挥不明显，盈利性项目与公益性水利工程未能有效整合，不能全面激发社会投入水利建设的活力。水价改革——特别是农村居民生活用水、农业水价改革进展较慢，良性水价形成机制尚未全面建立。节水激励机制不完善，尚未形成完善的财税引导和激励政策。水利人才队伍结构亟待优化，高层次人才较为缺乏，制约了水利建设和管理工作的创新能力。水政执法队伍专业化程度低、人员数量不足问题突出，现代化执法监管等设备应用不足，监管手段落后，导致对个别生产建设项目的跟踪监管难以及时保证。部分行政事业岗位、业务板块人员聘用、薪酬体系尚未理顺，制约了有关专业事务的有效开展。</w:t>
      </w:r>
    </w:p>
    <w:p w14:paraId="2DC9F51E">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bookmarkStart w:id="45" w:name="_Toc26903"/>
      <w:r>
        <w:rPr>
          <w:rFonts w:ascii="Times New Roman" w:hAnsi="Times New Roman" w:eastAsia="楷体"/>
          <w:sz w:val="28"/>
          <w:szCs w:val="28"/>
        </w:rPr>
        <w:t>2.4.3 全县发展定位</w:t>
      </w:r>
    </w:p>
    <w:p w14:paraId="3A14268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十四五期间，虽然宏观经济面临结构性改革的迫切需求，但经济长期向好的基本面没有改变。奉节县发展机遇与挑战并存，从外部看，长江经济带、三峡新区发展等国家战略和我市“一区两群”协调发展的战略部署，为奉节做好全方面工作提供了总方针。从全市发展对奉节的定位看，要坚持全域旅游统领、生态产业支撑、新型城镇承载、区域中心带动“四条主线”，打造“一枢纽三中心N高地”，开启美丽经济、建设美丽奉节，朝着建设长江经济带上的绿色生态强县和区域性功能中心迈进。</w:t>
      </w:r>
    </w:p>
    <w:p w14:paraId="0682412C">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根据全县十四五规划纲要，未来五年发展，要紧紧围绕渝东北三峡库区生态优先绿色发展示范区总体定位，牢牢守住筑牢长江上游生态屏障底线任务，将奉节发展定位为“四区一地、美丽家园”，推动县域形成城区、重点镇、一般镇的三级城镇结构，城区形成“两心三带五组团的总体空间格局”。统筹利用县域空间，在“三区三线”划定基础上，加快实现生产空间集约高效、生活空间宜居适度、生态空间山清水秀，依托4座长江大桥及其向南北两岸延伸的隧道，构建“一核一圈两片”的县域空间结构。坚持破瓶颈与弥补短板相统筹、坚持深化改革与扩大内需相结合、坚持立足国内和全球事业相促进，切实提高奉节发展战略定位和区域发展能级，提升“筑巢引凤”的发展能力，提速推进全县产业链和价值链高质量发展。</w:t>
      </w:r>
    </w:p>
    <w:p w14:paraId="640E37EF">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sectPr>
          <w:pgSz w:w="11906" w:h="16838"/>
          <w:pgMar w:top="1418" w:right="1418" w:bottom="1418" w:left="1418" w:header="851" w:footer="992" w:gutter="0"/>
          <w:cols w:space="720" w:num="1"/>
          <w:docGrid w:type="lines" w:linePitch="312" w:charSpace="0"/>
        </w:sectPr>
      </w:pPr>
    </w:p>
    <w:bookmarkEnd w:id="40"/>
    <w:bookmarkEnd w:id="41"/>
    <w:bookmarkEnd w:id="45"/>
    <w:p w14:paraId="7843A14E">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46" w:name="_Toc92995415"/>
      <w:bookmarkStart w:id="47" w:name="_Toc2208"/>
      <w:bookmarkStart w:id="48" w:name="_Toc75169306"/>
      <w:bookmarkStart w:id="49" w:name="_Hlk56416715"/>
      <w:bookmarkStart w:id="50" w:name="_Toc7565"/>
      <w:r>
        <w:rPr>
          <w:rFonts w:ascii="Times New Roman" w:hAnsi="Times New Roman" w:eastAsia="方正仿宋_GBK" w:cs="Times New Roman"/>
          <w:b/>
          <w:spacing w:val="6"/>
          <w:szCs w:val="36"/>
        </w:rPr>
        <w:t>第三章 总体要求</w:t>
      </w:r>
      <w:bookmarkEnd w:id="46"/>
      <w:bookmarkEnd w:id="47"/>
    </w:p>
    <w:p w14:paraId="5E4698F3">
      <w:pPr>
        <w:pStyle w:val="4"/>
        <w:numPr>
          <w:ilvl w:val="0"/>
          <w:numId w:val="0"/>
        </w:numPr>
        <w:spacing w:before="0" w:after="0" w:line="360" w:lineRule="auto"/>
        <w:jc w:val="left"/>
        <w:rPr>
          <w:rFonts w:ascii="Times New Roman" w:hAnsi="Times New Roman" w:eastAsia="方正仿宋_GBK"/>
          <w:spacing w:val="6"/>
          <w:szCs w:val="32"/>
        </w:rPr>
      </w:pPr>
      <w:bookmarkStart w:id="51" w:name="_Toc30308"/>
      <w:bookmarkStart w:id="52" w:name="_Toc92995416"/>
      <w:bookmarkStart w:id="53" w:name="_Toc2179"/>
      <w:r>
        <w:rPr>
          <w:rFonts w:ascii="Times New Roman" w:hAnsi="Times New Roman" w:eastAsia="方正仿宋_GBK"/>
          <w:spacing w:val="6"/>
          <w:szCs w:val="32"/>
        </w:rPr>
        <w:t>3.1 指导思想</w:t>
      </w:r>
      <w:bookmarkEnd w:id="51"/>
      <w:bookmarkEnd w:id="52"/>
      <w:bookmarkEnd w:id="53"/>
    </w:p>
    <w:p w14:paraId="5868A7F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以习近平新时代中国特色社会主义思想为指导，全面贯彻党的十九大和十九届</w:t>
      </w:r>
      <w:r>
        <w:rPr>
          <w:rFonts w:hint="eastAsia" w:ascii="Times New Roman" w:hAnsi="Times New Roman" w:eastAsia="楷体"/>
          <w:sz w:val="28"/>
          <w:szCs w:val="28"/>
        </w:rPr>
        <w:t>一中、</w:t>
      </w:r>
      <w:r>
        <w:rPr>
          <w:rFonts w:ascii="Times New Roman" w:hAnsi="Times New Roman" w:eastAsia="楷体"/>
          <w:sz w:val="28"/>
          <w:szCs w:val="28"/>
        </w:rPr>
        <w:t>二中、三中、四中、五中</w:t>
      </w:r>
      <w:r>
        <w:rPr>
          <w:rFonts w:hint="eastAsia" w:ascii="Times New Roman" w:hAnsi="Times New Roman" w:eastAsia="楷体"/>
          <w:sz w:val="28"/>
          <w:szCs w:val="28"/>
        </w:rPr>
        <w:t>、六中</w:t>
      </w:r>
      <w:r>
        <w:rPr>
          <w:rFonts w:ascii="Times New Roman" w:hAnsi="Times New Roman" w:eastAsia="楷体"/>
          <w:sz w:val="28"/>
          <w:szCs w:val="28"/>
        </w:rPr>
        <w:t>全会精神，准确把握新发展阶段，深入践行新发展理念，积极融入新发展格局，深入落实“节水优先、空间均衡、系统治理、两手发力”的治水思路，坚持“五水统筹”，统筹好水的资源功能、环境功能、生态功能、筑牢水安全保障底线；突出县域水网建设，注重长短结合、内外结合，加快推进水源、防洪、水生态、科技文化建设，提升水资源优化配置和水旱灾害防御能力；深化水利改革创新，推进水治理体系和治理能力现代化。围绕党中央关于推动成渝地区双城经济圈建设的重大战略发展要求，把水安全风险防控作为守护底线，把水资源承载力作为刚性约束上限，把水生态环境保护作为控制红线，加强建设现代水利基础设施网络，不断完善江河保护监管体系，全面提升水安全保障能力，建设造福人民幸福河湖，全面启动水利现代化建设新征程，为全县建成具有国际影响力和竞争力的旅游中心和三峡库区生态优先绿色发展示范区，提供坚实的水利支撑。</w:t>
      </w:r>
    </w:p>
    <w:p w14:paraId="1C7952D9">
      <w:pPr>
        <w:pStyle w:val="4"/>
        <w:numPr>
          <w:ilvl w:val="0"/>
          <w:numId w:val="0"/>
        </w:numPr>
        <w:spacing w:before="0" w:after="0" w:line="360" w:lineRule="auto"/>
        <w:jc w:val="left"/>
        <w:rPr>
          <w:rFonts w:ascii="Times New Roman" w:hAnsi="Times New Roman" w:eastAsia="方正仿宋_GBK"/>
          <w:spacing w:val="6"/>
          <w:szCs w:val="32"/>
        </w:rPr>
      </w:pPr>
      <w:bookmarkStart w:id="54" w:name="_Toc9363"/>
      <w:bookmarkStart w:id="55" w:name="_Toc7706"/>
      <w:bookmarkStart w:id="56" w:name="_Toc92995417"/>
      <w:r>
        <w:rPr>
          <w:rFonts w:ascii="Times New Roman" w:hAnsi="Times New Roman" w:eastAsia="方正仿宋_GBK"/>
          <w:spacing w:val="6"/>
          <w:szCs w:val="32"/>
        </w:rPr>
        <w:t>3.2 基本原则</w:t>
      </w:r>
      <w:bookmarkEnd w:id="54"/>
      <w:bookmarkEnd w:id="55"/>
      <w:bookmarkEnd w:id="56"/>
    </w:p>
    <w:p w14:paraId="4A98B3F9">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坚持人民至上</w:t>
      </w:r>
      <w:r>
        <w:rPr>
          <w:rFonts w:ascii="Times New Roman" w:hAnsi="Times New Roman" w:eastAsia="楷体"/>
          <w:sz w:val="28"/>
          <w:szCs w:val="28"/>
        </w:rPr>
        <w:t xml:space="preserve">。牢固树立以人民为中心的发展思想，把满足人民日益增长的美好生活需要作为奋斗目标，顺应人民群众对美好生活的向往，把增进人民福祉、促进人的全面发展作为水安全保障工作的出发点和落脚点，让江河成为造福人民的幸福河。 </w:t>
      </w:r>
    </w:p>
    <w:p w14:paraId="25FA5038">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坚持节水优先、高效利用。</w:t>
      </w:r>
      <w:r>
        <w:rPr>
          <w:rFonts w:ascii="Times New Roman" w:hAnsi="Times New Roman" w:eastAsia="楷体"/>
          <w:sz w:val="28"/>
          <w:szCs w:val="28"/>
        </w:rPr>
        <w:t>把节水作为解决全县水资源短缺问题的根本性措施，贯穿于经济社会发展全过程和全领域，推动用水方式由粗放向节约集约转变，形成节水型生产方式，不断提高用水效率和效益。</w:t>
      </w:r>
    </w:p>
    <w:p w14:paraId="5150908C">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坚持人水和谐，均衡发展。</w:t>
      </w:r>
      <w:r>
        <w:rPr>
          <w:rFonts w:ascii="Times New Roman" w:hAnsi="Times New Roman" w:eastAsia="楷体"/>
          <w:bCs/>
          <w:sz w:val="28"/>
          <w:szCs w:val="28"/>
        </w:rPr>
        <w:t>尊</w:t>
      </w:r>
      <w:r>
        <w:rPr>
          <w:rFonts w:ascii="Times New Roman" w:hAnsi="Times New Roman" w:eastAsia="楷体"/>
          <w:sz w:val="28"/>
          <w:szCs w:val="28"/>
        </w:rPr>
        <w:t>重自然、顺应自然、保护自然，强化水资源刚性约束，以水而定、量水而行、因水制宜，约束与规范各类水事行为，优化水资源配置，促进人口、经济与水资源水生态水环境相均衡，推动高质量发展。</w:t>
      </w:r>
    </w:p>
    <w:p w14:paraId="3B355835">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坚持底线思维</w:t>
      </w:r>
      <w:r>
        <w:rPr>
          <w:rFonts w:ascii="Times New Roman" w:hAnsi="Times New Roman" w:eastAsia="楷体"/>
          <w:sz w:val="28"/>
          <w:szCs w:val="28"/>
        </w:rPr>
        <w:t>。强化风险意识，注重从事后处置向事前预防转变，从减少损失向降低风险转变，以防为主、防控结合，注重从源头上压缩风险发生空间，牢牢守住全县水安全底线。</w:t>
      </w:r>
    </w:p>
    <w:p w14:paraId="467E0C4D">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坚持系统观念</w:t>
      </w:r>
      <w:r>
        <w:rPr>
          <w:rFonts w:ascii="Times New Roman" w:hAnsi="Times New Roman" w:eastAsia="楷体"/>
          <w:sz w:val="28"/>
          <w:szCs w:val="28"/>
        </w:rPr>
        <w:t>。树立全局观、流域观，算清整体账、长远账，统筹上下游、干支流、左右岸、城乡区域，统筹山水林田湖草各要素，统筹水安全、水资源、水生态、水环境、水文化，加强前瞻性思考、全局性谋划、战略性布局、整体性推进。</w:t>
      </w:r>
    </w:p>
    <w:p w14:paraId="4E6CF918">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坚持改革创新</w:t>
      </w:r>
      <w:r>
        <w:rPr>
          <w:rFonts w:ascii="Times New Roman" w:hAnsi="Times New Roman" w:eastAsia="楷体"/>
          <w:sz w:val="28"/>
          <w:szCs w:val="28"/>
        </w:rPr>
        <w:t>。以推进政府市场“两手发力”为切入点，以促进涉水各方责权利相统一为关键点，统筹利用价格、税费政策工具，充分发挥市场在资源配置中的决定性作用。全面深化水利改革，破除体制性障碍、打通机制性梗阻、推进政策性创新。加强政府监管和引导，深化水利智慧化建设。</w:t>
      </w:r>
    </w:p>
    <w:p w14:paraId="2FCCFE90">
      <w:pPr>
        <w:pStyle w:val="4"/>
        <w:numPr>
          <w:ilvl w:val="0"/>
          <w:numId w:val="0"/>
        </w:numPr>
        <w:spacing w:before="0" w:after="0" w:line="360" w:lineRule="auto"/>
        <w:jc w:val="left"/>
        <w:rPr>
          <w:rFonts w:ascii="Times New Roman" w:hAnsi="Times New Roman" w:eastAsia="方正仿宋_GBK"/>
          <w:spacing w:val="6"/>
          <w:szCs w:val="32"/>
        </w:rPr>
      </w:pPr>
      <w:bookmarkStart w:id="57" w:name="_Toc2242"/>
      <w:bookmarkStart w:id="58" w:name="_Toc19251"/>
      <w:bookmarkStart w:id="59" w:name="_Toc92995418"/>
      <w:r>
        <w:rPr>
          <w:rFonts w:ascii="Times New Roman" w:hAnsi="Times New Roman" w:eastAsia="方正仿宋_GBK"/>
          <w:spacing w:val="6"/>
          <w:szCs w:val="32"/>
        </w:rPr>
        <w:t>3.3 发展目标</w:t>
      </w:r>
      <w:bookmarkEnd w:id="57"/>
      <w:bookmarkEnd w:id="58"/>
      <w:bookmarkEnd w:id="59"/>
    </w:p>
    <w:p w14:paraId="6FC60AF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到2025年，全县水利发展总目标是建成与奉节县经济社会发展和生态文明建设要求相适应、与本地区现代化进程相协调的水旱灾害防御、水资源节约利用与优化配置、水资源保护和河湖健康保障、涉水事务监管四大体系。</w:t>
      </w:r>
    </w:p>
    <w:p w14:paraId="4EA8DA83">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水旱灾害风险防控能力明显提升</w:t>
      </w:r>
      <w:r>
        <w:rPr>
          <w:rFonts w:ascii="Times New Roman" w:hAnsi="Times New Roman" w:eastAsia="楷体"/>
          <w:sz w:val="28"/>
          <w:szCs w:val="28"/>
        </w:rPr>
        <w:t xml:space="preserve">。全县防洪减灾体系进一步完善，长江及重要支流重点防洪保护区、中小河流重点河段达到规划确定的防洪标准，重点城镇和易涝区域的防洪排涝能力提升取得显著成效，加大城市防洪工程投入，全县5级及以上江河堤防达标率由现状35%提高到45%（标准复核），水旱灾害风险防范化解能力进一步增强。现有病险水库安全隐患全面消除，洪水干旱监测预报预警调度体系不断完善，在充分论证基础上，科学提高防御标准，重大水安全风险防控能力进一步提升，防汛抗旱实现不垮一堤、不溃一坝、不亡一人。 </w:t>
      </w:r>
    </w:p>
    <w:p w14:paraId="5690381E">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水资源配置格局明显优化</w:t>
      </w:r>
      <w:r>
        <w:rPr>
          <w:rFonts w:ascii="Times New Roman" w:hAnsi="Times New Roman" w:eastAsia="楷体"/>
          <w:sz w:val="28"/>
          <w:szCs w:val="28"/>
        </w:rPr>
        <w:t>。水资源刚性约束制度基本建立，县域节水型社会完成达标建设（2023年以前），全县重点用水行业节水型企业建成率达到100%，节水型机关建成率达到100%，节水型生产生活方式基本形成，全社会节水护水惜水意识明显增强，水资源与人口经济均衡协调发展格局进一步完善。全县用水总量控制在1.56亿m³以内，万元国内生产总值用水量、万元工业增加值用水量较2020年下降10%，农田灌溉水有效利用系数提高到0.55。建立县内强有力保障和县外有机联系的水资源配置格局，在水资源保障方面，要突出好不好的问题，确保水资源供给质量明显改善，水利工程新增年供水能力3100万m³，骨干水源基本实现乡镇全覆盖，规模化供水覆盖程度达到51.39%，农村集中供水率由现状的90.69%增长到92.14%。</w:t>
      </w:r>
    </w:p>
    <w:p w14:paraId="5A0B090C">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河湖生态环境明显改善</w:t>
      </w:r>
      <w:r>
        <w:rPr>
          <w:rFonts w:ascii="Times New Roman" w:hAnsi="Times New Roman" w:eastAsia="楷体"/>
          <w:sz w:val="28"/>
          <w:szCs w:val="28"/>
        </w:rPr>
        <w:t>。涉水空间管控制度基本建立，“一江五河”总体水质稳定保持</w:t>
      </w:r>
      <w:r>
        <w:rPr>
          <w:rFonts w:ascii="Times New Roman" w:hAnsi="Times New Roman" w:eastAsia="楷体"/>
          <w:sz w:val="28"/>
          <w:szCs w:val="28"/>
        </w:rPr>
        <w:fldChar w:fldCharType="begin"/>
      </w:r>
      <w:r>
        <w:rPr>
          <w:rFonts w:ascii="Times New Roman" w:hAnsi="Times New Roman" w:eastAsia="楷体"/>
          <w:sz w:val="28"/>
          <w:szCs w:val="28"/>
        </w:rPr>
        <w:instrText xml:space="preserve"> = 3 \* ROMAN </w:instrText>
      </w:r>
      <w:r>
        <w:rPr>
          <w:rFonts w:ascii="Times New Roman" w:hAnsi="Times New Roman" w:eastAsia="楷体"/>
          <w:sz w:val="28"/>
          <w:szCs w:val="28"/>
        </w:rPr>
        <w:fldChar w:fldCharType="separate"/>
      </w:r>
      <w:r>
        <w:rPr>
          <w:rFonts w:ascii="Times New Roman" w:hAnsi="Times New Roman" w:eastAsia="楷体"/>
          <w:sz w:val="28"/>
          <w:szCs w:val="28"/>
        </w:rPr>
        <w:t>III</w:t>
      </w:r>
      <w:r>
        <w:rPr>
          <w:rFonts w:ascii="Times New Roman" w:hAnsi="Times New Roman" w:eastAsia="楷体"/>
          <w:sz w:val="28"/>
          <w:szCs w:val="28"/>
        </w:rPr>
        <w:fldChar w:fldCharType="end"/>
      </w:r>
      <w:r>
        <w:rPr>
          <w:rFonts w:ascii="Times New Roman" w:hAnsi="Times New Roman" w:eastAsia="楷体"/>
          <w:sz w:val="28"/>
          <w:szCs w:val="28"/>
        </w:rPr>
        <w:t>类，50km</w:t>
      </w:r>
      <w:r>
        <w:rPr>
          <w:rFonts w:ascii="Times New Roman" w:hAnsi="Times New Roman" w:eastAsia="楷体"/>
          <w:sz w:val="28"/>
          <w:szCs w:val="28"/>
          <w:vertAlign w:val="superscript"/>
        </w:rPr>
        <w:t>2</w:t>
      </w:r>
      <w:r>
        <w:rPr>
          <w:rFonts w:ascii="Times New Roman" w:hAnsi="Times New Roman" w:eastAsia="楷体"/>
          <w:sz w:val="28"/>
          <w:szCs w:val="28"/>
        </w:rPr>
        <w:t>及以上河流、湖库管理范围基本划定，江河湖库及水源涵养保护能力明显提升，重点河湖生态流量保障目标满足程度达90%以上，人为水土流失得到基本控制，重点地区水土流失得到有效治理，全县水土保持率控制在60%以上。</w:t>
      </w:r>
    </w:p>
    <w:p w14:paraId="4898F3C1">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涉水事务监管效能明显增强</w:t>
      </w:r>
      <w:r>
        <w:rPr>
          <w:rFonts w:ascii="Times New Roman" w:hAnsi="Times New Roman" w:eastAsia="楷体"/>
          <w:sz w:val="28"/>
          <w:szCs w:val="28"/>
        </w:rPr>
        <w:t>。水利法律法规政策制度执行体系和地方水利行业政策法规更加完善，覆盖各领域、各层级的水利监管体系基本形成，水文、水资源、河湖生态、水土流失、水灾害等监测预警体系基本建立。河长制湖长制深入推进，主要河湖水域岸线得到有效管控，最严格水资源管理考核体系进一步完善，水资源节约、保护、开发、利用、配置、调度各环节监管全面加强，水工程运行管理安全规范，重点领域改革取得重要进展，水利信息化智能化水平显著提升。水权水价市场改革取得重要进展，政府主导、金融支持、社会参与的水利投融资机制有效形成。</w:t>
      </w:r>
    </w:p>
    <w:p w14:paraId="30D653E7">
      <w:pPr>
        <w:spacing w:line="520" w:lineRule="exact"/>
        <w:ind w:firstLine="562"/>
        <w:rPr>
          <w:rFonts w:ascii="Times New Roman" w:hAnsi="Times New Roman" w:eastAsia="楷体"/>
          <w:sz w:val="28"/>
          <w:szCs w:val="28"/>
        </w:rPr>
      </w:pPr>
      <w:r>
        <w:rPr>
          <w:rFonts w:ascii="Times New Roman" w:hAnsi="Times New Roman" w:eastAsia="楷体"/>
          <w:b/>
          <w:bCs/>
          <w:sz w:val="28"/>
          <w:szCs w:val="28"/>
        </w:rPr>
        <w:t>水利脱贫成果得到巩固拓展。</w:t>
      </w:r>
      <w:r>
        <w:rPr>
          <w:rFonts w:ascii="Times New Roman" w:hAnsi="Times New Roman" w:eastAsia="楷体"/>
          <w:sz w:val="28"/>
          <w:szCs w:val="28"/>
        </w:rPr>
        <w:t>进一步巩固拓展水利扶贫成果同乡村振兴水利保障有效衔接，全县乡村振兴水利保障全面推进，充分利用三峡后续和大中型水库后期扶持资金，推动农村水利基础设施网络进一步完善，农村产业结构进一步优化，农民生产生活水平迈上新台阶，农村河湖面貌明显改善，农村水利现代化取得新进展，确保到2025年，全县库区移民安稳致富，群众收入超过全县平均水平。</w:t>
      </w:r>
    </w:p>
    <w:p w14:paraId="2F9E4631">
      <w:pPr>
        <w:spacing w:line="520" w:lineRule="exact"/>
        <w:ind w:firstLine="482" w:firstLineChars="200"/>
        <w:jc w:val="center"/>
        <w:rPr>
          <w:rFonts w:ascii="Times New Roman" w:hAnsi="Times New Roman"/>
          <w:b/>
          <w:bCs/>
          <w:sz w:val="24"/>
        </w:rPr>
        <w:sectPr>
          <w:pgSz w:w="11906" w:h="16838"/>
          <w:pgMar w:top="1418" w:right="1418" w:bottom="1418" w:left="1418" w:header="851" w:footer="992" w:gutter="0"/>
          <w:cols w:space="720" w:num="1"/>
          <w:docGrid w:type="lines" w:linePitch="312" w:charSpace="0"/>
        </w:sectPr>
      </w:pPr>
    </w:p>
    <w:p w14:paraId="2AEC315B">
      <w:pPr>
        <w:spacing w:line="400" w:lineRule="exact"/>
        <w:ind w:firstLine="560" w:firstLineChars="200"/>
        <w:jc w:val="center"/>
        <w:rPr>
          <w:rFonts w:ascii="Times New Roman" w:hAnsi="Times New Roman" w:eastAsiaTheme="minorEastAsia"/>
          <w:sz w:val="28"/>
          <w:szCs w:val="28"/>
        </w:rPr>
      </w:pPr>
      <w:r>
        <w:rPr>
          <w:rFonts w:ascii="Times New Roman" w:hAnsi="Times New Roman" w:eastAsiaTheme="minorEastAsia"/>
          <w:sz w:val="28"/>
          <w:szCs w:val="28"/>
        </w:rPr>
        <w:t>奉节县水安全保障“十四五”规划主要指标表</w:t>
      </w:r>
    </w:p>
    <w:p w14:paraId="7CF5A8CE">
      <w:pPr>
        <w:spacing w:line="520" w:lineRule="exact"/>
        <w:jc w:val="left"/>
        <w:rPr>
          <w:rFonts w:ascii="Times New Roman" w:hAnsi="Times New Roman"/>
          <w:bCs/>
          <w:szCs w:val="21"/>
        </w:rPr>
      </w:pPr>
      <w:r>
        <w:rPr>
          <w:rFonts w:ascii="Times New Roman" w:hAnsi="Times New Roman"/>
          <w:bCs/>
          <w:szCs w:val="21"/>
        </w:rPr>
        <w:t>表3.1-1</w:t>
      </w:r>
    </w:p>
    <w:tbl>
      <w:tblPr>
        <w:tblStyle w:val="2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42"/>
        <w:gridCol w:w="1204"/>
        <w:gridCol w:w="1489"/>
        <w:gridCol w:w="1442"/>
        <w:gridCol w:w="1411"/>
      </w:tblGrid>
      <w:tr w14:paraId="3B893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00109EBC">
            <w:pPr>
              <w:spacing w:line="360" w:lineRule="exact"/>
              <w:rPr>
                <w:rFonts w:ascii="Times New Roman" w:hAnsi="Times New Roman"/>
                <w:szCs w:val="21"/>
              </w:rPr>
            </w:pPr>
            <w:r>
              <w:rPr>
                <w:rFonts w:ascii="Times New Roman" w:hAnsi="Times New Roman"/>
                <w:szCs w:val="21"/>
              </w:rPr>
              <w:t>主要指标</w:t>
            </w:r>
          </w:p>
        </w:tc>
        <w:tc>
          <w:tcPr>
            <w:tcW w:w="648" w:type="pct"/>
          </w:tcPr>
          <w:p w14:paraId="2A8CA640">
            <w:pPr>
              <w:spacing w:line="360" w:lineRule="exact"/>
              <w:rPr>
                <w:rFonts w:ascii="Times New Roman" w:hAnsi="Times New Roman"/>
                <w:szCs w:val="21"/>
              </w:rPr>
            </w:pPr>
            <w:r>
              <w:rPr>
                <w:rFonts w:ascii="Times New Roman" w:hAnsi="Times New Roman"/>
                <w:szCs w:val="21"/>
              </w:rPr>
              <w:t>单位</w:t>
            </w:r>
          </w:p>
        </w:tc>
        <w:tc>
          <w:tcPr>
            <w:tcW w:w="801" w:type="pct"/>
          </w:tcPr>
          <w:p w14:paraId="39F129E7">
            <w:pPr>
              <w:spacing w:line="360" w:lineRule="exact"/>
              <w:rPr>
                <w:rFonts w:ascii="Times New Roman" w:hAnsi="Times New Roman"/>
                <w:szCs w:val="21"/>
              </w:rPr>
            </w:pPr>
            <w:r>
              <w:rPr>
                <w:rFonts w:ascii="Times New Roman" w:hAnsi="Times New Roman"/>
                <w:szCs w:val="21"/>
              </w:rPr>
              <w:t>2020</w:t>
            </w:r>
          </w:p>
        </w:tc>
        <w:tc>
          <w:tcPr>
            <w:tcW w:w="776" w:type="pct"/>
          </w:tcPr>
          <w:p w14:paraId="1FBCD097">
            <w:pPr>
              <w:spacing w:line="360" w:lineRule="exact"/>
              <w:rPr>
                <w:rFonts w:ascii="Times New Roman" w:hAnsi="Times New Roman"/>
                <w:szCs w:val="21"/>
              </w:rPr>
            </w:pPr>
            <w:r>
              <w:rPr>
                <w:rFonts w:ascii="Times New Roman" w:hAnsi="Times New Roman"/>
                <w:szCs w:val="21"/>
              </w:rPr>
              <w:t>2025年</w:t>
            </w:r>
          </w:p>
        </w:tc>
        <w:tc>
          <w:tcPr>
            <w:tcW w:w="759" w:type="pct"/>
          </w:tcPr>
          <w:p w14:paraId="51B8232E">
            <w:pPr>
              <w:spacing w:line="360" w:lineRule="exact"/>
              <w:rPr>
                <w:rFonts w:ascii="Times New Roman" w:hAnsi="Times New Roman"/>
                <w:szCs w:val="21"/>
              </w:rPr>
            </w:pPr>
            <w:r>
              <w:rPr>
                <w:rFonts w:ascii="Times New Roman" w:hAnsi="Times New Roman"/>
                <w:szCs w:val="21"/>
              </w:rPr>
              <w:t>指标类型</w:t>
            </w:r>
          </w:p>
        </w:tc>
      </w:tr>
      <w:tr w14:paraId="1D5A3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6D986FC4">
            <w:pPr>
              <w:spacing w:line="360" w:lineRule="exact"/>
              <w:rPr>
                <w:rFonts w:ascii="Times New Roman" w:hAnsi="Times New Roman"/>
                <w:szCs w:val="21"/>
              </w:rPr>
            </w:pPr>
            <w:r>
              <w:rPr>
                <w:rFonts w:ascii="Times New Roman" w:hAnsi="Times New Roman"/>
                <w:szCs w:val="21"/>
              </w:rPr>
              <w:t>1.江河堤防防洪达标率</w:t>
            </w:r>
          </w:p>
        </w:tc>
        <w:tc>
          <w:tcPr>
            <w:tcW w:w="648" w:type="pct"/>
          </w:tcPr>
          <w:p w14:paraId="418DC9D6">
            <w:pPr>
              <w:spacing w:line="360" w:lineRule="exact"/>
              <w:rPr>
                <w:rFonts w:ascii="Times New Roman" w:hAnsi="Times New Roman"/>
                <w:szCs w:val="21"/>
              </w:rPr>
            </w:pPr>
            <w:r>
              <w:rPr>
                <w:rFonts w:ascii="Times New Roman" w:hAnsi="Times New Roman"/>
                <w:szCs w:val="21"/>
              </w:rPr>
              <w:t>%</w:t>
            </w:r>
          </w:p>
        </w:tc>
        <w:tc>
          <w:tcPr>
            <w:tcW w:w="801" w:type="pct"/>
          </w:tcPr>
          <w:p w14:paraId="760B6428">
            <w:pPr>
              <w:spacing w:line="360" w:lineRule="exact"/>
              <w:rPr>
                <w:rFonts w:ascii="Times New Roman" w:hAnsi="Times New Roman"/>
                <w:szCs w:val="21"/>
              </w:rPr>
            </w:pPr>
            <w:r>
              <w:rPr>
                <w:rFonts w:ascii="Times New Roman" w:hAnsi="Times New Roman"/>
                <w:szCs w:val="21"/>
              </w:rPr>
              <w:t>[35]</w:t>
            </w:r>
          </w:p>
        </w:tc>
        <w:tc>
          <w:tcPr>
            <w:tcW w:w="776" w:type="pct"/>
          </w:tcPr>
          <w:p w14:paraId="037059FD">
            <w:pPr>
              <w:spacing w:line="360" w:lineRule="exact"/>
              <w:rPr>
                <w:rFonts w:ascii="Times New Roman" w:hAnsi="Times New Roman"/>
                <w:szCs w:val="21"/>
              </w:rPr>
            </w:pPr>
            <w:r>
              <w:rPr>
                <w:rFonts w:ascii="Times New Roman" w:hAnsi="Times New Roman"/>
                <w:szCs w:val="21"/>
              </w:rPr>
              <w:t>[45]</w:t>
            </w:r>
          </w:p>
        </w:tc>
        <w:tc>
          <w:tcPr>
            <w:tcW w:w="759" w:type="pct"/>
          </w:tcPr>
          <w:p w14:paraId="2596F357">
            <w:pPr>
              <w:spacing w:line="360" w:lineRule="exact"/>
              <w:rPr>
                <w:rFonts w:ascii="Times New Roman" w:hAnsi="Times New Roman"/>
                <w:szCs w:val="21"/>
              </w:rPr>
            </w:pPr>
            <w:r>
              <w:rPr>
                <w:rFonts w:ascii="Times New Roman" w:hAnsi="Times New Roman"/>
                <w:szCs w:val="21"/>
              </w:rPr>
              <w:t>预期性</w:t>
            </w:r>
          </w:p>
        </w:tc>
      </w:tr>
      <w:tr w14:paraId="108D8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3CBE13A8">
            <w:pPr>
              <w:spacing w:line="360" w:lineRule="exact"/>
              <w:rPr>
                <w:rFonts w:ascii="Times New Roman" w:hAnsi="Times New Roman"/>
                <w:szCs w:val="21"/>
              </w:rPr>
            </w:pPr>
            <w:r>
              <w:rPr>
                <w:rFonts w:ascii="Times New Roman" w:hAnsi="Times New Roman"/>
                <w:szCs w:val="21"/>
              </w:rPr>
              <w:t>其中城市防洪标准</w:t>
            </w:r>
          </w:p>
        </w:tc>
        <w:tc>
          <w:tcPr>
            <w:tcW w:w="648" w:type="pct"/>
          </w:tcPr>
          <w:p w14:paraId="7B50645B">
            <w:pPr>
              <w:spacing w:line="360" w:lineRule="exact"/>
              <w:rPr>
                <w:rFonts w:ascii="Times New Roman" w:hAnsi="Times New Roman"/>
                <w:szCs w:val="21"/>
              </w:rPr>
            </w:pPr>
            <w:r>
              <w:rPr>
                <w:rFonts w:ascii="Times New Roman" w:hAnsi="Times New Roman"/>
                <w:szCs w:val="21"/>
              </w:rPr>
              <w:t>年一遇</w:t>
            </w:r>
          </w:p>
        </w:tc>
        <w:tc>
          <w:tcPr>
            <w:tcW w:w="801" w:type="pct"/>
          </w:tcPr>
          <w:p w14:paraId="615CC73A">
            <w:pPr>
              <w:spacing w:line="360" w:lineRule="exact"/>
              <w:rPr>
                <w:rFonts w:ascii="Times New Roman" w:hAnsi="Times New Roman"/>
                <w:szCs w:val="21"/>
              </w:rPr>
            </w:pPr>
            <w:r>
              <w:rPr>
                <w:rFonts w:ascii="Times New Roman" w:hAnsi="Times New Roman"/>
                <w:szCs w:val="21"/>
              </w:rPr>
              <w:t>[20]</w:t>
            </w:r>
          </w:p>
        </w:tc>
        <w:tc>
          <w:tcPr>
            <w:tcW w:w="776" w:type="pct"/>
          </w:tcPr>
          <w:p w14:paraId="3099BD88">
            <w:pPr>
              <w:spacing w:line="360" w:lineRule="exact"/>
              <w:rPr>
                <w:rFonts w:ascii="Times New Roman" w:hAnsi="Times New Roman"/>
                <w:szCs w:val="21"/>
              </w:rPr>
            </w:pPr>
            <w:r>
              <w:rPr>
                <w:rFonts w:ascii="Times New Roman" w:hAnsi="Times New Roman"/>
                <w:szCs w:val="21"/>
              </w:rPr>
              <w:t>[50]</w:t>
            </w:r>
          </w:p>
        </w:tc>
        <w:tc>
          <w:tcPr>
            <w:tcW w:w="759" w:type="pct"/>
          </w:tcPr>
          <w:p w14:paraId="76B9ED38">
            <w:pPr>
              <w:spacing w:line="360" w:lineRule="exact"/>
              <w:rPr>
                <w:rFonts w:ascii="Times New Roman" w:hAnsi="Times New Roman"/>
                <w:szCs w:val="21"/>
              </w:rPr>
            </w:pPr>
            <w:r>
              <w:rPr>
                <w:rFonts w:ascii="Times New Roman" w:hAnsi="Times New Roman"/>
                <w:szCs w:val="21"/>
              </w:rPr>
              <w:t>预期性</w:t>
            </w:r>
          </w:p>
        </w:tc>
      </w:tr>
      <w:tr w14:paraId="2B2D2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2382E69A">
            <w:pPr>
              <w:spacing w:line="360" w:lineRule="exact"/>
              <w:rPr>
                <w:rFonts w:ascii="Times New Roman" w:hAnsi="Times New Roman"/>
                <w:szCs w:val="21"/>
              </w:rPr>
            </w:pPr>
            <w:r>
              <w:rPr>
                <w:rFonts w:ascii="Times New Roman" w:hAnsi="Times New Roman"/>
                <w:szCs w:val="21"/>
              </w:rPr>
              <w:t>2.用水总量控制</w:t>
            </w:r>
          </w:p>
        </w:tc>
        <w:tc>
          <w:tcPr>
            <w:tcW w:w="648" w:type="pct"/>
          </w:tcPr>
          <w:p w14:paraId="1AF59DCF">
            <w:pPr>
              <w:spacing w:line="360" w:lineRule="exact"/>
              <w:rPr>
                <w:rFonts w:ascii="Times New Roman" w:hAnsi="Times New Roman"/>
                <w:szCs w:val="21"/>
              </w:rPr>
            </w:pPr>
            <w:r>
              <w:rPr>
                <w:rFonts w:ascii="Times New Roman" w:hAnsi="Times New Roman"/>
                <w:szCs w:val="21"/>
              </w:rPr>
              <w:t>万m</w:t>
            </w:r>
            <w:r>
              <w:rPr>
                <w:rFonts w:ascii="Times New Roman" w:hAnsi="Times New Roman"/>
                <w:szCs w:val="21"/>
                <w:vertAlign w:val="superscript"/>
              </w:rPr>
              <w:t>3</w:t>
            </w:r>
          </w:p>
        </w:tc>
        <w:tc>
          <w:tcPr>
            <w:tcW w:w="801" w:type="pct"/>
          </w:tcPr>
          <w:p w14:paraId="0D13CCD0">
            <w:pPr>
              <w:spacing w:line="360" w:lineRule="exact"/>
              <w:rPr>
                <w:rFonts w:ascii="Times New Roman" w:hAnsi="Times New Roman"/>
                <w:szCs w:val="21"/>
              </w:rPr>
            </w:pPr>
            <w:r>
              <w:rPr>
                <w:rFonts w:ascii="Times New Roman" w:hAnsi="Times New Roman"/>
                <w:szCs w:val="21"/>
              </w:rPr>
              <w:t>[10900]</w:t>
            </w:r>
          </w:p>
        </w:tc>
        <w:tc>
          <w:tcPr>
            <w:tcW w:w="776" w:type="pct"/>
          </w:tcPr>
          <w:p w14:paraId="0BE50D09">
            <w:pPr>
              <w:spacing w:line="360" w:lineRule="exact"/>
              <w:rPr>
                <w:rFonts w:ascii="Times New Roman" w:hAnsi="Times New Roman"/>
                <w:szCs w:val="21"/>
              </w:rPr>
            </w:pPr>
            <w:r>
              <w:rPr>
                <w:rFonts w:ascii="Times New Roman" w:hAnsi="Times New Roman"/>
                <w:szCs w:val="21"/>
              </w:rPr>
              <w:t>[15639]</w:t>
            </w:r>
          </w:p>
        </w:tc>
        <w:tc>
          <w:tcPr>
            <w:tcW w:w="759" w:type="pct"/>
          </w:tcPr>
          <w:p w14:paraId="259200A8">
            <w:pPr>
              <w:spacing w:line="360" w:lineRule="exact"/>
              <w:rPr>
                <w:rFonts w:ascii="Times New Roman" w:hAnsi="Times New Roman"/>
                <w:szCs w:val="21"/>
              </w:rPr>
            </w:pPr>
            <w:r>
              <w:rPr>
                <w:rFonts w:ascii="Times New Roman" w:hAnsi="Times New Roman"/>
                <w:szCs w:val="21"/>
              </w:rPr>
              <w:t>约束性</w:t>
            </w:r>
          </w:p>
        </w:tc>
      </w:tr>
      <w:tr w14:paraId="7A5409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16AA5337">
            <w:pPr>
              <w:spacing w:line="360" w:lineRule="exact"/>
              <w:rPr>
                <w:rFonts w:ascii="Times New Roman" w:hAnsi="Times New Roman"/>
                <w:szCs w:val="21"/>
              </w:rPr>
            </w:pPr>
            <w:r>
              <w:rPr>
                <w:rFonts w:ascii="Times New Roman" w:hAnsi="Times New Roman"/>
                <w:szCs w:val="21"/>
              </w:rPr>
              <w:t>3.万元GDP用水量</w:t>
            </w:r>
          </w:p>
        </w:tc>
        <w:tc>
          <w:tcPr>
            <w:tcW w:w="648" w:type="pct"/>
          </w:tcPr>
          <w:p w14:paraId="101FC9B1">
            <w:pPr>
              <w:spacing w:line="360" w:lineRule="exact"/>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/万元</w:t>
            </w:r>
          </w:p>
        </w:tc>
        <w:tc>
          <w:tcPr>
            <w:tcW w:w="801" w:type="pct"/>
          </w:tcPr>
          <w:p w14:paraId="368D03FA">
            <w:pPr>
              <w:spacing w:line="360" w:lineRule="exact"/>
              <w:rPr>
                <w:rFonts w:ascii="Times New Roman" w:hAnsi="Times New Roman"/>
                <w:szCs w:val="21"/>
              </w:rPr>
            </w:pPr>
            <w:r>
              <w:rPr>
                <w:rFonts w:ascii="Times New Roman" w:hAnsi="Times New Roman"/>
                <w:szCs w:val="21"/>
              </w:rPr>
              <w:t>[31]</w:t>
            </w:r>
          </w:p>
        </w:tc>
        <w:tc>
          <w:tcPr>
            <w:tcW w:w="776" w:type="pct"/>
          </w:tcPr>
          <w:p w14:paraId="4D27A6BD">
            <w:pPr>
              <w:spacing w:line="360" w:lineRule="exact"/>
              <w:rPr>
                <w:rFonts w:ascii="Times New Roman" w:hAnsi="Times New Roman"/>
                <w:szCs w:val="21"/>
              </w:rPr>
            </w:pPr>
            <w:r>
              <w:rPr>
                <w:rFonts w:ascii="Times New Roman" w:hAnsi="Times New Roman"/>
                <w:szCs w:val="21"/>
              </w:rPr>
              <w:t xml:space="preserve"> [28]</w:t>
            </w:r>
          </w:p>
        </w:tc>
        <w:tc>
          <w:tcPr>
            <w:tcW w:w="759" w:type="pct"/>
          </w:tcPr>
          <w:p w14:paraId="234E9BCB">
            <w:pPr>
              <w:spacing w:line="360" w:lineRule="exact"/>
              <w:rPr>
                <w:rFonts w:ascii="Times New Roman" w:hAnsi="Times New Roman"/>
                <w:szCs w:val="21"/>
              </w:rPr>
            </w:pPr>
            <w:r>
              <w:rPr>
                <w:rFonts w:ascii="Times New Roman" w:hAnsi="Times New Roman"/>
                <w:szCs w:val="21"/>
              </w:rPr>
              <w:t>约束性</w:t>
            </w:r>
          </w:p>
        </w:tc>
      </w:tr>
      <w:tr w14:paraId="6D9D4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0395C165">
            <w:pPr>
              <w:spacing w:line="360" w:lineRule="exact"/>
              <w:rPr>
                <w:rFonts w:ascii="Times New Roman" w:hAnsi="Times New Roman"/>
                <w:sz w:val="18"/>
                <w:szCs w:val="18"/>
              </w:rPr>
            </w:pPr>
            <w:r>
              <w:rPr>
                <w:rFonts w:ascii="Times New Roman" w:hAnsi="Times New Roman"/>
                <w:szCs w:val="21"/>
              </w:rPr>
              <w:t>其中万元工业增加值用水量</w:t>
            </w:r>
          </w:p>
        </w:tc>
        <w:tc>
          <w:tcPr>
            <w:tcW w:w="648" w:type="pct"/>
          </w:tcPr>
          <w:p w14:paraId="32C48ED3">
            <w:pPr>
              <w:spacing w:line="360" w:lineRule="exact"/>
              <w:rPr>
                <w:rFonts w:ascii="Times New Roman" w:hAnsi="Times New Roman"/>
                <w:szCs w:val="21"/>
              </w:rPr>
            </w:pPr>
            <w:r>
              <w:rPr>
                <w:rFonts w:ascii="Times New Roman" w:hAnsi="Times New Roman"/>
                <w:szCs w:val="21"/>
              </w:rPr>
              <w:t>m</w:t>
            </w:r>
            <w:r>
              <w:rPr>
                <w:rFonts w:ascii="Times New Roman" w:hAnsi="Times New Roman"/>
                <w:szCs w:val="21"/>
                <w:vertAlign w:val="superscript"/>
              </w:rPr>
              <w:t>3</w:t>
            </w:r>
            <w:r>
              <w:rPr>
                <w:rFonts w:ascii="Times New Roman" w:hAnsi="Times New Roman"/>
                <w:szCs w:val="21"/>
              </w:rPr>
              <w:t>/万元</w:t>
            </w:r>
          </w:p>
        </w:tc>
        <w:tc>
          <w:tcPr>
            <w:tcW w:w="801" w:type="pct"/>
          </w:tcPr>
          <w:p w14:paraId="59F96885">
            <w:pPr>
              <w:spacing w:line="360" w:lineRule="exact"/>
              <w:rPr>
                <w:rFonts w:ascii="Times New Roman" w:hAnsi="Times New Roman"/>
                <w:szCs w:val="21"/>
              </w:rPr>
            </w:pPr>
            <w:r>
              <w:rPr>
                <w:rFonts w:ascii="Times New Roman" w:hAnsi="Times New Roman"/>
                <w:szCs w:val="21"/>
              </w:rPr>
              <w:t>[54]</w:t>
            </w:r>
          </w:p>
        </w:tc>
        <w:tc>
          <w:tcPr>
            <w:tcW w:w="776" w:type="pct"/>
          </w:tcPr>
          <w:p w14:paraId="1029925F">
            <w:pPr>
              <w:spacing w:line="360" w:lineRule="exact"/>
              <w:rPr>
                <w:rFonts w:ascii="Times New Roman" w:hAnsi="Times New Roman"/>
                <w:szCs w:val="21"/>
              </w:rPr>
            </w:pPr>
            <w:r>
              <w:rPr>
                <w:rFonts w:ascii="Times New Roman" w:hAnsi="Times New Roman"/>
                <w:szCs w:val="21"/>
              </w:rPr>
              <w:t xml:space="preserve"> [49]</w:t>
            </w:r>
          </w:p>
        </w:tc>
        <w:tc>
          <w:tcPr>
            <w:tcW w:w="759" w:type="pct"/>
          </w:tcPr>
          <w:p w14:paraId="478378A5">
            <w:pPr>
              <w:spacing w:line="360" w:lineRule="exact"/>
              <w:rPr>
                <w:rFonts w:ascii="Times New Roman" w:hAnsi="Times New Roman"/>
                <w:szCs w:val="21"/>
              </w:rPr>
            </w:pPr>
            <w:r>
              <w:rPr>
                <w:rFonts w:ascii="Times New Roman" w:hAnsi="Times New Roman"/>
                <w:szCs w:val="21"/>
              </w:rPr>
              <w:t>约束性</w:t>
            </w:r>
          </w:p>
        </w:tc>
      </w:tr>
      <w:tr w14:paraId="73647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286570FF">
            <w:pPr>
              <w:spacing w:line="360" w:lineRule="exact"/>
              <w:rPr>
                <w:rFonts w:ascii="Times New Roman" w:hAnsi="Times New Roman"/>
                <w:szCs w:val="21"/>
              </w:rPr>
            </w:pPr>
            <w:r>
              <w:rPr>
                <w:rFonts w:ascii="Times New Roman" w:hAnsi="Times New Roman"/>
                <w:szCs w:val="21"/>
              </w:rPr>
              <w:t>4灌溉水利用系数</w:t>
            </w:r>
          </w:p>
        </w:tc>
        <w:tc>
          <w:tcPr>
            <w:tcW w:w="648" w:type="pct"/>
          </w:tcPr>
          <w:p w14:paraId="4D2B76B1">
            <w:pPr>
              <w:spacing w:line="360" w:lineRule="exact"/>
              <w:rPr>
                <w:rFonts w:ascii="Times New Roman" w:hAnsi="Times New Roman"/>
                <w:szCs w:val="21"/>
              </w:rPr>
            </w:pPr>
            <w:r>
              <w:rPr>
                <w:rFonts w:ascii="Times New Roman" w:hAnsi="Times New Roman"/>
                <w:szCs w:val="21"/>
              </w:rPr>
              <w:t>/</w:t>
            </w:r>
          </w:p>
        </w:tc>
        <w:tc>
          <w:tcPr>
            <w:tcW w:w="801" w:type="pct"/>
          </w:tcPr>
          <w:p w14:paraId="27411277">
            <w:pPr>
              <w:spacing w:line="360" w:lineRule="exact"/>
              <w:rPr>
                <w:rFonts w:ascii="Times New Roman" w:hAnsi="Times New Roman"/>
                <w:szCs w:val="21"/>
              </w:rPr>
            </w:pPr>
            <w:r>
              <w:rPr>
                <w:rFonts w:ascii="Times New Roman" w:hAnsi="Times New Roman"/>
                <w:szCs w:val="21"/>
              </w:rPr>
              <w:t>[0.537]</w:t>
            </w:r>
          </w:p>
        </w:tc>
        <w:tc>
          <w:tcPr>
            <w:tcW w:w="776" w:type="pct"/>
          </w:tcPr>
          <w:p w14:paraId="3F5D3752">
            <w:pPr>
              <w:spacing w:line="360" w:lineRule="exact"/>
              <w:rPr>
                <w:rFonts w:ascii="Times New Roman" w:hAnsi="Times New Roman"/>
                <w:szCs w:val="21"/>
              </w:rPr>
            </w:pPr>
            <w:r>
              <w:rPr>
                <w:rFonts w:ascii="Times New Roman" w:hAnsi="Times New Roman"/>
                <w:szCs w:val="21"/>
              </w:rPr>
              <w:t xml:space="preserve"> [0.55]</w:t>
            </w:r>
          </w:p>
        </w:tc>
        <w:tc>
          <w:tcPr>
            <w:tcW w:w="759" w:type="pct"/>
          </w:tcPr>
          <w:p w14:paraId="5821F66A">
            <w:pPr>
              <w:spacing w:line="360" w:lineRule="exact"/>
              <w:rPr>
                <w:rFonts w:ascii="Times New Roman" w:hAnsi="Times New Roman"/>
                <w:szCs w:val="21"/>
              </w:rPr>
            </w:pPr>
            <w:r>
              <w:rPr>
                <w:rFonts w:ascii="Times New Roman" w:hAnsi="Times New Roman"/>
                <w:szCs w:val="21"/>
              </w:rPr>
              <w:t>预期性</w:t>
            </w:r>
          </w:p>
        </w:tc>
      </w:tr>
      <w:tr w14:paraId="1E677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0110975E">
            <w:pPr>
              <w:spacing w:line="360" w:lineRule="exact"/>
              <w:rPr>
                <w:rFonts w:ascii="Times New Roman" w:hAnsi="Times New Roman"/>
                <w:szCs w:val="21"/>
              </w:rPr>
            </w:pPr>
            <w:r>
              <w:rPr>
                <w:rFonts w:ascii="Times New Roman" w:hAnsi="Times New Roman"/>
                <w:szCs w:val="21"/>
              </w:rPr>
              <w:t>5.新增年供水能力</w:t>
            </w:r>
          </w:p>
        </w:tc>
        <w:tc>
          <w:tcPr>
            <w:tcW w:w="648" w:type="pct"/>
          </w:tcPr>
          <w:p w14:paraId="1E0C2714">
            <w:pPr>
              <w:spacing w:line="360" w:lineRule="exact"/>
              <w:rPr>
                <w:rFonts w:ascii="Times New Roman" w:hAnsi="Times New Roman"/>
                <w:szCs w:val="21"/>
              </w:rPr>
            </w:pPr>
            <w:r>
              <w:rPr>
                <w:rFonts w:ascii="Times New Roman" w:hAnsi="Times New Roman"/>
                <w:szCs w:val="21"/>
              </w:rPr>
              <w:t>万m</w:t>
            </w:r>
            <w:r>
              <w:rPr>
                <w:rFonts w:ascii="Times New Roman" w:hAnsi="Times New Roman"/>
                <w:szCs w:val="21"/>
                <w:vertAlign w:val="superscript"/>
              </w:rPr>
              <w:t>3</w:t>
            </w:r>
          </w:p>
        </w:tc>
        <w:tc>
          <w:tcPr>
            <w:tcW w:w="801" w:type="pct"/>
          </w:tcPr>
          <w:p w14:paraId="015E8B25">
            <w:pPr>
              <w:spacing w:line="360" w:lineRule="exact"/>
              <w:rPr>
                <w:rFonts w:ascii="Times New Roman" w:hAnsi="Times New Roman"/>
                <w:szCs w:val="21"/>
              </w:rPr>
            </w:pPr>
            <w:r>
              <w:rPr>
                <w:rFonts w:ascii="Times New Roman" w:hAnsi="Times New Roman"/>
                <w:szCs w:val="21"/>
              </w:rPr>
              <w:t>——</w:t>
            </w:r>
          </w:p>
        </w:tc>
        <w:tc>
          <w:tcPr>
            <w:tcW w:w="776" w:type="pct"/>
          </w:tcPr>
          <w:p w14:paraId="65532C67">
            <w:pPr>
              <w:spacing w:line="360" w:lineRule="exact"/>
              <w:rPr>
                <w:rFonts w:ascii="Times New Roman" w:hAnsi="Times New Roman"/>
                <w:szCs w:val="21"/>
              </w:rPr>
            </w:pPr>
            <w:r>
              <w:rPr>
                <w:rFonts w:ascii="Times New Roman" w:hAnsi="Times New Roman"/>
                <w:szCs w:val="21"/>
              </w:rPr>
              <w:t>3100</w:t>
            </w:r>
          </w:p>
        </w:tc>
        <w:tc>
          <w:tcPr>
            <w:tcW w:w="759" w:type="pct"/>
          </w:tcPr>
          <w:p w14:paraId="0DF29186">
            <w:pPr>
              <w:spacing w:line="360" w:lineRule="exact"/>
              <w:rPr>
                <w:rFonts w:ascii="Times New Roman" w:hAnsi="Times New Roman"/>
                <w:szCs w:val="21"/>
              </w:rPr>
            </w:pPr>
            <w:r>
              <w:rPr>
                <w:rFonts w:ascii="Times New Roman" w:hAnsi="Times New Roman"/>
                <w:szCs w:val="21"/>
              </w:rPr>
              <w:t>预期性</w:t>
            </w:r>
          </w:p>
        </w:tc>
      </w:tr>
      <w:tr w14:paraId="1191C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741CC8C7">
            <w:pPr>
              <w:spacing w:line="360" w:lineRule="exact"/>
              <w:rPr>
                <w:rFonts w:ascii="Times New Roman" w:hAnsi="Times New Roman"/>
                <w:szCs w:val="21"/>
              </w:rPr>
            </w:pPr>
            <w:r>
              <w:rPr>
                <w:rFonts w:ascii="Times New Roman" w:hAnsi="Times New Roman"/>
                <w:szCs w:val="21"/>
              </w:rPr>
              <w:t>6.农村供水安全</w:t>
            </w:r>
          </w:p>
        </w:tc>
        <w:tc>
          <w:tcPr>
            <w:tcW w:w="648" w:type="pct"/>
          </w:tcPr>
          <w:p w14:paraId="0EB84B67">
            <w:pPr>
              <w:spacing w:line="360" w:lineRule="exact"/>
              <w:rPr>
                <w:rFonts w:ascii="Times New Roman" w:hAnsi="Times New Roman"/>
                <w:szCs w:val="21"/>
              </w:rPr>
            </w:pPr>
          </w:p>
        </w:tc>
        <w:tc>
          <w:tcPr>
            <w:tcW w:w="801" w:type="pct"/>
          </w:tcPr>
          <w:p w14:paraId="56356E32">
            <w:pPr>
              <w:spacing w:line="360" w:lineRule="exact"/>
              <w:rPr>
                <w:rFonts w:ascii="Times New Roman" w:hAnsi="Times New Roman"/>
                <w:szCs w:val="21"/>
              </w:rPr>
            </w:pPr>
          </w:p>
        </w:tc>
        <w:tc>
          <w:tcPr>
            <w:tcW w:w="776" w:type="pct"/>
          </w:tcPr>
          <w:p w14:paraId="212C1369">
            <w:pPr>
              <w:spacing w:line="360" w:lineRule="exact"/>
              <w:rPr>
                <w:rFonts w:ascii="Times New Roman" w:hAnsi="Times New Roman"/>
                <w:szCs w:val="21"/>
              </w:rPr>
            </w:pPr>
          </w:p>
        </w:tc>
        <w:tc>
          <w:tcPr>
            <w:tcW w:w="759" w:type="pct"/>
          </w:tcPr>
          <w:p w14:paraId="2F921A5D">
            <w:pPr>
              <w:spacing w:line="360" w:lineRule="exact"/>
              <w:rPr>
                <w:rFonts w:ascii="Times New Roman" w:hAnsi="Times New Roman"/>
                <w:szCs w:val="21"/>
              </w:rPr>
            </w:pPr>
          </w:p>
        </w:tc>
      </w:tr>
      <w:tr w14:paraId="7749E0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6028EBF2">
            <w:pPr>
              <w:spacing w:line="360" w:lineRule="exact"/>
              <w:rPr>
                <w:rFonts w:ascii="Times New Roman" w:hAnsi="Times New Roman"/>
                <w:szCs w:val="21"/>
              </w:rPr>
            </w:pPr>
            <w:r>
              <w:rPr>
                <w:rFonts w:ascii="Times New Roman" w:hAnsi="Times New Roman"/>
                <w:szCs w:val="21"/>
              </w:rPr>
              <w:t>农村集中供水率</w:t>
            </w:r>
          </w:p>
        </w:tc>
        <w:tc>
          <w:tcPr>
            <w:tcW w:w="648" w:type="pct"/>
          </w:tcPr>
          <w:p w14:paraId="6CB89CF5">
            <w:pPr>
              <w:spacing w:line="360" w:lineRule="exact"/>
              <w:rPr>
                <w:rFonts w:ascii="Times New Roman" w:hAnsi="Times New Roman"/>
                <w:szCs w:val="21"/>
              </w:rPr>
            </w:pPr>
            <w:r>
              <w:rPr>
                <w:rFonts w:ascii="Times New Roman" w:hAnsi="Times New Roman"/>
                <w:szCs w:val="21"/>
              </w:rPr>
              <w:t>%</w:t>
            </w:r>
          </w:p>
        </w:tc>
        <w:tc>
          <w:tcPr>
            <w:tcW w:w="801" w:type="pct"/>
          </w:tcPr>
          <w:p w14:paraId="3BB918AB">
            <w:pPr>
              <w:spacing w:line="360" w:lineRule="exact"/>
              <w:rPr>
                <w:rFonts w:ascii="Times New Roman" w:hAnsi="Times New Roman"/>
                <w:szCs w:val="21"/>
              </w:rPr>
            </w:pPr>
            <w:r>
              <w:rPr>
                <w:rFonts w:ascii="Times New Roman" w:hAnsi="Times New Roman"/>
                <w:szCs w:val="21"/>
              </w:rPr>
              <w:t>[90.69]</w:t>
            </w:r>
          </w:p>
        </w:tc>
        <w:tc>
          <w:tcPr>
            <w:tcW w:w="776" w:type="pct"/>
          </w:tcPr>
          <w:p w14:paraId="20A879CB">
            <w:pPr>
              <w:spacing w:line="360" w:lineRule="exact"/>
              <w:rPr>
                <w:rFonts w:ascii="Times New Roman" w:hAnsi="Times New Roman"/>
                <w:szCs w:val="21"/>
              </w:rPr>
            </w:pPr>
            <w:r>
              <w:rPr>
                <w:rFonts w:ascii="Times New Roman" w:hAnsi="Times New Roman"/>
                <w:szCs w:val="21"/>
              </w:rPr>
              <w:t>[92.14]</w:t>
            </w:r>
          </w:p>
        </w:tc>
        <w:tc>
          <w:tcPr>
            <w:tcW w:w="759" w:type="pct"/>
          </w:tcPr>
          <w:p w14:paraId="7811D62F">
            <w:pPr>
              <w:spacing w:line="360" w:lineRule="exact"/>
              <w:rPr>
                <w:rFonts w:ascii="Times New Roman" w:hAnsi="Times New Roman"/>
                <w:szCs w:val="21"/>
              </w:rPr>
            </w:pPr>
            <w:r>
              <w:rPr>
                <w:rFonts w:ascii="Times New Roman" w:hAnsi="Times New Roman"/>
                <w:szCs w:val="21"/>
              </w:rPr>
              <w:t>预期性</w:t>
            </w:r>
          </w:p>
        </w:tc>
      </w:tr>
      <w:tr w14:paraId="7D1F3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27FB29A1">
            <w:pPr>
              <w:spacing w:line="360" w:lineRule="exact"/>
              <w:rPr>
                <w:rFonts w:ascii="Times New Roman" w:hAnsi="Times New Roman"/>
                <w:szCs w:val="21"/>
              </w:rPr>
            </w:pPr>
            <w:r>
              <w:rPr>
                <w:rFonts w:ascii="Times New Roman" w:hAnsi="Times New Roman"/>
                <w:szCs w:val="21"/>
              </w:rPr>
              <w:t>规模化供水服务人口比例</w:t>
            </w:r>
          </w:p>
        </w:tc>
        <w:tc>
          <w:tcPr>
            <w:tcW w:w="648" w:type="pct"/>
          </w:tcPr>
          <w:p w14:paraId="327E57AD">
            <w:pPr>
              <w:spacing w:line="360" w:lineRule="exact"/>
              <w:rPr>
                <w:rFonts w:ascii="Times New Roman" w:hAnsi="Times New Roman"/>
                <w:szCs w:val="21"/>
              </w:rPr>
            </w:pPr>
            <w:r>
              <w:rPr>
                <w:rFonts w:ascii="Times New Roman" w:hAnsi="Times New Roman"/>
                <w:szCs w:val="21"/>
              </w:rPr>
              <w:t>%</w:t>
            </w:r>
          </w:p>
        </w:tc>
        <w:tc>
          <w:tcPr>
            <w:tcW w:w="801" w:type="pct"/>
          </w:tcPr>
          <w:p w14:paraId="61A6A73A">
            <w:pPr>
              <w:spacing w:line="360" w:lineRule="exact"/>
              <w:rPr>
                <w:rFonts w:ascii="Times New Roman" w:hAnsi="Times New Roman"/>
                <w:szCs w:val="21"/>
              </w:rPr>
            </w:pPr>
            <w:r>
              <w:rPr>
                <w:rFonts w:ascii="Times New Roman" w:hAnsi="Times New Roman"/>
                <w:szCs w:val="21"/>
              </w:rPr>
              <w:t>[25.83]</w:t>
            </w:r>
          </w:p>
        </w:tc>
        <w:tc>
          <w:tcPr>
            <w:tcW w:w="776" w:type="pct"/>
          </w:tcPr>
          <w:p w14:paraId="50699BDA">
            <w:pPr>
              <w:spacing w:line="360" w:lineRule="exact"/>
              <w:rPr>
                <w:rFonts w:ascii="Times New Roman" w:hAnsi="Times New Roman"/>
                <w:szCs w:val="21"/>
              </w:rPr>
            </w:pPr>
            <w:r>
              <w:rPr>
                <w:rFonts w:ascii="Times New Roman" w:hAnsi="Times New Roman"/>
                <w:szCs w:val="21"/>
              </w:rPr>
              <w:t>[51.39]</w:t>
            </w:r>
          </w:p>
        </w:tc>
        <w:tc>
          <w:tcPr>
            <w:tcW w:w="759" w:type="pct"/>
          </w:tcPr>
          <w:p w14:paraId="4982A95F">
            <w:pPr>
              <w:spacing w:line="360" w:lineRule="exact"/>
              <w:rPr>
                <w:rFonts w:ascii="Times New Roman" w:hAnsi="Times New Roman"/>
                <w:szCs w:val="21"/>
              </w:rPr>
            </w:pPr>
            <w:r>
              <w:rPr>
                <w:rFonts w:ascii="Times New Roman" w:hAnsi="Times New Roman"/>
                <w:szCs w:val="21"/>
              </w:rPr>
              <w:t>预期性</w:t>
            </w:r>
          </w:p>
        </w:tc>
      </w:tr>
      <w:tr w14:paraId="4D83C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70541842">
            <w:pPr>
              <w:spacing w:line="360" w:lineRule="exact"/>
              <w:rPr>
                <w:rFonts w:ascii="Times New Roman" w:hAnsi="Times New Roman"/>
                <w:szCs w:val="21"/>
              </w:rPr>
            </w:pPr>
            <w:r>
              <w:rPr>
                <w:rFonts w:ascii="Times New Roman" w:hAnsi="Times New Roman"/>
                <w:szCs w:val="21"/>
              </w:rPr>
              <w:t>自来水普及率</w:t>
            </w:r>
          </w:p>
        </w:tc>
        <w:tc>
          <w:tcPr>
            <w:tcW w:w="648" w:type="pct"/>
          </w:tcPr>
          <w:p w14:paraId="3E669128">
            <w:pPr>
              <w:spacing w:line="360" w:lineRule="exact"/>
              <w:rPr>
                <w:rFonts w:ascii="Times New Roman" w:hAnsi="Times New Roman"/>
                <w:szCs w:val="21"/>
              </w:rPr>
            </w:pPr>
            <w:r>
              <w:rPr>
                <w:rFonts w:ascii="Times New Roman" w:hAnsi="Times New Roman"/>
                <w:szCs w:val="21"/>
              </w:rPr>
              <w:t>%</w:t>
            </w:r>
          </w:p>
        </w:tc>
        <w:tc>
          <w:tcPr>
            <w:tcW w:w="801" w:type="pct"/>
          </w:tcPr>
          <w:p w14:paraId="764A098C">
            <w:pPr>
              <w:spacing w:line="360" w:lineRule="exact"/>
              <w:jc w:val="center"/>
              <w:rPr>
                <w:rFonts w:ascii="Times New Roman" w:hAnsi="Times New Roman"/>
                <w:szCs w:val="21"/>
              </w:rPr>
            </w:pPr>
            <w:r>
              <w:rPr>
                <w:rFonts w:ascii="Times New Roman" w:hAnsi="Times New Roman"/>
                <w:szCs w:val="21"/>
              </w:rPr>
              <w:t>[/]</w:t>
            </w:r>
          </w:p>
        </w:tc>
        <w:tc>
          <w:tcPr>
            <w:tcW w:w="776" w:type="pct"/>
          </w:tcPr>
          <w:p w14:paraId="00262A65">
            <w:pPr>
              <w:spacing w:line="360" w:lineRule="exact"/>
              <w:rPr>
                <w:rFonts w:ascii="Times New Roman" w:hAnsi="Times New Roman"/>
                <w:szCs w:val="21"/>
              </w:rPr>
            </w:pPr>
            <w:r>
              <w:rPr>
                <w:rFonts w:ascii="Times New Roman" w:hAnsi="Times New Roman"/>
                <w:szCs w:val="21"/>
              </w:rPr>
              <w:t>[89.08]</w:t>
            </w:r>
          </w:p>
        </w:tc>
        <w:tc>
          <w:tcPr>
            <w:tcW w:w="759" w:type="pct"/>
          </w:tcPr>
          <w:p w14:paraId="545EF2DE">
            <w:pPr>
              <w:spacing w:line="360" w:lineRule="exact"/>
              <w:rPr>
                <w:rFonts w:ascii="Times New Roman" w:hAnsi="Times New Roman"/>
                <w:szCs w:val="21"/>
              </w:rPr>
            </w:pPr>
          </w:p>
        </w:tc>
      </w:tr>
      <w:tr w14:paraId="588459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21A59FDF">
            <w:pPr>
              <w:spacing w:line="360" w:lineRule="exact"/>
              <w:rPr>
                <w:rFonts w:ascii="Times New Roman" w:hAnsi="Times New Roman"/>
                <w:szCs w:val="21"/>
              </w:rPr>
            </w:pPr>
            <w:r>
              <w:rPr>
                <w:rFonts w:ascii="Times New Roman" w:hAnsi="Times New Roman"/>
                <w:szCs w:val="21"/>
              </w:rPr>
              <w:t>7.水土保持率</w:t>
            </w:r>
          </w:p>
        </w:tc>
        <w:tc>
          <w:tcPr>
            <w:tcW w:w="648" w:type="pct"/>
          </w:tcPr>
          <w:p w14:paraId="0AD6894D">
            <w:pPr>
              <w:spacing w:line="360" w:lineRule="exact"/>
              <w:rPr>
                <w:rFonts w:ascii="Times New Roman" w:hAnsi="Times New Roman"/>
                <w:szCs w:val="21"/>
              </w:rPr>
            </w:pPr>
            <w:r>
              <w:rPr>
                <w:rFonts w:ascii="Times New Roman" w:hAnsi="Times New Roman"/>
                <w:szCs w:val="21"/>
              </w:rPr>
              <w:t>%</w:t>
            </w:r>
          </w:p>
        </w:tc>
        <w:tc>
          <w:tcPr>
            <w:tcW w:w="801" w:type="pct"/>
          </w:tcPr>
          <w:p w14:paraId="775BE4EC">
            <w:pPr>
              <w:spacing w:line="360" w:lineRule="exact"/>
              <w:rPr>
                <w:rFonts w:ascii="Times New Roman" w:hAnsi="Times New Roman"/>
                <w:szCs w:val="21"/>
              </w:rPr>
            </w:pPr>
            <w:r>
              <w:rPr>
                <w:rFonts w:ascii="Times New Roman" w:hAnsi="Times New Roman"/>
                <w:szCs w:val="21"/>
              </w:rPr>
              <w:t>[56.32]</w:t>
            </w:r>
          </w:p>
        </w:tc>
        <w:tc>
          <w:tcPr>
            <w:tcW w:w="776" w:type="pct"/>
          </w:tcPr>
          <w:p w14:paraId="011A7BB1">
            <w:pPr>
              <w:spacing w:line="360" w:lineRule="exact"/>
              <w:rPr>
                <w:rFonts w:ascii="Times New Roman" w:hAnsi="Times New Roman"/>
                <w:szCs w:val="21"/>
              </w:rPr>
            </w:pPr>
            <w:r>
              <w:rPr>
                <w:rFonts w:ascii="Times New Roman" w:hAnsi="Times New Roman"/>
                <w:szCs w:val="21"/>
              </w:rPr>
              <w:t xml:space="preserve"> [60]</w:t>
            </w:r>
          </w:p>
        </w:tc>
        <w:tc>
          <w:tcPr>
            <w:tcW w:w="759" w:type="pct"/>
          </w:tcPr>
          <w:p w14:paraId="042BEFBF">
            <w:pPr>
              <w:spacing w:line="360" w:lineRule="exact"/>
              <w:rPr>
                <w:rFonts w:ascii="Times New Roman" w:hAnsi="Times New Roman"/>
                <w:szCs w:val="21"/>
              </w:rPr>
            </w:pPr>
            <w:r>
              <w:rPr>
                <w:rFonts w:ascii="Times New Roman" w:hAnsi="Times New Roman"/>
                <w:szCs w:val="21"/>
              </w:rPr>
              <w:t>预期性</w:t>
            </w:r>
          </w:p>
        </w:tc>
      </w:tr>
      <w:tr w14:paraId="79218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014" w:type="pct"/>
          </w:tcPr>
          <w:p w14:paraId="5141CECD">
            <w:pPr>
              <w:spacing w:line="360" w:lineRule="exact"/>
              <w:rPr>
                <w:rFonts w:ascii="Times New Roman" w:hAnsi="Times New Roman"/>
                <w:szCs w:val="21"/>
              </w:rPr>
            </w:pPr>
            <w:r>
              <w:rPr>
                <w:rFonts w:ascii="Times New Roman" w:hAnsi="Times New Roman"/>
                <w:szCs w:val="21"/>
              </w:rPr>
              <w:t>8.重要河湖水域岸线监管率</w:t>
            </w:r>
          </w:p>
        </w:tc>
        <w:tc>
          <w:tcPr>
            <w:tcW w:w="648" w:type="pct"/>
          </w:tcPr>
          <w:p w14:paraId="616DB6FD">
            <w:pPr>
              <w:spacing w:line="360" w:lineRule="exact"/>
              <w:rPr>
                <w:rFonts w:ascii="Times New Roman" w:hAnsi="Times New Roman"/>
                <w:szCs w:val="21"/>
              </w:rPr>
            </w:pPr>
            <w:r>
              <w:rPr>
                <w:rFonts w:ascii="Times New Roman" w:hAnsi="Times New Roman"/>
                <w:szCs w:val="21"/>
              </w:rPr>
              <w:t>%</w:t>
            </w:r>
          </w:p>
        </w:tc>
        <w:tc>
          <w:tcPr>
            <w:tcW w:w="801" w:type="pct"/>
          </w:tcPr>
          <w:p w14:paraId="6554E05F">
            <w:pPr>
              <w:spacing w:line="360" w:lineRule="exact"/>
              <w:rPr>
                <w:rFonts w:ascii="Times New Roman" w:hAnsi="Times New Roman"/>
                <w:szCs w:val="21"/>
              </w:rPr>
            </w:pPr>
            <w:r>
              <w:rPr>
                <w:rFonts w:ascii="Times New Roman" w:hAnsi="Times New Roman"/>
                <w:szCs w:val="21"/>
              </w:rPr>
              <w:t>&lt;50</w:t>
            </w:r>
          </w:p>
        </w:tc>
        <w:tc>
          <w:tcPr>
            <w:tcW w:w="776" w:type="pct"/>
          </w:tcPr>
          <w:p w14:paraId="5098A234">
            <w:pPr>
              <w:spacing w:line="360" w:lineRule="exact"/>
              <w:rPr>
                <w:rFonts w:ascii="Times New Roman" w:hAnsi="Times New Roman"/>
                <w:szCs w:val="21"/>
              </w:rPr>
            </w:pPr>
            <w:r>
              <w:rPr>
                <w:rFonts w:ascii="Times New Roman" w:hAnsi="Times New Roman"/>
                <w:szCs w:val="21"/>
              </w:rPr>
              <w:t>100%</w:t>
            </w:r>
          </w:p>
        </w:tc>
        <w:tc>
          <w:tcPr>
            <w:tcW w:w="759" w:type="pct"/>
          </w:tcPr>
          <w:p w14:paraId="3EB021FC">
            <w:pPr>
              <w:spacing w:line="360" w:lineRule="exact"/>
              <w:rPr>
                <w:rFonts w:ascii="Times New Roman" w:hAnsi="Times New Roman"/>
                <w:szCs w:val="21"/>
              </w:rPr>
            </w:pPr>
            <w:r>
              <w:rPr>
                <w:rFonts w:ascii="Times New Roman" w:hAnsi="Times New Roman"/>
                <w:szCs w:val="21"/>
              </w:rPr>
              <w:t>约束性</w:t>
            </w:r>
          </w:p>
        </w:tc>
      </w:tr>
    </w:tbl>
    <w:p w14:paraId="3449A9A9">
      <w:pPr>
        <w:spacing w:line="520" w:lineRule="exact"/>
        <w:ind w:firstLine="480" w:firstLineChars="200"/>
        <w:rPr>
          <w:rFonts w:ascii="Times New Roman" w:hAnsi="Times New Roman" w:eastAsia="楷体"/>
          <w:sz w:val="24"/>
          <w:szCs w:val="24"/>
        </w:rPr>
      </w:pPr>
      <w:r>
        <w:rPr>
          <w:rFonts w:ascii="Times New Roman" w:hAnsi="Times New Roman" w:eastAsia="楷体"/>
          <w:sz w:val="24"/>
          <w:szCs w:val="24"/>
        </w:rPr>
        <w:t>注：1.表中[ ]内为期末达到数，其余为5年累计数；</w:t>
      </w:r>
    </w:p>
    <w:p w14:paraId="467CF989">
      <w:pPr>
        <w:spacing w:line="520" w:lineRule="exact"/>
        <w:ind w:firstLine="960" w:firstLineChars="400"/>
        <w:rPr>
          <w:rFonts w:ascii="Times New Roman" w:hAnsi="Times New Roman" w:eastAsia="楷体"/>
          <w:sz w:val="24"/>
          <w:szCs w:val="24"/>
        </w:rPr>
      </w:pPr>
      <w:r>
        <w:rPr>
          <w:rFonts w:ascii="Times New Roman" w:hAnsi="Times New Roman" w:eastAsia="楷体"/>
          <w:sz w:val="24"/>
          <w:szCs w:val="24"/>
        </w:rPr>
        <w:t>2.江河堤防达标率：是指5级及以上堤防长度中达标堤防长度占比；</w:t>
      </w:r>
    </w:p>
    <w:p w14:paraId="59F14597">
      <w:pPr>
        <w:spacing w:line="520" w:lineRule="exact"/>
        <w:ind w:firstLine="960" w:firstLineChars="400"/>
        <w:rPr>
          <w:rFonts w:ascii="Times New Roman" w:hAnsi="Times New Roman" w:eastAsia="楷体"/>
          <w:sz w:val="24"/>
          <w:szCs w:val="24"/>
        </w:rPr>
      </w:pPr>
      <w:r>
        <w:rPr>
          <w:rFonts w:ascii="Times New Roman" w:hAnsi="Times New Roman" w:eastAsia="楷体"/>
          <w:sz w:val="24"/>
          <w:szCs w:val="24"/>
        </w:rPr>
        <w:t>3.农村集中供水率：指由集中供水工程服务人口占农村总人口的比例（集中供水工程：服务人口大于等于100人的供水工程）；</w:t>
      </w:r>
    </w:p>
    <w:p w14:paraId="0DBC4022">
      <w:pPr>
        <w:spacing w:line="520" w:lineRule="exact"/>
        <w:ind w:firstLine="960" w:firstLineChars="400"/>
        <w:rPr>
          <w:rFonts w:ascii="Times New Roman" w:hAnsi="Times New Roman" w:eastAsia="楷体"/>
          <w:sz w:val="24"/>
          <w:szCs w:val="24"/>
        </w:rPr>
      </w:pPr>
      <w:r>
        <w:rPr>
          <w:rFonts w:ascii="Times New Roman" w:hAnsi="Times New Roman" w:eastAsia="楷体"/>
          <w:sz w:val="24"/>
          <w:szCs w:val="24"/>
        </w:rPr>
        <w:t>4.规模化供水服务人口比例：指由规模化供水工程服务人口占农村总人口的比例（规模化供水工程：服务人口大于等于10000人的供水工程）；</w:t>
      </w:r>
    </w:p>
    <w:p w14:paraId="70D7A4AE">
      <w:pPr>
        <w:spacing w:line="520" w:lineRule="exact"/>
        <w:ind w:firstLine="960" w:firstLineChars="400"/>
        <w:rPr>
          <w:rFonts w:ascii="Times New Roman" w:hAnsi="Times New Roman" w:eastAsia="楷体"/>
          <w:sz w:val="24"/>
          <w:szCs w:val="24"/>
        </w:rPr>
      </w:pPr>
      <w:r>
        <w:rPr>
          <w:rFonts w:ascii="Times New Roman" w:hAnsi="Times New Roman" w:eastAsia="楷体"/>
          <w:sz w:val="24"/>
          <w:szCs w:val="24"/>
        </w:rPr>
        <w:t>5.水土保持率：水土保持率是指区域内水土保持状况良好的面积占区域国土面积的比例。</w:t>
      </w:r>
    </w:p>
    <w:p w14:paraId="6B2C2BE2">
      <w:pPr>
        <w:pStyle w:val="4"/>
        <w:numPr>
          <w:ilvl w:val="0"/>
          <w:numId w:val="0"/>
        </w:numPr>
        <w:spacing w:before="0" w:after="0" w:line="360" w:lineRule="auto"/>
        <w:jc w:val="left"/>
        <w:rPr>
          <w:rFonts w:ascii="Times New Roman" w:hAnsi="Times New Roman" w:eastAsia="方正仿宋_GBK"/>
          <w:spacing w:val="6"/>
          <w:szCs w:val="32"/>
        </w:rPr>
      </w:pPr>
      <w:bookmarkStart w:id="60" w:name="_Toc17651"/>
      <w:bookmarkStart w:id="61" w:name="_Toc92995419"/>
      <w:bookmarkStart w:id="62" w:name="_Toc27002"/>
      <w:r>
        <w:rPr>
          <w:rFonts w:ascii="Times New Roman" w:hAnsi="Times New Roman" w:eastAsia="方正仿宋_GBK"/>
          <w:spacing w:val="6"/>
          <w:szCs w:val="32"/>
        </w:rPr>
        <w:t>3.4 总体布局</w:t>
      </w:r>
      <w:bookmarkEnd w:id="60"/>
      <w:bookmarkEnd w:id="61"/>
      <w:bookmarkEnd w:id="62"/>
    </w:p>
    <w:p w14:paraId="13C0F611">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从国家战略角度看，县级水利发展，</w:t>
      </w:r>
      <w:r>
        <w:rPr>
          <w:rFonts w:ascii="Times New Roman" w:hAnsi="Times New Roman" w:eastAsia="楷体"/>
          <w:sz w:val="28"/>
          <w:szCs w:val="28"/>
        </w:rPr>
        <w:t>要全力支撑长江经济带发展、一带一路、成渝双城经济圈等国家重大发展战略，按照“共抓大保护、不搞大开发”的要求，以协同推进生态保护促进经济高质量发展为重点，推动奉节加快建设成为区域生态优先绿色发展先行示范区。</w:t>
      </w:r>
    </w:p>
    <w:p w14:paraId="5734577A">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从市级发展要求看，</w:t>
      </w:r>
      <w:r>
        <w:rPr>
          <w:rFonts w:ascii="Times New Roman" w:hAnsi="Times New Roman" w:eastAsia="楷体"/>
          <w:sz w:val="28"/>
          <w:szCs w:val="28"/>
        </w:rPr>
        <w:t>要遵循全市水利发展提出的“</w:t>
      </w:r>
      <w:r>
        <w:rPr>
          <w:rFonts w:ascii="Times New Roman" w:hAnsi="Times New Roman" w:eastAsia="楷体"/>
          <w:b/>
          <w:bCs/>
          <w:sz w:val="28"/>
          <w:szCs w:val="28"/>
        </w:rPr>
        <w:t>一核两网、百库千川</w:t>
      </w:r>
      <w:r>
        <w:rPr>
          <w:rStyle w:val="35"/>
          <w:rFonts w:ascii="Times New Roman" w:hAnsi="Times New Roman" w:eastAsia="楷体"/>
          <w:sz w:val="28"/>
          <w:szCs w:val="28"/>
        </w:rPr>
        <w:footnoteReference w:id="2"/>
      </w:r>
      <w:r>
        <w:rPr>
          <w:rFonts w:ascii="Times New Roman" w:hAnsi="Times New Roman" w:eastAsia="楷体"/>
          <w:sz w:val="28"/>
          <w:szCs w:val="28"/>
        </w:rPr>
        <w:t>”的总体布局，充分利用现有水利工程，主动融入川渝东北一体化水资源配置工程等区域性工程的发展部署，建设奉节县自身的水网体系，形成“</w:t>
      </w:r>
      <w:r>
        <w:rPr>
          <w:rFonts w:ascii="Times New Roman" w:hAnsi="Times New Roman" w:eastAsia="楷体"/>
          <w:b/>
          <w:bCs/>
          <w:sz w:val="28"/>
          <w:szCs w:val="28"/>
        </w:rPr>
        <w:t>一库•两网•百川</w:t>
      </w:r>
      <w:r>
        <w:rPr>
          <w:rStyle w:val="35"/>
          <w:rFonts w:ascii="Times New Roman" w:hAnsi="Times New Roman" w:eastAsia="楷体"/>
          <w:sz w:val="28"/>
          <w:szCs w:val="28"/>
        </w:rPr>
        <w:footnoteReference w:id="3"/>
      </w:r>
      <w:r>
        <w:rPr>
          <w:rFonts w:ascii="Times New Roman" w:hAnsi="Times New Roman" w:eastAsia="楷体"/>
          <w:sz w:val="28"/>
          <w:szCs w:val="28"/>
        </w:rPr>
        <w:t xml:space="preserve">”的空间格局，全力推进“六大工程”，为全县经济社会发展提供坚强有力的水利支撑保障。同时要服从全县国土空间开发保护总体部署，强化全县水资源刚性约束，坚持山水林田湖草沙综合治理、系统治理、源头治理，建成水资源与人口土地经济相对均衡的水安全保障格局。 </w:t>
      </w:r>
    </w:p>
    <w:p w14:paraId="18AAB92B">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从管理角度看，</w:t>
      </w:r>
      <w:r>
        <w:rPr>
          <w:rFonts w:ascii="Times New Roman" w:hAnsi="Times New Roman" w:eastAsia="楷体"/>
          <w:sz w:val="28"/>
          <w:szCs w:val="28"/>
        </w:rPr>
        <w:t>要统筹做好水灾害防治、水资源管理、水生态保护修复、水环境治理，全力保障水安全、大力抓好水民生、着力改善水生态、积极弘扬水文化，加快完善水利基础设施体系，强化涉水事务监管，强化水利改革创新，把各类水安全风险防控作为底线，按照“问题导向、目标导向、结果导向”的要求，全面提升水安全保障能力，满足人民群众对防洪保安全、优质水资源、健康水生态、宜居水环境、先进水文化的需求，为奉节县高质量发展和水生态文明建设提供有力支撑，为巩固脱贫攻坚成果、保持经济社会可持续健康发展提供保障。</w:t>
      </w:r>
    </w:p>
    <w:p w14:paraId="253831C1">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从发展主动性来看，</w:t>
      </w:r>
      <w:r>
        <w:rPr>
          <w:rFonts w:ascii="Times New Roman" w:hAnsi="Times New Roman" w:eastAsia="楷体"/>
          <w:sz w:val="28"/>
          <w:szCs w:val="28"/>
        </w:rPr>
        <w:t>要抓住机遇，合理积极谋划项目，掀起全县新一轮水利建设高潮，更好发挥水利建设对拉动有效投资、稳定经济增长、增加就业、造福民生的重要作用。同时，抓好顶层设计，抓实资金保障，抓快前期工作，抓强工程质量，解决四大水问题相配套的现代水利工程体系，形成布局合理、质量优良、运行规范、保障有力的水利基础设施网络。</w:t>
      </w:r>
    </w:p>
    <w:p w14:paraId="36AF8939">
      <w:pPr>
        <w:pStyle w:val="16"/>
        <w:pBdr>
          <w:bottom w:val="none" w:color="auto" w:sz="0" w:space="0"/>
        </w:pBdr>
        <w:rPr>
          <w:rFonts w:ascii="Times New Roman" w:hAnsi="Times New Roman"/>
        </w:rPr>
      </w:pPr>
    </w:p>
    <w:p w14:paraId="018F75A9">
      <w:pPr>
        <w:pStyle w:val="4"/>
        <w:numPr>
          <w:ilvl w:val="0"/>
          <w:numId w:val="0"/>
        </w:numPr>
        <w:spacing w:before="0" w:after="0" w:line="360" w:lineRule="auto"/>
        <w:jc w:val="left"/>
        <w:rPr>
          <w:rFonts w:ascii="Times New Roman" w:hAnsi="Times New Roman" w:eastAsia="方正仿宋_GBK"/>
          <w:spacing w:val="6"/>
          <w:szCs w:val="32"/>
        </w:rPr>
      </w:pPr>
      <w:bookmarkStart w:id="63" w:name="_Toc24725"/>
      <w:bookmarkStart w:id="64" w:name="_Toc10016"/>
      <w:bookmarkStart w:id="65" w:name="_Toc92995420"/>
      <w:r>
        <w:rPr>
          <w:rFonts w:ascii="Times New Roman" w:hAnsi="Times New Roman" w:eastAsia="方正仿宋_GBK"/>
          <w:spacing w:val="6"/>
          <w:szCs w:val="32"/>
        </w:rPr>
        <w:t>3.5 规划任务</w:t>
      </w:r>
      <w:bookmarkEnd w:id="63"/>
      <w:bookmarkEnd w:id="64"/>
      <w:bookmarkEnd w:id="65"/>
    </w:p>
    <w:p w14:paraId="6DAAC4A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一是要加快推进一批重点水源及配套工程建设，并与川渝东北一体化水资源配置工程相衔接，提升江河湖库互联互通水平，优化区域水资源配置格局，解决工程性缺水问题；</w:t>
      </w:r>
    </w:p>
    <w:p w14:paraId="7655CE8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二是系统开展长江沿岸防洪达标建设，推进中小河流治理、山洪灾害防治，完善流域超标洪水防御方案和重要江河洪水风险图编制，全面消除现有病险水库安全隐患；</w:t>
      </w:r>
    </w:p>
    <w:p w14:paraId="1BC944D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三是重点通过工业、城镇生活和农业灌溉等领域的节水措施，系统推进全社会各行业节水，提高用水效率和效益。</w:t>
      </w:r>
    </w:p>
    <w:p w14:paraId="5072507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四是通过工程措施和布局优化，全面实现城乡供水一体化和“一改三提”目标，提升城市和重点城镇应急备用和多水源供给能力，完善全县高质量供水基础设施网络。</w:t>
      </w:r>
    </w:p>
    <w:p w14:paraId="1BEDA04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五是加强农村水系治理，推进河流生态保护修复，加大水土流失治理力度，加大水资源保护，改善河湖水体水质，完善全县水资源保护体系，维护河流健康。</w:t>
      </w:r>
    </w:p>
    <w:p w14:paraId="5E6B8CD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 xml:space="preserve">六是建设河湖、水资源、水利工程、水土保持、水旱灾害防御等领域的机制措施，强化监管力度，提升水利行业现代化治理水平。 </w:t>
      </w:r>
    </w:p>
    <w:p w14:paraId="47E00BA9">
      <w:pPr>
        <w:spacing w:line="520" w:lineRule="exact"/>
        <w:ind w:firstLine="560" w:firstLineChars="200"/>
        <w:rPr>
          <w:rFonts w:ascii="Times New Roman" w:hAnsi="Times New Roman" w:eastAsia="楷体"/>
          <w:sz w:val="28"/>
          <w:szCs w:val="28"/>
        </w:rPr>
        <w:sectPr>
          <w:headerReference r:id="rId22" w:type="default"/>
          <w:footerReference r:id="rId23" w:type="default"/>
          <w:pgSz w:w="11906" w:h="16838"/>
          <w:pgMar w:top="1417" w:right="1417" w:bottom="1417" w:left="1417" w:header="851" w:footer="992" w:gutter="0"/>
          <w:cols w:space="720" w:num="1"/>
          <w:docGrid w:type="lines" w:linePitch="312" w:charSpace="0"/>
        </w:sectPr>
      </w:pPr>
      <w:r>
        <w:rPr>
          <w:rFonts w:ascii="Times New Roman" w:hAnsi="Times New Roman" w:eastAsia="楷体"/>
          <w:sz w:val="28"/>
          <w:szCs w:val="28"/>
        </w:rPr>
        <w:t>七是创新水利投融资体制，加强人才队伍建设，开展水价改革，进一步深化水利改革，增强水利发展后劲。</w:t>
      </w:r>
    </w:p>
    <w:p w14:paraId="19F9F71F">
      <w:pPr>
        <w:pStyle w:val="50"/>
        <w:spacing w:line="520" w:lineRule="exact"/>
        <w:ind w:firstLine="0" w:firstLineChars="0"/>
        <w:jc w:val="center"/>
        <w:rPr>
          <w:rFonts w:ascii="宋体" w:hAnsi="宋体" w:cs="宋体"/>
          <w:b/>
          <w:sz w:val="21"/>
          <w:szCs w:val="21"/>
        </w:rPr>
      </w:pPr>
      <w:r>
        <w:rPr>
          <w:rFonts w:hint="eastAsia" w:ascii="宋体" w:hAnsi="宋体" w:cs="宋体"/>
          <w:b/>
          <w:sz w:val="21"/>
          <w:szCs w:val="21"/>
        </w:rPr>
        <w:t>专栏9：“六大工程”</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14:paraId="74E16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trPr>
        <w:tc>
          <w:tcPr>
            <w:tcW w:w="9062" w:type="dxa"/>
          </w:tcPr>
          <w:p w14:paraId="68978B60">
            <w:pPr>
              <w:spacing w:line="360" w:lineRule="auto"/>
              <w:ind w:firstLine="420" w:firstLineChars="200"/>
              <w:rPr>
                <w:rFonts w:ascii="Times New Roman" w:hAnsi="Times New Roman" w:eastAsia="方正仿宋_GBK"/>
                <w:szCs w:val="21"/>
              </w:rPr>
            </w:pPr>
            <w:r>
              <w:rPr>
                <w:rFonts w:ascii="Times New Roman" w:hAnsi="Times New Roman"/>
                <w:szCs w:val="21"/>
              </w:rPr>
              <w:t>实施“六大工程”：一是实施骨干水源保障工程。规划建设骨干水源工程</w:t>
            </w:r>
            <w:r>
              <w:rPr>
                <w:rFonts w:hint="eastAsia" w:ascii="Times New Roman" w:hAnsi="Times New Roman"/>
                <w:szCs w:val="21"/>
              </w:rPr>
              <w:t>18</w:t>
            </w:r>
            <w:r>
              <w:rPr>
                <w:rFonts w:ascii="Times New Roman" w:hAnsi="Times New Roman"/>
                <w:szCs w:val="21"/>
              </w:rPr>
              <w:t>座，开工野茶、百岛湖、天赐湖3座中型水库，招峰、晓阳、黄龙、兰天、围子5座小型水库，建成西牛冲、蓼叶溪、林政、水竹槽4座小型水库，开展红椿坝、佛贵、尖峰、</w:t>
            </w:r>
            <w:r>
              <w:rPr>
                <w:rFonts w:hint="eastAsia" w:ascii="Times New Roman" w:hAnsi="Times New Roman"/>
                <w:szCs w:val="21"/>
              </w:rPr>
              <w:t>黄土坎</w:t>
            </w:r>
            <w:r>
              <w:rPr>
                <w:rFonts w:ascii="Times New Roman" w:hAnsi="Times New Roman"/>
                <w:szCs w:val="21"/>
              </w:rPr>
              <w:t>等</w:t>
            </w:r>
            <w:r>
              <w:rPr>
                <w:rFonts w:hint="eastAsia" w:ascii="Times New Roman" w:hAnsi="Times New Roman"/>
                <w:szCs w:val="21"/>
              </w:rPr>
              <w:t>5</w:t>
            </w:r>
            <w:r>
              <w:rPr>
                <w:rFonts w:ascii="Times New Roman" w:hAnsi="Times New Roman"/>
                <w:szCs w:val="21"/>
              </w:rPr>
              <w:t>座水库前期工作，规划默玺湖大型水库1座。二是实施城乡供水提升工程。扩容改造县城王家坪水厂、夔州水厂，实施康乐、安坪、白帝等12处集镇规模化供水工程和50处村级供水工程规范化改造。三是实施水美乡村示范工程。完成大溪河流域水美乡村建设，实施龙桥河小流域、鹤峰乡观斗等水土保持、水生态修复工程</w:t>
            </w:r>
            <w:r>
              <w:rPr>
                <w:rFonts w:hint="eastAsia" w:ascii="Times New Roman" w:hAnsi="Times New Roman"/>
                <w:szCs w:val="21"/>
              </w:rPr>
              <w:t>5</w:t>
            </w:r>
            <w:r>
              <w:rPr>
                <w:rFonts w:ascii="Times New Roman" w:hAnsi="Times New Roman"/>
                <w:szCs w:val="21"/>
              </w:rPr>
              <w:t>处，水土流失治理面积115平方公里。四是实施防洪减灾安全工程。整治病险水库8座，开展羊市镇翁家沟、青龙镇海坝河山洪沟防洪治理，实施草堂河、长滩河、梅溪河等中小河流重点河段综合治理工程</w:t>
            </w:r>
            <w:r>
              <w:rPr>
                <w:rFonts w:hint="eastAsia" w:ascii="Times New Roman" w:hAnsi="Times New Roman"/>
                <w:szCs w:val="21"/>
              </w:rPr>
              <w:t>7</w:t>
            </w:r>
            <w:r>
              <w:rPr>
                <w:rFonts w:ascii="Times New Roman" w:hAnsi="Times New Roman"/>
                <w:szCs w:val="21"/>
              </w:rPr>
              <w:t>处，努力建设河畅、水清、岸绿、景美、人和的幸福河。五是实施后续后扶标志性工程。开展长江南岸、环草堂湖等库岸综合治理工程7处，实施长江柑橘带奉节段建设、三峡中药材产业带建设等标志性项目7处，推进三峡村等11个乡村振兴示范村建设，提升库区移民生活品质和增收致富能力。六是智慧水利赋能工程。强化5G、大数据、人工智能与水利工作深度融合，推动新技术在防汛抗旱、河道管理、在建水利工程现场监管、已成水利工程运行监管等领域的运用，实现从“人海战术”到“数据跑路”，让管理更精细、服务更精准、调度更主动。</w:t>
            </w:r>
          </w:p>
        </w:tc>
      </w:tr>
    </w:tbl>
    <w:p w14:paraId="386FDFBC">
      <w:pPr>
        <w:pStyle w:val="4"/>
        <w:numPr>
          <w:ilvl w:val="0"/>
          <w:numId w:val="0"/>
        </w:numPr>
        <w:spacing w:before="0" w:after="0" w:line="520" w:lineRule="exact"/>
        <w:jc w:val="left"/>
        <w:rPr>
          <w:rFonts w:ascii="Times New Roman" w:hAnsi="Times New Roman" w:eastAsia="方正仿宋_GBK"/>
          <w:spacing w:val="6"/>
          <w:szCs w:val="32"/>
        </w:rPr>
      </w:pPr>
      <w:bookmarkStart w:id="66" w:name="_Toc92995421"/>
      <w:r>
        <w:rPr>
          <w:rFonts w:ascii="Times New Roman" w:hAnsi="Times New Roman" w:eastAsia="方正仿宋_GBK"/>
          <w:spacing w:val="6"/>
          <w:szCs w:val="32"/>
        </w:rPr>
        <w:t>3.6 规划依据</w:t>
      </w:r>
      <w:bookmarkEnd w:id="66"/>
    </w:p>
    <w:p w14:paraId="2FDCA6E5">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3.6.1 法律、法规和有关文件</w:t>
      </w:r>
    </w:p>
    <w:p w14:paraId="54BF0BE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⑴《中华人民共和国水法》（2016.7.2）；</w:t>
      </w:r>
    </w:p>
    <w:p w14:paraId="0E40F7A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⑵《中华人民共和国防洪法》（2016.7.2）；</w:t>
      </w:r>
    </w:p>
    <w:p w14:paraId="506C226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⑶《中华人民共和国环境保护法》（2015.1.1）；</w:t>
      </w:r>
    </w:p>
    <w:p w14:paraId="5765A76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⑷《中华人民共和国环境影响评价法》（2016.9.1）；</w:t>
      </w:r>
    </w:p>
    <w:p w14:paraId="01A83DC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⑸《中华人民共和国水污染防治法》（2018.1.1）；</w:t>
      </w:r>
    </w:p>
    <w:p w14:paraId="3B92132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⑹《中华人民共和国水土保持法》（2011.3.1）；</w:t>
      </w:r>
    </w:p>
    <w:p w14:paraId="37D2436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⑺《中华人民共和国城市规划法》（2008.1.1）；</w:t>
      </w:r>
    </w:p>
    <w:p w14:paraId="041E5B4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⑻《中华人民共和国城乡规划法》(2019修正)。</w:t>
      </w:r>
    </w:p>
    <w:p w14:paraId="2398BE76">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3.6.2 采用的技术规范和标准</w:t>
      </w:r>
    </w:p>
    <w:p w14:paraId="30555C1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⑴《</w:t>
      </w:r>
      <w:r>
        <w:rPr>
          <w:rFonts w:hint="eastAsia" w:ascii="Times New Roman" w:hAnsi="Times New Roman" w:eastAsia="楷体"/>
          <w:sz w:val="28"/>
          <w:szCs w:val="28"/>
        </w:rPr>
        <w:t>江河流域规划编制规程</w:t>
      </w:r>
      <w:r>
        <w:rPr>
          <w:rFonts w:ascii="Times New Roman" w:hAnsi="Times New Roman" w:eastAsia="楷体"/>
          <w:sz w:val="28"/>
          <w:szCs w:val="28"/>
        </w:rPr>
        <w:t>》（SL201-2015）；</w:t>
      </w:r>
    </w:p>
    <w:p w14:paraId="67515E63">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⑵《防洪标准》（GB50201-2014）；</w:t>
      </w:r>
    </w:p>
    <w:p w14:paraId="0D10373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⑶《水文调查规范》(SL196-2015)；</w:t>
      </w:r>
    </w:p>
    <w:p w14:paraId="4F41E76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⑷《水利水电工程水文计算规范》（SL</w:t>
      </w:r>
      <w:r>
        <w:rPr>
          <w:rFonts w:hint="eastAsia" w:ascii="Times New Roman" w:hAnsi="Times New Roman" w:eastAsia="楷体"/>
          <w:sz w:val="28"/>
          <w:szCs w:val="28"/>
        </w:rPr>
        <w:t xml:space="preserve">/T </w:t>
      </w:r>
      <w:r>
        <w:rPr>
          <w:rFonts w:ascii="Times New Roman" w:hAnsi="Times New Roman" w:eastAsia="楷体"/>
          <w:sz w:val="28"/>
          <w:szCs w:val="28"/>
        </w:rPr>
        <w:t>278-2020）；</w:t>
      </w:r>
    </w:p>
    <w:p w14:paraId="52E397F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⑸《环境影响评价技术导则水利水电工程》（HJ/T88-2003）；</w:t>
      </w:r>
    </w:p>
    <w:p w14:paraId="538533E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⑹《水利水电工程等级划分及洪水标准》（SL252-2017）；</w:t>
      </w:r>
    </w:p>
    <w:p w14:paraId="521769B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⑺《城市水系规划导则》（SL 431-20</w:t>
      </w:r>
      <w:r>
        <w:rPr>
          <w:rFonts w:hint="eastAsia" w:ascii="Times New Roman" w:hAnsi="Times New Roman" w:eastAsia="楷体"/>
          <w:sz w:val="28"/>
          <w:szCs w:val="28"/>
        </w:rPr>
        <w:t>00</w:t>
      </w:r>
      <w:r>
        <w:rPr>
          <w:rFonts w:ascii="Times New Roman" w:hAnsi="Times New Roman" w:eastAsia="楷体"/>
          <w:sz w:val="28"/>
          <w:szCs w:val="28"/>
        </w:rPr>
        <w:t>8）；</w:t>
      </w:r>
    </w:p>
    <w:p w14:paraId="2EAAA1F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⑻《城市排水工程规划规范》（GB 50318-2017）；</w:t>
      </w:r>
    </w:p>
    <w:p w14:paraId="756C717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⑼《防洪规划编制规程》（SL 669-2014）；</w:t>
      </w:r>
    </w:p>
    <w:p w14:paraId="29FAEBA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⑽《水利水电工程设计洪水计算规范》(SL44-2006)；</w:t>
      </w:r>
    </w:p>
    <w:p w14:paraId="2A69384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⑾《水利工程水利计算规范》（SL104-2015）；</w:t>
      </w:r>
    </w:p>
    <w:p w14:paraId="04477CC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⑿《灌溉与排水工程设计标准》（GB50288-2018）；</w:t>
      </w:r>
    </w:p>
    <w:p w14:paraId="51617AE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⒀《城市防洪工程设计规范》（GB/T 50805-2012）；</w:t>
      </w:r>
    </w:p>
    <w:p w14:paraId="5FFD47F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⒁《堤防工程设计规范》（GB50286-2013）。</w:t>
      </w:r>
    </w:p>
    <w:p w14:paraId="600AD678">
      <w:pPr>
        <w:pStyle w:val="5"/>
        <w:keepNext w:val="0"/>
        <w:keepLines w:val="0"/>
        <w:tabs>
          <w:tab w:val="left" w:pos="7820"/>
        </w:tabs>
        <w:adjustRightInd w:val="0"/>
        <w:snapToGrid w:val="0"/>
        <w:spacing w:before="0" w:after="0" w:line="520" w:lineRule="exact"/>
        <w:rPr>
          <w:rFonts w:ascii="Times New Roman" w:hAnsi="Times New Roman" w:eastAsia="楷体"/>
          <w:sz w:val="28"/>
          <w:szCs w:val="28"/>
        </w:rPr>
      </w:pPr>
      <w:r>
        <w:rPr>
          <w:rFonts w:ascii="Times New Roman" w:hAnsi="Times New Roman" w:eastAsia="楷体"/>
          <w:sz w:val="28"/>
          <w:szCs w:val="28"/>
        </w:rPr>
        <w:t>3.6.3参考文献和资料</w:t>
      </w:r>
    </w:p>
    <w:p w14:paraId="0828FF02">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1 \* GB2 </w:instrText>
      </w:r>
      <w:r>
        <w:rPr>
          <w:rFonts w:ascii="Times New Roman" w:hAnsi="Times New Roman" w:eastAsia="楷体"/>
          <w:sz w:val="28"/>
          <w:szCs w:val="28"/>
        </w:rPr>
        <w:fldChar w:fldCharType="separate"/>
      </w:r>
      <w:r>
        <w:rPr>
          <w:rFonts w:ascii="Times New Roman" w:hAnsi="Times New Roman" w:eastAsia="楷体"/>
          <w:sz w:val="28"/>
          <w:szCs w:val="28"/>
        </w:rPr>
        <w:t>⑴</w:t>
      </w:r>
      <w:r>
        <w:rPr>
          <w:rFonts w:ascii="Times New Roman" w:hAnsi="Times New Roman" w:eastAsia="楷体"/>
          <w:sz w:val="28"/>
          <w:szCs w:val="28"/>
        </w:rPr>
        <w:fldChar w:fldCharType="end"/>
      </w:r>
      <w:r>
        <w:rPr>
          <w:rFonts w:ascii="Times New Roman" w:hAnsi="Times New Roman" w:eastAsia="楷体"/>
          <w:sz w:val="28"/>
          <w:szCs w:val="28"/>
        </w:rPr>
        <w:t>《重庆市城乡总体规划(2018-2035年)》；</w:t>
      </w:r>
    </w:p>
    <w:p w14:paraId="1F5487D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2 \* GB2 </w:instrText>
      </w:r>
      <w:r>
        <w:rPr>
          <w:rFonts w:ascii="Times New Roman" w:hAnsi="Times New Roman" w:eastAsia="楷体"/>
          <w:sz w:val="28"/>
          <w:szCs w:val="28"/>
        </w:rPr>
        <w:fldChar w:fldCharType="separate"/>
      </w:r>
      <w:r>
        <w:rPr>
          <w:rFonts w:ascii="Times New Roman" w:hAnsi="Times New Roman" w:eastAsia="楷体"/>
          <w:sz w:val="28"/>
          <w:szCs w:val="28"/>
        </w:rPr>
        <w:t>⑵</w:t>
      </w:r>
      <w:r>
        <w:rPr>
          <w:rFonts w:ascii="Times New Roman" w:hAnsi="Times New Roman" w:eastAsia="楷体"/>
          <w:sz w:val="28"/>
          <w:szCs w:val="28"/>
        </w:rPr>
        <w:fldChar w:fldCharType="end"/>
      </w:r>
      <w:r>
        <w:rPr>
          <w:rFonts w:ascii="Times New Roman" w:hAnsi="Times New Roman" w:eastAsia="楷体"/>
          <w:sz w:val="28"/>
          <w:szCs w:val="28"/>
        </w:rPr>
        <w:t>《重庆市水安全保障 “十四五”规划》；</w:t>
      </w:r>
    </w:p>
    <w:p w14:paraId="1A99343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3 \* GB2 </w:instrText>
      </w:r>
      <w:r>
        <w:rPr>
          <w:rFonts w:ascii="Times New Roman" w:hAnsi="Times New Roman" w:eastAsia="楷体"/>
          <w:sz w:val="28"/>
          <w:szCs w:val="28"/>
        </w:rPr>
        <w:fldChar w:fldCharType="separate"/>
      </w:r>
      <w:r>
        <w:rPr>
          <w:rFonts w:ascii="Times New Roman" w:hAnsi="Times New Roman" w:eastAsia="楷体"/>
          <w:sz w:val="28"/>
          <w:szCs w:val="28"/>
        </w:rPr>
        <w:t>⑶</w:t>
      </w:r>
      <w:r>
        <w:rPr>
          <w:rFonts w:ascii="Times New Roman" w:hAnsi="Times New Roman" w:eastAsia="楷体"/>
          <w:sz w:val="28"/>
          <w:szCs w:val="28"/>
        </w:rPr>
        <w:fldChar w:fldCharType="end"/>
      </w:r>
      <w:r>
        <w:rPr>
          <w:rFonts w:ascii="Times New Roman" w:hAnsi="Times New Roman" w:eastAsia="楷体"/>
          <w:sz w:val="28"/>
          <w:szCs w:val="28"/>
        </w:rPr>
        <w:t>《中共重庆市委关于制定重庆市国民经济和社会发展第十四个五年规划和二0三五年远景目标的建议》；</w:t>
      </w:r>
    </w:p>
    <w:p w14:paraId="7BEF583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4 \* GB2 </w:instrText>
      </w:r>
      <w:r>
        <w:rPr>
          <w:rFonts w:ascii="Times New Roman" w:hAnsi="Times New Roman" w:eastAsia="楷体"/>
          <w:sz w:val="28"/>
          <w:szCs w:val="28"/>
        </w:rPr>
        <w:fldChar w:fldCharType="separate"/>
      </w:r>
      <w:r>
        <w:rPr>
          <w:rFonts w:ascii="Times New Roman" w:hAnsi="Times New Roman" w:eastAsia="楷体"/>
          <w:sz w:val="28"/>
          <w:szCs w:val="28"/>
        </w:rPr>
        <w:t>⑷</w:t>
      </w:r>
      <w:r>
        <w:rPr>
          <w:rFonts w:ascii="Times New Roman" w:hAnsi="Times New Roman" w:eastAsia="楷体"/>
          <w:sz w:val="28"/>
          <w:szCs w:val="28"/>
        </w:rPr>
        <w:fldChar w:fldCharType="end"/>
      </w:r>
      <w:r>
        <w:rPr>
          <w:rFonts w:ascii="Times New Roman" w:hAnsi="Times New Roman" w:eastAsia="楷体"/>
          <w:sz w:val="28"/>
          <w:szCs w:val="28"/>
        </w:rPr>
        <w:t>《重庆市国土空间总体规划（2021-2035年）》；</w:t>
      </w:r>
    </w:p>
    <w:p w14:paraId="58CBC7A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5 \* GB2 </w:instrText>
      </w:r>
      <w:r>
        <w:rPr>
          <w:rFonts w:ascii="Times New Roman" w:hAnsi="Times New Roman" w:eastAsia="楷体"/>
          <w:sz w:val="28"/>
          <w:szCs w:val="28"/>
        </w:rPr>
        <w:fldChar w:fldCharType="separate"/>
      </w:r>
      <w:r>
        <w:rPr>
          <w:rFonts w:ascii="Times New Roman" w:hAnsi="Times New Roman" w:eastAsia="楷体"/>
          <w:sz w:val="28"/>
          <w:szCs w:val="28"/>
        </w:rPr>
        <w:t>⑸</w:t>
      </w:r>
      <w:r>
        <w:rPr>
          <w:rFonts w:ascii="Times New Roman" w:hAnsi="Times New Roman" w:eastAsia="楷体"/>
          <w:sz w:val="28"/>
          <w:szCs w:val="28"/>
        </w:rPr>
        <w:fldChar w:fldCharType="end"/>
      </w:r>
      <w:r>
        <w:rPr>
          <w:rFonts w:ascii="Times New Roman" w:hAnsi="Times New Roman" w:eastAsia="楷体"/>
          <w:sz w:val="28"/>
          <w:szCs w:val="28"/>
        </w:rPr>
        <w:t>《重庆市编制水利十四五规划思路报告的通知》（渝水规〔2019〕4号）；</w:t>
      </w:r>
    </w:p>
    <w:p w14:paraId="073B5A1F">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6 \* GB2 </w:instrText>
      </w:r>
      <w:r>
        <w:rPr>
          <w:rFonts w:ascii="Times New Roman" w:hAnsi="Times New Roman" w:eastAsia="楷体"/>
          <w:sz w:val="28"/>
          <w:szCs w:val="28"/>
        </w:rPr>
        <w:fldChar w:fldCharType="separate"/>
      </w:r>
      <w:r>
        <w:rPr>
          <w:rFonts w:ascii="Times New Roman" w:hAnsi="Times New Roman" w:eastAsia="楷体"/>
          <w:sz w:val="28"/>
          <w:szCs w:val="28"/>
        </w:rPr>
        <w:t>⑹</w:t>
      </w:r>
      <w:r>
        <w:rPr>
          <w:rFonts w:ascii="Times New Roman" w:hAnsi="Times New Roman" w:eastAsia="楷体"/>
          <w:sz w:val="28"/>
          <w:szCs w:val="28"/>
        </w:rPr>
        <w:fldChar w:fldCharType="end"/>
      </w:r>
      <w:r>
        <w:rPr>
          <w:rFonts w:ascii="Times New Roman" w:hAnsi="Times New Roman" w:eastAsia="楷体"/>
          <w:sz w:val="28"/>
          <w:szCs w:val="28"/>
        </w:rPr>
        <w:t>《重庆市水利局关于开展“十四五”水安全保障规划项目筛选和投资测算工作的通知》渝水规[2020]3号；</w:t>
      </w:r>
    </w:p>
    <w:p w14:paraId="6C51709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7 \* GB2 </w:instrText>
      </w:r>
      <w:r>
        <w:rPr>
          <w:rFonts w:ascii="Times New Roman" w:hAnsi="Times New Roman" w:eastAsia="楷体"/>
          <w:sz w:val="28"/>
          <w:szCs w:val="28"/>
        </w:rPr>
        <w:fldChar w:fldCharType="separate"/>
      </w:r>
      <w:r>
        <w:rPr>
          <w:rFonts w:ascii="Times New Roman" w:hAnsi="Times New Roman" w:eastAsia="楷体"/>
          <w:sz w:val="28"/>
          <w:szCs w:val="28"/>
        </w:rPr>
        <w:t>⑺</w:t>
      </w:r>
      <w:r>
        <w:rPr>
          <w:rFonts w:ascii="Times New Roman" w:hAnsi="Times New Roman" w:eastAsia="楷体"/>
          <w:sz w:val="28"/>
          <w:szCs w:val="28"/>
        </w:rPr>
        <w:fldChar w:fldCharType="end"/>
      </w:r>
      <w:r>
        <w:rPr>
          <w:rFonts w:ascii="Times New Roman" w:hAnsi="Times New Roman" w:eastAsia="楷体"/>
          <w:sz w:val="28"/>
          <w:szCs w:val="28"/>
        </w:rPr>
        <w:t>《奉节县国民经济和社会发展第十四个五年规划和二〇三五年远景目标纲要》；</w:t>
      </w:r>
    </w:p>
    <w:p w14:paraId="40681313">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8 \* GB2 </w:instrText>
      </w:r>
      <w:r>
        <w:rPr>
          <w:rFonts w:ascii="Times New Roman" w:hAnsi="Times New Roman" w:eastAsia="楷体"/>
          <w:sz w:val="28"/>
          <w:szCs w:val="28"/>
        </w:rPr>
        <w:fldChar w:fldCharType="separate"/>
      </w:r>
      <w:r>
        <w:rPr>
          <w:rFonts w:ascii="Times New Roman" w:hAnsi="Times New Roman" w:eastAsia="楷体"/>
          <w:sz w:val="28"/>
          <w:szCs w:val="28"/>
        </w:rPr>
        <w:t>⑻</w:t>
      </w:r>
      <w:r>
        <w:rPr>
          <w:rFonts w:ascii="Times New Roman" w:hAnsi="Times New Roman" w:eastAsia="楷体"/>
          <w:sz w:val="28"/>
          <w:szCs w:val="28"/>
        </w:rPr>
        <w:fldChar w:fldCharType="end"/>
      </w:r>
      <w:r>
        <w:rPr>
          <w:rFonts w:ascii="Times New Roman" w:hAnsi="Times New Roman" w:eastAsia="楷体"/>
          <w:sz w:val="28"/>
          <w:szCs w:val="28"/>
        </w:rPr>
        <w:t>《奉节县城乡总体规划（2015-2035年）》；</w:t>
      </w:r>
    </w:p>
    <w:p w14:paraId="0D05B5E2">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9 \* GB2 </w:instrText>
      </w:r>
      <w:r>
        <w:rPr>
          <w:rFonts w:ascii="Times New Roman" w:hAnsi="Times New Roman" w:eastAsia="楷体"/>
          <w:sz w:val="28"/>
          <w:szCs w:val="28"/>
        </w:rPr>
        <w:fldChar w:fldCharType="separate"/>
      </w:r>
      <w:r>
        <w:rPr>
          <w:rFonts w:ascii="Times New Roman" w:hAnsi="Times New Roman" w:eastAsia="楷体"/>
          <w:sz w:val="28"/>
          <w:szCs w:val="28"/>
        </w:rPr>
        <w:t>⑼</w:t>
      </w:r>
      <w:r>
        <w:rPr>
          <w:rFonts w:ascii="Times New Roman" w:hAnsi="Times New Roman" w:eastAsia="楷体"/>
          <w:sz w:val="28"/>
          <w:szCs w:val="28"/>
        </w:rPr>
        <w:fldChar w:fldCharType="end"/>
      </w:r>
      <w:r>
        <w:rPr>
          <w:rFonts w:ascii="Times New Roman" w:hAnsi="Times New Roman" w:eastAsia="楷体"/>
          <w:sz w:val="28"/>
          <w:szCs w:val="28"/>
        </w:rPr>
        <w:t>《奉节县城市防洪规划报告（2020～2035）》；</w:t>
      </w:r>
    </w:p>
    <w:p w14:paraId="2E26CF2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10 \* GB2 </w:instrText>
      </w:r>
      <w:r>
        <w:rPr>
          <w:rFonts w:ascii="Times New Roman" w:hAnsi="Times New Roman" w:eastAsia="楷体"/>
          <w:sz w:val="28"/>
          <w:szCs w:val="28"/>
        </w:rPr>
        <w:fldChar w:fldCharType="separate"/>
      </w:r>
      <w:r>
        <w:rPr>
          <w:rFonts w:ascii="Times New Roman" w:hAnsi="Times New Roman" w:eastAsia="楷体"/>
          <w:sz w:val="28"/>
          <w:szCs w:val="28"/>
        </w:rPr>
        <w:t>⑽</w:t>
      </w:r>
      <w:r>
        <w:rPr>
          <w:rFonts w:ascii="Times New Roman" w:hAnsi="Times New Roman" w:eastAsia="楷体"/>
          <w:sz w:val="28"/>
          <w:szCs w:val="28"/>
        </w:rPr>
        <w:fldChar w:fldCharType="end"/>
      </w:r>
      <w:r>
        <w:rPr>
          <w:rFonts w:ascii="Times New Roman" w:hAnsi="Times New Roman" w:eastAsia="楷体"/>
          <w:sz w:val="28"/>
          <w:szCs w:val="28"/>
        </w:rPr>
        <w:t>《奉节县水功能区划修编报告》；</w:t>
      </w:r>
    </w:p>
    <w:p w14:paraId="7D2A66C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11 \* GB2 </w:instrText>
      </w:r>
      <w:r>
        <w:rPr>
          <w:rFonts w:ascii="Times New Roman" w:hAnsi="Times New Roman" w:eastAsia="楷体"/>
          <w:sz w:val="28"/>
          <w:szCs w:val="28"/>
        </w:rPr>
        <w:fldChar w:fldCharType="separate"/>
      </w:r>
      <w:r>
        <w:rPr>
          <w:rFonts w:ascii="Times New Roman" w:hAnsi="Times New Roman" w:eastAsia="楷体"/>
          <w:sz w:val="28"/>
          <w:szCs w:val="28"/>
        </w:rPr>
        <w:t>⑾</w:t>
      </w:r>
      <w:r>
        <w:rPr>
          <w:rFonts w:ascii="Times New Roman" w:hAnsi="Times New Roman" w:eastAsia="楷体"/>
          <w:sz w:val="28"/>
          <w:szCs w:val="28"/>
        </w:rPr>
        <w:fldChar w:fldCharType="end"/>
      </w:r>
      <w:r>
        <w:rPr>
          <w:rFonts w:ascii="Times New Roman" w:hAnsi="Times New Roman" w:eastAsia="楷体"/>
          <w:sz w:val="28"/>
          <w:szCs w:val="28"/>
        </w:rPr>
        <w:t>《奉节县水土保持规划（2018-2030年）》；</w:t>
      </w:r>
    </w:p>
    <w:p w14:paraId="39D1E46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12 \* GB2 </w:instrText>
      </w:r>
      <w:r>
        <w:rPr>
          <w:rFonts w:ascii="Times New Roman" w:hAnsi="Times New Roman" w:eastAsia="楷体"/>
          <w:sz w:val="28"/>
          <w:szCs w:val="28"/>
        </w:rPr>
        <w:fldChar w:fldCharType="separate"/>
      </w:r>
      <w:r>
        <w:rPr>
          <w:rFonts w:ascii="Times New Roman" w:hAnsi="Times New Roman" w:eastAsia="楷体"/>
          <w:sz w:val="28"/>
          <w:szCs w:val="28"/>
        </w:rPr>
        <w:t>⑿</w:t>
      </w:r>
      <w:r>
        <w:rPr>
          <w:rFonts w:ascii="Times New Roman" w:hAnsi="Times New Roman" w:eastAsia="楷体"/>
          <w:sz w:val="28"/>
          <w:szCs w:val="28"/>
        </w:rPr>
        <w:fldChar w:fldCharType="end"/>
      </w:r>
      <w:r>
        <w:rPr>
          <w:rFonts w:ascii="Times New Roman" w:hAnsi="Times New Roman" w:eastAsia="楷体"/>
          <w:sz w:val="28"/>
          <w:szCs w:val="28"/>
        </w:rPr>
        <w:t>《重庆市奉节县城市乡镇防洪现状评估报告》；</w:t>
      </w:r>
    </w:p>
    <w:p w14:paraId="1E6C320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fldChar w:fldCharType="begin"/>
      </w:r>
      <w:r>
        <w:rPr>
          <w:rFonts w:ascii="Times New Roman" w:hAnsi="Times New Roman" w:eastAsia="楷体"/>
          <w:sz w:val="28"/>
          <w:szCs w:val="28"/>
        </w:rPr>
        <w:instrText xml:space="preserve"> = 13 \* GB2 </w:instrText>
      </w:r>
      <w:r>
        <w:rPr>
          <w:rFonts w:ascii="Times New Roman" w:hAnsi="Times New Roman" w:eastAsia="楷体"/>
          <w:sz w:val="28"/>
          <w:szCs w:val="28"/>
        </w:rPr>
        <w:fldChar w:fldCharType="separate"/>
      </w:r>
      <w:r>
        <w:rPr>
          <w:rFonts w:ascii="Times New Roman" w:hAnsi="Times New Roman" w:eastAsia="楷体"/>
          <w:sz w:val="28"/>
          <w:szCs w:val="28"/>
        </w:rPr>
        <w:t>⒀</w:t>
      </w:r>
      <w:r>
        <w:rPr>
          <w:rFonts w:ascii="Times New Roman" w:hAnsi="Times New Roman" w:eastAsia="楷体"/>
          <w:sz w:val="28"/>
          <w:szCs w:val="28"/>
        </w:rPr>
        <w:fldChar w:fldCharType="end"/>
      </w:r>
      <w:r>
        <w:rPr>
          <w:rFonts w:ascii="Times New Roman" w:hAnsi="Times New Roman" w:eastAsia="楷体"/>
          <w:sz w:val="28"/>
          <w:szCs w:val="28"/>
        </w:rPr>
        <w:t>《重庆市人民政府办公厅关于印发重庆市“十四五”水源工程建设政策措施的通知》（渝水办发[2021]45号）；</w:t>
      </w:r>
    </w:p>
    <w:p w14:paraId="6F078167">
      <w:pPr>
        <w:spacing w:line="520" w:lineRule="exact"/>
        <w:ind w:firstLine="560" w:firstLineChars="200"/>
        <w:rPr>
          <w:rFonts w:ascii="Times New Roman" w:hAnsi="Times New Roman" w:eastAsia="楷体"/>
          <w:sz w:val="28"/>
          <w:szCs w:val="28"/>
        </w:rPr>
        <w:sectPr>
          <w:pgSz w:w="11906" w:h="16838"/>
          <w:pgMar w:top="1417" w:right="1417" w:bottom="1417" w:left="1417" w:header="851" w:footer="992" w:gutter="0"/>
          <w:cols w:space="720" w:num="1"/>
          <w:docGrid w:type="lines" w:linePitch="312" w:charSpace="0"/>
        </w:sectPr>
      </w:pPr>
      <w:r>
        <w:rPr>
          <w:rFonts w:ascii="Times New Roman" w:hAnsi="Times New Roman" w:eastAsia="楷体"/>
          <w:sz w:val="28"/>
          <w:szCs w:val="28"/>
        </w:rPr>
        <w:fldChar w:fldCharType="begin"/>
      </w:r>
      <w:r>
        <w:rPr>
          <w:rFonts w:ascii="Times New Roman" w:hAnsi="Times New Roman" w:eastAsia="楷体"/>
          <w:sz w:val="28"/>
          <w:szCs w:val="28"/>
        </w:rPr>
        <w:instrText xml:space="preserve"> = 14 \* GB2 </w:instrText>
      </w:r>
      <w:r>
        <w:rPr>
          <w:rFonts w:ascii="Times New Roman" w:hAnsi="Times New Roman" w:eastAsia="楷体"/>
          <w:sz w:val="28"/>
          <w:szCs w:val="28"/>
        </w:rPr>
        <w:fldChar w:fldCharType="separate"/>
      </w:r>
      <w:r>
        <w:rPr>
          <w:rFonts w:ascii="Times New Roman" w:hAnsi="Times New Roman" w:eastAsia="楷体"/>
          <w:sz w:val="28"/>
          <w:szCs w:val="28"/>
        </w:rPr>
        <w:t>⒁</w:t>
      </w:r>
      <w:r>
        <w:rPr>
          <w:rFonts w:ascii="Times New Roman" w:hAnsi="Times New Roman" w:eastAsia="楷体"/>
          <w:sz w:val="28"/>
          <w:szCs w:val="28"/>
        </w:rPr>
        <w:fldChar w:fldCharType="end"/>
      </w:r>
      <w:r>
        <w:rPr>
          <w:rFonts w:ascii="Times New Roman" w:hAnsi="Times New Roman" w:eastAsia="楷体"/>
          <w:sz w:val="28"/>
          <w:szCs w:val="28"/>
        </w:rPr>
        <w:t>《奉节县2020年统计年鉴》。</w:t>
      </w:r>
    </w:p>
    <w:p w14:paraId="1AD81B29">
      <w:pPr>
        <w:pStyle w:val="51"/>
        <w:numPr>
          <w:ilvl w:val="0"/>
          <w:numId w:val="0"/>
        </w:numPr>
        <w:spacing w:before="0" w:after="360" w:afterLines="150" w:line="360" w:lineRule="auto"/>
        <w:jc w:val="center"/>
        <w:rPr>
          <w:rFonts w:ascii="Times New Roman" w:hAnsi="Times New Roman" w:eastAsia="方正仿宋_GBK" w:cs="Times New Roman"/>
          <w:b/>
          <w:spacing w:val="6"/>
          <w:szCs w:val="36"/>
        </w:rPr>
      </w:pPr>
      <w:bookmarkStart w:id="67" w:name="_Toc92995422"/>
      <w:bookmarkStart w:id="68" w:name="_Toc3844"/>
      <w:r>
        <w:rPr>
          <w:rFonts w:ascii="Times New Roman" w:hAnsi="Times New Roman" w:eastAsia="方正仿宋_GBK" w:cs="Times New Roman"/>
          <w:b/>
          <w:spacing w:val="6"/>
          <w:szCs w:val="36"/>
        </w:rPr>
        <w:t>第四章 消隐患防洪水，保障奉节江河安澜</w:t>
      </w:r>
      <w:bookmarkEnd w:id="48"/>
      <w:bookmarkEnd w:id="67"/>
      <w:bookmarkEnd w:id="68"/>
    </w:p>
    <w:p w14:paraId="7B2C7B53">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遵循“两个坚持、三个转变”的防灾减灾新理念，按照“消隐患、提标准、控风险”的思路，加快建设重点防洪护岸综合治理工程，提高城乡防洪标准，着力解决城乡防洪薄弱环节，提升洪水防御能力，护佑奉节江河安澜，保障人民群众生命财产安全。</w:t>
      </w:r>
    </w:p>
    <w:p w14:paraId="274CF26F">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奉节县临河镇街、农村聚居区现状防洪不达标区域仍有14处，洪水威胁人口近30万人。</w:t>
      </w:r>
    </w:p>
    <w:p w14:paraId="16F96F8C">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奉节县城乡防洪不达标地区统计表</w:t>
      </w:r>
    </w:p>
    <w:p w14:paraId="0212B7B2">
      <w:pPr>
        <w:pStyle w:val="16"/>
        <w:pBdr>
          <w:bottom w:val="none" w:color="auto" w:sz="0" w:space="0"/>
        </w:pBdr>
        <w:jc w:val="left"/>
        <w:rPr>
          <w:rFonts w:ascii="Times New Roman" w:hAnsi="Times New Roman" w:eastAsia="楷体"/>
          <w:sz w:val="21"/>
          <w:szCs w:val="21"/>
        </w:rPr>
      </w:pPr>
      <w:r>
        <w:rPr>
          <w:rFonts w:ascii="Times New Roman" w:hAnsi="Times New Roman" w:eastAsia="楷体"/>
          <w:sz w:val="21"/>
          <w:szCs w:val="21"/>
        </w:rPr>
        <w:t>表4.1-1</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429"/>
        <w:gridCol w:w="1893"/>
        <w:gridCol w:w="1354"/>
        <w:gridCol w:w="1566"/>
        <w:gridCol w:w="2032"/>
      </w:tblGrid>
      <w:tr w14:paraId="7A3F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tcBorders>
              <w:tl2br w:val="single" w:color="auto" w:sz="4" w:space="0"/>
            </w:tcBorders>
          </w:tcPr>
          <w:p w14:paraId="3094E07D">
            <w:pPr>
              <w:spacing w:line="0" w:lineRule="atLeast"/>
              <w:jc w:val="right"/>
              <w:rPr>
                <w:rFonts w:ascii="Times New Roman" w:hAnsi="Times New Roman"/>
                <w:sz w:val="18"/>
                <w:szCs w:val="18"/>
              </w:rPr>
            </w:pPr>
            <w:r>
              <w:rPr>
                <w:rFonts w:ascii="Times New Roman" w:hAnsi="Times New Roman"/>
                <w:sz w:val="18"/>
                <w:szCs w:val="18"/>
              </w:rPr>
              <w:t xml:space="preserve">项目    </w:t>
            </w:r>
          </w:p>
          <w:p w14:paraId="127C8A6F">
            <w:pPr>
              <w:spacing w:line="0" w:lineRule="atLeast"/>
              <w:rPr>
                <w:rFonts w:ascii="Times New Roman" w:hAnsi="Times New Roman"/>
                <w:sz w:val="18"/>
                <w:szCs w:val="18"/>
              </w:rPr>
            </w:pPr>
            <w:r>
              <w:rPr>
                <w:rFonts w:ascii="Times New Roman" w:hAnsi="Times New Roman"/>
                <w:sz w:val="18"/>
                <w:szCs w:val="18"/>
              </w:rPr>
              <w:t>序号</w:t>
            </w:r>
          </w:p>
        </w:tc>
        <w:tc>
          <w:tcPr>
            <w:tcW w:w="769" w:type="pct"/>
            <w:vAlign w:val="center"/>
          </w:tcPr>
          <w:p w14:paraId="4705CCE4">
            <w:pPr>
              <w:spacing w:line="0" w:lineRule="atLeast"/>
              <w:jc w:val="center"/>
              <w:rPr>
                <w:rFonts w:ascii="Times New Roman" w:hAnsi="Times New Roman"/>
                <w:sz w:val="18"/>
                <w:szCs w:val="18"/>
              </w:rPr>
            </w:pPr>
            <w:r>
              <w:rPr>
                <w:rFonts w:ascii="Times New Roman" w:hAnsi="Times New Roman"/>
                <w:sz w:val="18"/>
                <w:szCs w:val="18"/>
              </w:rPr>
              <w:t>位置</w:t>
            </w:r>
          </w:p>
        </w:tc>
        <w:tc>
          <w:tcPr>
            <w:tcW w:w="1019" w:type="pct"/>
            <w:vAlign w:val="center"/>
          </w:tcPr>
          <w:p w14:paraId="3B237007">
            <w:pPr>
              <w:spacing w:line="0" w:lineRule="atLeast"/>
              <w:jc w:val="center"/>
              <w:rPr>
                <w:rFonts w:ascii="Times New Roman" w:hAnsi="Times New Roman"/>
                <w:sz w:val="18"/>
                <w:szCs w:val="18"/>
              </w:rPr>
            </w:pPr>
            <w:r>
              <w:rPr>
                <w:rFonts w:ascii="Times New Roman" w:hAnsi="Times New Roman"/>
                <w:sz w:val="18"/>
                <w:szCs w:val="18"/>
              </w:rPr>
              <w:t>范围</w:t>
            </w:r>
          </w:p>
        </w:tc>
        <w:tc>
          <w:tcPr>
            <w:tcW w:w="729" w:type="pct"/>
            <w:vAlign w:val="center"/>
          </w:tcPr>
          <w:p w14:paraId="39F16B3B">
            <w:pPr>
              <w:spacing w:line="0" w:lineRule="atLeast"/>
              <w:jc w:val="center"/>
              <w:rPr>
                <w:rFonts w:ascii="Times New Roman" w:hAnsi="Times New Roman"/>
                <w:sz w:val="18"/>
                <w:szCs w:val="18"/>
              </w:rPr>
            </w:pPr>
            <w:r>
              <w:rPr>
                <w:rFonts w:ascii="Times New Roman" w:hAnsi="Times New Roman"/>
                <w:sz w:val="18"/>
                <w:szCs w:val="18"/>
              </w:rPr>
              <w:t>面积</w:t>
            </w:r>
          </w:p>
        </w:tc>
        <w:tc>
          <w:tcPr>
            <w:tcW w:w="843" w:type="pct"/>
            <w:vAlign w:val="center"/>
          </w:tcPr>
          <w:p w14:paraId="1CB85A10">
            <w:pPr>
              <w:spacing w:line="0" w:lineRule="atLeast"/>
              <w:jc w:val="center"/>
              <w:rPr>
                <w:rFonts w:ascii="Times New Roman" w:hAnsi="Times New Roman"/>
                <w:sz w:val="18"/>
                <w:szCs w:val="18"/>
              </w:rPr>
            </w:pPr>
            <w:r>
              <w:rPr>
                <w:rFonts w:ascii="Times New Roman" w:hAnsi="Times New Roman"/>
                <w:sz w:val="18"/>
                <w:szCs w:val="18"/>
              </w:rPr>
              <w:t>人口</w:t>
            </w:r>
          </w:p>
        </w:tc>
        <w:tc>
          <w:tcPr>
            <w:tcW w:w="1094" w:type="pct"/>
            <w:vAlign w:val="center"/>
          </w:tcPr>
          <w:p w14:paraId="163D8330">
            <w:pPr>
              <w:spacing w:line="0" w:lineRule="atLeast"/>
              <w:jc w:val="center"/>
              <w:rPr>
                <w:rFonts w:ascii="Times New Roman" w:hAnsi="Times New Roman"/>
                <w:sz w:val="18"/>
                <w:szCs w:val="18"/>
              </w:rPr>
            </w:pPr>
            <w:r>
              <w:rPr>
                <w:rFonts w:ascii="Times New Roman" w:hAnsi="Times New Roman"/>
                <w:sz w:val="18"/>
                <w:szCs w:val="18"/>
              </w:rPr>
              <w:t>现状防洪能力</w:t>
            </w:r>
          </w:p>
        </w:tc>
      </w:tr>
      <w:tr w14:paraId="51F9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5C77BC2A">
            <w:pPr>
              <w:spacing w:line="0" w:lineRule="atLeast"/>
              <w:jc w:val="center"/>
              <w:rPr>
                <w:rFonts w:ascii="Times New Roman" w:hAnsi="Times New Roman"/>
                <w:sz w:val="18"/>
                <w:szCs w:val="18"/>
              </w:rPr>
            </w:pPr>
            <w:r>
              <w:rPr>
                <w:rFonts w:ascii="Times New Roman" w:hAnsi="Times New Roman"/>
                <w:sz w:val="18"/>
                <w:szCs w:val="18"/>
              </w:rPr>
              <w:t>1</w:t>
            </w:r>
          </w:p>
        </w:tc>
        <w:tc>
          <w:tcPr>
            <w:tcW w:w="769" w:type="pct"/>
            <w:vAlign w:val="center"/>
          </w:tcPr>
          <w:p w14:paraId="75FF0B42">
            <w:pPr>
              <w:spacing w:line="0" w:lineRule="atLeast"/>
              <w:jc w:val="center"/>
              <w:rPr>
                <w:rFonts w:ascii="Times New Roman" w:hAnsi="Times New Roman"/>
                <w:sz w:val="18"/>
                <w:szCs w:val="18"/>
              </w:rPr>
            </w:pPr>
            <w:r>
              <w:rPr>
                <w:rFonts w:ascii="Times New Roman" w:hAnsi="Times New Roman"/>
                <w:sz w:val="18"/>
                <w:szCs w:val="18"/>
              </w:rPr>
              <w:t>西部城区</w:t>
            </w:r>
          </w:p>
        </w:tc>
        <w:tc>
          <w:tcPr>
            <w:tcW w:w="1019" w:type="pct"/>
            <w:vAlign w:val="center"/>
          </w:tcPr>
          <w:p w14:paraId="0F401A34">
            <w:pPr>
              <w:spacing w:line="0" w:lineRule="atLeast"/>
              <w:jc w:val="center"/>
              <w:rPr>
                <w:rFonts w:ascii="Times New Roman" w:hAnsi="Times New Roman"/>
                <w:sz w:val="18"/>
                <w:szCs w:val="18"/>
              </w:rPr>
            </w:pPr>
            <w:r>
              <w:rPr>
                <w:rFonts w:ascii="Times New Roman" w:hAnsi="Times New Roman"/>
                <w:sz w:val="18"/>
                <w:szCs w:val="18"/>
              </w:rPr>
              <w:t>城市区</w:t>
            </w:r>
          </w:p>
        </w:tc>
        <w:tc>
          <w:tcPr>
            <w:tcW w:w="729" w:type="pct"/>
            <w:vMerge w:val="restart"/>
            <w:vAlign w:val="center"/>
          </w:tcPr>
          <w:p w14:paraId="15B49726">
            <w:pPr>
              <w:spacing w:line="0" w:lineRule="atLeast"/>
              <w:jc w:val="center"/>
              <w:rPr>
                <w:rFonts w:ascii="Times New Roman" w:hAnsi="Times New Roman"/>
                <w:sz w:val="18"/>
                <w:szCs w:val="18"/>
              </w:rPr>
            </w:pPr>
            <w:r>
              <w:rPr>
                <w:rFonts w:ascii="Times New Roman" w:hAnsi="Times New Roman"/>
                <w:sz w:val="18"/>
                <w:szCs w:val="18"/>
              </w:rPr>
              <w:t>24.89km²</w:t>
            </w:r>
          </w:p>
        </w:tc>
        <w:tc>
          <w:tcPr>
            <w:tcW w:w="843" w:type="pct"/>
            <w:vAlign w:val="center"/>
          </w:tcPr>
          <w:p w14:paraId="6BF43732">
            <w:pPr>
              <w:spacing w:line="0" w:lineRule="atLeast"/>
              <w:jc w:val="center"/>
              <w:rPr>
                <w:rFonts w:ascii="Times New Roman" w:hAnsi="Times New Roman"/>
                <w:sz w:val="18"/>
                <w:szCs w:val="18"/>
              </w:rPr>
            </w:pPr>
            <w:r>
              <w:rPr>
                <w:rFonts w:ascii="Times New Roman" w:hAnsi="Times New Roman"/>
                <w:sz w:val="18"/>
                <w:szCs w:val="18"/>
              </w:rPr>
              <w:t>10万</w:t>
            </w:r>
          </w:p>
        </w:tc>
        <w:tc>
          <w:tcPr>
            <w:tcW w:w="1094" w:type="pct"/>
            <w:vAlign w:val="center"/>
          </w:tcPr>
          <w:p w14:paraId="2734ABF9">
            <w:pPr>
              <w:spacing w:line="0" w:lineRule="atLeast"/>
              <w:jc w:val="center"/>
              <w:rPr>
                <w:rFonts w:ascii="Times New Roman" w:hAnsi="Times New Roman"/>
                <w:sz w:val="18"/>
                <w:szCs w:val="18"/>
              </w:rPr>
            </w:pPr>
            <w:r>
              <w:rPr>
                <w:rFonts w:ascii="Times New Roman" w:hAnsi="Times New Roman"/>
                <w:sz w:val="18"/>
                <w:szCs w:val="18"/>
              </w:rPr>
              <w:t>20年一遇</w:t>
            </w:r>
          </w:p>
        </w:tc>
      </w:tr>
      <w:tr w14:paraId="4E07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55ECC739">
            <w:pPr>
              <w:spacing w:line="0" w:lineRule="atLeast"/>
              <w:jc w:val="center"/>
              <w:rPr>
                <w:rFonts w:ascii="Times New Roman" w:hAnsi="Times New Roman"/>
                <w:sz w:val="18"/>
                <w:szCs w:val="18"/>
              </w:rPr>
            </w:pPr>
            <w:r>
              <w:rPr>
                <w:rFonts w:ascii="Times New Roman" w:hAnsi="Times New Roman"/>
                <w:sz w:val="18"/>
                <w:szCs w:val="18"/>
              </w:rPr>
              <w:t>2</w:t>
            </w:r>
          </w:p>
        </w:tc>
        <w:tc>
          <w:tcPr>
            <w:tcW w:w="769" w:type="pct"/>
            <w:vAlign w:val="center"/>
          </w:tcPr>
          <w:p w14:paraId="170EE4FA">
            <w:pPr>
              <w:spacing w:line="0" w:lineRule="atLeast"/>
              <w:jc w:val="center"/>
              <w:rPr>
                <w:rFonts w:ascii="Times New Roman" w:hAnsi="Times New Roman"/>
                <w:sz w:val="18"/>
                <w:szCs w:val="18"/>
              </w:rPr>
            </w:pPr>
            <w:r>
              <w:rPr>
                <w:rFonts w:ascii="Times New Roman" w:hAnsi="Times New Roman"/>
                <w:sz w:val="18"/>
                <w:szCs w:val="18"/>
              </w:rPr>
              <w:t>三马山片区</w:t>
            </w:r>
          </w:p>
        </w:tc>
        <w:tc>
          <w:tcPr>
            <w:tcW w:w="1019" w:type="pct"/>
            <w:vAlign w:val="center"/>
          </w:tcPr>
          <w:p w14:paraId="45B8CA25">
            <w:pPr>
              <w:spacing w:line="0" w:lineRule="atLeast"/>
              <w:jc w:val="center"/>
              <w:rPr>
                <w:rFonts w:ascii="Times New Roman" w:hAnsi="Times New Roman"/>
                <w:sz w:val="18"/>
                <w:szCs w:val="18"/>
              </w:rPr>
            </w:pPr>
            <w:r>
              <w:rPr>
                <w:rFonts w:ascii="Times New Roman" w:hAnsi="Times New Roman"/>
                <w:sz w:val="18"/>
                <w:szCs w:val="18"/>
              </w:rPr>
              <w:t>城市区</w:t>
            </w:r>
          </w:p>
        </w:tc>
        <w:tc>
          <w:tcPr>
            <w:tcW w:w="729" w:type="pct"/>
            <w:vMerge w:val="continue"/>
            <w:vAlign w:val="center"/>
          </w:tcPr>
          <w:p w14:paraId="09BAA1F5">
            <w:pPr>
              <w:spacing w:line="0" w:lineRule="atLeast"/>
              <w:jc w:val="center"/>
              <w:rPr>
                <w:rFonts w:ascii="Times New Roman" w:hAnsi="Times New Roman"/>
                <w:sz w:val="18"/>
                <w:szCs w:val="18"/>
              </w:rPr>
            </w:pPr>
          </w:p>
        </w:tc>
        <w:tc>
          <w:tcPr>
            <w:tcW w:w="843" w:type="pct"/>
            <w:vAlign w:val="center"/>
          </w:tcPr>
          <w:p w14:paraId="162BA218">
            <w:pPr>
              <w:spacing w:line="0" w:lineRule="atLeast"/>
              <w:jc w:val="center"/>
              <w:rPr>
                <w:rFonts w:ascii="Times New Roman" w:hAnsi="Times New Roman"/>
                <w:sz w:val="18"/>
                <w:szCs w:val="18"/>
              </w:rPr>
            </w:pPr>
            <w:r>
              <w:rPr>
                <w:rFonts w:ascii="Times New Roman" w:hAnsi="Times New Roman"/>
                <w:sz w:val="18"/>
                <w:szCs w:val="18"/>
              </w:rPr>
              <w:t>10万</w:t>
            </w:r>
          </w:p>
        </w:tc>
        <w:tc>
          <w:tcPr>
            <w:tcW w:w="1094" w:type="pct"/>
            <w:vAlign w:val="center"/>
          </w:tcPr>
          <w:p w14:paraId="44EE89F3">
            <w:pPr>
              <w:spacing w:line="0" w:lineRule="atLeast"/>
              <w:jc w:val="center"/>
              <w:rPr>
                <w:rFonts w:ascii="Times New Roman" w:hAnsi="Times New Roman"/>
                <w:sz w:val="18"/>
                <w:szCs w:val="18"/>
              </w:rPr>
            </w:pPr>
            <w:r>
              <w:rPr>
                <w:rFonts w:ascii="Times New Roman" w:hAnsi="Times New Roman"/>
                <w:sz w:val="18"/>
                <w:szCs w:val="18"/>
              </w:rPr>
              <w:t>20年及以下</w:t>
            </w:r>
          </w:p>
        </w:tc>
      </w:tr>
      <w:tr w14:paraId="2384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6DD28690">
            <w:pPr>
              <w:spacing w:line="0" w:lineRule="atLeast"/>
              <w:jc w:val="center"/>
              <w:rPr>
                <w:rFonts w:ascii="Times New Roman" w:hAnsi="Times New Roman"/>
                <w:sz w:val="18"/>
                <w:szCs w:val="18"/>
              </w:rPr>
            </w:pPr>
            <w:r>
              <w:rPr>
                <w:rFonts w:ascii="Times New Roman" w:hAnsi="Times New Roman"/>
                <w:sz w:val="18"/>
                <w:szCs w:val="18"/>
              </w:rPr>
              <w:t>3</w:t>
            </w:r>
          </w:p>
        </w:tc>
        <w:tc>
          <w:tcPr>
            <w:tcW w:w="769" w:type="pct"/>
            <w:vAlign w:val="center"/>
          </w:tcPr>
          <w:p w14:paraId="743EC1A8">
            <w:pPr>
              <w:spacing w:line="0" w:lineRule="atLeast"/>
              <w:jc w:val="center"/>
              <w:rPr>
                <w:rFonts w:ascii="Times New Roman" w:hAnsi="Times New Roman"/>
                <w:sz w:val="18"/>
                <w:szCs w:val="18"/>
              </w:rPr>
            </w:pPr>
            <w:r>
              <w:rPr>
                <w:rFonts w:ascii="Times New Roman" w:hAnsi="Times New Roman"/>
                <w:sz w:val="18"/>
                <w:szCs w:val="18"/>
              </w:rPr>
              <w:t>平安乡</w:t>
            </w:r>
          </w:p>
        </w:tc>
        <w:tc>
          <w:tcPr>
            <w:tcW w:w="1019" w:type="pct"/>
            <w:vAlign w:val="center"/>
          </w:tcPr>
          <w:p w14:paraId="73521750">
            <w:pPr>
              <w:spacing w:line="0" w:lineRule="atLeast"/>
              <w:jc w:val="center"/>
              <w:rPr>
                <w:rFonts w:ascii="Times New Roman" w:hAnsi="Times New Roman"/>
                <w:sz w:val="18"/>
                <w:szCs w:val="18"/>
              </w:rPr>
            </w:pPr>
            <w:r>
              <w:rPr>
                <w:rFonts w:ascii="Times New Roman" w:hAnsi="Times New Roman"/>
                <w:sz w:val="18"/>
                <w:szCs w:val="18"/>
              </w:rPr>
              <w:t>平安社区</w:t>
            </w:r>
          </w:p>
        </w:tc>
        <w:tc>
          <w:tcPr>
            <w:tcW w:w="729" w:type="pct"/>
            <w:vAlign w:val="center"/>
          </w:tcPr>
          <w:p w14:paraId="776BFFE4">
            <w:pPr>
              <w:spacing w:line="0" w:lineRule="atLeast"/>
              <w:jc w:val="center"/>
              <w:rPr>
                <w:rFonts w:ascii="Times New Roman" w:hAnsi="Times New Roman"/>
                <w:sz w:val="18"/>
                <w:szCs w:val="18"/>
              </w:rPr>
            </w:pPr>
            <w:r>
              <w:rPr>
                <w:rFonts w:ascii="Times New Roman" w:hAnsi="Times New Roman"/>
                <w:sz w:val="18"/>
                <w:szCs w:val="18"/>
              </w:rPr>
              <w:t>0.3km</w:t>
            </w:r>
            <w:r>
              <w:rPr>
                <w:rFonts w:ascii="Times New Roman" w:hAnsi="Times New Roman"/>
                <w:sz w:val="18"/>
                <w:szCs w:val="18"/>
                <w:vertAlign w:val="superscript"/>
              </w:rPr>
              <w:t>2</w:t>
            </w:r>
          </w:p>
        </w:tc>
        <w:tc>
          <w:tcPr>
            <w:tcW w:w="843" w:type="pct"/>
            <w:vAlign w:val="center"/>
          </w:tcPr>
          <w:p w14:paraId="742C1957">
            <w:pPr>
              <w:spacing w:line="0" w:lineRule="atLeast"/>
              <w:jc w:val="center"/>
              <w:rPr>
                <w:rFonts w:ascii="Times New Roman" w:hAnsi="Times New Roman"/>
                <w:sz w:val="18"/>
                <w:szCs w:val="18"/>
              </w:rPr>
            </w:pPr>
            <w:r>
              <w:rPr>
                <w:rFonts w:ascii="Times New Roman" w:hAnsi="Times New Roman"/>
                <w:sz w:val="18"/>
                <w:szCs w:val="18"/>
              </w:rPr>
              <w:t>2500余人</w:t>
            </w:r>
          </w:p>
        </w:tc>
        <w:tc>
          <w:tcPr>
            <w:tcW w:w="1094" w:type="pct"/>
            <w:vAlign w:val="center"/>
          </w:tcPr>
          <w:p w14:paraId="41E0D0B2">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6D48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25B4881B">
            <w:pPr>
              <w:spacing w:line="0" w:lineRule="atLeast"/>
              <w:jc w:val="center"/>
              <w:rPr>
                <w:rFonts w:ascii="Times New Roman" w:hAnsi="Times New Roman"/>
                <w:sz w:val="18"/>
                <w:szCs w:val="18"/>
              </w:rPr>
            </w:pPr>
            <w:r>
              <w:rPr>
                <w:rFonts w:ascii="Times New Roman" w:hAnsi="Times New Roman"/>
                <w:sz w:val="18"/>
                <w:szCs w:val="18"/>
              </w:rPr>
              <w:t>4</w:t>
            </w:r>
          </w:p>
        </w:tc>
        <w:tc>
          <w:tcPr>
            <w:tcW w:w="769" w:type="pct"/>
            <w:vAlign w:val="center"/>
          </w:tcPr>
          <w:p w14:paraId="13510FEE">
            <w:pPr>
              <w:spacing w:line="0" w:lineRule="atLeast"/>
              <w:jc w:val="center"/>
              <w:rPr>
                <w:rFonts w:ascii="Times New Roman" w:hAnsi="Times New Roman"/>
                <w:sz w:val="18"/>
                <w:szCs w:val="18"/>
              </w:rPr>
            </w:pPr>
            <w:r>
              <w:rPr>
                <w:rFonts w:ascii="Times New Roman" w:hAnsi="Times New Roman"/>
                <w:sz w:val="18"/>
                <w:szCs w:val="18"/>
              </w:rPr>
              <w:t>竹园镇</w:t>
            </w:r>
          </w:p>
        </w:tc>
        <w:tc>
          <w:tcPr>
            <w:tcW w:w="1019" w:type="pct"/>
            <w:vAlign w:val="center"/>
          </w:tcPr>
          <w:p w14:paraId="7496E8A7">
            <w:pPr>
              <w:spacing w:line="0" w:lineRule="atLeast"/>
              <w:jc w:val="center"/>
              <w:rPr>
                <w:rFonts w:ascii="Times New Roman" w:hAnsi="Times New Roman"/>
                <w:sz w:val="18"/>
                <w:szCs w:val="18"/>
              </w:rPr>
            </w:pPr>
            <w:r>
              <w:rPr>
                <w:rFonts w:ascii="Times New Roman" w:hAnsi="Times New Roman"/>
                <w:sz w:val="18"/>
                <w:szCs w:val="18"/>
              </w:rPr>
              <w:t>场镇局部</w:t>
            </w:r>
          </w:p>
        </w:tc>
        <w:tc>
          <w:tcPr>
            <w:tcW w:w="729" w:type="pct"/>
            <w:vAlign w:val="center"/>
          </w:tcPr>
          <w:p w14:paraId="160ABB61">
            <w:pPr>
              <w:spacing w:line="0" w:lineRule="atLeast"/>
              <w:jc w:val="center"/>
              <w:rPr>
                <w:rFonts w:ascii="Times New Roman" w:hAnsi="Times New Roman"/>
                <w:sz w:val="18"/>
                <w:szCs w:val="18"/>
              </w:rPr>
            </w:pPr>
            <w:r>
              <w:rPr>
                <w:rFonts w:ascii="Times New Roman" w:hAnsi="Times New Roman"/>
                <w:sz w:val="18"/>
                <w:szCs w:val="18"/>
              </w:rPr>
              <w:t>1 km</w:t>
            </w:r>
            <w:r>
              <w:rPr>
                <w:rFonts w:ascii="Times New Roman" w:hAnsi="Times New Roman"/>
                <w:sz w:val="18"/>
                <w:szCs w:val="18"/>
                <w:vertAlign w:val="superscript"/>
              </w:rPr>
              <w:t>2</w:t>
            </w:r>
          </w:p>
        </w:tc>
        <w:tc>
          <w:tcPr>
            <w:tcW w:w="843" w:type="pct"/>
            <w:vAlign w:val="center"/>
          </w:tcPr>
          <w:p w14:paraId="4A6C25A4">
            <w:pPr>
              <w:spacing w:line="0" w:lineRule="atLeast"/>
              <w:jc w:val="center"/>
              <w:rPr>
                <w:rFonts w:ascii="Times New Roman" w:hAnsi="Times New Roman"/>
                <w:sz w:val="18"/>
                <w:szCs w:val="18"/>
              </w:rPr>
            </w:pPr>
            <w:r>
              <w:rPr>
                <w:rFonts w:ascii="Times New Roman" w:hAnsi="Times New Roman"/>
                <w:sz w:val="18"/>
                <w:szCs w:val="18"/>
              </w:rPr>
              <w:t>10000余人</w:t>
            </w:r>
          </w:p>
        </w:tc>
        <w:tc>
          <w:tcPr>
            <w:tcW w:w="1094" w:type="pct"/>
            <w:vAlign w:val="center"/>
          </w:tcPr>
          <w:p w14:paraId="5A2AFC5F">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00F8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2BC73853">
            <w:pPr>
              <w:spacing w:line="0" w:lineRule="atLeast"/>
              <w:jc w:val="center"/>
              <w:rPr>
                <w:rFonts w:ascii="Times New Roman" w:hAnsi="Times New Roman"/>
                <w:sz w:val="18"/>
                <w:szCs w:val="18"/>
              </w:rPr>
            </w:pPr>
            <w:r>
              <w:rPr>
                <w:rFonts w:ascii="Times New Roman" w:hAnsi="Times New Roman"/>
                <w:sz w:val="18"/>
                <w:szCs w:val="18"/>
              </w:rPr>
              <w:t>5</w:t>
            </w:r>
          </w:p>
        </w:tc>
        <w:tc>
          <w:tcPr>
            <w:tcW w:w="769" w:type="pct"/>
            <w:vAlign w:val="center"/>
          </w:tcPr>
          <w:p w14:paraId="5D062B78">
            <w:pPr>
              <w:spacing w:line="0" w:lineRule="atLeast"/>
              <w:jc w:val="center"/>
              <w:rPr>
                <w:rFonts w:ascii="Times New Roman" w:hAnsi="Times New Roman"/>
                <w:sz w:val="18"/>
                <w:szCs w:val="18"/>
              </w:rPr>
            </w:pPr>
            <w:r>
              <w:rPr>
                <w:rFonts w:ascii="Times New Roman" w:hAnsi="Times New Roman"/>
                <w:sz w:val="18"/>
                <w:szCs w:val="18"/>
              </w:rPr>
              <w:t>竹园镇</w:t>
            </w:r>
          </w:p>
        </w:tc>
        <w:tc>
          <w:tcPr>
            <w:tcW w:w="1019" w:type="pct"/>
            <w:vAlign w:val="center"/>
          </w:tcPr>
          <w:p w14:paraId="46D46453">
            <w:pPr>
              <w:spacing w:line="0" w:lineRule="atLeast"/>
              <w:jc w:val="center"/>
              <w:rPr>
                <w:rFonts w:ascii="Times New Roman" w:hAnsi="Times New Roman"/>
                <w:sz w:val="18"/>
                <w:szCs w:val="18"/>
              </w:rPr>
            </w:pPr>
            <w:r>
              <w:rPr>
                <w:rFonts w:ascii="Times New Roman" w:hAnsi="Times New Roman"/>
                <w:sz w:val="18"/>
                <w:szCs w:val="18"/>
              </w:rPr>
              <w:t>华吉村</w:t>
            </w:r>
          </w:p>
        </w:tc>
        <w:tc>
          <w:tcPr>
            <w:tcW w:w="729" w:type="pct"/>
            <w:vAlign w:val="center"/>
          </w:tcPr>
          <w:p w14:paraId="028FB31D">
            <w:pPr>
              <w:spacing w:line="0" w:lineRule="atLeast"/>
              <w:jc w:val="center"/>
              <w:rPr>
                <w:rFonts w:ascii="Times New Roman" w:hAnsi="Times New Roman"/>
                <w:sz w:val="18"/>
                <w:szCs w:val="18"/>
              </w:rPr>
            </w:pPr>
            <w:r>
              <w:rPr>
                <w:rFonts w:ascii="Times New Roman" w:hAnsi="Times New Roman"/>
                <w:sz w:val="18"/>
                <w:szCs w:val="18"/>
              </w:rPr>
              <w:t>0.35km</w:t>
            </w:r>
            <w:r>
              <w:rPr>
                <w:rFonts w:ascii="Times New Roman" w:hAnsi="Times New Roman"/>
                <w:sz w:val="18"/>
                <w:szCs w:val="18"/>
                <w:vertAlign w:val="superscript"/>
              </w:rPr>
              <w:t>2</w:t>
            </w:r>
          </w:p>
        </w:tc>
        <w:tc>
          <w:tcPr>
            <w:tcW w:w="843" w:type="pct"/>
            <w:vAlign w:val="center"/>
          </w:tcPr>
          <w:p w14:paraId="72407E11">
            <w:pPr>
              <w:spacing w:line="0" w:lineRule="atLeast"/>
              <w:jc w:val="center"/>
              <w:rPr>
                <w:rFonts w:ascii="Times New Roman" w:hAnsi="Times New Roman"/>
                <w:sz w:val="18"/>
                <w:szCs w:val="18"/>
              </w:rPr>
            </w:pPr>
            <w:r>
              <w:rPr>
                <w:rFonts w:ascii="Times New Roman" w:hAnsi="Times New Roman"/>
                <w:sz w:val="18"/>
                <w:szCs w:val="18"/>
              </w:rPr>
              <w:t>3000余人</w:t>
            </w:r>
          </w:p>
        </w:tc>
        <w:tc>
          <w:tcPr>
            <w:tcW w:w="1094" w:type="pct"/>
            <w:vAlign w:val="center"/>
          </w:tcPr>
          <w:p w14:paraId="601255E6">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5552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1B5EC93E">
            <w:pPr>
              <w:spacing w:line="0" w:lineRule="atLeast"/>
              <w:jc w:val="center"/>
              <w:rPr>
                <w:rFonts w:ascii="Times New Roman" w:hAnsi="Times New Roman"/>
                <w:sz w:val="18"/>
                <w:szCs w:val="18"/>
              </w:rPr>
            </w:pPr>
            <w:r>
              <w:rPr>
                <w:rFonts w:ascii="Times New Roman" w:hAnsi="Times New Roman"/>
                <w:sz w:val="18"/>
                <w:szCs w:val="18"/>
              </w:rPr>
              <w:t>6</w:t>
            </w:r>
          </w:p>
        </w:tc>
        <w:tc>
          <w:tcPr>
            <w:tcW w:w="769" w:type="pct"/>
            <w:vAlign w:val="center"/>
          </w:tcPr>
          <w:p w14:paraId="371D23BC">
            <w:pPr>
              <w:spacing w:line="0" w:lineRule="atLeast"/>
              <w:jc w:val="center"/>
              <w:rPr>
                <w:rFonts w:ascii="Times New Roman" w:hAnsi="Times New Roman"/>
                <w:sz w:val="18"/>
                <w:szCs w:val="18"/>
              </w:rPr>
            </w:pPr>
            <w:r>
              <w:rPr>
                <w:rFonts w:ascii="Times New Roman" w:hAnsi="Times New Roman"/>
                <w:sz w:val="18"/>
                <w:szCs w:val="18"/>
              </w:rPr>
              <w:t>竹园镇</w:t>
            </w:r>
          </w:p>
        </w:tc>
        <w:tc>
          <w:tcPr>
            <w:tcW w:w="1019" w:type="pct"/>
            <w:vAlign w:val="center"/>
          </w:tcPr>
          <w:p w14:paraId="399B4A53">
            <w:pPr>
              <w:spacing w:line="0" w:lineRule="atLeast"/>
              <w:jc w:val="center"/>
              <w:rPr>
                <w:rFonts w:ascii="Times New Roman" w:hAnsi="Times New Roman"/>
                <w:sz w:val="18"/>
                <w:szCs w:val="18"/>
              </w:rPr>
            </w:pPr>
            <w:r>
              <w:rPr>
                <w:rFonts w:ascii="Times New Roman" w:hAnsi="Times New Roman"/>
                <w:sz w:val="18"/>
                <w:szCs w:val="18"/>
              </w:rPr>
              <w:t>岔河农民新村</w:t>
            </w:r>
          </w:p>
        </w:tc>
        <w:tc>
          <w:tcPr>
            <w:tcW w:w="729" w:type="pct"/>
            <w:vAlign w:val="center"/>
          </w:tcPr>
          <w:p w14:paraId="259856C4">
            <w:pPr>
              <w:spacing w:line="0" w:lineRule="atLeast"/>
              <w:jc w:val="center"/>
              <w:rPr>
                <w:rFonts w:ascii="Times New Roman" w:hAnsi="Times New Roman"/>
                <w:sz w:val="18"/>
                <w:szCs w:val="18"/>
              </w:rPr>
            </w:pPr>
            <w:r>
              <w:rPr>
                <w:rFonts w:ascii="Times New Roman" w:hAnsi="Times New Roman"/>
                <w:sz w:val="18"/>
                <w:szCs w:val="18"/>
              </w:rPr>
              <w:t>0.15 km</w:t>
            </w:r>
            <w:r>
              <w:rPr>
                <w:rFonts w:ascii="Times New Roman" w:hAnsi="Times New Roman"/>
                <w:sz w:val="18"/>
                <w:szCs w:val="18"/>
                <w:vertAlign w:val="superscript"/>
              </w:rPr>
              <w:t>2</w:t>
            </w:r>
          </w:p>
        </w:tc>
        <w:tc>
          <w:tcPr>
            <w:tcW w:w="843" w:type="pct"/>
            <w:vAlign w:val="center"/>
          </w:tcPr>
          <w:p w14:paraId="5AC0ACEE">
            <w:pPr>
              <w:spacing w:line="0" w:lineRule="atLeast"/>
              <w:jc w:val="center"/>
              <w:rPr>
                <w:rFonts w:ascii="Times New Roman" w:hAnsi="Times New Roman"/>
                <w:sz w:val="18"/>
                <w:szCs w:val="18"/>
              </w:rPr>
            </w:pPr>
            <w:r>
              <w:rPr>
                <w:rFonts w:ascii="Times New Roman" w:hAnsi="Times New Roman"/>
                <w:sz w:val="18"/>
                <w:szCs w:val="18"/>
              </w:rPr>
              <w:t>1500余人</w:t>
            </w:r>
          </w:p>
        </w:tc>
        <w:tc>
          <w:tcPr>
            <w:tcW w:w="1094" w:type="pct"/>
            <w:vAlign w:val="center"/>
          </w:tcPr>
          <w:p w14:paraId="35CC3234">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44C2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466A0D58">
            <w:pPr>
              <w:spacing w:line="0" w:lineRule="atLeast"/>
              <w:jc w:val="center"/>
              <w:rPr>
                <w:rFonts w:ascii="Times New Roman" w:hAnsi="Times New Roman"/>
                <w:sz w:val="18"/>
                <w:szCs w:val="18"/>
              </w:rPr>
            </w:pPr>
            <w:r>
              <w:rPr>
                <w:rFonts w:ascii="Times New Roman" w:hAnsi="Times New Roman"/>
                <w:sz w:val="18"/>
                <w:szCs w:val="18"/>
              </w:rPr>
              <w:t>7</w:t>
            </w:r>
          </w:p>
        </w:tc>
        <w:tc>
          <w:tcPr>
            <w:tcW w:w="769" w:type="pct"/>
            <w:vAlign w:val="center"/>
          </w:tcPr>
          <w:p w14:paraId="62FDC6D6">
            <w:pPr>
              <w:spacing w:line="0" w:lineRule="atLeast"/>
              <w:jc w:val="center"/>
              <w:rPr>
                <w:rFonts w:ascii="Times New Roman" w:hAnsi="Times New Roman"/>
                <w:sz w:val="18"/>
                <w:szCs w:val="18"/>
              </w:rPr>
            </w:pPr>
            <w:r>
              <w:rPr>
                <w:rFonts w:ascii="Times New Roman" w:hAnsi="Times New Roman"/>
                <w:sz w:val="18"/>
                <w:szCs w:val="18"/>
              </w:rPr>
              <w:t>大树镇</w:t>
            </w:r>
          </w:p>
        </w:tc>
        <w:tc>
          <w:tcPr>
            <w:tcW w:w="1019" w:type="pct"/>
            <w:vAlign w:val="center"/>
          </w:tcPr>
          <w:p w14:paraId="3F4EF6F7">
            <w:pPr>
              <w:spacing w:line="0" w:lineRule="atLeast"/>
              <w:jc w:val="center"/>
              <w:rPr>
                <w:rFonts w:ascii="Times New Roman" w:hAnsi="Times New Roman"/>
                <w:sz w:val="18"/>
                <w:szCs w:val="18"/>
              </w:rPr>
            </w:pPr>
            <w:r>
              <w:rPr>
                <w:rFonts w:ascii="Times New Roman" w:hAnsi="Times New Roman"/>
                <w:sz w:val="18"/>
                <w:szCs w:val="18"/>
              </w:rPr>
              <w:t>场镇范围</w:t>
            </w:r>
          </w:p>
        </w:tc>
        <w:tc>
          <w:tcPr>
            <w:tcW w:w="729" w:type="pct"/>
            <w:vAlign w:val="center"/>
          </w:tcPr>
          <w:p w14:paraId="46A8078F">
            <w:pPr>
              <w:spacing w:line="0" w:lineRule="atLeast"/>
              <w:jc w:val="center"/>
              <w:rPr>
                <w:rFonts w:ascii="Times New Roman" w:hAnsi="Times New Roman"/>
                <w:sz w:val="18"/>
                <w:szCs w:val="18"/>
              </w:rPr>
            </w:pPr>
            <w:r>
              <w:rPr>
                <w:rFonts w:ascii="Times New Roman" w:hAnsi="Times New Roman"/>
                <w:sz w:val="18"/>
                <w:szCs w:val="18"/>
              </w:rPr>
              <w:t>0.31 km</w:t>
            </w:r>
            <w:r>
              <w:rPr>
                <w:rFonts w:ascii="Times New Roman" w:hAnsi="Times New Roman"/>
                <w:sz w:val="18"/>
                <w:szCs w:val="18"/>
                <w:vertAlign w:val="superscript"/>
              </w:rPr>
              <w:t>2</w:t>
            </w:r>
          </w:p>
        </w:tc>
        <w:tc>
          <w:tcPr>
            <w:tcW w:w="843" w:type="pct"/>
            <w:vAlign w:val="center"/>
          </w:tcPr>
          <w:p w14:paraId="09DE1272">
            <w:pPr>
              <w:spacing w:line="0" w:lineRule="atLeast"/>
              <w:jc w:val="center"/>
              <w:rPr>
                <w:rFonts w:ascii="Times New Roman" w:hAnsi="Times New Roman"/>
                <w:sz w:val="18"/>
                <w:szCs w:val="18"/>
              </w:rPr>
            </w:pPr>
            <w:r>
              <w:rPr>
                <w:rFonts w:ascii="Times New Roman" w:hAnsi="Times New Roman"/>
                <w:sz w:val="18"/>
                <w:szCs w:val="18"/>
              </w:rPr>
              <w:t>4100余人</w:t>
            </w:r>
          </w:p>
        </w:tc>
        <w:tc>
          <w:tcPr>
            <w:tcW w:w="1094" w:type="pct"/>
            <w:vAlign w:val="center"/>
          </w:tcPr>
          <w:p w14:paraId="14C1A31D">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0F7F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010DE179">
            <w:pPr>
              <w:spacing w:line="0" w:lineRule="atLeast"/>
              <w:jc w:val="center"/>
              <w:rPr>
                <w:rFonts w:ascii="Times New Roman" w:hAnsi="Times New Roman"/>
                <w:sz w:val="18"/>
                <w:szCs w:val="18"/>
              </w:rPr>
            </w:pPr>
            <w:r>
              <w:rPr>
                <w:rFonts w:ascii="Times New Roman" w:hAnsi="Times New Roman"/>
                <w:sz w:val="18"/>
                <w:szCs w:val="18"/>
              </w:rPr>
              <w:t>8</w:t>
            </w:r>
          </w:p>
        </w:tc>
        <w:tc>
          <w:tcPr>
            <w:tcW w:w="769" w:type="pct"/>
            <w:vAlign w:val="center"/>
          </w:tcPr>
          <w:p w14:paraId="0C5A9DEA">
            <w:pPr>
              <w:spacing w:line="0" w:lineRule="atLeast"/>
              <w:jc w:val="center"/>
              <w:rPr>
                <w:rFonts w:ascii="Times New Roman" w:hAnsi="Times New Roman"/>
                <w:sz w:val="18"/>
                <w:szCs w:val="18"/>
              </w:rPr>
            </w:pPr>
            <w:r>
              <w:rPr>
                <w:rFonts w:ascii="Times New Roman" w:hAnsi="Times New Roman"/>
                <w:sz w:val="18"/>
                <w:szCs w:val="18"/>
              </w:rPr>
              <w:t>吐祥镇</w:t>
            </w:r>
          </w:p>
        </w:tc>
        <w:tc>
          <w:tcPr>
            <w:tcW w:w="1019" w:type="pct"/>
            <w:vAlign w:val="center"/>
          </w:tcPr>
          <w:p w14:paraId="2AAAA63C">
            <w:pPr>
              <w:spacing w:line="0" w:lineRule="atLeast"/>
              <w:jc w:val="center"/>
              <w:rPr>
                <w:rFonts w:ascii="Times New Roman" w:hAnsi="Times New Roman"/>
                <w:sz w:val="18"/>
                <w:szCs w:val="18"/>
              </w:rPr>
            </w:pPr>
            <w:r>
              <w:rPr>
                <w:rFonts w:ascii="Times New Roman" w:hAnsi="Times New Roman"/>
                <w:sz w:val="18"/>
                <w:szCs w:val="18"/>
              </w:rPr>
              <w:t>龙泉社区</w:t>
            </w:r>
          </w:p>
        </w:tc>
        <w:tc>
          <w:tcPr>
            <w:tcW w:w="729" w:type="pct"/>
            <w:vAlign w:val="center"/>
          </w:tcPr>
          <w:p w14:paraId="58A35937">
            <w:pPr>
              <w:spacing w:line="0" w:lineRule="atLeast"/>
              <w:jc w:val="center"/>
              <w:rPr>
                <w:rFonts w:ascii="Times New Roman" w:hAnsi="Times New Roman"/>
                <w:sz w:val="18"/>
                <w:szCs w:val="18"/>
              </w:rPr>
            </w:pPr>
            <w:r>
              <w:rPr>
                <w:rFonts w:ascii="Times New Roman" w:hAnsi="Times New Roman"/>
                <w:sz w:val="18"/>
                <w:szCs w:val="18"/>
              </w:rPr>
              <w:t>0.04 km</w:t>
            </w:r>
            <w:r>
              <w:rPr>
                <w:rFonts w:ascii="Times New Roman" w:hAnsi="Times New Roman"/>
                <w:sz w:val="18"/>
                <w:szCs w:val="18"/>
                <w:vertAlign w:val="superscript"/>
              </w:rPr>
              <w:t>2</w:t>
            </w:r>
          </w:p>
        </w:tc>
        <w:tc>
          <w:tcPr>
            <w:tcW w:w="843" w:type="pct"/>
            <w:vAlign w:val="center"/>
          </w:tcPr>
          <w:p w14:paraId="3106834F">
            <w:pPr>
              <w:spacing w:line="0" w:lineRule="atLeast"/>
              <w:jc w:val="center"/>
              <w:rPr>
                <w:rFonts w:ascii="Times New Roman" w:hAnsi="Times New Roman"/>
                <w:sz w:val="18"/>
                <w:szCs w:val="18"/>
              </w:rPr>
            </w:pPr>
            <w:r>
              <w:rPr>
                <w:rFonts w:ascii="Times New Roman" w:hAnsi="Times New Roman"/>
                <w:sz w:val="18"/>
                <w:szCs w:val="18"/>
              </w:rPr>
              <w:t>3000余人</w:t>
            </w:r>
          </w:p>
        </w:tc>
        <w:tc>
          <w:tcPr>
            <w:tcW w:w="1094" w:type="pct"/>
            <w:vAlign w:val="center"/>
          </w:tcPr>
          <w:p w14:paraId="2B016DA1">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4C80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00260B8F">
            <w:pPr>
              <w:spacing w:line="0" w:lineRule="atLeast"/>
              <w:jc w:val="center"/>
              <w:rPr>
                <w:rFonts w:ascii="Times New Roman" w:hAnsi="Times New Roman"/>
                <w:sz w:val="18"/>
                <w:szCs w:val="18"/>
              </w:rPr>
            </w:pPr>
            <w:r>
              <w:rPr>
                <w:rFonts w:ascii="Times New Roman" w:hAnsi="Times New Roman"/>
                <w:sz w:val="18"/>
                <w:szCs w:val="18"/>
              </w:rPr>
              <w:t>9</w:t>
            </w:r>
          </w:p>
        </w:tc>
        <w:tc>
          <w:tcPr>
            <w:tcW w:w="769" w:type="pct"/>
            <w:vAlign w:val="center"/>
          </w:tcPr>
          <w:p w14:paraId="103925E2">
            <w:pPr>
              <w:spacing w:line="0" w:lineRule="atLeast"/>
              <w:jc w:val="center"/>
              <w:rPr>
                <w:rFonts w:ascii="Times New Roman" w:hAnsi="Times New Roman"/>
                <w:sz w:val="18"/>
                <w:szCs w:val="18"/>
              </w:rPr>
            </w:pPr>
            <w:r>
              <w:rPr>
                <w:rFonts w:ascii="Times New Roman" w:hAnsi="Times New Roman"/>
                <w:sz w:val="18"/>
                <w:szCs w:val="18"/>
              </w:rPr>
              <w:t>青莲镇</w:t>
            </w:r>
          </w:p>
        </w:tc>
        <w:tc>
          <w:tcPr>
            <w:tcW w:w="1019" w:type="pct"/>
            <w:vAlign w:val="center"/>
          </w:tcPr>
          <w:p w14:paraId="42215F2F">
            <w:pPr>
              <w:spacing w:line="0" w:lineRule="atLeast"/>
              <w:jc w:val="center"/>
              <w:rPr>
                <w:rFonts w:ascii="Times New Roman" w:hAnsi="Times New Roman"/>
                <w:sz w:val="18"/>
                <w:szCs w:val="18"/>
              </w:rPr>
            </w:pPr>
            <w:r>
              <w:rPr>
                <w:rFonts w:ascii="Times New Roman" w:hAnsi="Times New Roman"/>
                <w:sz w:val="18"/>
                <w:szCs w:val="18"/>
              </w:rPr>
              <w:t>场镇范围</w:t>
            </w:r>
          </w:p>
        </w:tc>
        <w:tc>
          <w:tcPr>
            <w:tcW w:w="729" w:type="pct"/>
            <w:vAlign w:val="center"/>
          </w:tcPr>
          <w:p w14:paraId="297B24DC">
            <w:pPr>
              <w:spacing w:line="0" w:lineRule="atLeast"/>
              <w:jc w:val="center"/>
              <w:rPr>
                <w:rFonts w:ascii="Times New Roman" w:hAnsi="Times New Roman"/>
                <w:sz w:val="18"/>
                <w:szCs w:val="18"/>
              </w:rPr>
            </w:pPr>
            <w:r>
              <w:rPr>
                <w:rFonts w:ascii="Times New Roman" w:hAnsi="Times New Roman"/>
                <w:sz w:val="18"/>
                <w:szCs w:val="18"/>
              </w:rPr>
              <w:t>0. 49km</w:t>
            </w:r>
            <w:r>
              <w:rPr>
                <w:rFonts w:ascii="Times New Roman" w:hAnsi="Times New Roman"/>
                <w:sz w:val="18"/>
                <w:szCs w:val="18"/>
                <w:vertAlign w:val="superscript"/>
              </w:rPr>
              <w:t>2</w:t>
            </w:r>
          </w:p>
        </w:tc>
        <w:tc>
          <w:tcPr>
            <w:tcW w:w="843" w:type="pct"/>
            <w:vAlign w:val="center"/>
          </w:tcPr>
          <w:p w14:paraId="2D95AF85">
            <w:pPr>
              <w:spacing w:line="0" w:lineRule="atLeast"/>
              <w:jc w:val="center"/>
              <w:rPr>
                <w:rFonts w:ascii="Times New Roman" w:hAnsi="Times New Roman"/>
                <w:sz w:val="18"/>
                <w:szCs w:val="18"/>
              </w:rPr>
            </w:pPr>
            <w:r>
              <w:rPr>
                <w:rFonts w:ascii="Times New Roman" w:hAnsi="Times New Roman"/>
                <w:sz w:val="18"/>
                <w:szCs w:val="18"/>
              </w:rPr>
              <w:t>6000余人</w:t>
            </w:r>
          </w:p>
        </w:tc>
        <w:tc>
          <w:tcPr>
            <w:tcW w:w="1094" w:type="pct"/>
            <w:vAlign w:val="center"/>
          </w:tcPr>
          <w:p w14:paraId="2B0B21C4">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4BBE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6C3D52AE">
            <w:pPr>
              <w:spacing w:line="0" w:lineRule="atLeast"/>
              <w:jc w:val="center"/>
              <w:rPr>
                <w:rFonts w:ascii="Times New Roman" w:hAnsi="Times New Roman"/>
                <w:sz w:val="18"/>
                <w:szCs w:val="18"/>
              </w:rPr>
            </w:pPr>
            <w:r>
              <w:rPr>
                <w:rFonts w:ascii="Times New Roman" w:hAnsi="Times New Roman"/>
                <w:sz w:val="18"/>
                <w:szCs w:val="18"/>
              </w:rPr>
              <w:t>10</w:t>
            </w:r>
          </w:p>
        </w:tc>
        <w:tc>
          <w:tcPr>
            <w:tcW w:w="769" w:type="pct"/>
            <w:vAlign w:val="center"/>
          </w:tcPr>
          <w:p w14:paraId="0E5DC80F">
            <w:pPr>
              <w:spacing w:line="0" w:lineRule="atLeast"/>
              <w:jc w:val="center"/>
              <w:rPr>
                <w:rFonts w:ascii="Times New Roman" w:hAnsi="Times New Roman"/>
                <w:sz w:val="18"/>
                <w:szCs w:val="18"/>
              </w:rPr>
            </w:pPr>
            <w:r>
              <w:rPr>
                <w:rFonts w:ascii="Times New Roman" w:hAnsi="Times New Roman"/>
                <w:sz w:val="18"/>
                <w:szCs w:val="18"/>
              </w:rPr>
              <w:t>兴隆镇</w:t>
            </w:r>
          </w:p>
        </w:tc>
        <w:tc>
          <w:tcPr>
            <w:tcW w:w="1019" w:type="pct"/>
            <w:vAlign w:val="center"/>
          </w:tcPr>
          <w:p w14:paraId="1B3DE4C0">
            <w:pPr>
              <w:spacing w:line="0" w:lineRule="atLeast"/>
              <w:jc w:val="center"/>
              <w:rPr>
                <w:rFonts w:ascii="Times New Roman" w:hAnsi="Times New Roman"/>
                <w:sz w:val="18"/>
                <w:szCs w:val="18"/>
              </w:rPr>
            </w:pPr>
            <w:r>
              <w:rPr>
                <w:rFonts w:ascii="Times New Roman" w:hAnsi="Times New Roman"/>
                <w:sz w:val="18"/>
                <w:szCs w:val="18"/>
              </w:rPr>
              <w:t>场镇局部</w:t>
            </w:r>
          </w:p>
        </w:tc>
        <w:tc>
          <w:tcPr>
            <w:tcW w:w="729" w:type="pct"/>
            <w:vAlign w:val="center"/>
          </w:tcPr>
          <w:p w14:paraId="12E3724C">
            <w:pPr>
              <w:spacing w:line="0" w:lineRule="atLeast"/>
              <w:jc w:val="center"/>
              <w:rPr>
                <w:rFonts w:ascii="Times New Roman" w:hAnsi="Times New Roman"/>
                <w:sz w:val="18"/>
                <w:szCs w:val="18"/>
              </w:rPr>
            </w:pPr>
            <w:r>
              <w:rPr>
                <w:rFonts w:ascii="Times New Roman" w:hAnsi="Times New Roman"/>
                <w:sz w:val="18"/>
                <w:szCs w:val="18"/>
              </w:rPr>
              <w:t>2.3 km</w:t>
            </w:r>
            <w:r>
              <w:rPr>
                <w:rFonts w:ascii="Times New Roman" w:hAnsi="Times New Roman"/>
                <w:sz w:val="18"/>
                <w:szCs w:val="18"/>
                <w:vertAlign w:val="superscript"/>
              </w:rPr>
              <w:t>2</w:t>
            </w:r>
          </w:p>
        </w:tc>
        <w:tc>
          <w:tcPr>
            <w:tcW w:w="843" w:type="pct"/>
            <w:vAlign w:val="center"/>
          </w:tcPr>
          <w:p w14:paraId="6DDAAFF1">
            <w:pPr>
              <w:spacing w:line="0" w:lineRule="atLeast"/>
              <w:jc w:val="center"/>
              <w:rPr>
                <w:rFonts w:ascii="Times New Roman" w:hAnsi="Times New Roman"/>
                <w:sz w:val="18"/>
                <w:szCs w:val="18"/>
              </w:rPr>
            </w:pPr>
            <w:r>
              <w:rPr>
                <w:rFonts w:ascii="Times New Roman" w:hAnsi="Times New Roman"/>
                <w:sz w:val="18"/>
                <w:szCs w:val="18"/>
              </w:rPr>
              <w:t>20000余人</w:t>
            </w:r>
          </w:p>
        </w:tc>
        <w:tc>
          <w:tcPr>
            <w:tcW w:w="1094" w:type="pct"/>
            <w:vAlign w:val="center"/>
          </w:tcPr>
          <w:p w14:paraId="1C5530BF">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4134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5C08795F">
            <w:pPr>
              <w:spacing w:line="0" w:lineRule="atLeast"/>
              <w:jc w:val="center"/>
              <w:rPr>
                <w:rFonts w:ascii="Times New Roman" w:hAnsi="Times New Roman"/>
                <w:sz w:val="18"/>
                <w:szCs w:val="18"/>
              </w:rPr>
            </w:pPr>
            <w:r>
              <w:rPr>
                <w:rFonts w:ascii="Times New Roman" w:hAnsi="Times New Roman"/>
                <w:sz w:val="18"/>
                <w:szCs w:val="18"/>
              </w:rPr>
              <w:t>11</w:t>
            </w:r>
          </w:p>
        </w:tc>
        <w:tc>
          <w:tcPr>
            <w:tcW w:w="769" w:type="pct"/>
            <w:vAlign w:val="center"/>
          </w:tcPr>
          <w:p w14:paraId="39DE6D02">
            <w:pPr>
              <w:spacing w:line="0" w:lineRule="atLeast"/>
              <w:jc w:val="center"/>
              <w:rPr>
                <w:rFonts w:ascii="Times New Roman" w:hAnsi="Times New Roman"/>
                <w:sz w:val="18"/>
                <w:szCs w:val="18"/>
              </w:rPr>
            </w:pPr>
            <w:r>
              <w:rPr>
                <w:rFonts w:ascii="Times New Roman" w:hAnsi="Times New Roman"/>
                <w:sz w:val="18"/>
                <w:szCs w:val="18"/>
              </w:rPr>
              <w:t>青龙镇</w:t>
            </w:r>
          </w:p>
        </w:tc>
        <w:tc>
          <w:tcPr>
            <w:tcW w:w="1019" w:type="pct"/>
            <w:vAlign w:val="center"/>
          </w:tcPr>
          <w:p w14:paraId="0B7E1961">
            <w:pPr>
              <w:spacing w:line="0" w:lineRule="atLeast"/>
              <w:jc w:val="center"/>
              <w:rPr>
                <w:rFonts w:ascii="Times New Roman" w:hAnsi="Times New Roman"/>
                <w:sz w:val="18"/>
                <w:szCs w:val="18"/>
              </w:rPr>
            </w:pPr>
            <w:r>
              <w:rPr>
                <w:rFonts w:ascii="Times New Roman" w:hAnsi="Times New Roman"/>
                <w:sz w:val="18"/>
                <w:szCs w:val="18"/>
              </w:rPr>
              <w:t>场镇范围</w:t>
            </w:r>
          </w:p>
        </w:tc>
        <w:tc>
          <w:tcPr>
            <w:tcW w:w="729" w:type="pct"/>
            <w:vAlign w:val="center"/>
          </w:tcPr>
          <w:p w14:paraId="2F2CEE2B">
            <w:pPr>
              <w:spacing w:line="0" w:lineRule="atLeast"/>
              <w:jc w:val="center"/>
              <w:rPr>
                <w:rFonts w:ascii="Times New Roman" w:hAnsi="Times New Roman"/>
                <w:sz w:val="18"/>
                <w:szCs w:val="18"/>
              </w:rPr>
            </w:pPr>
            <w:r>
              <w:rPr>
                <w:rFonts w:ascii="Times New Roman" w:hAnsi="Times New Roman"/>
                <w:sz w:val="18"/>
                <w:szCs w:val="18"/>
              </w:rPr>
              <w:t>0.25km</w:t>
            </w:r>
            <w:r>
              <w:rPr>
                <w:rFonts w:ascii="Times New Roman" w:hAnsi="Times New Roman"/>
                <w:sz w:val="18"/>
                <w:szCs w:val="18"/>
                <w:vertAlign w:val="superscript"/>
              </w:rPr>
              <w:t>2</w:t>
            </w:r>
          </w:p>
        </w:tc>
        <w:tc>
          <w:tcPr>
            <w:tcW w:w="843" w:type="pct"/>
            <w:vAlign w:val="center"/>
          </w:tcPr>
          <w:p w14:paraId="1BD2F532">
            <w:pPr>
              <w:spacing w:line="0" w:lineRule="atLeast"/>
              <w:jc w:val="center"/>
              <w:rPr>
                <w:rFonts w:ascii="Times New Roman" w:hAnsi="Times New Roman"/>
                <w:sz w:val="18"/>
                <w:szCs w:val="18"/>
              </w:rPr>
            </w:pPr>
            <w:r>
              <w:rPr>
                <w:rFonts w:ascii="Times New Roman" w:hAnsi="Times New Roman"/>
                <w:sz w:val="18"/>
                <w:szCs w:val="18"/>
              </w:rPr>
              <w:t>2600余人</w:t>
            </w:r>
          </w:p>
        </w:tc>
        <w:tc>
          <w:tcPr>
            <w:tcW w:w="1094" w:type="pct"/>
            <w:vAlign w:val="center"/>
          </w:tcPr>
          <w:p w14:paraId="4ED75ED0">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44E7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1D276A59">
            <w:pPr>
              <w:spacing w:line="0" w:lineRule="atLeast"/>
              <w:jc w:val="center"/>
              <w:rPr>
                <w:rFonts w:ascii="Times New Roman" w:hAnsi="Times New Roman"/>
                <w:sz w:val="18"/>
                <w:szCs w:val="18"/>
              </w:rPr>
            </w:pPr>
            <w:r>
              <w:rPr>
                <w:rFonts w:ascii="Times New Roman" w:hAnsi="Times New Roman"/>
                <w:sz w:val="18"/>
                <w:szCs w:val="18"/>
              </w:rPr>
              <w:t>12</w:t>
            </w:r>
          </w:p>
        </w:tc>
        <w:tc>
          <w:tcPr>
            <w:tcW w:w="769" w:type="pct"/>
            <w:vAlign w:val="center"/>
          </w:tcPr>
          <w:p w14:paraId="1856D067">
            <w:pPr>
              <w:spacing w:line="0" w:lineRule="atLeast"/>
              <w:jc w:val="center"/>
              <w:rPr>
                <w:rFonts w:ascii="Times New Roman" w:hAnsi="Times New Roman"/>
                <w:sz w:val="18"/>
                <w:szCs w:val="18"/>
              </w:rPr>
            </w:pPr>
            <w:r>
              <w:rPr>
                <w:rFonts w:ascii="Times New Roman" w:hAnsi="Times New Roman"/>
                <w:sz w:val="18"/>
                <w:szCs w:val="18"/>
              </w:rPr>
              <w:t>朱衣镇</w:t>
            </w:r>
          </w:p>
        </w:tc>
        <w:tc>
          <w:tcPr>
            <w:tcW w:w="1019" w:type="pct"/>
            <w:vAlign w:val="center"/>
          </w:tcPr>
          <w:p w14:paraId="76A6C43C">
            <w:pPr>
              <w:spacing w:line="0" w:lineRule="atLeast"/>
              <w:jc w:val="center"/>
              <w:rPr>
                <w:rFonts w:ascii="Times New Roman" w:hAnsi="Times New Roman"/>
                <w:sz w:val="18"/>
                <w:szCs w:val="18"/>
              </w:rPr>
            </w:pPr>
            <w:r>
              <w:rPr>
                <w:rFonts w:ascii="Times New Roman" w:hAnsi="Times New Roman"/>
                <w:sz w:val="18"/>
                <w:szCs w:val="18"/>
              </w:rPr>
              <w:t>黄井场</w:t>
            </w:r>
          </w:p>
        </w:tc>
        <w:tc>
          <w:tcPr>
            <w:tcW w:w="729" w:type="pct"/>
            <w:vAlign w:val="center"/>
          </w:tcPr>
          <w:p w14:paraId="4CB280E7">
            <w:pPr>
              <w:spacing w:line="0" w:lineRule="atLeast"/>
              <w:jc w:val="center"/>
              <w:rPr>
                <w:rFonts w:ascii="Times New Roman" w:hAnsi="Times New Roman"/>
                <w:sz w:val="18"/>
                <w:szCs w:val="18"/>
              </w:rPr>
            </w:pPr>
            <w:r>
              <w:rPr>
                <w:rFonts w:ascii="Times New Roman" w:hAnsi="Times New Roman"/>
                <w:sz w:val="18"/>
                <w:szCs w:val="18"/>
              </w:rPr>
              <w:t>0.31km</w:t>
            </w:r>
            <w:r>
              <w:rPr>
                <w:rFonts w:ascii="Times New Roman" w:hAnsi="Times New Roman"/>
                <w:sz w:val="18"/>
                <w:szCs w:val="18"/>
                <w:vertAlign w:val="superscript"/>
              </w:rPr>
              <w:t>2</w:t>
            </w:r>
          </w:p>
        </w:tc>
        <w:tc>
          <w:tcPr>
            <w:tcW w:w="843" w:type="pct"/>
            <w:vAlign w:val="center"/>
          </w:tcPr>
          <w:p w14:paraId="7424374F">
            <w:pPr>
              <w:spacing w:line="0" w:lineRule="atLeast"/>
              <w:jc w:val="center"/>
              <w:rPr>
                <w:rFonts w:ascii="Times New Roman" w:hAnsi="Times New Roman"/>
                <w:sz w:val="18"/>
                <w:szCs w:val="18"/>
              </w:rPr>
            </w:pPr>
            <w:r>
              <w:rPr>
                <w:rFonts w:ascii="Times New Roman" w:hAnsi="Times New Roman"/>
                <w:sz w:val="18"/>
                <w:szCs w:val="18"/>
              </w:rPr>
              <w:t>2500余人</w:t>
            </w:r>
          </w:p>
        </w:tc>
        <w:tc>
          <w:tcPr>
            <w:tcW w:w="1094" w:type="pct"/>
            <w:vAlign w:val="center"/>
          </w:tcPr>
          <w:p w14:paraId="3F6C1A98">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1A818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4BD1DB9F">
            <w:pPr>
              <w:spacing w:line="0" w:lineRule="atLeast"/>
              <w:jc w:val="center"/>
              <w:rPr>
                <w:rFonts w:ascii="Times New Roman" w:hAnsi="Times New Roman"/>
                <w:sz w:val="18"/>
                <w:szCs w:val="18"/>
              </w:rPr>
            </w:pPr>
            <w:r>
              <w:rPr>
                <w:rFonts w:ascii="Times New Roman" w:hAnsi="Times New Roman"/>
                <w:sz w:val="18"/>
                <w:szCs w:val="18"/>
              </w:rPr>
              <w:t>13</w:t>
            </w:r>
          </w:p>
        </w:tc>
        <w:tc>
          <w:tcPr>
            <w:tcW w:w="769" w:type="pct"/>
            <w:vAlign w:val="center"/>
          </w:tcPr>
          <w:p w14:paraId="4F531E06">
            <w:pPr>
              <w:spacing w:line="0" w:lineRule="atLeast"/>
              <w:jc w:val="center"/>
              <w:rPr>
                <w:rFonts w:ascii="Times New Roman" w:hAnsi="Times New Roman"/>
                <w:sz w:val="18"/>
                <w:szCs w:val="18"/>
              </w:rPr>
            </w:pPr>
            <w:r>
              <w:rPr>
                <w:rFonts w:ascii="Times New Roman" w:hAnsi="Times New Roman"/>
                <w:sz w:val="18"/>
                <w:szCs w:val="18"/>
              </w:rPr>
              <w:t>龙桥乡</w:t>
            </w:r>
          </w:p>
        </w:tc>
        <w:tc>
          <w:tcPr>
            <w:tcW w:w="1019" w:type="pct"/>
            <w:vAlign w:val="center"/>
          </w:tcPr>
          <w:p w14:paraId="5FC9CF36">
            <w:pPr>
              <w:spacing w:line="0" w:lineRule="atLeast"/>
              <w:jc w:val="center"/>
              <w:rPr>
                <w:rFonts w:ascii="Times New Roman" w:hAnsi="Times New Roman"/>
                <w:sz w:val="18"/>
                <w:szCs w:val="18"/>
              </w:rPr>
            </w:pPr>
            <w:r>
              <w:rPr>
                <w:rFonts w:ascii="Times New Roman" w:hAnsi="Times New Roman"/>
                <w:sz w:val="18"/>
                <w:szCs w:val="18"/>
              </w:rPr>
              <w:t>场镇范围</w:t>
            </w:r>
          </w:p>
        </w:tc>
        <w:tc>
          <w:tcPr>
            <w:tcW w:w="729" w:type="pct"/>
            <w:vAlign w:val="center"/>
          </w:tcPr>
          <w:p w14:paraId="7E1587AA">
            <w:pPr>
              <w:spacing w:line="0" w:lineRule="atLeast"/>
              <w:jc w:val="center"/>
              <w:rPr>
                <w:rFonts w:ascii="Times New Roman" w:hAnsi="Times New Roman"/>
                <w:sz w:val="18"/>
                <w:szCs w:val="18"/>
              </w:rPr>
            </w:pPr>
            <w:r>
              <w:rPr>
                <w:rFonts w:ascii="Times New Roman" w:hAnsi="Times New Roman"/>
                <w:sz w:val="18"/>
                <w:szCs w:val="18"/>
              </w:rPr>
              <w:t>0.07 km</w:t>
            </w:r>
            <w:r>
              <w:rPr>
                <w:rFonts w:ascii="Times New Roman" w:hAnsi="Times New Roman"/>
                <w:sz w:val="18"/>
                <w:szCs w:val="18"/>
                <w:vertAlign w:val="superscript"/>
              </w:rPr>
              <w:t>2</w:t>
            </w:r>
          </w:p>
        </w:tc>
        <w:tc>
          <w:tcPr>
            <w:tcW w:w="843" w:type="pct"/>
            <w:vAlign w:val="center"/>
          </w:tcPr>
          <w:p w14:paraId="52DBA2AB">
            <w:pPr>
              <w:spacing w:line="0" w:lineRule="atLeast"/>
              <w:jc w:val="center"/>
              <w:rPr>
                <w:rFonts w:ascii="Times New Roman" w:hAnsi="Times New Roman"/>
                <w:sz w:val="18"/>
                <w:szCs w:val="18"/>
              </w:rPr>
            </w:pPr>
            <w:r>
              <w:rPr>
                <w:rFonts w:ascii="Times New Roman" w:hAnsi="Times New Roman"/>
                <w:sz w:val="18"/>
                <w:szCs w:val="18"/>
              </w:rPr>
              <w:t>2000余人</w:t>
            </w:r>
          </w:p>
        </w:tc>
        <w:tc>
          <w:tcPr>
            <w:tcW w:w="1094" w:type="pct"/>
            <w:vAlign w:val="center"/>
          </w:tcPr>
          <w:p w14:paraId="47584DEF">
            <w:pPr>
              <w:spacing w:line="0" w:lineRule="atLeast"/>
              <w:jc w:val="center"/>
              <w:rPr>
                <w:rFonts w:ascii="Times New Roman" w:hAnsi="Times New Roman"/>
                <w:sz w:val="18"/>
                <w:szCs w:val="18"/>
              </w:rPr>
            </w:pPr>
            <w:r>
              <w:rPr>
                <w:rFonts w:ascii="Times New Roman" w:hAnsi="Times New Roman"/>
                <w:sz w:val="18"/>
                <w:szCs w:val="18"/>
              </w:rPr>
              <w:t>不足10年一遇</w:t>
            </w:r>
          </w:p>
        </w:tc>
      </w:tr>
      <w:tr w14:paraId="2668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5" w:type="pct"/>
            <w:vAlign w:val="center"/>
          </w:tcPr>
          <w:p w14:paraId="7DC47A85">
            <w:pPr>
              <w:spacing w:line="0" w:lineRule="atLeast"/>
              <w:jc w:val="center"/>
              <w:rPr>
                <w:rFonts w:ascii="Times New Roman" w:hAnsi="Times New Roman"/>
                <w:sz w:val="18"/>
                <w:szCs w:val="18"/>
              </w:rPr>
            </w:pPr>
            <w:r>
              <w:rPr>
                <w:rFonts w:ascii="Times New Roman" w:hAnsi="Times New Roman"/>
                <w:sz w:val="18"/>
                <w:szCs w:val="18"/>
              </w:rPr>
              <w:t>14</w:t>
            </w:r>
          </w:p>
        </w:tc>
        <w:tc>
          <w:tcPr>
            <w:tcW w:w="769" w:type="pct"/>
            <w:vAlign w:val="center"/>
          </w:tcPr>
          <w:p w14:paraId="10D57C57">
            <w:pPr>
              <w:spacing w:line="0" w:lineRule="atLeast"/>
              <w:jc w:val="center"/>
              <w:rPr>
                <w:rFonts w:ascii="Times New Roman" w:hAnsi="Times New Roman"/>
                <w:sz w:val="18"/>
                <w:szCs w:val="18"/>
              </w:rPr>
            </w:pPr>
            <w:r>
              <w:rPr>
                <w:rFonts w:ascii="Times New Roman" w:hAnsi="Times New Roman"/>
                <w:sz w:val="18"/>
                <w:szCs w:val="18"/>
              </w:rPr>
              <w:t>太和乡</w:t>
            </w:r>
          </w:p>
        </w:tc>
        <w:tc>
          <w:tcPr>
            <w:tcW w:w="1019" w:type="pct"/>
            <w:vAlign w:val="center"/>
          </w:tcPr>
          <w:p w14:paraId="3714D574">
            <w:pPr>
              <w:spacing w:line="0" w:lineRule="atLeast"/>
              <w:jc w:val="center"/>
              <w:rPr>
                <w:rFonts w:ascii="Times New Roman" w:hAnsi="Times New Roman"/>
                <w:sz w:val="18"/>
                <w:szCs w:val="18"/>
              </w:rPr>
            </w:pPr>
            <w:r>
              <w:rPr>
                <w:rFonts w:ascii="Times New Roman" w:hAnsi="Times New Roman"/>
                <w:sz w:val="18"/>
                <w:szCs w:val="18"/>
              </w:rPr>
              <w:t>场镇范围</w:t>
            </w:r>
          </w:p>
        </w:tc>
        <w:tc>
          <w:tcPr>
            <w:tcW w:w="729" w:type="pct"/>
            <w:vAlign w:val="center"/>
          </w:tcPr>
          <w:p w14:paraId="6B894504">
            <w:pPr>
              <w:spacing w:line="0" w:lineRule="atLeast"/>
              <w:jc w:val="center"/>
              <w:rPr>
                <w:rFonts w:ascii="Times New Roman" w:hAnsi="Times New Roman"/>
                <w:sz w:val="18"/>
                <w:szCs w:val="18"/>
              </w:rPr>
            </w:pPr>
            <w:r>
              <w:rPr>
                <w:rFonts w:ascii="Times New Roman" w:hAnsi="Times New Roman"/>
                <w:sz w:val="18"/>
                <w:szCs w:val="18"/>
              </w:rPr>
              <w:t>0.22km</w:t>
            </w:r>
            <w:r>
              <w:rPr>
                <w:rFonts w:ascii="Times New Roman" w:hAnsi="Times New Roman"/>
                <w:sz w:val="18"/>
                <w:szCs w:val="18"/>
                <w:vertAlign w:val="superscript"/>
              </w:rPr>
              <w:t>2</w:t>
            </w:r>
          </w:p>
        </w:tc>
        <w:tc>
          <w:tcPr>
            <w:tcW w:w="843" w:type="pct"/>
            <w:vAlign w:val="center"/>
          </w:tcPr>
          <w:p w14:paraId="3E7E7245">
            <w:pPr>
              <w:spacing w:line="0" w:lineRule="atLeast"/>
              <w:jc w:val="center"/>
              <w:rPr>
                <w:rFonts w:ascii="Times New Roman" w:hAnsi="Times New Roman"/>
                <w:sz w:val="18"/>
                <w:szCs w:val="18"/>
              </w:rPr>
            </w:pPr>
            <w:r>
              <w:rPr>
                <w:rFonts w:ascii="Times New Roman" w:hAnsi="Times New Roman"/>
                <w:sz w:val="18"/>
                <w:szCs w:val="18"/>
              </w:rPr>
              <w:t>3200余人</w:t>
            </w:r>
          </w:p>
        </w:tc>
        <w:tc>
          <w:tcPr>
            <w:tcW w:w="1094" w:type="pct"/>
            <w:vAlign w:val="center"/>
          </w:tcPr>
          <w:p w14:paraId="7098B358">
            <w:pPr>
              <w:spacing w:line="0" w:lineRule="atLeast"/>
              <w:jc w:val="center"/>
              <w:rPr>
                <w:rFonts w:ascii="Times New Roman" w:hAnsi="Times New Roman"/>
                <w:sz w:val="18"/>
                <w:szCs w:val="18"/>
              </w:rPr>
            </w:pPr>
            <w:r>
              <w:rPr>
                <w:rFonts w:ascii="Times New Roman" w:hAnsi="Times New Roman"/>
                <w:sz w:val="18"/>
                <w:szCs w:val="18"/>
              </w:rPr>
              <w:t>不足10年一遇</w:t>
            </w:r>
          </w:p>
        </w:tc>
      </w:tr>
    </w:tbl>
    <w:p w14:paraId="3C07242D">
      <w:pPr>
        <w:pStyle w:val="4"/>
        <w:numPr>
          <w:ilvl w:val="0"/>
          <w:numId w:val="0"/>
        </w:numPr>
        <w:spacing w:before="0" w:after="0" w:line="520" w:lineRule="exact"/>
        <w:jc w:val="left"/>
        <w:rPr>
          <w:rFonts w:ascii="Times New Roman" w:hAnsi="Times New Roman" w:eastAsia="方正仿宋_GBK"/>
          <w:spacing w:val="6"/>
          <w:szCs w:val="32"/>
        </w:rPr>
      </w:pPr>
      <w:bookmarkStart w:id="69" w:name="_Toc75169307"/>
      <w:bookmarkStart w:id="70" w:name="_Toc27112"/>
      <w:bookmarkStart w:id="71" w:name="_Toc92995423"/>
      <w:r>
        <w:rPr>
          <w:rFonts w:ascii="Times New Roman" w:hAnsi="Times New Roman" w:eastAsia="方正仿宋_GBK"/>
          <w:spacing w:val="6"/>
          <w:szCs w:val="32"/>
        </w:rPr>
        <w:t>4.1</w:t>
      </w:r>
      <w:bookmarkEnd w:id="69"/>
      <w:bookmarkEnd w:id="70"/>
      <w:r>
        <w:rPr>
          <w:rFonts w:ascii="Times New Roman" w:hAnsi="Times New Roman" w:eastAsia="方正仿宋_GBK"/>
          <w:spacing w:val="6"/>
          <w:szCs w:val="32"/>
        </w:rPr>
        <w:t xml:space="preserve"> 实施防洪减灾安全工程</w:t>
      </w:r>
      <w:bookmarkEnd w:id="71"/>
      <w:r>
        <w:rPr>
          <w:rFonts w:ascii="Times New Roman" w:hAnsi="Times New Roman" w:eastAsia="方正仿宋_GBK"/>
          <w:spacing w:val="6"/>
          <w:szCs w:val="32"/>
        </w:rPr>
        <w:t xml:space="preserve"> </w:t>
      </w:r>
    </w:p>
    <w:p w14:paraId="49AC1EBA">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加快实施后续后扶标志性工程。</w:t>
      </w:r>
      <w:r>
        <w:rPr>
          <w:rFonts w:ascii="Times New Roman" w:hAnsi="Times New Roman" w:eastAsia="楷体"/>
          <w:sz w:val="28"/>
          <w:szCs w:val="28"/>
        </w:rPr>
        <w:t>助力长江生态大保护，实施治山、治水、治土、治气、治污“五大环保行动”，积极开展三峡库区长江整治工程。厚植绿色、生态理念，因地制宜打造宜居宜业宜游的河岸环境，实现城市防洪与城市品质的有机融合。实施长江北岸、</w:t>
      </w:r>
      <w:r>
        <w:rPr>
          <w:rFonts w:hint="eastAsia" w:ascii="Times New Roman" w:hAnsi="Times New Roman" w:eastAsia="楷体"/>
          <w:sz w:val="28"/>
          <w:szCs w:val="28"/>
        </w:rPr>
        <w:t>梅溪河</w:t>
      </w:r>
      <w:r>
        <w:rPr>
          <w:rFonts w:ascii="Times New Roman" w:hAnsi="Times New Roman" w:eastAsia="楷体"/>
          <w:sz w:val="28"/>
          <w:szCs w:val="28"/>
        </w:rPr>
        <w:t>、环草堂湖等5项库岸综合治理项目，综合治理长度37.5km。</w:t>
      </w:r>
    </w:p>
    <w:p w14:paraId="16BF2CF4">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加强中小河流综合治理。</w:t>
      </w:r>
      <w:r>
        <w:rPr>
          <w:rFonts w:ascii="Times New Roman" w:hAnsi="Times New Roman" w:eastAsia="楷体"/>
          <w:sz w:val="28"/>
          <w:szCs w:val="28"/>
        </w:rPr>
        <w:t>坚持河道治理与地域传统文化和风土人情相结合，遵循河流自然形态，提高河流自净能力，维护河道生态平衡，实现“河畅、水清、岸绿、景美、人和”。加快实施一批中小河流治理，优先解决中小河流城镇段防洪不达标、重要居民聚居点防洪薄弱点防洪问题，重点关注防洪不达标、近年来洪涝灾害频发、河堤损毁严重等问题。主要涉及梅溪河、大溪河等河流，“十四五”期间规划新建草堂河、梅溪河、长滩河流域综合治理以及</w:t>
      </w:r>
      <w:r>
        <w:rPr>
          <w:rFonts w:hint="eastAsia" w:ascii="Times New Roman" w:hAnsi="Times New Roman" w:eastAsia="楷体"/>
          <w:sz w:val="28"/>
          <w:szCs w:val="28"/>
        </w:rPr>
        <w:t>朱衣河上段、朱衣河东段、</w:t>
      </w:r>
      <w:r>
        <w:rPr>
          <w:rFonts w:ascii="Times New Roman" w:hAnsi="Times New Roman" w:eastAsia="楷体"/>
          <w:sz w:val="28"/>
          <w:szCs w:val="28"/>
        </w:rPr>
        <w:t>青龙场镇段、五马镇外河坝、安坪镇场镇段等</w:t>
      </w:r>
      <w:r>
        <w:rPr>
          <w:rFonts w:hint="eastAsia" w:ascii="Times New Roman" w:hAnsi="Times New Roman" w:eastAsia="楷体"/>
          <w:sz w:val="28"/>
          <w:szCs w:val="28"/>
        </w:rPr>
        <w:t>7</w:t>
      </w:r>
      <w:r>
        <w:rPr>
          <w:rFonts w:ascii="Times New Roman" w:hAnsi="Times New Roman" w:eastAsia="楷体"/>
          <w:sz w:val="28"/>
          <w:szCs w:val="28"/>
        </w:rPr>
        <w:t>处中小流域治理工程，治理河长</w:t>
      </w:r>
      <w:r>
        <w:rPr>
          <w:rFonts w:hint="eastAsia" w:ascii="Times New Roman" w:hAnsi="Times New Roman" w:eastAsia="楷体"/>
          <w:sz w:val="28"/>
          <w:szCs w:val="28"/>
        </w:rPr>
        <w:t>1</w:t>
      </w:r>
      <w:r>
        <w:rPr>
          <w:rFonts w:ascii="Times New Roman" w:hAnsi="Times New Roman" w:eastAsia="楷体"/>
          <w:sz w:val="28"/>
          <w:szCs w:val="28"/>
        </w:rPr>
        <w:t>07km。</w:t>
      </w:r>
    </w:p>
    <w:p w14:paraId="69E84C38">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实施山洪沟治理。</w:t>
      </w:r>
      <w:r>
        <w:rPr>
          <w:rFonts w:ascii="Times New Roman" w:hAnsi="Times New Roman" w:eastAsia="楷体"/>
          <w:sz w:val="28"/>
          <w:szCs w:val="28"/>
        </w:rPr>
        <w:t>坚持确有所需、突出重点、因地制宜、以防为主，防治结合，强化山洪灾害监测预警能力建设。山洪沟的治理采取以防为主，防治结合的方式，在山洪灾害频发地区建成以非工程措施与工程措施相结合的防灾减灾体系，强化监测、预报、预警等非工程措施建设。在山洪灾害频发地区，实施重点山洪沟防洪治理工作。实施翁家沟山洪沟、青龙镇海坝河山洪沟等2个山洪沟治理项目，治理长度8km。</w:t>
      </w:r>
    </w:p>
    <w:p w14:paraId="02A59E19">
      <w:pPr>
        <w:pStyle w:val="4"/>
        <w:numPr>
          <w:ilvl w:val="0"/>
          <w:numId w:val="0"/>
        </w:numPr>
        <w:spacing w:before="0" w:after="0" w:line="520" w:lineRule="exact"/>
        <w:jc w:val="left"/>
        <w:rPr>
          <w:rFonts w:ascii="Times New Roman" w:hAnsi="Times New Roman" w:eastAsia="方正仿宋_GBK"/>
          <w:spacing w:val="6"/>
          <w:szCs w:val="32"/>
        </w:rPr>
      </w:pPr>
      <w:bookmarkStart w:id="72" w:name="_Toc75169308"/>
      <w:bookmarkStart w:id="73" w:name="_Toc92995424"/>
      <w:bookmarkStart w:id="74" w:name="_Toc10263"/>
      <w:r>
        <w:rPr>
          <w:rFonts w:ascii="Times New Roman" w:hAnsi="Times New Roman" w:eastAsia="方正仿宋_GBK"/>
          <w:spacing w:val="6"/>
          <w:szCs w:val="32"/>
        </w:rPr>
        <w:t>4.2 提升薄弱环节防洪能力</w:t>
      </w:r>
      <w:bookmarkEnd w:id="72"/>
      <w:bookmarkEnd w:id="73"/>
      <w:bookmarkEnd w:id="74"/>
      <w:r>
        <w:rPr>
          <w:rFonts w:ascii="Times New Roman" w:hAnsi="Times New Roman" w:eastAsia="方正仿宋_GBK"/>
          <w:spacing w:val="6"/>
          <w:szCs w:val="32"/>
        </w:rPr>
        <w:t xml:space="preserve"> </w:t>
      </w:r>
    </w:p>
    <w:p w14:paraId="273FF59C">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消除防洪工程安全隐患。</w:t>
      </w:r>
      <w:r>
        <w:rPr>
          <w:rFonts w:ascii="Times New Roman" w:hAnsi="Times New Roman" w:eastAsia="楷体"/>
          <w:sz w:val="28"/>
          <w:szCs w:val="28"/>
        </w:rPr>
        <w:t>坚持以防为主，扎实做好水库（水闸）、江河堤防等工程隐患排查、安全鉴定、除险加固，严格核实水库（水闸）降等与报废。全面消除现有病险水库安全隐患，扎实做好水库隐患排查和安全鉴定，实施病险水库除险加固。对全县存在病险隐患的8座小型水库开展整治和除险加固工作。</w:t>
      </w:r>
    </w:p>
    <w:p w14:paraId="76D038D3">
      <w:pPr>
        <w:pStyle w:val="4"/>
        <w:numPr>
          <w:ilvl w:val="0"/>
          <w:numId w:val="0"/>
        </w:numPr>
        <w:spacing w:before="0" w:after="0" w:line="520" w:lineRule="exact"/>
        <w:jc w:val="left"/>
        <w:rPr>
          <w:rFonts w:ascii="Times New Roman" w:hAnsi="Times New Roman" w:eastAsia="方正仿宋_GBK"/>
          <w:spacing w:val="6"/>
          <w:szCs w:val="32"/>
        </w:rPr>
      </w:pPr>
      <w:bookmarkStart w:id="75" w:name="_Toc15526"/>
      <w:bookmarkStart w:id="76" w:name="_Toc92995425"/>
      <w:bookmarkStart w:id="77" w:name="_Toc75169309"/>
      <w:r>
        <w:rPr>
          <w:rFonts w:ascii="Times New Roman" w:hAnsi="Times New Roman" w:eastAsia="方正仿宋_GBK"/>
          <w:spacing w:val="6"/>
          <w:szCs w:val="32"/>
        </w:rPr>
        <w:t>4.3 提高监测预警预报水平</w:t>
      </w:r>
      <w:bookmarkEnd w:id="75"/>
      <w:bookmarkEnd w:id="76"/>
      <w:bookmarkEnd w:id="77"/>
      <w:r>
        <w:rPr>
          <w:rFonts w:ascii="Times New Roman" w:hAnsi="Times New Roman" w:eastAsia="方正仿宋_GBK"/>
          <w:spacing w:val="6"/>
          <w:szCs w:val="32"/>
        </w:rPr>
        <w:t xml:space="preserve"> </w:t>
      </w:r>
    </w:p>
    <w:p w14:paraId="4ADA45E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以推进水文现代化为重要抓手，不断加强水文监测、预警预报等设施建设，注重设施日常维修养护。以基础设施标准化、技术装备自动化、信息处理智能化、运行管理高效化为目标，优化水文监测站网布局和功能，实施水文监测要素自动化升级改造，加强河流水生态流量监测，完善水文监测预报预警体系，有效提高大江大河、中小河流预报精度，延长洪水预见期。按照“三年预警、五年预报”的总体思路，加强水文基础设施建设，提升整体水平。“十四五”期间拟对朱衣、冯坪、甲高等7个水文站基础设施及环境进行改造，对7个水文站检测设备自动化升级改造，升级改造遥测水位站19个，升级改造遥测雨量站187个，升级改造水质检测实验室1个，新建1个水文水资源综合监控管理平台，建设奉节县农村基层防汛预报预警体系。</w:t>
      </w:r>
    </w:p>
    <w:p w14:paraId="4B25944F">
      <w:pPr>
        <w:pStyle w:val="4"/>
        <w:numPr>
          <w:ilvl w:val="0"/>
          <w:numId w:val="0"/>
        </w:numPr>
        <w:spacing w:before="0" w:after="0" w:line="520" w:lineRule="exact"/>
        <w:jc w:val="left"/>
        <w:rPr>
          <w:rFonts w:ascii="Times New Roman" w:hAnsi="Times New Roman" w:eastAsia="方正仿宋_GBK"/>
          <w:spacing w:val="6"/>
          <w:szCs w:val="32"/>
        </w:rPr>
      </w:pPr>
      <w:bookmarkStart w:id="78" w:name="_Toc75169310"/>
      <w:bookmarkStart w:id="79" w:name="_Toc92995426"/>
      <w:bookmarkStart w:id="80" w:name="_Toc7822"/>
      <w:r>
        <w:rPr>
          <w:rFonts w:ascii="Times New Roman" w:hAnsi="Times New Roman" w:eastAsia="方正仿宋_GBK"/>
          <w:spacing w:val="6"/>
          <w:szCs w:val="32"/>
        </w:rPr>
        <w:t>4.4 加强水旱灾害风险防控</w:t>
      </w:r>
      <w:bookmarkEnd w:id="78"/>
      <w:bookmarkEnd w:id="79"/>
      <w:bookmarkEnd w:id="80"/>
      <w:r>
        <w:rPr>
          <w:rFonts w:ascii="Times New Roman" w:hAnsi="Times New Roman" w:eastAsia="方正仿宋_GBK"/>
          <w:spacing w:val="6"/>
          <w:szCs w:val="32"/>
        </w:rPr>
        <w:t xml:space="preserve"> </w:t>
      </w:r>
    </w:p>
    <w:p w14:paraId="6BE95F1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牢固树立底线思维，充分考虑气候变化引发极端天气影响和防洪形势变化，科学提高洪水防御标准，增强全社会安全风险意识，最大程度预防和减少水旱灾害造成的损害。持续推进重要江河（水库）预警断面洪水预报及调度方案、重要中小河流洪水风险图、超标准洪水监测预警方案、旱情应对等各类预案方案等编制工作。完成水库汛期调度计划审批，整合现有防汛抗旱信息系统，建立完善水库群联合调度机制。开展重点城（集）镇山洪灾害调查评价，实行山洪灾害危险区动态管理，构建非工程措施与工程措施相结合的山洪灾害综合防灾减灾体系。根据新时期基本实现社会主义现代化的远大目标，结合近年来极端天气频发的实际情况，对已有防洪工程进行提标改造。</w:t>
      </w:r>
    </w:p>
    <w:p w14:paraId="7B84E74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同时，加强应急抗旱供水保障，加大区域性季节性区域蓄水、储水力度，提升应急抗旱供水能力，防止出现区域性规模性停水或水质严重超标问题。建立健全水旱灾害防御物资储备新机制，加强专业型、专用型水旱防灾物资储备，全面提升水旱防灾物资保障能力。</w:t>
      </w:r>
    </w:p>
    <w:p w14:paraId="0A62358A">
      <w:pPr>
        <w:spacing w:line="520" w:lineRule="exact"/>
        <w:jc w:val="center"/>
        <w:rPr>
          <w:rFonts w:ascii="Times New Roman" w:hAnsi="Times New Roman"/>
          <w:b/>
          <w:kern w:val="0"/>
          <w:sz w:val="24"/>
          <w:szCs w:val="24"/>
        </w:rPr>
      </w:pPr>
      <w:r>
        <w:rPr>
          <w:rFonts w:ascii="Times New Roman" w:hAnsi="Times New Roman"/>
          <w:b/>
          <w:kern w:val="0"/>
          <w:sz w:val="24"/>
          <w:szCs w:val="24"/>
        </w:rPr>
        <w:t>专栏10：防洪减灾重点任务</w:t>
      </w:r>
    </w:p>
    <w:tbl>
      <w:tblPr>
        <w:tblStyle w:val="26"/>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AD108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6" w:type="dxa"/>
            <w:vAlign w:val="center"/>
          </w:tcPr>
          <w:p w14:paraId="0D61FA4C">
            <w:pPr>
              <w:spacing w:line="360" w:lineRule="exact"/>
              <w:ind w:firstLine="482"/>
              <w:jc w:val="left"/>
              <w:rPr>
                <w:rFonts w:ascii="Times New Roman" w:hAnsi="Times New Roman"/>
                <w:bCs/>
                <w:szCs w:val="21"/>
              </w:rPr>
            </w:pPr>
            <w:r>
              <w:rPr>
                <w:rFonts w:ascii="Times New Roman" w:hAnsi="Times New Roman"/>
                <w:bCs/>
                <w:szCs w:val="21"/>
              </w:rPr>
              <w:t>——实施长江北岸、</w:t>
            </w:r>
            <w:r>
              <w:rPr>
                <w:rFonts w:hint="eastAsia" w:ascii="Times New Roman" w:hAnsi="Times New Roman"/>
                <w:bCs/>
                <w:szCs w:val="21"/>
              </w:rPr>
              <w:t>梅溪河</w:t>
            </w:r>
            <w:r>
              <w:rPr>
                <w:rFonts w:ascii="Times New Roman" w:hAnsi="Times New Roman"/>
                <w:bCs/>
                <w:szCs w:val="21"/>
              </w:rPr>
              <w:t>、环草堂湖等5项库岸综合治理项目，综合治理长度</w:t>
            </w:r>
            <w:r>
              <w:rPr>
                <w:rFonts w:hint="eastAsia" w:ascii="Times New Roman" w:hAnsi="Times New Roman"/>
                <w:bCs/>
                <w:szCs w:val="21"/>
              </w:rPr>
              <w:t>3</w:t>
            </w:r>
            <w:r>
              <w:rPr>
                <w:rFonts w:ascii="Times New Roman" w:hAnsi="Times New Roman"/>
                <w:bCs/>
                <w:szCs w:val="21"/>
              </w:rPr>
              <w:t>7.5km。</w:t>
            </w:r>
          </w:p>
          <w:p w14:paraId="3FB663DD">
            <w:pPr>
              <w:spacing w:line="360" w:lineRule="exact"/>
              <w:ind w:firstLine="482"/>
              <w:jc w:val="left"/>
              <w:rPr>
                <w:rFonts w:ascii="Times New Roman" w:hAnsi="Times New Roman"/>
                <w:bCs/>
                <w:szCs w:val="21"/>
              </w:rPr>
            </w:pPr>
            <w:r>
              <w:rPr>
                <w:rFonts w:ascii="Times New Roman" w:hAnsi="Times New Roman"/>
                <w:bCs/>
                <w:szCs w:val="21"/>
              </w:rPr>
              <w:t>——开展</w:t>
            </w:r>
            <w:r>
              <w:rPr>
                <w:rFonts w:hint="eastAsia" w:ascii="Times New Roman" w:hAnsi="Times New Roman"/>
                <w:bCs/>
                <w:szCs w:val="21"/>
              </w:rPr>
              <w:t>朱衣河、草堂河、梅溪河、长滩河等</w:t>
            </w:r>
            <w:r>
              <w:rPr>
                <w:rFonts w:ascii="Times New Roman" w:hAnsi="Times New Roman"/>
                <w:bCs/>
                <w:szCs w:val="21"/>
              </w:rPr>
              <w:t>中小流域治理工程</w:t>
            </w:r>
            <w:r>
              <w:rPr>
                <w:rFonts w:hint="eastAsia" w:ascii="Times New Roman" w:hAnsi="Times New Roman"/>
                <w:bCs/>
                <w:szCs w:val="21"/>
              </w:rPr>
              <w:t>7处</w:t>
            </w:r>
            <w:r>
              <w:rPr>
                <w:rFonts w:ascii="Times New Roman" w:hAnsi="Times New Roman"/>
                <w:bCs/>
                <w:szCs w:val="21"/>
              </w:rPr>
              <w:t>，实施治理河长</w:t>
            </w:r>
            <w:r>
              <w:rPr>
                <w:rFonts w:hint="eastAsia" w:ascii="Times New Roman" w:hAnsi="Times New Roman"/>
                <w:bCs/>
                <w:szCs w:val="21"/>
              </w:rPr>
              <w:t>1</w:t>
            </w:r>
            <w:r>
              <w:rPr>
                <w:rFonts w:ascii="Times New Roman" w:hAnsi="Times New Roman"/>
                <w:bCs/>
                <w:szCs w:val="21"/>
              </w:rPr>
              <w:t>07km。</w:t>
            </w:r>
          </w:p>
          <w:p w14:paraId="55526D1B">
            <w:pPr>
              <w:spacing w:line="360" w:lineRule="exact"/>
              <w:ind w:firstLine="482"/>
              <w:jc w:val="left"/>
              <w:rPr>
                <w:rFonts w:ascii="Times New Roman" w:hAnsi="Times New Roman"/>
                <w:bCs/>
                <w:szCs w:val="21"/>
              </w:rPr>
            </w:pPr>
            <w:r>
              <w:rPr>
                <w:rFonts w:ascii="Times New Roman" w:hAnsi="Times New Roman"/>
                <w:bCs/>
                <w:szCs w:val="21"/>
              </w:rPr>
              <w:t>——实施2个山洪沟治理项目，综合治理河道长度8km。</w:t>
            </w:r>
          </w:p>
          <w:p w14:paraId="74D8BE3C">
            <w:pPr>
              <w:spacing w:line="360" w:lineRule="exact"/>
              <w:ind w:firstLine="482"/>
              <w:jc w:val="left"/>
              <w:rPr>
                <w:rFonts w:ascii="Times New Roman" w:hAnsi="Times New Roman"/>
                <w:bCs/>
                <w:szCs w:val="21"/>
              </w:rPr>
            </w:pPr>
            <w:r>
              <w:rPr>
                <w:rFonts w:ascii="Times New Roman" w:hAnsi="Times New Roman"/>
                <w:bCs/>
                <w:szCs w:val="21"/>
              </w:rPr>
              <w:t>——全面完成8座小型水库整治和除险加固。</w:t>
            </w:r>
          </w:p>
          <w:p w14:paraId="10A4408F">
            <w:pPr>
              <w:spacing w:line="360" w:lineRule="exact"/>
              <w:ind w:firstLine="482"/>
              <w:jc w:val="left"/>
              <w:rPr>
                <w:rFonts w:ascii="Times New Roman" w:hAnsi="Times New Roman" w:eastAsia="方正楷体_GBK"/>
                <w:bCs/>
                <w:szCs w:val="24"/>
              </w:rPr>
            </w:pPr>
            <w:r>
              <w:rPr>
                <w:rFonts w:ascii="Times New Roman" w:hAnsi="Times New Roman"/>
                <w:bCs/>
                <w:szCs w:val="21"/>
              </w:rPr>
              <w:t>——加强水文基础设施、防汛预报预警系统建设。</w:t>
            </w:r>
          </w:p>
        </w:tc>
      </w:tr>
    </w:tbl>
    <w:p w14:paraId="0BFFEF28">
      <w:pPr>
        <w:spacing w:line="520" w:lineRule="exact"/>
        <w:ind w:firstLine="560" w:firstLineChars="200"/>
        <w:rPr>
          <w:rFonts w:ascii="Times New Roman" w:hAnsi="Times New Roman" w:eastAsia="楷体"/>
          <w:sz w:val="28"/>
          <w:szCs w:val="28"/>
        </w:rPr>
        <w:sectPr>
          <w:headerReference r:id="rId24" w:type="default"/>
          <w:footerReference r:id="rId25" w:type="default"/>
          <w:pgSz w:w="11907" w:h="16840"/>
          <w:pgMar w:top="1418" w:right="1418" w:bottom="1418" w:left="1418" w:header="907" w:footer="1021" w:gutter="0"/>
          <w:cols w:space="720" w:num="1"/>
          <w:docGrid w:linePitch="360" w:charSpace="0"/>
        </w:sectPr>
      </w:pPr>
    </w:p>
    <w:p w14:paraId="1561D03E">
      <w:pPr>
        <w:pStyle w:val="51"/>
        <w:numPr>
          <w:ilvl w:val="0"/>
          <w:numId w:val="0"/>
        </w:numPr>
        <w:spacing w:before="360" w:beforeLines="150" w:after="360" w:afterLines="150" w:line="480" w:lineRule="auto"/>
        <w:jc w:val="center"/>
        <w:rPr>
          <w:rFonts w:ascii="Times New Roman" w:hAnsi="Times New Roman" w:eastAsia="方正仿宋_GBK" w:cs="Times New Roman"/>
          <w:b/>
          <w:spacing w:val="6"/>
          <w:szCs w:val="36"/>
        </w:rPr>
      </w:pPr>
      <w:bookmarkStart w:id="81" w:name="_Toc13129"/>
      <w:bookmarkStart w:id="82" w:name="_Toc75169311"/>
      <w:bookmarkStart w:id="83" w:name="_Toc92995427"/>
      <w:r>
        <w:rPr>
          <w:rFonts w:ascii="Times New Roman" w:hAnsi="Times New Roman" w:eastAsia="方正仿宋_GBK" w:cs="Times New Roman"/>
          <w:b/>
          <w:spacing w:val="6"/>
          <w:szCs w:val="36"/>
        </w:rPr>
        <w:t>第五章 抓节水保供水，构建城乡供水网络</w:t>
      </w:r>
      <w:bookmarkEnd w:id="81"/>
      <w:bookmarkEnd w:id="82"/>
      <w:bookmarkEnd w:id="83"/>
    </w:p>
    <w:p w14:paraId="7F9E8A0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坚持节水优先、优化配置，按照“补短板、强骨干、成网络”的思路，抓紧推进一批标志性骨干水源工程，持续推进城乡供水一体化，开展中型灌区续建配套与节水改造，提升水资源统筹调配能力、供水保障能力、战略储备能力。加大农村水利基础设施建设力度，提高乡村振兴水利保障水平。</w:t>
      </w:r>
    </w:p>
    <w:p w14:paraId="40120A80">
      <w:pPr>
        <w:pStyle w:val="4"/>
        <w:numPr>
          <w:ilvl w:val="0"/>
          <w:numId w:val="0"/>
        </w:numPr>
        <w:spacing w:before="0" w:after="0" w:line="520" w:lineRule="exact"/>
        <w:jc w:val="left"/>
        <w:rPr>
          <w:rFonts w:ascii="Times New Roman" w:hAnsi="Times New Roman" w:eastAsia="方正仿宋_GBK"/>
          <w:spacing w:val="6"/>
          <w:szCs w:val="32"/>
        </w:rPr>
      </w:pPr>
      <w:bookmarkStart w:id="84" w:name="_Toc14898"/>
      <w:bookmarkStart w:id="85" w:name="_Toc92995428"/>
      <w:bookmarkStart w:id="86" w:name="_Toc75169312"/>
      <w:bookmarkStart w:id="87" w:name="OLE_LINK3"/>
      <w:bookmarkStart w:id="88" w:name="_Toc835"/>
      <w:bookmarkStart w:id="89" w:name="_Toc59052499"/>
      <w:r>
        <w:rPr>
          <w:rFonts w:ascii="Times New Roman" w:hAnsi="Times New Roman" w:eastAsia="方正仿宋_GBK"/>
          <w:spacing w:val="6"/>
          <w:szCs w:val="32"/>
        </w:rPr>
        <w:t>5.1 坚持节水优先</w:t>
      </w:r>
      <w:bookmarkEnd w:id="84"/>
      <w:bookmarkEnd w:id="85"/>
      <w:bookmarkEnd w:id="86"/>
    </w:p>
    <w:bookmarkEnd w:id="87"/>
    <w:bookmarkEnd w:id="88"/>
    <w:bookmarkEnd w:id="89"/>
    <w:p w14:paraId="7646BDBB">
      <w:pPr>
        <w:spacing w:line="520" w:lineRule="exact"/>
        <w:ind w:firstLine="560" w:firstLineChars="200"/>
        <w:rPr>
          <w:rFonts w:ascii="Times New Roman" w:hAnsi="Times New Roman"/>
        </w:rPr>
      </w:pPr>
      <w:r>
        <w:rPr>
          <w:rFonts w:ascii="Times New Roman" w:hAnsi="Times New Roman" w:eastAsia="楷体"/>
          <w:sz w:val="28"/>
          <w:szCs w:val="28"/>
        </w:rPr>
        <w:t>深入推进节水行动计划，坚持以水定城、以水定地、以水定产、以水定人，建立水资源刚性约束制度。到2023年，全面完成县域节水型社会达标建设，节水产业初具规模，非常规水利用规模有所增加，用水效率和效益显著提高，全区节水意识明显增强。围绕农业、工业和城镇等重点领域节水和取、供、输、用、排水各环节，强化农业节水增效，推进工业节水减排，加强城镇节水降损，全面提升水资源利用效率和效益。</w:t>
      </w:r>
    </w:p>
    <w:p w14:paraId="645B00CD">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建立水资源刚性约束制度。</w:t>
      </w:r>
      <w:r>
        <w:rPr>
          <w:rFonts w:ascii="Times New Roman" w:hAnsi="Times New Roman" w:eastAsia="楷体"/>
          <w:sz w:val="28"/>
          <w:szCs w:val="28"/>
        </w:rPr>
        <w:t>强化节水约束性指标管理，健全重要河流主要控制断面基本生态流量、区域流域水量分配等水资源刚性约束指标体系。强化水资源论证和取水许可管理，全面推行建设项目节水评价制度，严格水资源用途管制，发展节水型产业。完善水资源监督考核制度，依托水资源信息管理系统，加强取用水计量监测，加强重点用水户监管，运用信息化手段提升取用水监管能力。</w:t>
      </w:r>
    </w:p>
    <w:p w14:paraId="38905A3D">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强化农业节水。</w:t>
      </w:r>
      <w:r>
        <w:rPr>
          <w:rFonts w:ascii="Times New Roman" w:hAnsi="Times New Roman" w:eastAsia="楷体"/>
          <w:sz w:val="28"/>
          <w:szCs w:val="28"/>
        </w:rPr>
        <w:t>重点推进中型灌区续建配套与节水改造，发展高效节水灌溉，结合奉节县农业农村委高标准农田建设等项目，到2025年末，奉节县农田灌溉水有效利用系数提高到0.55。</w:t>
      </w:r>
    </w:p>
    <w:p w14:paraId="1B352D09">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推进工业节水。</w:t>
      </w:r>
      <w:r>
        <w:rPr>
          <w:rFonts w:ascii="Times New Roman" w:hAnsi="Times New Roman" w:eastAsia="楷体"/>
          <w:sz w:val="28"/>
          <w:szCs w:val="28"/>
        </w:rPr>
        <w:t>严格实行总量控制和定额管理，以水资源供需矛盾突出及水污染严重的地区和高耗水行业为重点，加大结构调整和技术改造力度，全面提升工业节水水平。实施奉节县草堂工业园区，到2025年，重点用水行业节水型企业建成率达到100%。</w:t>
      </w:r>
    </w:p>
    <w:p w14:paraId="3FC8AF88">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加强城镇生活节水。</w:t>
      </w:r>
      <w:r>
        <w:rPr>
          <w:rFonts w:ascii="Times New Roman" w:hAnsi="Times New Roman" w:eastAsia="楷体"/>
          <w:sz w:val="28"/>
          <w:szCs w:val="28"/>
        </w:rPr>
        <w:t>通过强化生活与服务业用水管理，加强城市供水管网改造，进一步推广节水设施和器具，提高城市生活用水效率。对奉节县75处机关及直属事业单位、120所学校和医院、200座老旧小区等进行节水改造，西部新区滨河公园及沿江大道节水改造项目，力争在2022年末完成80%的县级机关和35%的县级公共机构建成节水型单位。</w:t>
      </w:r>
    </w:p>
    <w:p w14:paraId="79BF7A79">
      <w:pPr>
        <w:pStyle w:val="4"/>
        <w:numPr>
          <w:ilvl w:val="0"/>
          <w:numId w:val="0"/>
        </w:numPr>
        <w:spacing w:before="0" w:after="0" w:line="520" w:lineRule="exact"/>
        <w:jc w:val="left"/>
        <w:rPr>
          <w:rFonts w:ascii="Times New Roman" w:hAnsi="Times New Roman" w:eastAsia="方正仿宋_GBK"/>
          <w:spacing w:val="6"/>
          <w:szCs w:val="32"/>
        </w:rPr>
      </w:pPr>
      <w:bookmarkStart w:id="90" w:name="_Toc75169313"/>
      <w:bookmarkStart w:id="91" w:name="_Toc14557"/>
      <w:bookmarkStart w:id="92" w:name="_Toc92995429"/>
      <w:bookmarkStart w:id="93" w:name="OLE_LINK5"/>
      <w:r>
        <w:rPr>
          <w:rFonts w:ascii="Times New Roman" w:hAnsi="Times New Roman" w:eastAsia="方正仿宋_GBK"/>
          <w:spacing w:val="6"/>
          <w:szCs w:val="32"/>
        </w:rPr>
        <w:t>5.2 加快</w:t>
      </w:r>
      <w:bookmarkStart w:id="94" w:name="OLE_LINK6"/>
      <w:r>
        <w:rPr>
          <w:rFonts w:ascii="Times New Roman" w:hAnsi="Times New Roman" w:eastAsia="方正仿宋_GBK"/>
          <w:spacing w:val="6"/>
          <w:szCs w:val="32"/>
        </w:rPr>
        <w:t>水网建设</w:t>
      </w:r>
      <w:bookmarkEnd w:id="90"/>
      <w:bookmarkEnd w:id="91"/>
      <w:bookmarkEnd w:id="92"/>
    </w:p>
    <w:bookmarkEnd w:id="93"/>
    <w:bookmarkEnd w:id="94"/>
    <w:p w14:paraId="5D7FAA41">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加快骨干水源工程建设。</w:t>
      </w:r>
      <w:r>
        <w:rPr>
          <w:rFonts w:ascii="Times New Roman" w:hAnsi="Times New Roman" w:eastAsia="楷体"/>
          <w:sz w:val="28"/>
          <w:szCs w:val="28"/>
        </w:rPr>
        <w:t>按照“确有需要、生态安全、可以持续”和“三先三后”(先节水后调水、先治污后通水、先环保后用水)原则，统筹配置生活、生产、生态用水，合理开发利用水资源，因地制宜建设水源工程，加快建设一批骨干水源工程，提高对水资源的调配能力，支撑经济社会协调发展。加快西牛冲水库、蓼叶溪水库、林政水库、水竹槽水库等工程的续建工作，尽快发挥水源工程效益；开工建设天赐湖水库、野茶水库、百岛湖水库等中型水源工程，推进默玺湖大型水库的前期工作，结合乡村振兴对灌溉和供水提标改造的需求，建设一批小型和微小型综合利用水源工程，全面提升抗旱供水水源保障能力。</w:t>
      </w:r>
    </w:p>
    <w:p w14:paraId="6E818794">
      <w:pPr>
        <w:spacing w:line="520" w:lineRule="exact"/>
        <w:ind w:firstLine="560" w:firstLineChars="200"/>
        <w:rPr>
          <w:rFonts w:ascii="Times New Roman" w:hAnsi="Times New Roman" w:eastAsia="楷体"/>
          <w:sz w:val="28"/>
          <w:szCs w:val="28"/>
        </w:rPr>
      </w:pPr>
      <w:bookmarkStart w:id="95" w:name="OLE_LINK15"/>
      <w:r>
        <w:rPr>
          <w:rFonts w:ascii="Times New Roman" w:hAnsi="Times New Roman" w:eastAsia="楷体"/>
          <w:sz w:val="28"/>
          <w:szCs w:val="28"/>
        </w:rPr>
        <w:t>“十四五”期间，</w:t>
      </w:r>
      <w:bookmarkEnd w:id="95"/>
      <w:r>
        <w:rPr>
          <w:rFonts w:ascii="Times New Roman" w:hAnsi="Times New Roman" w:eastAsia="楷体"/>
          <w:sz w:val="28"/>
          <w:szCs w:val="28"/>
        </w:rPr>
        <w:t>全区规划续建2座小（1）型水库、2座小（2）型水库；新建中型水库3座，新建小（1）型水库3座，新建小（2）型水库2座，推进默玺湖水库大型水库及</w:t>
      </w:r>
      <w:r>
        <w:rPr>
          <w:rFonts w:hint="eastAsia" w:ascii="Times New Roman" w:hAnsi="Times New Roman" w:eastAsia="楷体"/>
          <w:sz w:val="28"/>
          <w:szCs w:val="28"/>
        </w:rPr>
        <w:t>4</w:t>
      </w:r>
      <w:r>
        <w:rPr>
          <w:rFonts w:ascii="Times New Roman" w:hAnsi="Times New Roman" w:eastAsia="楷体"/>
          <w:sz w:val="28"/>
          <w:szCs w:val="28"/>
        </w:rPr>
        <w:t>座小型水库的前期工作。储备一批建设条件好、功能性强、效益明显的优质水源项目。</w:t>
      </w:r>
    </w:p>
    <w:p w14:paraId="6ACDC2DA">
      <w:pPr>
        <w:pStyle w:val="2"/>
      </w:pPr>
    </w:p>
    <w:p w14:paraId="2468DD2F">
      <w:pPr>
        <w:spacing w:line="400" w:lineRule="exact"/>
        <w:ind w:firstLine="562" w:firstLineChars="200"/>
        <w:jc w:val="center"/>
        <w:rPr>
          <w:rFonts w:ascii="Times New Roman" w:hAnsi="Times New Roman" w:eastAsiaTheme="minorEastAsia"/>
          <w:b/>
          <w:bCs/>
          <w:sz w:val="28"/>
          <w:szCs w:val="28"/>
        </w:rPr>
      </w:pPr>
      <w:r>
        <w:rPr>
          <w:rFonts w:ascii="Times New Roman" w:hAnsi="Times New Roman" w:eastAsiaTheme="minorEastAsia"/>
          <w:b/>
          <w:bCs/>
          <w:sz w:val="28"/>
          <w:szCs w:val="28"/>
        </w:rPr>
        <w:t>奉节县“十四五”期间规划骨干水源工程项目表</w:t>
      </w:r>
    </w:p>
    <w:p w14:paraId="727020A6">
      <w:pPr>
        <w:spacing w:line="520" w:lineRule="exact"/>
        <w:ind w:firstLine="420" w:firstLineChars="200"/>
        <w:rPr>
          <w:rFonts w:ascii="Times New Roman" w:hAnsi="Times New Roman" w:eastAsia="等线 Light"/>
          <w:szCs w:val="21"/>
        </w:rPr>
      </w:pPr>
      <w:r>
        <w:rPr>
          <w:rFonts w:ascii="Times New Roman" w:hAnsi="Times New Roman" w:eastAsia="等线 Light"/>
          <w:szCs w:val="21"/>
        </w:rPr>
        <w:t>表5</w:t>
      </w:r>
      <w:r>
        <w:rPr>
          <w:rFonts w:ascii="Times New Roman" w:hAnsi="Times New Roman"/>
          <w:szCs w:val="21"/>
        </w:rPr>
        <w:t>.1</w:t>
      </w:r>
      <w:r>
        <w:rPr>
          <w:rFonts w:ascii="Times New Roman" w:hAnsi="Times New Roman" w:eastAsia="等线 Light"/>
          <w:szCs w:val="21"/>
        </w:rPr>
        <w:t>-1</w:t>
      </w:r>
    </w:p>
    <w:tbl>
      <w:tblPr>
        <w:tblStyle w:val="2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753"/>
        <w:gridCol w:w="1805"/>
        <w:gridCol w:w="1803"/>
        <w:gridCol w:w="2152"/>
        <w:gridCol w:w="2588"/>
      </w:tblGrid>
      <w:tr w14:paraId="61618A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blHeader/>
        </w:trPr>
        <w:tc>
          <w:tcPr>
            <w:tcW w:w="414" w:type="pct"/>
            <w:tcBorders>
              <w:tl2br w:val="nil"/>
              <w:tr2bl w:val="nil"/>
            </w:tcBorders>
            <w:shd w:val="clear" w:color="auto" w:fill="auto"/>
            <w:vAlign w:val="center"/>
          </w:tcPr>
          <w:p w14:paraId="463F133D">
            <w:pPr>
              <w:widowControl/>
              <w:jc w:val="center"/>
              <w:textAlignment w:val="center"/>
              <w:rPr>
                <w:rFonts w:ascii="Times New Roman" w:hAnsi="Times New Roman"/>
                <w:sz w:val="20"/>
                <w:szCs w:val="20"/>
              </w:rPr>
            </w:pPr>
            <w:r>
              <w:rPr>
                <w:rFonts w:ascii="Times New Roman" w:hAnsi="Times New Roman"/>
                <w:kern w:val="0"/>
                <w:sz w:val="20"/>
                <w:szCs w:val="20"/>
              </w:rPr>
              <w:t>序号</w:t>
            </w:r>
          </w:p>
        </w:tc>
        <w:tc>
          <w:tcPr>
            <w:tcW w:w="991" w:type="pct"/>
            <w:tcBorders>
              <w:tl2br w:val="nil"/>
              <w:tr2bl w:val="nil"/>
            </w:tcBorders>
            <w:shd w:val="clear" w:color="auto" w:fill="auto"/>
            <w:vAlign w:val="center"/>
          </w:tcPr>
          <w:p w14:paraId="23EE61DD">
            <w:pPr>
              <w:widowControl/>
              <w:jc w:val="center"/>
              <w:textAlignment w:val="center"/>
              <w:rPr>
                <w:rFonts w:ascii="Times New Roman" w:hAnsi="Times New Roman"/>
                <w:sz w:val="20"/>
                <w:szCs w:val="20"/>
              </w:rPr>
            </w:pPr>
            <w:r>
              <w:rPr>
                <w:rFonts w:ascii="Times New Roman" w:hAnsi="Times New Roman"/>
                <w:kern w:val="0"/>
                <w:sz w:val="20"/>
                <w:szCs w:val="20"/>
              </w:rPr>
              <w:t>工程名称</w:t>
            </w:r>
          </w:p>
        </w:tc>
        <w:tc>
          <w:tcPr>
            <w:tcW w:w="990" w:type="pct"/>
            <w:tcBorders>
              <w:tl2br w:val="nil"/>
              <w:tr2bl w:val="nil"/>
            </w:tcBorders>
            <w:shd w:val="clear" w:color="auto" w:fill="auto"/>
            <w:vAlign w:val="center"/>
          </w:tcPr>
          <w:p w14:paraId="60074E02">
            <w:pPr>
              <w:widowControl/>
              <w:jc w:val="center"/>
              <w:textAlignment w:val="center"/>
              <w:rPr>
                <w:rFonts w:ascii="Times New Roman" w:hAnsi="Times New Roman"/>
                <w:sz w:val="20"/>
                <w:szCs w:val="20"/>
              </w:rPr>
            </w:pPr>
            <w:r>
              <w:rPr>
                <w:rFonts w:ascii="Times New Roman" w:hAnsi="Times New Roman"/>
                <w:kern w:val="0"/>
                <w:sz w:val="20"/>
                <w:szCs w:val="20"/>
              </w:rPr>
              <w:t>工程规模</w:t>
            </w:r>
          </w:p>
        </w:tc>
        <w:tc>
          <w:tcPr>
            <w:tcW w:w="1182" w:type="pct"/>
            <w:tcBorders>
              <w:tl2br w:val="nil"/>
              <w:tr2bl w:val="nil"/>
            </w:tcBorders>
            <w:shd w:val="clear" w:color="auto" w:fill="auto"/>
            <w:vAlign w:val="center"/>
          </w:tcPr>
          <w:p w14:paraId="173CF035">
            <w:pPr>
              <w:widowControl/>
              <w:jc w:val="center"/>
              <w:textAlignment w:val="center"/>
              <w:rPr>
                <w:rFonts w:ascii="Times New Roman" w:hAnsi="Times New Roman"/>
                <w:sz w:val="20"/>
                <w:szCs w:val="20"/>
              </w:rPr>
            </w:pPr>
            <w:r>
              <w:rPr>
                <w:rFonts w:ascii="Times New Roman" w:hAnsi="Times New Roman"/>
                <w:kern w:val="0"/>
                <w:sz w:val="20"/>
                <w:szCs w:val="20"/>
              </w:rPr>
              <w:t>性质</w:t>
            </w:r>
          </w:p>
        </w:tc>
        <w:tc>
          <w:tcPr>
            <w:tcW w:w="1421" w:type="pct"/>
            <w:tcBorders>
              <w:tl2br w:val="nil"/>
              <w:tr2bl w:val="nil"/>
            </w:tcBorders>
            <w:shd w:val="clear" w:color="auto" w:fill="FFFFFF"/>
            <w:vAlign w:val="center"/>
          </w:tcPr>
          <w:p w14:paraId="33B65C2D">
            <w:pPr>
              <w:widowControl/>
              <w:jc w:val="center"/>
              <w:textAlignment w:val="center"/>
              <w:rPr>
                <w:rFonts w:ascii="Times New Roman" w:hAnsi="Times New Roman"/>
                <w:sz w:val="20"/>
                <w:szCs w:val="20"/>
              </w:rPr>
            </w:pPr>
            <w:r>
              <w:rPr>
                <w:rFonts w:ascii="Times New Roman" w:hAnsi="Times New Roman"/>
                <w:kern w:val="0"/>
                <w:sz w:val="20"/>
                <w:szCs w:val="20"/>
              </w:rPr>
              <w:t>总库容（万</w:t>
            </w:r>
            <w:r>
              <w:rPr>
                <w:rFonts w:ascii="Times New Roman" w:hAnsi="Times New Roman"/>
                <w:sz w:val="20"/>
                <w:szCs w:val="20"/>
              </w:rPr>
              <w:t>m³）</w:t>
            </w:r>
          </w:p>
        </w:tc>
      </w:tr>
      <w:tr w14:paraId="22A54C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1855AD06">
            <w:pPr>
              <w:spacing w:line="0" w:lineRule="atLeast"/>
              <w:jc w:val="center"/>
              <w:rPr>
                <w:rFonts w:ascii="Times New Roman" w:hAnsi="Times New Roman"/>
                <w:sz w:val="20"/>
                <w:szCs w:val="20"/>
              </w:rPr>
            </w:pPr>
            <w:r>
              <w:rPr>
                <w:rFonts w:ascii="Times New Roman" w:hAnsi="Times New Roman"/>
                <w:sz w:val="20"/>
                <w:szCs w:val="20"/>
              </w:rPr>
              <w:t>1</w:t>
            </w:r>
          </w:p>
        </w:tc>
        <w:tc>
          <w:tcPr>
            <w:tcW w:w="991" w:type="pct"/>
            <w:tcBorders>
              <w:tl2br w:val="nil"/>
              <w:tr2bl w:val="nil"/>
            </w:tcBorders>
            <w:vAlign w:val="center"/>
          </w:tcPr>
          <w:p w14:paraId="6831BF86">
            <w:pPr>
              <w:spacing w:line="0" w:lineRule="atLeast"/>
              <w:jc w:val="center"/>
              <w:rPr>
                <w:rFonts w:ascii="Times New Roman" w:hAnsi="Times New Roman"/>
                <w:sz w:val="20"/>
                <w:szCs w:val="20"/>
              </w:rPr>
            </w:pPr>
            <w:r>
              <w:rPr>
                <w:rFonts w:ascii="Times New Roman" w:hAnsi="Times New Roman"/>
                <w:sz w:val="20"/>
                <w:szCs w:val="20"/>
              </w:rPr>
              <w:t>西牛冲水库</w:t>
            </w:r>
          </w:p>
        </w:tc>
        <w:tc>
          <w:tcPr>
            <w:tcW w:w="990" w:type="pct"/>
            <w:tcBorders>
              <w:tl2br w:val="nil"/>
              <w:tr2bl w:val="nil"/>
            </w:tcBorders>
            <w:vAlign w:val="center"/>
          </w:tcPr>
          <w:p w14:paraId="5344A74B">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7AFAB5DE">
            <w:pPr>
              <w:spacing w:line="0" w:lineRule="atLeast"/>
              <w:jc w:val="center"/>
              <w:rPr>
                <w:rFonts w:ascii="Times New Roman" w:hAnsi="Times New Roman"/>
                <w:sz w:val="20"/>
                <w:szCs w:val="20"/>
              </w:rPr>
            </w:pPr>
            <w:r>
              <w:rPr>
                <w:rFonts w:ascii="Times New Roman" w:hAnsi="Times New Roman"/>
                <w:sz w:val="20"/>
                <w:szCs w:val="20"/>
              </w:rPr>
              <w:t>续建</w:t>
            </w:r>
          </w:p>
        </w:tc>
        <w:tc>
          <w:tcPr>
            <w:tcW w:w="1421" w:type="pct"/>
            <w:tcBorders>
              <w:tl2br w:val="nil"/>
              <w:tr2bl w:val="nil"/>
            </w:tcBorders>
            <w:vAlign w:val="center"/>
          </w:tcPr>
          <w:p w14:paraId="1B985A9E">
            <w:pPr>
              <w:spacing w:line="0" w:lineRule="atLeast"/>
              <w:jc w:val="center"/>
              <w:rPr>
                <w:rFonts w:ascii="Times New Roman" w:hAnsi="Times New Roman"/>
                <w:sz w:val="20"/>
                <w:szCs w:val="20"/>
              </w:rPr>
            </w:pPr>
            <w:r>
              <w:rPr>
                <w:rFonts w:ascii="Times New Roman" w:hAnsi="Times New Roman"/>
                <w:sz w:val="20"/>
                <w:szCs w:val="20"/>
              </w:rPr>
              <w:t>182.54</w:t>
            </w:r>
          </w:p>
        </w:tc>
      </w:tr>
      <w:tr w14:paraId="61A22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44D73F79">
            <w:pPr>
              <w:spacing w:line="0" w:lineRule="atLeast"/>
              <w:jc w:val="center"/>
              <w:rPr>
                <w:rFonts w:ascii="Times New Roman" w:hAnsi="Times New Roman"/>
                <w:sz w:val="20"/>
                <w:szCs w:val="20"/>
              </w:rPr>
            </w:pPr>
            <w:r>
              <w:rPr>
                <w:rFonts w:ascii="Times New Roman" w:hAnsi="Times New Roman"/>
                <w:sz w:val="20"/>
                <w:szCs w:val="20"/>
              </w:rPr>
              <w:t>2</w:t>
            </w:r>
          </w:p>
        </w:tc>
        <w:tc>
          <w:tcPr>
            <w:tcW w:w="991" w:type="pct"/>
            <w:tcBorders>
              <w:tl2br w:val="nil"/>
              <w:tr2bl w:val="nil"/>
            </w:tcBorders>
            <w:vAlign w:val="center"/>
          </w:tcPr>
          <w:p w14:paraId="3BD191FA">
            <w:pPr>
              <w:spacing w:line="0" w:lineRule="atLeast"/>
              <w:jc w:val="center"/>
              <w:rPr>
                <w:rFonts w:ascii="Times New Roman" w:hAnsi="Times New Roman"/>
                <w:sz w:val="20"/>
                <w:szCs w:val="20"/>
              </w:rPr>
            </w:pPr>
            <w:r>
              <w:rPr>
                <w:rFonts w:ascii="Times New Roman" w:hAnsi="Times New Roman"/>
                <w:sz w:val="20"/>
                <w:szCs w:val="20"/>
              </w:rPr>
              <w:t>蓼叶溪水库</w:t>
            </w:r>
          </w:p>
        </w:tc>
        <w:tc>
          <w:tcPr>
            <w:tcW w:w="990" w:type="pct"/>
            <w:tcBorders>
              <w:tl2br w:val="nil"/>
              <w:tr2bl w:val="nil"/>
            </w:tcBorders>
            <w:vAlign w:val="center"/>
          </w:tcPr>
          <w:p w14:paraId="77B025D5">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1F3B9641">
            <w:pPr>
              <w:spacing w:line="0" w:lineRule="atLeast"/>
              <w:jc w:val="center"/>
              <w:rPr>
                <w:rFonts w:ascii="Times New Roman" w:hAnsi="Times New Roman"/>
                <w:sz w:val="20"/>
                <w:szCs w:val="20"/>
              </w:rPr>
            </w:pPr>
            <w:r>
              <w:rPr>
                <w:rFonts w:ascii="Times New Roman" w:hAnsi="Times New Roman"/>
                <w:sz w:val="20"/>
                <w:szCs w:val="20"/>
              </w:rPr>
              <w:t>续建</w:t>
            </w:r>
          </w:p>
        </w:tc>
        <w:tc>
          <w:tcPr>
            <w:tcW w:w="1421" w:type="pct"/>
            <w:tcBorders>
              <w:tl2br w:val="nil"/>
              <w:tr2bl w:val="nil"/>
            </w:tcBorders>
            <w:vAlign w:val="center"/>
          </w:tcPr>
          <w:p w14:paraId="21EA7253">
            <w:pPr>
              <w:spacing w:line="0" w:lineRule="atLeast"/>
              <w:jc w:val="center"/>
              <w:rPr>
                <w:rFonts w:ascii="Times New Roman" w:hAnsi="Times New Roman"/>
                <w:sz w:val="20"/>
                <w:szCs w:val="20"/>
              </w:rPr>
            </w:pPr>
            <w:r>
              <w:rPr>
                <w:rFonts w:ascii="Times New Roman" w:hAnsi="Times New Roman"/>
                <w:sz w:val="20"/>
                <w:szCs w:val="20"/>
              </w:rPr>
              <w:t>163</w:t>
            </w:r>
          </w:p>
        </w:tc>
      </w:tr>
      <w:tr w14:paraId="396F64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00F6B4F1">
            <w:pPr>
              <w:spacing w:line="0" w:lineRule="atLeast"/>
              <w:jc w:val="center"/>
              <w:rPr>
                <w:rFonts w:ascii="Times New Roman" w:hAnsi="Times New Roman"/>
                <w:sz w:val="20"/>
                <w:szCs w:val="20"/>
              </w:rPr>
            </w:pPr>
            <w:r>
              <w:rPr>
                <w:rFonts w:ascii="Times New Roman" w:hAnsi="Times New Roman"/>
                <w:sz w:val="20"/>
                <w:szCs w:val="20"/>
              </w:rPr>
              <w:t>3</w:t>
            </w:r>
          </w:p>
        </w:tc>
        <w:tc>
          <w:tcPr>
            <w:tcW w:w="991" w:type="pct"/>
            <w:tcBorders>
              <w:tl2br w:val="nil"/>
              <w:tr2bl w:val="nil"/>
            </w:tcBorders>
            <w:vAlign w:val="center"/>
          </w:tcPr>
          <w:p w14:paraId="53C62F29">
            <w:pPr>
              <w:spacing w:line="0" w:lineRule="atLeast"/>
              <w:jc w:val="center"/>
              <w:rPr>
                <w:rFonts w:ascii="Times New Roman" w:hAnsi="Times New Roman"/>
                <w:sz w:val="20"/>
                <w:szCs w:val="20"/>
              </w:rPr>
            </w:pPr>
            <w:r>
              <w:rPr>
                <w:rFonts w:ascii="Times New Roman" w:hAnsi="Times New Roman"/>
                <w:sz w:val="20"/>
                <w:szCs w:val="20"/>
              </w:rPr>
              <w:t>林政水库</w:t>
            </w:r>
          </w:p>
        </w:tc>
        <w:tc>
          <w:tcPr>
            <w:tcW w:w="990" w:type="pct"/>
            <w:tcBorders>
              <w:tl2br w:val="nil"/>
              <w:tr2bl w:val="nil"/>
            </w:tcBorders>
            <w:vAlign w:val="center"/>
          </w:tcPr>
          <w:p w14:paraId="511315F1">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506F2B5F">
            <w:pPr>
              <w:spacing w:line="0" w:lineRule="atLeast"/>
              <w:jc w:val="center"/>
              <w:rPr>
                <w:rFonts w:ascii="Times New Roman" w:hAnsi="Times New Roman"/>
                <w:sz w:val="20"/>
                <w:szCs w:val="20"/>
              </w:rPr>
            </w:pPr>
            <w:r>
              <w:rPr>
                <w:rFonts w:ascii="Times New Roman" w:hAnsi="Times New Roman"/>
                <w:sz w:val="20"/>
                <w:szCs w:val="20"/>
              </w:rPr>
              <w:t>续建</w:t>
            </w:r>
          </w:p>
        </w:tc>
        <w:tc>
          <w:tcPr>
            <w:tcW w:w="1421" w:type="pct"/>
            <w:tcBorders>
              <w:tl2br w:val="nil"/>
              <w:tr2bl w:val="nil"/>
            </w:tcBorders>
            <w:vAlign w:val="center"/>
          </w:tcPr>
          <w:p w14:paraId="5F89BAF7">
            <w:pPr>
              <w:spacing w:line="0" w:lineRule="atLeast"/>
              <w:jc w:val="center"/>
              <w:rPr>
                <w:rFonts w:ascii="Times New Roman" w:hAnsi="Times New Roman"/>
                <w:sz w:val="20"/>
                <w:szCs w:val="20"/>
              </w:rPr>
            </w:pPr>
            <w:r>
              <w:rPr>
                <w:rFonts w:ascii="Times New Roman" w:hAnsi="Times New Roman"/>
                <w:sz w:val="20"/>
                <w:szCs w:val="20"/>
              </w:rPr>
              <w:t>30</w:t>
            </w:r>
          </w:p>
        </w:tc>
      </w:tr>
      <w:tr w14:paraId="3917B2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6CA0CC39">
            <w:pPr>
              <w:spacing w:line="0" w:lineRule="atLeast"/>
              <w:jc w:val="center"/>
              <w:rPr>
                <w:rFonts w:ascii="Times New Roman" w:hAnsi="Times New Roman"/>
                <w:sz w:val="20"/>
                <w:szCs w:val="20"/>
              </w:rPr>
            </w:pPr>
            <w:r>
              <w:rPr>
                <w:rFonts w:ascii="Times New Roman" w:hAnsi="Times New Roman"/>
                <w:sz w:val="20"/>
                <w:szCs w:val="20"/>
              </w:rPr>
              <w:t>4</w:t>
            </w:r>
          </w:p>
        </w:tc>
        <w:tc>
          <w:tcPr>
            <w:tcW w:w="991" w:type="pct"/>
            <w:tcBorders>
              <w:tl2br w:val="nil"/>
              <w:tr2bl w:val="nil"/>
            </w:tcBorders>
            <w:vAlign w:val="center"/>
          </w:tcPr>
          <w:p w14:paraId="46672C62">
            <w:pPr>
              <w:spacing w:line="0" w:lineRule="atLeast"/>
              <w:jc w:val="center"/>
              <w:rPr>
                <w:rFonts w:ascii="Times New Roman" w:hAnsi="Times New Roman"/>
                <w:sz w:val="20"/>
                <w:szCs w:val="20"/>
              </w:rPr>
            </w:pPr>
            <w:r>
              <w:rPr>
                <w:rFonts w:ascii="Times New Roman" w:hAnsi="Times New Roman"/>
                <w:sz w:val="20"/>
                <w:szCs w:val="20"/>
              </w:rPr>
              <w:t>水竹槽水库</w:t>
            </w:r>
          </w:p>
        </w:tc>
        <w:tc>
          <w:tcPr>
            <w:tcW w:w="990" w:type="pct"/>
            <w:tcBorders>
              <w:tl2br w:val="nil"/>
              <w:tr2bl w:val="nil"/>
            </w:tcBorders>
            <w:vAlign w:val="center"/>
          </w:tcPr>
          <w:p w14:paraId="50AE2179">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48BD070C">
            <w:pPr>
              <w:spacing w:line="0" w:lineRule="atLeast"/>
              <w:jc w:val="center"/>
              <w:rPr>
                <w:rFonts w:ascii="Times New Roman" w:hAnsi="Times New Roman"/>
                <w:sz w:val="20"/>
                <w:szCs w:val="20"/>
              </w:rPr>
            </w:pPr>
            <w:r>
              <w:rPr>
                <w:rFonts w:ascii="Times New Roman" w:hAnsi="Times New Roman"/>
                <w:sz w:val="20"/>
                <w:szCs w:val="20"/>
              </w:rPr>
              <w:t>续建</w:t>
            </w:r>
          </w:p>
        </w:tc>
        <w:tc>
          <w:tcPr>
            <w:tcW w:w="1421" w:type="pct"/>
            <w:tcBorders>
              <w:tl2br w:val="nil"/>
              <w:tr2bl w:val="nil"/>
            </w:tcBorders>
            <w:vAlign w:val="center"/>
          </w:tcPr>
          <w:p w14:paraId="1C65F6A9">
            <w:pPr>
              <w:spacing w:line="0" w:lineRule="atLeast"/>
              <w:jc w:val="center"/>
              <w:rPr>
                <w:rFonts w:ascii="Times New Roman" w:hAnsi="Times New Roman"/>
                <w:sz w:val="20"/>
                <w:szCs w:val="20"/>
              </w:rPr>
            </w:pPr>
            <w:r>
              <w:rPr>
                <w:rFonts w:ascii="Times New Roman" w:hAnsi="Times New Roman"/>
                <w:sz w:val="20"/>
                <w:szCs w:val="20"/>
              </w:rPr>
              <w:t>36</w:t>
            </w:r>
          </w:p>
        </w:tc>
      </w:tr>
      <w:tr w14:paraId="51020E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5D2DB3C4">
            <w:pPr>
              <w:spacing w:line="0" w:lineRule="atLeast"/>
              <w:jc w:val="center"/>
              <w:rPr>
                <w:rFonts w:ascii="Times New Roman" w:hAnsi="Times New Roman"/>
                <w:sz w:val="20"/>
                <w:szCs w:val="20"/>
              </w:rPr>
            </w:pPr>
            <w:r>
              <w:rPr>
                <w:rFonts w:ascii="Times New Roman" w:hAnsi="Times New Roman"/>
                <w:sz w:val="20"/>
                <w:szCs w:val="20"/>
              </w:rPr>
              <w:t>5</w:t>
            </w:r>
          </w:p>
        </w:tc>
        <w:tc>
          <w:tcPr>
            <w:tcW w:w="991" w:type="pct"/>
            <w:tcBorders>
              <w:tl2br w:val="nil"/>
              <w:tr2bl w:val="nil"/>
            </w:tcBorders>
            <w:vAlign w:val="center"/>
          </w:tcPr>
          <w:p w14:paraId="32AB44E2">
            <w:pPr>
              <w:spacing w:line="0" w:lineRule="atLeast"/>
              <w:jc w:val="center"/>
              <w:rPr>
                <w:rFonts w:ascii="Times New Roman" w:hAnsi="Times New Roman"/>
                <w:sz w:val="20"/>
                <w:szCs w:val="20"/>
              </w:rPr>
            </w:pPr>
            <w:r>
              <w:rPr>
                <w:rFonts w:ascii="Times New Roman" w:hAnsi="Times New Roman"/>
                <w:sz w:val="20"/>
                <w:szCs w:val="20"/>
              </w:rPr>
              <w:t>天赐湖水库</w:t>
            </w:r>
          </w:p>
        </w:tc>
        <w:tc>
          <w:tcPr>
            <w:tcW w:w="990" w:type="pct"/>
            <w:tcBorders>
              <w:tl2br w:val="nil"/>
              <w:tr2bl w:val="nil"/>
            </w:tcBorders>
            <w:vAlign w:val="center"/>
          </w:tcPr>
          <w:p w14:paraId="07466CF6">
            <w:pPr>
              <w:spacing w:line="0" w:lineRule="atLeast"/>
              <w:jc w:val="center"/>
              <w:rPr>
                <w:rFonts w:ascii="Times New Roman" w:hAnsi="Times New Roman"/>
                <w:sz w:val="20"/>
                <w:szCs w:val="20"/>
              </w:rPr>
            </w:pPr>
            <w:r>
              <w:rPr>
                <w:rFonts w:ascii="Times New Roman" w:hAnsi="Times New Roman"/>
                <w:sz w:val="20"/>
                <w:szCs w:val="20"/>
              </w:rPr>
              <w:t>中型</w:t>
            </w:r>
          </w:p>
        </w:tc>
        <w:tc>
          <w:tcPr>
            <w:tcW w:w="1182" w:type="pct"/>
            <w:tcBorders>
              <w:tl2br w:val="nil"/>
              <w:tr2bl w:val="nil"/>
            </w:tcBorders>
            <w:vAlign w:val="center"/>
          </w:tcPr>
          <w:p w14:paraId="4B0E5081">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7C6A55AF">
            <w:pPr>
              <w:spacing w:line="0" w:lineRule="atLeast"/>
              <w:jc w:val="center"/>
              <w:rPr>
                <w:rFonts w:ascii="Times New Roman" w:hAnsi="Times New Roman"/>
                <w:sz w:val="20"/>
                <w:szCs w:val="20"/>
              </w:rPr>
            </w:pPr>
            <w:r>
              <w:rPr>
                <w:rFonts w:ascii="Times New Roman" w:hAnsi="Times New Roman"/>
                <w:sz w:val="20"/>
                <w:szCs w:val="20"/>
              </w:rPr>
              <w:t>1757</w:t>
            </w:r>
          </w:p>
        </w:tc>
      </w:tr>
      <w:tr w14:paraId="5D71A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104602EE">
            <w:pPr>
              <w:spacing w:line="0" w:lineRule="atLeast"/>
              <w:jc w:val="center"/>
              <w:rPr>
                <w:rFonts w:ascii="Times New Roman" w:hAnsi="Times New Roman"/>
                <w:sz w:val="20"/>
                <w:szCs w:val="20"/>
              </w:rPr>
            </w:pPr>
            <w:r>
              <w:rPr>
                <w:rFonts w:ascii="Times New Roman" w:hAnsi="Times New Roman"/>
                <w:sz w:val="20"/>
                <w:szCs w:val="20"/>
              </w:rPr>
              <w:t>6</w:t>
            </w:r>
          </w:p>
        </w:tc>
        <w:tc>
          <w:tcPr>
            <w:tcW w:w="991" w:type="pct"/>
            <w:tcBorders>
              <w:tl2br w:val="nil"/>
              <w:tr2bl w:val="nil"/>
            </w:tcBorders>
            <w:vAlign w:val="center"/>
          </w:tcPr>
          <w:p w14:paraId="4F3EE131">
            <w:pPr>
              <w:spacing w:line="0" w:lineRule="atLeast"/>
              <w:jc w:val="center"/>
              <w:rPr>
                <w:rFonts w:ascii="Times New Roman" w:hAnsi="Times New Roman"/>
                <w:sz w:val="20"/>
                <w:szCs w:val="20"/>
              </w:rPr>
            </w:pPr>
            <w:r>
              <w:rPr>
                <w:rFonts w:ascii="Times New Roman" w:hAnsi="Times New Roman"/>
                <w:sz w:val="20"/>
                <w:szCs w:val="20"/>
              </w:rPr>
              <w:t>野茶水库</w:t>
            </w:r>
          </w:p>
        </w:tc>
        <w:tc>
          <w:tcPr>
            <w:tcW w:w="990" w:type="pct"/>
            <w:tcBorders>
              <w:tl2br w:val="nil"/>
              <w:tr2bl w:val="nil"/>
            </w:tcBorders>
            <w:vAlign w:val="center"/>
          </w:tcPr>
          <w:p w14:paraId="6700D840">
            <w:pPr>
              <w:spacing w:line="0" w:lineRule="atLeast"/>
              <w:jc w:val="center"/>
              <w:rPr>
                <w:rFonts w:ascii="Times New Roman" w:hAnsi="Times New Roman"/>
                <w:sz w:val="20"/>
                <w:szCs w:val="20"/>
              </w:rPr>
            </w:pPr>
            <w:r>
              <w:rPr>
                <w:rFonts w:ascii="Times New Roman" w:hAnsi="Times New Roman"/>
                <w:sz w:val="20"/>
                <w:szCs w:val="20"/>
              </w:rPr>
              <w:t>中型</w:t>
            </w:r>
          </w:p>
        </w:tc>
        <w:tc>
          <w:tcPr>
            <w:tcW w:w="1182" w:type="pct"/>
            <w:tcBorders>
              <w:tl2br w:val="nil"/>
              <w:tr2bl w:val="nil"/>
            </w:tcBorders>
            <w:vAlign w:val="center"/>
          </w:tcPr>
          <w:p w14:paraId="56B7EBCB">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1B262FEB">
            <w:pPr>
              <w:spacing w:line="0" w:lineRule="atLeast"/>
              <w:jc w:val="center"/>
              <w:rPr>
                <w:rFonts w:ascii="Times New Roman" w:hAnsi="Times New Roman"/>
                <w:sz w:val="20"/>
                <w:szCs w:val="20"/>
              </w:rPr>
            </w:pPr>
            <w:r>
              <w:rPr>
                <w:rFonts w:ascii="Times New Roman" w:hAnsi="Times New Roman"/>
                <w:sz w:val="20"/>
                <w:szCs w:val="20"/>
              </w:rPr>
              <w:t>1113.4</w:t>
            </w:r>
          </w:p>
        </w:tc>
      </w:tr>
      <w:tr w14:paraId="263EA6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164FDC03">
            <w:pPr>
              <w:spacing w:line="0" w:lineRule="atLeast"/>
              <w:jc w:val="center"/>
              <w:rPr>
                <w:rFonts w:ascii="Times New Roman" w:hAnsi="Times New Roman"/>
                <w:sz w:val="20"/>
                <w:szCs w:val="20"/>
              </w:rPr>
            </w:pPr>
            <w:r>
              <w:rPr>
                <w:rFonts w:ascii="Times New Roman" w:hAnsi="Times New Roman"/>
                <w:sz w:val="20"/>
                <w:szCs w:val="20"/>
              </w:rPr>
              <w:t>7</w:t>
            </w:r>
          </w:p>
        </w:tc>
        <w:tc>
          <w:tcPr>
            <w:tcW w:w="991" w:type="pct"/>
            <w:tcBorders>
              <w:tl2br w:val="nil"/>
              <w:tr2bl w:val="nil"/>
            </w:tcBorders>
            <w:vAlign w:val="center"/>
          </w:tcPr>
          <w:p w14:paraId="37B2E191">
            <w:pPr>
              <w:spacing w:line="0" w:lineRule="atLeast"/>
              <w:jc w:val="center"/>
              <w:rPr>
                <w:rFonts w:ascii="Times New Roman" w:hAnsi="Times New Roman"/>
                <w:sz w:val="20"/>
                <w:szCs w:val="20"/>
              </w:rPr>
            </w:pPr>
            <w:r>
              <w:rPr>
                <w:rFonts w:ascii="Times New Roman" w:hAnsi="Times New Roman"/>
                <w:sz w:val="20"/>
                <w:szCs w:val="20"/>
              </w:rPr>
              <w:t>百岛湖水库</w:t>
            </w:r>
          </w:p>
        </w:tc>
        <w:tc>
          <w:tcPr>
            <w:tcW w:w="990" w:type="pct"/>
            <w:tcBorders>
              <w:tl2br w:val="nil"/>
              <w:tr2bl w:val="nil"/>
            </w:tcBorders>
            <w:vAlign w:val="center"/>
          </w:tcPr>
          <w:p w14:paraId="1F629290">
            <w:pPr>
              <w:spacing w:line="0" w:lineRule="atLeast"/>
              <w:jc w:val="center"/>
              <w:rPr>
                <w:rFonts w:ascii="Times New Roman" w:hAnsi="Times New Roman"/>
                <w:sz w:val="20"/>
                <w:szCs w:val="20"/>
              </w:rPr>
            </w:pPr>
            <w:r>
              <w:rPr>
                <w:rFonts w:ascii="Times New Roman" w:hAnsi="Times New Roman"/>
                <w:sz w:val="20"/>
                <w:szCs w:val="20"/>
              </w:rPr>
              <w:t>中型</w:t>
            </w:r>
          </w:p>
        </w:tc>
        <w:tc>
          <w:tcPr>
            <w:tcW w:w="1182" w:type="pct"/>
            <w:tcBorders>
              <w:tl2br w:val="nil"/>
              <w:tr2bl w:val="nil"/>
            </w:tcBorders>
            <w:vAlign w:val="center"/>
          </w:tcPr>
          <w:p w14:paraId="6E94EC10">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659A5F57">
            <w:pPr>
              <w:spacing w:line="0" w:lineRule="atLeast"/>
              <w:jc w:val="center"/>
              <w:rPr>
                <w:rFonts w:ascii="Times New Roman" w:hAnsi="Times New Roman"/>
                <w:sz w:val="20"/>
                <w:szCs w:val="20"/>
              </w:rPr>
            </w:pPr>
            <w:r>
              <w:rPr>
                <w:rFonts w:ascii="Times New Roman" w:hAnsi="Times New Roman"/>
                <w:sz w:val="20"/>
                <w:szCs w:val="20"/>
              </w:rPr>
              <w:t>1092</w:t>
            </w:r>
          </w:p>
        </w:tc>
      </w:tr>
      <w:tr w14:paraId="5B56EB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2B17F8DD">
            <w:pPr>
              <w:spacing w:line="0" w:lineRule="atLeast"/>
              <w:jc w:val="center"/>
              <w:rPr>
                <w:rFonts w:ascii="Times New Roman" w:hAnsi="Times New Roman"/>
                <w:sz w:val="20"/>
                <w:szCs w:val="20"/>
              </w:rPr>
            </w:pPr>
            <w:r>
              <w:rPr>
                <w:rFonts w:ascii="Times New Roman" w:hAnsi="Times New Roman"/>
                <w:sz w:val="20"/>
                <w:szCs w:val="20"/>
              </w:rPr>
              <w:t>8</w:t>
            </w:r>
          </w:p>
        </w:tc>
        <w:tc>
          <w:tcPr>
            <w:tcW w:w="991" w:type="pct"/>
            <w:tcBorders>
              <w:tl2br w:val="nil"/>
              <w:tr2bl w:val="nil"/>
            </w:tcBorders>
            <w:vAlign w:val="center"/>
          </w:tcPr>
          <w:p w14:paraId="7A9982DA">
            <w:pPr>
              <w:spacing w:line="0" w:lineRule="atLeast"/>
              <w:jc w:val="center"/>
              <w:rPr>
                <w:rFonts w:ascii="Times New Roman" w:hAnsi="Times New Roman"/>
                <w:sz w:val="20"/>
                <w:szCs w:val="20"/>
              </w:rPr>
            </w:pPr>
            <w:r>
              <w:rPr>
                <w:rFonts w:ascii="Times New Roman" w:hAnsi="Times New Roman"/>
                <w:sz w:val="20"/>
                <w:szCs w:val="20"/>
              </w:rPr>
              <w:t>晓阳水库</w:t>
            </w:r>
          </w:p>
        </w:tc>
        <w:tc>
          <w:tcPr>
            <w:tcW w:w="990" w:type="pct"/>
            <w:tcBorders>
              <w:tl2br w:val="nil"/>
              <w:tr2bl w:val="nil"/>
            </w:tcBorders>
            <w:vAlign w:val="center"/>
          </w:tcPr>
          <w:p w14:paraId="649797F9">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2BE95B0A">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106C3D82">
            <w:pPr>
              <w:spacing w:line="0" w:lineRule="atLeast"/>
              <w:jc w:val="center"/>
              <w:rPr>
                <w:rFonts w:ascii="Times New Roman" w:hAnsi="Times New Roman"/>
                <w:sz w:val="20"/>
                <w:szCs w:val="20"/>
              </w:rPr>
            </w:pPr>
            <w:r>
              <w:rPr>
                <w:rFonts w:ascii="Times New Roman" w:hAnsi="Times New Roman"/>
                <w:sz w:val="20"/>
                <w:szCs w:val="20"/>
              </w:rPr>
              <w:t>139.48</w:t>
            </w:r>
          </w:p>
        </w:tc>
      </w:tr>
      <w:tr w14:paraId="724388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3EB0FDBE">
            <w:pPr>
              <w:spacing w:line="0" w:lineRule="atLeast"/>
              <w:jc w:val="center"/>
              <w:rPr>
                <w:rFonts w:ascii="Times New Roman" w:hAnsi="Times New Roman"/>
                <w:sz w:val="20"/>
                <w:szCs w:val="20"/>
              </w:rPr>
            </w:pPr>
            <w:r>
              <w:rPr>
                <w:rFonts w:ascii="Times New Roman" w:hAnsi="Times New Roman"/>
                <w:sz w:val="20"/>
                <w:szCs w:val="20"/>
              </w:rPr>
              <w:t>9</w:t>
            </w:r>
          </w:p>
        </w:tc>
        <w:tc>
          <w:tcPr>
            <w:tcW w:w="991" w:type="pct"/>
            <w:tcBorders>
              <w:tl2br w:val="nil"/>
              <w:tr2bl w:val="nil"/>
            </w:tcBorders>
            <w:vAlign w:val="center"/>
          </w:tcPr>
          <w:p w14:paraId="64CD8230">
            <w:pPr>
              <w:spacing w:line="0" w:lineRule="atLeast"/>
              <w:jc w:val="center"/>
              <w:rPr>
                <w:rFonts w:ascii="Times New Roman" w:hAnsi="Times New Roman"/>
                <w:sz w:val="20"/>
                <w:szCs w:val="20"/>
              </w:rPr>
            </w:pPr>
            <w:r>
              <w:rPr>
                <w:rFonts w:ascii="Times New Roman" w:hAnsi="Times New Roman"/>
                <w:sz w:val="20"/>
                <w:szCs w:val="20"/>
              </w:rPr>
              <w:t>黄龙水库</w:t>
            </w:r>
          </w:p>
        </w:tc>
        <w:tc>
          <w:tcPr>
            <w:tcW w:w="990" w:type="pct"/>
            <w:tcBorders>
              <w:tl2br w:val="nil"/>
              <w:tr2bl w:val="nil"/>
            </w:tcBorders>
            <w:vAlign w:val="center"/>
          </w:tcPr>
          <w:p w14:paraId="6664F0CC">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30EB69D3">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5E2906CA">
            <w:pPr>
              <w:spacing w:line="0" w:lineRule="atLeast"/>
              <w:jc w:val="center"/>
              <w:rPr>
                <w:rFonts w:ascii="Times New Roman" w:hAnsi="Times New Roman"/>
                <w:sz w:val="20"/>
                <w:szCs w:val="20"/>
              </w:rPr>
            </w:pPr>
            <w:r>
              <w:rPr>
                <w:rFonts w:ascii="Times New Roman" w:hAnsi="Times New Roman"/>
                <w:sz w:val="20"/>
                <w:szCs w:val="20"/>
              </w:rPr>
              <w:t>234.35</w:t>
            </w:r>
          </w:p>
        </w:tc>
      </w:tr>
      <w:tr w14:paraId="7F4041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6BC5AE73">
            <w:pPr>
              <w:spacing w:line="0" w:lineRule="atLeast"/>
              <w:jc w:val="center"/>
              <w:rPr>
                <w:rFonts w:ascii="Times New Roman" w:hAnsi="Times New Roman"/>
                <w:sz w:val="20"/>
                <w:szCs w:val="20"/>
              </w:rPr>
            </w:pPr>
            <w:r>
              <w:rPr>
                <w:rFonts w:ascii="Times New Roman" w:hAnsi="Times New Roman"/>
                <w:sz w:val="20"/>
                <w:szCs w:val="20"/>
              </w:rPr>
              <w:t>10</w:t>
            </w:r>
          </w:p>
        </w:tc>
        <w:tc>
          <w:tcPr>
            <w:tcW w:w="991" w:type="pct"/>
            <w:tcBorders>
              <w:tl2br w:val="nil"/>
              <w:tr2bl w:val="nil"/>
            </w:tcBorders>
            <w:vAlign w:val="center"/>
          </w:tcPr>
          <w:p w14:paraId="36BE2721">
            <w:pPr>
              <w:spacing w:line="0" w:lineRule="atLeast"/>
              <w:jc w:val="center"/>
              <w:rPr>
                <w:rFonts w:ascii="Times New Roman" w:hAnsi="Times New Roman"/>
                <w:sz w:val="20"/>
                <w:szCs w:val="20"/>
              </w:rPr>
            </w:pPr>
            <w:r>
              <w:rPr>
                <w:rFonts w:ascii="Times New Roman" w:hAnsi="Times New Roman"/>
                <w:sz w:val="20"/>
                <w:szCs w:val="20"/>
              </w:rPr>
              <w:t>兰天水库</w:t>
            </w:r>
          </w:p>
        </w:tc>
        <w:tc>
          <w:tcPr>
            <w:tcW w:w="990" w:type="pct"/>
            <w:tcBorders>
              <w:tl2br w:val="nil"/>
              <w:tr2bl w:val="nil"/>
            </w:tcBorders>
            <w:vAlign w:val="center"/>
          </w:tcPr>
          <w:p w14:paraId="6AA54A92">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11CAF92D">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69085153">
            <w:pPr>
              <w:spacing w:line="0" w:lineRule="atLeast"/>
              <w:jc w:val="center"/>
              <w:rPr>
                <w:rFonts w:ascii="Times New Roman" w:hAnsi="Times New Roman"/>
                <w:sz w:val="20"/>
                <w:szCs w:val="20"/>
              </w:rPr>
            </w:pPr>
            <w:r>
              <w:rPr>
                <w:rFonts w:ascii="Times New Roman" w:hAnsi="Times New Roman"/>
                <w:sz w:val="20"/>
                <w:szCs w:val="20"/>
              </w:rPr>
              <w:t>586.71</w:t>
            </w:r>
          </w:p>
        </w:tc>
      </w:tr>
      <w:tr w14:paraId="673078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02" w:hRule="atLeast"/>
        </w:trPr>
        <w:tc>
          <w:tcPr>
            <w:tcW w:w="414" w:type="pct"/>
            <w:tcBorders>
              <w:tl2br w:val="nil"/>
              <w:tr2bl w:val="nil"/>
            </w:tcBorders>
            <w:vAlign w:val="center"/>
          </w:tcPr>
          <w:p w14:paraId="388DBF6A">
            <w:pPr>
              <w:spacing w:line="0" w:lineRule="atLeast"/>
              <w:jc w:val="center"/>
              <w:rPr>
                <w:rFonts w:ascii="Times New Roman" w:hAnsi="Times New Roman"/>
                <w:sz w:val="20"/>
                <w:szCs w:val="20"/>
              </w:rPr>
            </w:pPr>
            <w:r>
              <w:rPr>
                <w:rFonts w:ascii="Times New Roman" w:hAnsi="Times New Roman"/>
                <w:sz w:val="20"/>
                <w:szCs w:val="20"/>
              </w:rPr>
              <w:t>11</w:t>
            </w:r>
          </w:p>
        </w:tc>
        <w:tc>
          <w:tcPr>
            <w:tcW w:w="991" w:type="pct"/>
            <w:tcBorders>
              <w:tl2br w:val="nil"/>
              <w:tr2bl w:val="nil"/>
            </w:tcBorders>
            <w:vAlign w:val="center"/>
          </w:tcPr>
          <w:p w14:paraId="51889C35">
            <w:pPr>
              <w:spacing w:line="0" w:lineRule="atLeast"/>
              <w:jc w:val="center"/>
              <w:rPr>
                <w:rFonts w:ascii="Times New Roman" w:hAnsi="Times New Roman"/>
                <w:sz w:val="20"/>
                <w:szCs w:val="20"/>
              </w:rPr>
            </w:pPr>
            <w:r>
              <w:rPr>
                <w:rFonts w:ascii="Times New Roman" w:hAnsi="Times New Roman"/>
                <w:sz w:val="20"/>
                <w:szCs w:val="20"/>
              </w:rPr>
              <w:t>招峰水库</w:t>
            </w:r>
          </w:p>
        </w:tc>
        <w:tc>
          <w:tcPr>
            <w:tcW w:w="990" w:type="pct"/>
            <w:tcBorders>
              <w:tl2br w:val="nil"/>
              <w:tr2bl w:val="nil"/>
            </w:tcBorders>
            <w:vAlign w:val="center"/>
          </w:tcPr>
          <w:p w14:paraId="206A3390">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1937EA7F">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7F241C31">
            <w:pPr>
              <w:spacing w:line="0" w:lineRule="atLeast"/>
              <w:jc w:val="center"/>
              <w:rPr>
                <w:rFonts w:ascii="Times New Roman" w:hAnsi="Times New Roman"/>
                <w:sz w:val="20"/>
                <w:szCs w:val="20"/>
              </w:rPr>
            </w:pPr>
            <w:r>
              <w:rPr>
                <w:rFonts w:ascii="Times New Roman" w:hAnsi="Times New Roman"/>
                <w:sz w:val="20"/>
                <w:szCs w:val="20"/>
              </w:rPr>
              <w:t>50.25</w:t>
            </w:r>
          </w:p>
        </w:tc>
      </w:tr>
      <w:tr w14:paraId="5AB357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31BC4AAC">
            <w:pPr>
              <w:spacing w:line="0" w:lineRule="atLeast"/>
              <w:jc w:val="center"/>
              <w:rPr>
                <w:rFonts w:ascii="Times New Roman" w:hAnsi="Times New Roman"/>
                <w:sz w:val="20"/>
                <w:szCs w:val="20"/>
              </w:rPr>
            </w:pPr>
            <w:r>
              <w:rPr>
                <w:rFonts w:ascii="Times New Roman" w:hAnsi="Times New Roman"/>
                <w:sz w:val="20"/>
                <w:szCs w:val="20"/>
              </w:rPr>
              <w:t>12</w:t>
            </w:r>
          </w:p>
        </w:tc>
        <w:tc>
          <w:tcPr>
            <w:tcW w:w="991" w:type="pct"/>
            <w:tcBorders>
              <w:tl2br w:val="nil"/>
              <w:tr2bl w:val="nil"/>
            </w:tcBorders>
            <w:vAlign w:val="center"/>
          </w:tcPr>
          <w:p w14:paraId="602D1101">
            <w:pPr>
              <w:spacing w:line="0" w:lineRule="atLeast"/>
              <w:jc w:val="center"/>
              <w:rPr>
                <w:rFonts w:ascii="Times New Roman" w:hAnsi="Times New Roman"/>
                <w:sz w:val="20"/>
                <w:szCs w:val="20"/>
              </w:rPr>
            </w:pPr>
            <w:r>
              <w:rPr>
                <w:rFonts w:ascii="Times New Roman" w:hAnsi="Times New Roman"/>
                <w:sz w:val="20"/>
                <w:szCs w:val="20"/>
              </w:rPr>
              <w:t>围子水库</w:t>
            </w:r>
          </w:p>
        </w:tc>
        <w:tc>
          <w:tcPr>
            <w:tcW w:w="990" w:type="pct"/>
            <w:tcBorders>
              <w:tl2br w:val="nil"/>
              <w:tr2bl w:val="nil"/>
            </w:tcBorders>
            <w:vAlign w:val="center"/>
          </w:tcPr>
          <w:p w14:paraId="755C90DF">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0B0A01A6">
            <w:pPr>
              <w:spacing w:line="0" w:lineRule="atLeast"/>
              <w:jc w:val="center"/>
              <w:rPr>
                <w:rFonts w:ascii="Times New Roman" w:hAnsi="Times New Roman"/>
                <w:sz w:val="20"/>
                <w:szCs w:val="20"/>
              </w:rPr>
            </w:pPr>
            <w:r>
              <w:rPr>
                <w:rFonts w:ascii="Times New Roman" w:hAnsi="Times New Roman"/>
                <w:sz w:val="20"/>
                <w:szCs w:val="20"/>
              </w:rPr>
              <w:t>新建</w:t>
            </w:r>
          </w:p>
        </w:tc>
        <w:tc>
          <w:tcPr>
            <w:tcW w:w="1421" w:type="pct"/>
            <w:tcBorders>
              <w:tl2br w:val="nil"/>
              <w:tr2bl w:val="nil"/>
            </w:tcBorders>
            <w:vAlign w:val="center"/>
          </w:tcPr>
          <w:p w14:paraId="02BF0894">
            <w:pPr>
              <w:spacing w:line="0" w:lineRule="atLeast"/>
              <w:jc w:val="center"/>
              <w:rPr>
                <w:rFonts w:ascii="Times New Roman" w:hAnsi="Times New Roman"/>
                <w:sz w:val="20"/>
                <w:szCs w:val="20"/>
              </w:rPr>
            </w:pPr>
            <w:r>
              <w:rPr>
                <w:rFonts w:ascii="Times New Roman" w:hAnsi="Times New Roman"/>
                <w:sz w:val="20"/>
                <w:szCs w:val="20"/>
              </w:rPr>
              <w:t>20</w:t>
            </w:r>
          </w:p>
        </w:tc>
      </w:tr>
      <w:tr w14:paraId="566C9E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78FDEA9F">
            <w:pPr>
              <w:spacing w:line="0" w:lineRule="atLeast"/>
              <w:jc w:val="center"/>
              <w:rPr>
                <w:rFonts w:ascii="Times New Roman" w:hAnsi="Times New Roman"/>
                <w:sz w:val="20"/>
                <w:szCs w:val="20"/>
              </w:rPr>
            </w:pPr>
            <w:r>
              <w:rPr>
                <w:rFonts w:ascii="Times New Roman" w:hAnsi="Times New Roman"/>
                <w:sz w:val="20"/>
                <w:szCs w:val="20"/>
              </w:rPr>
              <w:t>13</w:t>
            </w:r>
          </w:p>
        </w:tc>
        <w:tc>
          <w:tcPr>
            <w:tcW w:w="991" w:type="pct"/>
            <w:tcBorders>
              <w:tl2br w:val="nil"/>
              <w:tr2bl w:val="nil"/>
            </w:tcBorders>
            <w:vAlign w:val="center"/>
          </w:tcPr>
          <w:p w14:paraId="2539C06F">
            <w:pPr>
              <w:spacing w:line="0" w:lineRule="atLeast"/>
              <w:jc w:val="center"/>
              <w:rPr>
                <w:rFonts w:ascii="Times New Roman" w:hAnsi="Times New Roman"/>
                <w:sz w:val="20"/>
                <w:szCs w:val="20"/>
              </w:rPr>
            </w:pPr>
            <w:r>
              <w:rPr>
                <w:rFonts w:ascii="Times New Roman" w:hAnsi="Times New Roman"/>
                <w:sz w:val="20"/>
                <w:szCs w:val="20"/>
              </w:rPr>
              <w:t>默玺湖水库</w:t>
            </w:r>
          </w:p>
        </w:tc>
        <w:tc>
          <w:tcPr>
            <w:tcW w:w="990" w:type="pct"/>
            <w:tcBorders>
              <w:tl2br w:val="nil"/>
              <w:tr2bl w:val="nil"/>
            </w:tcBorders>
            <w:vAlign w:val="center"/>
          </w:tcPr>
          <w:p w14:paraId="5E06993B">
            <w:pPr>
              <w:spacing w:line="0" w:lineRule="atLeast"/>
              <w:jc w:val="center"/>
              <w:rPr>
                <w:rFonts w:ascii="Times New Roman" w:hAnsi="Times New Roman"/>
                <w:sz w:val="20"/>
                <w:szCs w:val="20"/>
              </w:rPr>
            </w:pPr>
            <w:r>
              <w:rPr>
                <w:rFonts w:ascii="Times New Roman" w:hAnsi="Times New Roman"/>
                <w:sz w:val="20"/>
                <w:szCs w:val="20"/>
              </w:rPr>
              <w:t>大型</w:t>
            </w:r>
          </w:p>
        </w:tc>
        <w:tc>
          <w:tcPr>
            <w:tcW w:w="1182" w:type="pct"/>
            <w:tcBorders>
              <w:tl2br w:val="nil"/>
              <w:tr2bl w:val="nil"/>
            </w:tcBorders>
            <w:vAlign w:val="center"/>
          </w:tcPr>
          <w:p w14:paraId="217B7FC3">
            <w:pPr>
              <w:spacing w:line="0" w:lineRule="atLeast"/>
              <w:jc w:val="center"/>
              <w:rPr>
                <w:rFonts w:ascii="Times New Roman" w:hAnsi="Times New Roman"/>
                <w:sz w:val="20"/>
                <w:szCs w:val="20"/>
              </w:rPr>
            </w:pPr>
            <w:r>
              <w:rPr>
                <w:rFonts w:ascii="Times New Roman" w:hAnsi="Times New Roman"/>
                <w:sz w:val="20"/>
                <w:szCs w:val="20"/>
              </w:rPr>
              <w:t>开展前期工作</w:t>
            </w:r>
          </w:p>
        </w:tc>
        <w:tc>
          <w:tcPr>
            <w:tcW w:w="1421" w:type="pct"/>
            <w:tcBorders>
              <w:tl2br w:val="nil"/>
              <w:tr2bl w:val="nil"/>
            </w:tcBorders>
            <w:vAlign w:val="center"/>
          </w:tcPr>
          <w:p w14:paraId="26499848">
            <w:pPr>
              <w:spacing w:line="0" w:lineRule="atLeast"/>
              <w:jc w:val="center"/>
              <w:rPr>
                <w:rFonts w:ascii="Times New Roman" w:hAnsi="Times New Roman"/>
                <w:sz w:val="20"/>
                <w:szCs w:val="20"/>
              </w:rPr>
            </w:pPr>
            <w:r>
              <w:rPr>
                <w:rFonts w:ascii="Times New Roman" w:hAnsi="Times New Roman"/>
                <w:sz w:val="20"/>
                <w:szCs w:val="20"/>
              </w:rPr>
              <w:t>11000</w:t>
            </w:r>
          </w:p>
        </w:tc>
      </w:tr>
      <w:tr w14:paraId="0258C2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6D6AB863">
            <w:pPr>
              <w:spacing w:line="0" w:lineRule="atLeast"/>
              <w:jc w:val="center"/>
              <w:rPr>
                <w:rFonts w:ascii="Times New Roman" w:hAnsi="Times New Roman"/>
                <w:sz w:val="20"/>
                <w:szCs w:val="20"/>
              </w:rPr>
            </w:pPr>
            <w:r>
              <w:rPr>
                <w:rFonts w:ascii="Times New Roman" w:hAnsi="Times New Roman"/>
                <w:sz w:val="20"/>
                <w:szCs w:val="20"/>
              </w:rPr>
              <w:t>14</w:t>
            </w:r>
          </w:p>
        </w:tc>
        <w:tc>
          <w:tcPr>
            <w:tcW w:w="991" w:type="pct"/>
            <w:tcBorders>
              <w:tl2br w:val="nil"/>
              <w:tr2bl w:val="nil"/>
            </w:tcBorders>
            <w:vAlign w:val="center"/>
          </w:tcPr>
          <w:p w14:paraId="7C51DF28">
            <w:pPr>
              <w:spacing w:line="0" w:lineRule="atLeast"/>
              <w:jc w:val="center"/>
              <w:rPr>
                <w:rFonts w:ascii="Times New Roman" w:hAnsi="Times New Roman"/>
                <w:sz w:val="20"/>
                <w:szCs w:val="20"/>
              </w:rPr>
            </w:pPr>
            <w:r>
              <w:rPr>
                <w:rFonts w:ascii="Times New Roman" w:hAnsi="Times New Roman"/>
                <w:sz w:val="20"/>
                <w:szCs w:val="20"/>
              </w:rPr>
              <w:t>红椿坝水库</w:t>
            </w:r>
          </w:p>
        </w:tc>
        <w:tc>
          <w:tcPr>
            <w:tcW w:w="990" w:type="pct"/>
            <w:tcBorders>
              <w:tl2br w:val="nil"/>
              <w:tr2bl w:val="nil"/>
            </w:tcBorders>
            <w:vAlign w:val="center"/>
          </w:tcPr>
          <w:p w14:paraId="4FB0139B">
            <w:pPr>
              <w:spacing w:line="0" w:lineRule="atLeast"/>
              <w:jc w:val="center"/>
              <w:rPr>
                <w:rFonts w:ascii="Times New Roman" w:hAnsi="Times New Roman"/>
                <w:sz w:val="20"/>
                <w:szCs w:val="20"/>
              </w:rPr>
            </w:pPr>
            <w:r>
              <w:rPr>
                <w:rFonts w:ascii="Times New Roman" w:hAnsi="Times New Roman"/>
                <w:sz w:val="20"/>
                <w:szCs w:val="20"/>
              </w:rPr>
              <w:t>小（1）型</w:t>
            </w:r>
          </w:p>
        </w:tc>
        <w:tc>
          <w:tcPr>
            <w:tcW w:w="1182" w:type="pct"/>
            <w:tcBorders>
              <w:tl2br w:val="nil"/>
              <w:tr2bl w:val="nil"/>
            </w:tcBorders>
            <w:vAlign w:val="center"/>
          </w:tcPr>
          <w:p w14:paraId="58DE583D">
            <w:pPr>
              <w:spacing w:line="0" w:lineRule="atLeast"/>
              <w:jc w:val="center"/>
              <w:rPr>
                <w:rFonts w:ascii="Times New Roman" w:hAnsi="Times New Roman"/>
                <w:sz w:val="20"/>
                <w:szCs w:val="20"/>
              </w:rPr>
            </w:pPr>
            <w:r>
              <w:rPr>
                <w:rFonts w:ascii="Times New Roman" w:hAnsi="Times New Roman"/>
                <w:sz w:val="20"/>
                <w:szCs w:val="20"/>
              </w:rPr>
              <w:t>开展前期工作</w:t>
            </w:r>
          </w:p>
        </w:tc>
        <w:tc>
          <w:tcPr>
            <w:tcW w:w="1421" w:type="pct"/>
            <w:tcBorders>
              <w:tl2br w:val="nil"/>
              <w:tr2bl w:val="nil"/>
            </w:tcBorders>
            <w:vAlign w:val="center"/>
          </w:tcPr>
          <w:p w14:paraId="4F6812A3">
            <w:pPr>
              <w:spacing w:line="0" w:lineRule="atLeast"/>
              <w:jc w:val="center"/>
              <w:rPr>
                <w:rFonts w:ascii="Times New Roman" w:hAnsi="Times New Roman"/>
                <w:sz w:val="20"/>
                <w:szCs w:val="20"/>
              </w:rPr>
            </w:pPr>
            <w:r>
              <w:rPr>
                <w:rFonts w:ascii="Times New Roman" w:hAnsi="Times New Roman"/>
                <w:sz w:val="20"/>
                <w:szCs w:val="20"/>
              </w:rPr>
              <w:t>503.75</w:t>
            </w:r>
          </w:p>
        </w:tc>
      </w:tr>
      <w:tr w14:paraId="162115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47EDA23F">
            <w:pPr>
              <w:spacing w:line="0" w:lineRule="atLeast"/>
              <w:jc w:val="center"/>
              <w:rPr>
                <w:rFonts w:ascii="Times New Roman" w:hAnsi="Times New Roman"/>
                <w:sz w:val="20"/>
                <w:szCs w:val="20"/>
              </w:rPr>
            </w:pPr>
            <w:r>
              <w:rPr>
                <w:rFonts w:ascii="Times New Roman" w:hAnsi="Times New Roman"/>
                <w:sz w:val="20"/>
                <w:szCs w:val="20"/>
              </w:rPr>
              <w:t>15</w:t>
            </w:r>
          </w:p>
        </w:tc>
        <w:tc>
          <w:tcPr>
            <w:tcW w:w="991" w:type="pct"/>
            <w:tcBorders>
              <w:tl2br w:val="nil"/>
              <w:tr2bl w:val="nil"/>
            </w:tcBorders>
            <w:vAlign w:val="center"/>
          </w:tcPr>
          <w:p w14:paraId="7AFB486A">
            <w:pPr>
              <w:spacing w:line="0" w:lineRule="atLeast"/>
              <w:jc w:val="center"/>
              <w:rPr>
                <w:rFonts w:ascii="Times New Roman" w:hAnsi="Times New Roman"/>
                <w:sz w:val="20"/>
                <w:szCs w:val="20"/>
              </w:rPr>
            </w:pPr>
            <w:r>
              <w:rPr>
                <w:rFonts w:ascii="Times New Roman" w:hAnsi="Times New Roman"/>
                <w:sz w:val="20"/>
                <w:szCs w:val="20"/>
              </w:rPr>
              <w:t>佛贵水库</w:t>
            </w:r>
          </w:p>
        </w:tc>
        <w:tc>
          <w:tcPr>
            <w:tcW w:w="990" w:type="pct"/>
            <w:tcBorders>
              <w:tl2br w:val="nil"/>
              <w:tr2bl w:val="nil"/>
            </w:tcBorders>
            <w:vAlign w:val="center"/>
          </w:tcPr>
          <w:p w14:paraId="0C833103">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1B638691">
            <w:pPr>
              <w:spacing w:line="0" w:lineRule="atLeast"/>
              <w:jc w:val="center"/>
              <w:rPr>
                <w:rFonts w:ascii="Times New Roman" w:hAnsi="Times New Roman"/>
                <w:sz w:val="20"/>
                <w:szCs w:val="20"/>
              </w:rPr>
            </w:pPr>
            <w:r>
              <w:rPr>
                <w:rFonts w:ascii="Times New Roman" w:hAnsi="Times New Roman"/>
                <w:sz w:val="20"/>
                <w:szCs w:val="20"/>
              </w:rPr>
              <w:t>开展前期工作</w:t>
            </w:r>
          </w:p>
        </w:tc>
        <w:tc>
          <w:tcPr>
            <w:tcW w:w="1421" w:type="pct"/>
            <w:tcBorders>
              <w:tl2br w:val="nil"/>
              <w:tr2bl w:val="nil"/>
            </w:tcBorders>
            <w:vAlign w:val="center"/>
          </w:tcPr>
          <w:p w14:paraId="0FF89417">
            <w:pPr>
              <w:spacing w:line="0" w:lineRule="atLeast"/>
              <w:jc w:val="center"/>
              <w:rPr>
                <w:rFonts w:ascii="Times New Roman" w:hAnsi="Times New Roman"/>
                <w:sz w:val="20"/>
                <w:szCs w:val="20"/>
              </w:rPr>
            </w:pPr>
            <w:r>
              <w:rPr>
                <w:rFonts w:ascii="Times New Roman" w:hAnsi="Times New Roman"/>
                <w:sz w:val="20"/>
                <w:szCs w:val="20"/>
              </w:rPr>
              <w:t>11.37</w:t>
            </w:r>
          </w:p>
        </w:tc>
      </w:tr>
      <w:tr w14:paraId="591990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5190C9B3">
            <w:pPr>
              <w:spacing w:line="0" w:lineRule="atLeast"/>
              <w:jc w:val="center"/>
              <w:rPr>
                <w:rFonts w:ascii="Times New Roman" w:hAnsi="Times New Roman"/>
                <w:sz w:val="20"/>
                <w:szCs w:val="20"/>
              </w:rPr>
            </w:pPr>
            <w:r>
              <w:rPr>
                <w:rFonts w:ascii="Times New Roman" w:hAnsi="Times New Roman"/>
                <w:sz w:val="20"/>
                <w:szCs w:val="20"/>
              </w:rPr>
              <w:t>16</w:t>
            </w:r>
          </w:p>
        </w:tc>
        <w:tc>
          <w:tcPr>
            <w:tcW w:w="991" w:type="pct"/>
            <w:tcBorders>
              <w:tl2br w:val="nil"/>
              <w:tr2bl w:val="nil"/>
            </w:tcBorders>
            <w:vAlign w:val="center"/>
          </w:tcPr>
          <w:p w14:paraId="43FCC144">
            <w:pPr>
              <w:spacing w:line="0" w:lineRule="atLeast"/>
              <w:jc w:val="center"/>
              <w:rPr>
                <w:rFonts w:ascii="Times New Roman" w:hAnsi="Times New Roman"/>
                <w:sz w:val="20"/>
                <w:szCs w:val="20"/>
              </w:rPr>
            </w:pPr>
            <w:r>
              <w:rPr>
                <w:rFonts w:ascii="Times New Roman" w:hAnsi="Times New Roman"/>
                <w:sz w:val="20"/>
                <w:szCs w:val="20"/>
              </w:rPr>
              <w:t>尖峰水库</w:t>
            </w:r>
          </w:p>
        </w:tc>
        <w:tc>
          <w:tcPr>
            <w:tcW w:w="990" w:type="pct"/>
            <w:tcBorders>
              <w:tl2br w:val="nil"/>
              <w:tr2bl w:val="nil"/>
            </w:tcBorders>
            <w:vAlign w:val="center"/>
          </w:tcPr>
          <w:p w14:paraId="53AF7E37">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7A06E5CC">
            <w:pPr>
              <w:spacing w:line="0" w:lineRule="atLeast"/>
              <w:jc w:val="center"/>
              <w:rPr>
                <w:rFonts w:ascii="Times New Roman" w:hAnsi="Times New Roman"/>
                <w:sz w:val="20"/>
                <w:szCs w:val="20"/>
              </w:rPr>
            </w:pPr>
            <w:r>
              <w:rPr>
                <w:rFonts w:ascii="Times New Roman" w:hAnsi="Times New Roman"/>
                <w:sz w:val="20"/>
                <w:szCs w:val="20"/>
              </w:rPr>
              <w:t>开展前期工作</w:t>
            </w:r>
          </w:p>
        </w:tc>
        <w:tc>
          <w:tcPr>
            <w:tcW w:w="1421" w:type="pct"/>
            <w:tcBorders>
              <w:tl2br w:val="nil"/>
              <w:tr2bl w:val="nil"/>
            </w:tcBorders>
            <w:vAlign w:val="center"/>
          </w:tcPr>
          <w:p w14:paraId="35079349">
            <w:pPr>
              <w:spacing w:line="0" w:lineRule="atLeast"/>
              <w:jc w:val="center"/>
              <w:rPr>
                <w:rFonts w:ascii="Times New Roman" w:hAnsi="Times New Roman"/>
                <w:sz w:val="20"/>
                <w:szCs w:val="20"/>
              </w:rPr>
            </w:pPr>
            <w:r>
              <w:rPr>
                <w:rFonts w:ascii="Times New Roman" w:hAnsi="Times New Roman"/>
                <w:sz w:val="20"/>
                <w:szCs w:val="20"/>
              </w:rPr>
              <w:t>260</w:t>
            </w:r>
          </w:p>
        </w:tc>
      </w:tr>
      <w:tr w14:paraId="0A2268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414" w:type="pct"/>
            <w:tcBorders>
              <w:tl2br w:val="nil"/>
              <w:tr2bl w:val="nil"/>
            </w:tcBorders>
            <w:vAlign w:val="center"/>
          </w:tcPr>
          <w:p w14:paraId="114F11D5">
            <w:pPr>
              <w:spacing w:line="0" w:lineRule="atLeast"/>
              <w:jc w:val="center"/>
              <w:rPr>
                <w:rFonts w:ascii="Times New Roman" w:hAnsi="Times New Roman"/>
                <w:sz w:val="20"/>
                <w:szCs w:val="20"/>
              </w:rPr>
            </w:pPr>
            <w:r>
              <w:rPr>
                <w:rFonts w:ascii="Times New Roman" w:hAnsi="Times New Roman"/>
                <w:sz w:val="20"/>
                <w:szCs w:val="20"/>
              </w:rPr>
              <w:t>17</w:t>
            </w:r>
          </w:p>
        </w:tc>
        <w:tc>
          <w:tcPr>
            <w:tcW w:w="991" w:type="pct"/>
            <w:tcBorders>
              <w:tl2br w:val="nil"/>
              <w:tr2bl w:val="nil"/>
            </w:tcBorders>
            <w:vAlign w:val="center"/>
          </w:tcPr>
          <w:p w14:paraId="4F9D7D65">
            <w:pPr>
              <w:spacing w:line="0" w:lineRule="atLeast"/>
              <w:jc w:val="center"/>
              <w:rPr>
                <w:rFonts w:ascii="Times New Roman" w:hAnsi="Times New Roman"/>
                <w:sz w:val="20"/>
                <w:szCs w:val="20"/>
              </w:rPr>
            </w:pPr>
            <w:r>
              <w:rPr>
                <w:rFonts w:hint="eastAsia" w:ascii="Times New Roman" w:hAnsi="Times New Roman"/>
                <w:sz w:val="20"/>
                <w:szCs w:val="20"/>
              </w:rPr>
              <w:t>黄土坎</w:t>
            </w:r>
          </w:p>
        </w:tc>
        <w:tc>
          <w:tcPr>
            <w:tcW w:w="990" w:type="pct"/>
            <w:tcBorders>
              <w:tl2br w:val="nil"/>
              <w:tr2bl w:val="nil"/>
            </w:tcBorders>
            <w:vAlign w:val="center"/>
          </w:tcPr>
          <w:p w14:paraId="07C2D11B">
            <w:pPr>
              <w:spacing w:line="0" w:lineRule="atLeast"/>
              <w:jc w:val="center"/>
              <w:rPr>
                <w:rFonts w:ascii="Times New Roman" w:hAnsi="Times New Roman"/>
                <w:sz w:val="20"/>
                <w:szCs w:val="20"/>
              </w:rPr>
            </w:pPr>
            <w:r>
              <w:rPr>
                <w:rFonts w:ascii="Times New Roman" w:hAnsi="Times New Roman"/>
                <w:sz w:val="20"/>
                <w:szCs w:val="20"/>
              </w:rPr>
              <w:t>小（2）型</w:t>
            </w:r>
          </w:p>
        </w:tc>
        <w:tc>
          <w:tcPr>
            <w:tcW w:w="1182" w:type="pct"/>
            <w:tcBorders>
              <w:tl2br w:val="nil"/>
              <w:tr2bl w:val="nil"/>
            </w:tcBorders>
            <w:vAlign w:val="center"/>
          </w:tcPr>
          <w:p w14:paraId="293552CD">
            <w:pPr>
              <w:spacing w:line="0" w:lineRule="atLeast"/>
              <w:jc w:val="center"/>
              <w:rPr>
                <w:rFonts w:ascii="Times New Roman" w:hAnsi="Times New Roman"/>
                <w:sz w:val="20"/>
                <w:szCs w:val="20"/>
              </w:rPr>
            </w:pPr>
            <w:r>
              <w:rPr>
                <w:rFonts w:ascii="Times New Roman" w:hAnsi="Times New Roman"/>
                <w:sz w:val="20"/>
                <w:szCs w:val="20"/>
              </w:rPr>
              <w:t>开展前期工作</w:t>
            </w:r>
          </w:p>
        </w:tc>
        <w:tc>
          <w:tcPr>
            <w:tcW w:w="1421" w:type="pct"/>
            <w:tcBorders>
              <w:tl2br w:val="nil"/>
              <w:tr2bl w:val="nil"/>
            </w:tcBorders>
            <w:vAlign w:val="center"/>
          </w:tcPr>
          <w:p w14:paraId="2B9BC10B">
            <w:pPr>
              <w:spacing w:line="0" w:lineRule="atLeast"/>
              <w:jc w:val="center"/>
              <w:rPr>
                <w:rFonts w:ascii="Times New Roman" w:hAnsi="Times New Roman"/>
                <w:sz w:val="20"/>
                <w:szCs w:val="20"/>
              </w:rPr>
            </w:pPr>
            <w:r>
              <w:rPr>
                <w:rFonts w:ascii="Times New Roman" w:hAnsi="Times New Roman"/>
                <w:sz w:val="20"/>
                <w:szCs w:val="20"/>
              </w:rPr>
              <w:t>36.8</w:t>
            </w:r>
          </w:p>
        </w:tc>
      </w:tr>
    </w:tbl>
    <w:p w14:paraId="44EDDD31">
      <w:pPr>
        <w:pStyle w:val="4"/>
        <w:numPr>
          <w:ilvl w:val="0"/>
          <w:numId w:val="0"/>
        </w:numPr>
        <w:spacing w:before="0" w:after="0" w:line="520" w:lineRule="exact"/>
        <w:jc w:val="left"/>
        <w:rPr>
          <w:rFonts w:ascii="Times New Roman" w:hAnsi="Times New Roman" w:eastAsia="方正仿宋_GBK"/>
          <w:spacing w:val="6"/>
          <w:szCs w:val="32"/>
        </w:rPr>
      </w:pPr>
      <w:bookmarkStart w:id="96" w:name="_Toc6812"/>
      <w:bookmarkStart w:id="97" w:name="_Toc75169314"/>
      <w:bookmarkStart w:id="98" w:name="_Toc92995430"/>
      <w:bookmarkStart w:id="99" w:name="OLE_LINK8"/>
      <w:r>
        <w:rPr>
          <w:rFonts w:ascii="Times New Roman" w:hAnsi="Times New Roman" w:eastAsia="方正仿宋_GBK"/>
          <w:spacing w:val="6"/>
          <w:szCs w:val="32"/>
        </w:rPr>
        <w:t xml:space="preserve">5.3 </w:t>
      </w:r>
      <w:bookmarkEnd w:id="96"/>
      <w:bookmarkEnd w:id="97"/>
      <w:r>
        <w:rPr>
          <w:rFonts w:ascii="Times New Roman" w:hAnsi="Times New Roman" w:eastAsia="方正仿宋_GBK"/>
          <w:spacing w:val="6"/>
          <w:szCs w:val="32"/>
        </w:rPr>
        <w:t>实施城乡供水提升工程</w:t>
      </w:r>
      <w:bookmarkEnd w:id="98"/>
    </w:p>
    <w:bookmarkEnd w:id="99"/>
    <w:p w14:paraId="7C9DACD3">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围绕“基本公共服务实现均等化、城乡区域发展差距和居民生活水平差距显著缩小，高品质生活充分展现”的目标，持续推进城乡供水一体化，形成水源统筹、水量保障、水质安全的城乡供水一体化新格局。按城乡区域协调发展和乡村振兴战略部署，聚焦民生改善，大力推进城乡融合发展，巩固农村饮水安全成果。“十四五”期间，奉节县规划改造、扩建城市水厂4座，城市水厂供水管网延伸工程3处。条件较好的公平、康乐、新民、竹园、甲高、吐祥等区域通过改建规模化水厂大力推进城乡供水一体化、规模化供水。人口居住较为分散的农村区域，加强分散小型农村供水工程标准化建设，实施“一改三提”工程，通过改善农村供水设施条件，提升人均可供水水量、提升水质达标率、提升工程运行管护水平，让人民群众喝上放心水。</w:t>
      </w:r>
    </w:p>
    <w:p w14:paraId="269F7CB1">
      <w:pPr>
        <w:spacing w:line="520" w:lineRule="exact"/>
        <w:ind w:firstLine="560" w:firstLineChars="200"/>
        <w:rPr>
          <w:rFonts w:ascii="Times New Roman" w:hAnsi="Times New Roman" w:eastAsia="楷体"/>
          <w:sz w:val="28"/>
          <w:szCs w:val="28"/>
        </w:rPr>
      </w:pPr>
      <w:bookmarkStart w:id="100" w:name="OLE_LINK14"/>
      <w:r>
        <w:rPr>
          <w:rFonts w:ascii="Times New Roman" w:hAnsi="Times New Roman" w:eastAsia="楷体"/>
          <w:sz w:val="28"/>
          <w:szCs w:val="28"/>
        </w:rPr>
        <w:t>十四五期间，</w:t>
      </w:r>
      <w:bookmarkEnd w:id="100"/>
      <w:r>
        <w:rPr>
          <w:rFonts w:ascii="Times New Roman" w:hAnsi="Times New Roman" w:eastAsia="楷体"/>
          <w:sz w:val="28"/>
          <w:szCs w:val="28"/>
        </w:rPr>
        <w:t>全</w:t>
      </w:r>
      <w:bookmarkStart w:id="101" w:name="OLE_LINK10"/>
      <w:r>
        <w:rPr>
          <w:rFonts w:ascii="Times New Roman" w:hAnsi="Times New Roman" w:eastAsia="楷体"/>
          <w:sz w:val="28"/>
          <w:szCs w:val="28"/>
        </w:rPr>
        <w:t>县实施城市水厂改造、扩建和管网延伸工程7处，乡镇集中供水工程改建12处，乡村振兴规模化供水工程2处，村级供水“一改三提”工程52处</w:t>
      </w:r>
      <w:bookmarkEnd w:id="101"/>
      <w:r>
        <w:rPr>
          <w:rFonts w:ascii="Times New Roman" w:hAnsi="Times New Roman" w:eastAsia="楷体"/>
          <w:sz w:val="28"/>
          <w:szCs w:val="28"/>
        </w:rPr>
        <w:t>。</w:t>
      </w:r>
    </w:p>
    <w:p w14:paraId="08C2F548">
      <w:pPr>
        <w:pStyle w:val="4"/>
        <w:numPr>
          <w:ilvl w:val="0"/>
          <w:numId w:val="0"/>
        </w:numPr>
        <w:spacing w:before="0" w:after="0" w:line="520" w:lineRule="exact"/>
        <w:jc w:val="left"/>
        <w:rPr>
          <w:rFonts w:ascii="Times New Roman" w:hAnsi="Times New Roman" w:eastAsia="方正仿宋_GBK"/>
          <w:spacing w:val="6"/>
          <w:szCs w:val="32"/>
        </w:rPr>
      </w:pPr>
      <w:bookmarkStart w:id="102" w:name="_Toc75169315"/>
      <w:bookmarkStart w:id="103" w:name="_Toc92995431"/>
      <w:bookmarkStart w:id="104" w:name="_Toc21581"/>
      <w:r>
        <w:rPr>
          <w:rFonts w:ascii="Times New Roman" w:hAnsi="Times New Roman" w:eastAsia="方正仿宋_GBK"/>
          <w:spacing w:val="6"/>
          <w:szCs w:val="32"/>
        </w:rPr>
        <w:t>5.4 实施现代化灌区建设与改造</w:t>
      </w:r>
      <w:bookmarkEnd w:id="102"/>
      <w:bookmarkEnd w:id="103"/>
      <w:bookmarkEnd w:id="104"/>
    </w:p>
    <w:p w14:paraId="6A4E432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围绕乡村振兴战略，按照现代农业建设要求，加快推进灌区现代化建设与改造，加强灌溉工程体系改造，提高灌溉供水保障率，增强粮食综合生产能力。在地理、自然条件较好的区域，开展灌区续建配套与现代化改造。</w:t>
      </w:r>
    </w:p>
    <w:p w14:paraId="6F7233C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十四五期间，规划实施葡萄、油橄榄、茶叶、小水果等高效节水项目，前期工作，助推乡村振兴。</w:t>
      </w:r>
    </w:p>
    <w:p w14:paraId="5C02F873">
      <w:pPr>
        <w:spacing w:line="520" w:lineRule="exact"/>
        <w:jc w:val="center"/>
        <w:rPr>
          <w:rFonts w:ascii="Times New Roman" w:hAnsi="Times New Roman"/>
          <w:b/>
          <w:kern w:val="0"/>
          <w:sz w:val="24"/>
          <w:szCs w:val="24"/>
        </w:rPr>
      </w:pPr>
      <w:r>
        <w:rPr>
          <w:rFonts w:ascii="Times New Roman" w:hAnsi="Times New Roman"/>
          <w:b/>
          <w:kern w:val="0"/>
          <w:sz w:val="24"/>
          <w:szCs w:val="24"/>
        </w:rPr>
        <w:t>专栏11：节水与供水重点任务</w:t>
      </w:r>
    </w:p>
    <w:tbl>
      <w:tblPr>
        <w:tblStyle w:val="26"/>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51B934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6" w:type="dxa"/>
            <w:vAlign w:val="center"/>
          </w:tcPr>
          <w:p w14:paraId="2814A503">
            <w:pPr>
              <w:spacing w:line="360" w:lineRule="auto"/>
              <w:ind w:firstLine="482"/>
              <w:jc w:val="left"/>
              <w:rPr>
                <w:rFonts w:ascii="Times New Roman" w:hAnsi="Times New Roman"/>
                <w:bCs/>
                <w:szCs w:val="21"/>
              </w:rPr>
            </w:pPr>
            <w:r>
              <w:rPr>
                <w:rFonts w:ascii="Times New Roman" w:hAnsi="Times New Roman"/>
                <w:szCs w:val="21"/>
              </w:rPr>
              <w:t>——加强重点领域节水</w:t>
            </w:r>
            <w:r>
              <w:rPr>
                <w:rFonts w:ascii="Times New Roman" w:hAnsi="Times New Roman"/>
                <w:bCs/>
                <w:szCs w:val="21"/>
              </w:rPr>
              <w:t>。农田灌溉水有效利用系数提高到0.55；重点用水行业节水型企业建成率达到100%，完成80%的县级机关和35%的县级公共机构建成节水型单位。</w:t>
            </w:r>
          </w:p>
          <w:p w14:paraId="1EA92948">
            <w:pPr>
              <w:spacing w:line="360" w:lineRule="auto"/>
              <w:ind w:firstLine="482"/>
              <w:jc w:val="left"/>
              <w:rPr>
                <w:rFonts w:ascii="Times New Roman" w:hAnsi="Times New Roman"/>
                <w:bCs/>
                <w:szCs w:val="21"/>
              </w:rPr>
            </w:pPr>
            <w:r>
              <w:rPr>
                <w:rFonts w:ascii="Times New Roman" w:hAnsi="Times New Roman"/>
                <w:bCs/>
                <w:szCs w:val="21"/>
              </w:rPr>
              <w:t>——加快西牛冲水库、蓼叶溪水库、林政水库、水竹槽水库等工程的续建工作，尽快发挥水源工程效益。</w:t>
            </w:r>
          </w:p>
          <w:p w14:paraId="5FBBD333">
            <w:pPr>
              <w:spacing w:line="360" w:lineRule="auto"/>
              <w:ind w:firstLine="482"/>
              <w:jc w:val="left"/>
              <w:rPr>
                <w:rFonts w:ascii="Times New Roman" w:hAnsi="Times New Roman"/>
                <w:bCs/>
                <w:szCs w:val="21"/>
              </w:rPr>
            </w:pPr>
            <w:r>
              <w:rPr>
                <w:rFonts w:ascii="Times New Roman" w:hAnsi="Times New Roman"/>
                <w:bCs/>
                <w:szCs w:val="21"/>
              </w:rPr>
              <w:t>——开工建设天赐湖水库、野茶水库、百岛湖水库等中型水源工程，结合乡村振兴对灌溉和供水提标改造的需求，建设一批小型和微小型综合利用水源工程。</w:t>
            </w:r>
          </w:p>
          <w:p w14:paraId="629EA40E">
            <w:pPr>
              <w:spacing w:line="360" w:lineRule="auto"/>
              <w:ind w:firstLine="482"/>
              <w:jc w:val="left"/>
              <w:rPr>
                <w:rFonts w:ascii="Times New Roman" w:hAnsi="Times New Roman"/>
                <w:bCs/>
                <w:szCs w:val="21"/>
              </w:rPr>
            </w:pPr>
            <w:r>
              <w:rPr>
                <w:rFonts w:ascii="Times New Roman" w:hAnsi="Times New Roman"/>
                <w:bCs/>
                <w:szCs w:val="21"/>
              </w:rPr>
              <w:t>——推进默玺湖大型水库的前期工作。</w:t>
            </w:r>
          </w:p>
          <w:p w14:paraId="0A1965D4">
            <w:pPr>
              <w:spacing w:line="360" w:lineRule="auto"/>
              <w:ind w:firstLine="482"/>
              <w:jc w:val="left"/>
              <w:rPr>
                <w:rFonts w:ascii="Times New Roman" w:hAnsi="Times New Roman"/>
                <w:bCs/>
                <w:szCs w:val="21"/>
              </w:rPr>
            </w:pPr>
            <w:r>
              <w:rPr>
                <w:rFonts w:ascii="Times New Roman" w:hAnsi="Times New Roman"/>
                <w:bCs/>
                <w:szCs w:val="21"/>
              </w:rPr>
              <w:t>——实施城市水厂改造、扩建和管网延伸工程7处，乡镇集中供水工程改建12处，乡村振兴规模化供水工程2处，村级供水“一改三提”工程52处。</w:t>
            </w:r>
          </w:p>
          <w:p w14:paraId="66F42C67">
            <w:pPr>
              <w:spacing w:line="360" w:lineRule="auto"/>
              <w:ind w:firstLine="482"/>
              <w:jc w:val="left"/>
              <w:rPr>
                <w:rFonts w:ascii="Times New Roman" w:hAnsi="Times New Roman" w:eastAsia="方正楷体_GBK"/>
                <w:bCs/>
                <w:szCs w:val="24"/>
              </w:rPr>
            </w:pPr>
            <w:r>
              <w:rPr>
                <w:rFonts w:ascii="Times New Roman" w:hAnsi="Times New Roman"/>
                <w:bCs/>
                <w:szCs w:val="21"/>
              </w:rPr>
              <w:t>——实施葡萄、油橄榄、茶叶、小水果等高效节水项目。</w:t>
            </w:r>
          </w:p>
        </w:tc>
      </w:tr>
    </w:tbl>
    <w:p w14:paraId="2CB40978">
      <w:pPr>
        <w:spacing w:line="520" w:lineRule="exact"/>
        <w:ind w:firstLine="420" w:firstLineChars="200"/>
        <w:rPr>
          <w:rFonts w:ascii="Times New Roman" w:hAnsi="Times New Roman"/>
        </w:rPr>
        <w:sectPr>
          <w:pgSz w:w="11907" w:h="16840"/>
          <w:pgMar w:top="1418" w:right="1418" w:bottom="1418" w:left="1418" w:header="907" w:footer="1021" w:gutter="0"/>
          <w:cols w:space="720" w:num="1"/>
          <w:docGrid w:linePitch="360" w:charSpace="0"/>
        </w:sectPr>
      </w:pPr>
    </w:p>
    <w:p w14:paraId="2A8D95FB">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05" w:name="_Toc92995432"/>
      <w:bookmarkStart w:id="106" w:name="_Toc25053"/>
      <w:bookmarkStart w:id="107" w:name="_Toc75169316"/>
      <w:r>
        <w:rPr>
          <w:rFonts w:ascii="Times New Roman" w:hAnsi="Times New Roman" w:eastAsia="方正仿宋_GBK" w:cs="Times New Roman"/>
          <w:b/>
          <w:spacing w:val="6"/>
          <w:szCs w:val="36"/>
        </w:rPr>
        <w:t>第六章 重保护强修复，持续改善河湖面貌</w:t>
      </w:r>
      <w:bookmarkEnd w:id="105"/>
      <w:bookmarkEnd w:id="106"/>
      <w:bookmarkEnd w:id="107"/>
    </w:p>
    <w:p w14:paraId="1D1D40FC">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始终把修复长江生态环境摆在压倒性位置，按照“重保护、强修复”的思路，以保护三峡水库为核心，坚持保护优先、自然修复与治理修复相结合，加快实施一批水生态修复工程，保障生态安全，不断满足人民群众对健康水生态、宜居水环境的需求，建设幸福河湖。</w:t>
      </w:r>
    </w:p>
    <w:p w14:paraId="66E42C47">
      <w:pPr>
        <w:pStyle w:val="4"/>
        <w:numPr>
          <w:ilvl w:val="0"/>
          <w:numId w:val="0"/>
        </w:numPr>
        <w:spacing w:before="0" w:after="0" w:line="360" w:lineRule="auto"/>
        <w:jc w:val="left"/>
        <w:rPr>
          <w:rFonts w:ascii="Times New Roman" w:hAnsi="Times New Roman" w:eastAsia="方正仿宋_GBK"/>
          <w:spacing w:val="6"/>
          <w:szCs w:val="32"/>
        </w:rPr>
      </w:pPr>
      <w:bookmarkStart w:id="108" w:name="_Toc75169317"/>
      <w:bookmarkStart w:id="109" w:name="_Toc17142"/>
      <w:bookmarkStart w:id="110" w:name="_Toc92995433"/>
      <w:r>
        <w:rPr>
          <w:rFonts w:ascii="Times New Roman" w:hAnsi="Times New Roman" w:eastAsia="方正仿宋_GBK"/>
          <w:spacing w:val="6"/>
          <w:szCs w:val="32"/>
        </w:rPr>
        <w:t>6.1 优化三峡后续工作</w:t>
      </w:r>
      <w:bookmarkEnd w:id="108"/>
      <w:bookmarkEnd w:id="109"/>
      <w:bookmarkEnd w:id="110"/>
    </w:p>
    <w:p w14:paraId="49F4A04C">
      <w:pPr>
        <w:spacing w:line="520" w:lineRule="exact"/>
        <w:ind w:firstLine="562" w:firstLineChars="200"/>
        <w:rPr>
          <w:rFonts w:ascii="Times New Roman" w:hAnsi="Times New Roman" w:eastAsia="楷体"/>
          <w:sz w:val="28"/>
          <w:szCs w:val="28"/>
        </w:rPr>
      </w:pPr>
      <w:bookmarkStart w:id="111" w:name="OLE_LINK18"/>
      <w:r>
        <w:rPr>
          <w:rFonts w:ascii="Times New Roman" w:hAnsi="Times New Roman" w:eastAsia="楷体"/>
          <w:b/>
          <w:bCs/>
          <w:sz w:val="28"/>
          <w:szCs w:val="28"/>
        </w:rPr>
        <w:t>实施后续后扶标志性重大项目。</w:t>
      </w:r>
      <w:r>
        <w:rPr>
          <w:rFonts w:ascii="Times New Roman" w:hAnsi="Times New Roman" w:eastAsia="楷体"/>
          <w:sz w:val="28"/>
          <w:szCs w:val="28"/>
        </w:rPr>
        <w:t>以长江经济带生态优先绿色发展先行示范区建设为引领，紧紧围绕渝东北三峡库区生态优先绿色发展示范区总体定位，牢牢守住筑牢长江上游生态屏障底线任务，综合考虑建成长江经济带上的绿色生态强县和区域性功能中心的总体目标。建设朱衣河生态调节闸，实施长江柑橘带奉节段建设项目、三峡库区沿江古镇（白帝镇）文化旅游带建设项目、三峡库区农村供水保障项目、沿江美丽乡村示范带建设项目、三峡国家文物遗址公园（白帝城）项目、三峡中药材产业带项目等7个三峡后续标志性重大项目。</w:t>
      </w:r>
    </w:p>
    <w:p w14:paraId="0FD55A51">
      <w:pPr>
        <w:spacing w:line="400" w:lineRule="exact"/>
        <w:ind w:firstLine="560" w:firstLineChars="200"/>
        <w:jc w:val="center"/>
        <w:rPr>
          <w:rFonts w:ascii="Times New Roman" w:hAnsi="Times New Roman" w:eastAsiaTheme="minorEastAsia"/>
          <w:sz w:val="28"/>
          <w:szCs w:val="28"/>
        </w:rPr>
      </w:pPr>
      <w:bookmarkStart w:id="112" w:name="OLE_LINK21"/>
      <w:r>
        <w:rPr>
          <w:rFonts w:ascii="Times New Roman" w:hAnsi="Times New Roman" w:eastAsiaTheme="minorEastAsia"/>
          <w:sz w:val="28"/>
          <w:szCs w:val="28"/>
        </w:rPr>
        <w:t>奉节县三峡后续标志性重大项目表</w:t>
      </w:r>
    </w:p>
    <w:p w14:paraId="6ABA4B3F">
      <w:pPr>
        <w:spacing w:line="520" w:lineRule="exact"/>
        <w:ind w:firstLine="420" w:firstLineChars="200"/>
        <w:rPr>
          <w:rFonts w:ascii="Times New Roman" w:hAnsi="Times New Roman"/>
          <w:szCs w:val="21"/>
        </w:rPr>
      </w:pPr>
      <w:r>
        <w:rPr>
          <w:rFonts w:ascii="Times New Roman" w:hAnsi="Times New Roman"/>
          <w:szCs w:val="21"/>
        </w:rPr>
        <w:t>表6.1-1</w:t>
      </w:r>
    </w:p>
    <w:bookmarkEnd w:id="112"/>
    <w:tbl>
      <w:tblPr>
        <w:tblStyle w:val="26"/>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3575"/>
        <w:gridCol w:w="978"/>
        <w:gridCol w:w="3573"/>
        <w:gridCol w:w="976"/>
      </w:tblGrid>
      <w:tr w14:paraId="7B7825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33873EED">
            <w:pPr>
              <w:pStyle w:val="86"/>
              <w:spacing w:line="0" w:lineRule="atLeast"/>
              <w:ind w:firstLine="0" w:firstLineChars="0"/>
              <w:jc w:val="center"/>
              <w:rPr>
                <w:rFonts w:ascii="Times New Roman" w:hAnsi="Times New Roman"/>
                <w:sz w:val="20"/>
                <w:szCs w:val="18"/>
              </w:rPr>
            </w:pPr>
            <w:bookmarkStart w:id="113" w:name="OLE_LINK23"/>
            <w:r>
              <w:rPr>
                <w:rFonts w:ascii="Times New Roman" w:hAnsi="Times New Roman"/>
                <w:sz w:val="20"/>
                <w:szCs w:val="18"/>
              </w:rPr>
              <w:t>项目</w:t>
            </w:r>
          </w:p>
        </w:tc>
        <w:tc>
          <w:tcPr>
            <w:tcW w:w="537" w:type="pct"/>
            <w:tcBorders>
              <w:tl2br w:val="nil"/>
              <w:tr2bl w:val="nil"/>
            </w:tcBorders>
            <w:vAlign w:val="center"/>
          </w:tcPr>
          <w:p w14:paraId="5F27C4D6">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涉及河流</w:t>
            </w:r>
          </w:p>
        </w:tc>
        <w:tc>
          <w:tcPr>
            <w:tcW w:w="1963" w:type="pct"/>
            <w:tcBorders>
              <w:tl2br w:val="nil"/>
              <w:tr2bl w:val="nil"/>
            </w:tcBorders>
            <w:vAlign w:val="center"/>
          </w:tcPr>
          <w:p w14:paraId="50468A51">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建设内容</w:t>
            </w:r>
          </w:p>
        </w:tc>
        <w:tc>
          <w:tcPr>
            <w:tcW w:w="536" w:type="pct"/>
            <w:tcBorders>
              <w:tl2br w:val="nil"/>
              <w:tr2bl w:val="nil"/>
            </w:tcBorders>
            <w:vAlign w:val="center"/>
          </w:tcPr>
          <w:p w14:paraId="5EF90815">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建设性质</w:t>
            </w:r>
          </w:p>
        </w:tc>
      </w:tr>
      <w:tr w14:paraId="7A5B96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362C2EEC">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朱衣河生态调节闸</w:t>
            </w:r>
          </w:p>
        </w:tc>
        <w:tc>
          <w:tcPr>
            <w:tcW w:w="537" w:type="pct"/>
            <w:tcBorders>
              <w:tl2br w:val="nil"/>
              <w:tr2bl w:val="nil"/>
            </w:tcBorders>
            <w:vAlign w:val="center"/>
          </w:tcPr>
          <w:p w14:paraId="5B15374A">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朱衣河</w:t>
            </w:r>
          </w:p>
        </w:tc>
        <w:tc>
          <w:tcPr>
            <w:tcW w:w="1963" w:type="pct"/>
            <w:tcBorders>
              <w:tl2br w:val="nil"/>
              <w:tr2bl w:val="nil"/>
            </w:tcBorders>
            <w:vAlign w:val="center"/>
          </w:tcPr>
          <w:p w14:paraId="26B522C6">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生态调节闸</w:t>
            </w:r>
          </w:p>
        </w:tc>
        <w:tc>
          <w:tcPr>
            <w:tcW w:w="536" w:type="pct"/>
            <w:tcBorders>
              <w:tl2br w:val="nil"/>
              <w:tr2bl w:val="nil"/>
            </w:tcBorders>
            <w:vAlign w:val="center"/>
          </w:tcPr>
          <w:p w14:paraId="563CB079">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7889FA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2E1ABC7A">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长江柑橘带奉节段建设项目</w:t>
            </w:r>
          </w:p>
        </w:tc>
        <w:tc>
          <w:tcPr>
            <w:tcW w:w="537" w:type="pct"/>
            <w:tcBorders>
              <w:tl2br w:val="nil"/>
              <w:tr2bl w:val="nil"/>
            </w:tcBorders>
            <w:vAlign w:val="center"/>
          </w:tcPr>
          <w:p w14:paraId="42137FC0">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27677D01">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产业休闲旅游观光园</w:t>
            </w:r>
          </w:p>
        </w:tc>
        <w:tc>
          <w:tcPr>
            <w:tcW w:w="536" w:type="pct"/>
            <w:tcBorders>
              <w:tl2br w:val="nil"/>
              <w:tr2bl w:val="nil"/>
            </w:tcBorders>
            <w:vAlign w:val="center"/>
          </w:tcPr>
          <w:p w14:paraId="27CB4D05">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327D06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384B0B44">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三峡库区沿江古镇（白帝镇）文化旅游带建设项目</w:t>
            </w:r>
          </w:p>
        </w:tc>
        <w:tc>
          <w:tcPr>
            <w:tcW w:w="537" w:type="pct"/>
            <w:tcBorders>
              <w:tl2br w:val="nil"/>
              <w:tr2bl w:val="nil"/>
            </w:tcBorders>
            <w:vAlign w:val="center"/>
          </w:tcPr>
          <w:p w14:paraId="3802ADD7">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2BE5D5AF">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场坪工程、生态草坪停车场、文化长廊、山坪塘水岸生态修复</w:t>
            </w:r>
          </w:p>
        </w:tc>
        <w:tc>
          <w:tcPr>
            <w:tcW w:w="536" w:type="pct"/>
            <w:tcBorders>
              <w:tl2br w:val="nil"/>
              <w:tr2bl w:val="nil"/>
            </w:tcBorders>
            <w:vAlign w:val="center"/>
          </w:tcPr>
          <w:p w14:paraId="294A2C9F">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02CF49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04CAE642">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三峡库区农村供水保障项目</w:t>
            </w:r>
          </w:p>
        </w:tc>
        <w:tc>
          <w:tcPr>
            <w:tcW w:w="537" w:type="pct"/>
            <w:tcBorders>
              <w:tl2br w:val="nil"/>
              <w:tr2bl w:val="nil"/>
            </w:tcBorders>
            <w:vAlign w:val="center"/>
          </w:tcPr>
          <w:p w14:paraId="2C8BF7FA">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27D932BF">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规范化农村供水工程</w:t>
            </w:r>
          </w:p>
        </w:tc>
        <w:tc>
          <w:tcPr>
            <w:tcW w:w="536" w:type="pct"/>
            <w:tcBorders>
              <w:tl2br w:val="nil"/>
              <w:tr2bl w:val="nil"/>
            </w:tcBorders>
            <w:vAlign w:val="center"/>
          </w:tcPr>
          <w:p w14:paraId="1DC0DDFF">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2AB986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14AB21C6">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沿江美丽乡村示范带建设项目</w:t>
            </w:r>
          </w:p>
        </w:tc>
        <w:tc>
          <w:tcPr>
            <w:tcW w:w="537" w:type="pct"/>
            <w:tcBorders>
              <w:tl2br w:val="nil"/>
              <w:tr2bl w:val="nil"/>
            </w:tcBorders>
            <w:vAlign w:val="center"/>
          </w:tcPr>
          <w:p w14:paraId="6522534A">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4DED36FB">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美丽家园</w:t>
            </w:r>
          </w:p>
        </w:tc>
        <w:tc>
          <w:tcPr>
            <w:tcW w:w="536" w:type="pct"/>
            <w:tcBorders>
              <w:tl2br w:val="nil"/>
              <w:tr2bl w:val="nil"/>
            </w:tcBorders>
            <w:vAlign w:val="center"/>
          </w:tcPr>
          <w:p w14:paraId="2DCA921B">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0054C3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62210478">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三峡国家文物遗址公园（白帝城）项目</w:t>
            </w:r>
          </w:p>
        </w:tc>
        <w:tc>
          <w:tcPr>
            <w:tcW w:w="537" w:type="pct"/>
            <w:tcBorders>
              <w:tl2br w:val="nil"/>
              <w:tr2bl w:val="nil"/>
            </w:tcBorders>
            <w:vAlign w:val="center"/>
          </w:tcPr>
          <w:p w14:paraId="2573BB00">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6584F355">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三峡国家文物遗址公园</w:t>
            </w:r>
          </w:p>
        </w:tc>
        <w:tc>
          <w:tcPr>
            <w:tcW w:w="536" w:type="pct"/>
            <w:tcBorders>
              <w:tl2br w:val="nil"/>
              <w:tr2bl w:val="nil"/>
            </w:tcBorders>
            <w:vAlign w:val="center"/>
          </w:tcPr>
          <w:p w14:paraId="771EAC5D">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tr w14:paraId="758B0A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20" w:hRule="atLeast"/>
        </w:trPr>
        <w:tc>
          <w:tcPr>
            <w:tcW w:w="1964" w:type="pct"/>
            <w:tcBorders>
              <w:tl2br w:val="nil"/>
              <w:tr2bl w:val="nil"/>
            </w:tcBorders>
            <w:vAlign w:val="center"/>
          </w:tcPr>
          <w:p w14:paraId="2F1A1CCB">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三峡中药材产业带项目</w:t>
            </w:r>
          </w:p>
        </w:tc>
        <w:tc>
          <w:tcPr>
            <w:tcW w:w="537" w:type="pct"/>
            <w:tcBorders>
              <w:tl2br w:val="nil"/>
              <w:tr2bl w:val="nil"/>
            </w:tcBorders>
            <w:vAlign w:val="center"/>
          </w:tcPr>
          <w:p w14:paraId="55D763AF">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长江</w:t>
            </w:r>
          </w:p>
        </w:tc>
        <w:tc>
          <w:tcPr>
            <w:tcW w:w="1963" w:type="pct"/>
            <w:tcBorders>
              <w:tl2br w:val="nil"/>
              <w:tr2bl w:val="nil"/>
            </w:tcBorders>
            <w:vAlign w:val="center"/>
          </w:tcPr>
          <w:p w14:paraId="4D9F890E">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中药材作物规范化产销一体化</w:t>
            </w:r>
          </w:p>
        </w:tc>
        <w:tc>
          <w:tcPr>
            <w:tcW w:w="536" w:type="pct"/>
            <w:tcBorders>
              <w:tl2br w:val="nil"/>
              <w:tr2bl w:val="nil"/>
            </w:tcBorders>
            <w:vAlign w:val="center"/>
          </w:tcPr>
          <w:p w14:paraId="03BC11E9">
            <w:pPr>
              <w:pStyle w:val="86"/>
              <w:spacing w:line="0" w:lineRule="atLeast"/>
              <w:ind w:firstLine="0" w:firstLineChars="0"/>
              <w:jc w:val="center"/>
              <w:rPr>
                <w:rFonts w:ascii="Times New Roman" w:hAnsi="Times New Roman"/>
                <w:sz w:val="20"/>
                <w:szCs w:val="18"/>
              </w:rPr>
            </w:pPr>
            <w:r>
              <w:rPr>
                <w:rFonts w:ascii="Times New Roman" w:hAnsi="Times New Roman"/>
                <w:sz w:val="20"/>
                <w:szCs w:val="18"/>
              </w:rPr>
              <w:t>新建</w:t>
            </w:r>
          </w:p>
        </w:tc>
      </w:tr>
      <w:bookmarkEnd w:id="113"/>
    </w:tbl>
    <w:p w14:paraId="357A515E">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持续推进三峡后续、大中型水库移民后期扶持。</w:t>
      </w:r>
      <w:r>
        <w:rPr>
          <w:rFonts w:ascii="Times New Roman" w:hAnsi="Times New Roman" w:eastAsia="楷体"/>
          <w:sz w:val="28"/>
          <w:szCs w:val="28"/>
        </w:rPr>
        <w:t>十四五期间紧紧围绕促进三峡移民安稳致富、三峡库区生态环境保护、地质安全防护等方面存在的突出问题，结合乡村振兴战略、服务长江经济带发展、生态文明战略，突出区域亮点和特色，合理确定优质项目。开展安坪镇集镇水厂安全巩固提升工程、奉节县朱衣河上段综合治理工程、奉节县康乐镇平皋至长沙片农村供水保障工程等6项三峡后续项目。奉节县“十四五”大中型水库移民后期扶持项目主要为美丽家园项目、产业配套项目，规划投资4.63亿元（含三峡库区基金）。</w:t>
      </w:r>
    </w:p>
    <w:p w14:paraId="5BA355D6">
      <w:pPr>
        <w:pStyle w:val="4"/>
        <w:numPr>
          <w:ilvl w:val="0"/>
          <w:numId w:val="0"/>
        </w:numPr>
        <w:spacing w:before="0" w:after="0" w:line="360" w:lineRule="auto"/>
        <w:jc w:val="left"/>
        <w:rPr>
          <w:rFonts w:ascii="Times New Roman" w:hAnsi="Times New Roman" w:eastAsia="方正仿宋_GBK"/>
          <w:spacing w:val="6"/>
          <w:szCs w:val="32"/>
        </w:rPr>
      </w:pPr>
      <w:bookmarkStart w:id="114" w:name="_Toc75169318"/>
      <w:bookmarkStart w:id="115" w:name="_Toc5441"/>
      <w:bookmarkStart w:id="116" w:name="_Toc92995434"/>
      <w:bookmarkStart w:id="117" w:name="_Toc75169319"/>
      <w:bookmarkStart w:id="118" w:name="_Toc54883965"/>
      <w:bookmarkStart w:id="119" w:name="_Toc17607"/>
      <w:bookmarkStart w:id="120" w:name="OLE_LINK16"/>
      <w:r>
        <w:rPr>
          <w:rFonts w:ascii="Times New Roman" w:hAnsi="Times New Roman" w:eastAsia="方正仿宋_GBK"/>
          <w:spacing w:val="6"/>
          <w:szCs w:val="32"/>
        </w:rPr>
        <w:t>6.2 大力推进水土保持生态建设</w:t>
      </w:r>
      <w:bookmarkEnd w:id="114"/>
      <w:bookmarkEnd w:id="115"/>
      <w:bookmarkEnd w:id="116"/>
    </w:p>
    <w:p w14:paraId="42F88AD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坚持预防为主、防治结合，强化重点水土流失区防治，将水土保持生态建设与乡村振兴相结合，因地制宜推进生态清洁小流域建设，为美丽乡村建设奠定基础。规划水土保持综合治理工程6项，治理水土流失面积115km²，包含建设坡改梯，经果林，保土耕作，封禁治理，蓄水池，作业道路，截排水沟，沉砂池，小流域碑等。</w:t>
      </w:r>
    </w:p>
    <w:bookmarkEnd w:id="117"/>
    <w:bookmarkEnd w:id="118"/>
    <w:bookmarkEnd w:id="119"/>
    <w:bookmarkEnd w:id="120"/>
    <w:p w14:paraId="757E60B1">
      <w:pPr>
        <w:pStyle w:val="4"/>
        <w:numPr>
          <w:ilvl w:val="0"/>
          <w:numId w:val="0"/>
        </w:numPr>
        <w:spacing w:before="0" w:after="0" w:line="360" w:lineRule="auto"/>
        <w:jc w:val="left"/>
        <w:rPr>
          <w:rFonts w:ascii="Times New Roman" w:hAnsi="Times New Roman" w:eastAsia="方正仿宋_GBK"/>
          <w:spacing w:val="6"/>
          <w:szCs w:val="32"/>
        </w:rPr>
      </w:pPr>
      <w:bookmarkStart w:id="121" w:name="_Toc28014"/>
      <w:bookmarkStart w:id="122" w:name="_Toc75169320"/>
      <w:bookmarkStart w:id="123" w:name="_Toc92995435"/>
      <w:bookmarkStart w:id="124" w:name="OLE_LINK17"/>
      <w:r>
        <w:rPr>
          <w:rFonts w:ascii="Times New Roman" w:hAnsi="Times New Roman" w:eastAsia="方正仿宋_GBK"/>
          <w:spacing w:val="6"/>
          <w:szCs w:val="32"/>
        </w:rPr>
        <w:t xml:space="preserve">6.3 </w:t>
      </w:r>
      <w:bookmarkEnd w:id="121"/>
      <w:bookmarkEnd w:id="122"/>
      <w:r>
        <w:rPr>
          <w:rFonts w:ascii="Times New Roman" w:hAnsi="Times New Roman" w:eastAsia="方正仿宋_GBK"/>
          <w:spacing w:val="6"/>
          <w:szCs w:val="32"/>
        </w:rPr>
        <w:t>实施水美乡村示范工程</w:t>
      </w:r>
      <w:bookmarkEnd w:id="123"/>
    </w:p>
    <w:bookmarkEnd w:id="124"/>
    <w:p w14:paraId="06C10BA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围绕乡村宜居宜业，立足乡村河流特点和保护治理需要，以恢复农村河道基本功能、修复河道空间形态、改善河湖水环境质量为目标，以山水林田湖草系统治理为主线，以河流为脉络，以村为节点、镇为单元，结合县政府关于深入实施乡村振兴战略、加快建设国家城乡融合发展试验区的要求，针对农村水系存在的突出问题，规划开展水美乡村综合治理工程前期工作，为不断增强农村群众的获得感、幸福感、安全感，促进乡村全面振兴，完成大溪河水美乡村建设，努力建设河畅、水清、岸绿、景美、人和的幸福河，为打造乡村振兴“奉节样本”打下基础。</w:t>
      </w:r>
    </w:p>
    <w:p w14:paraId="5A3C2931">
      <w:pPr>
        <w:pStyle w:val="4"/>
        <w:numPr>
          <w:ilvl w:val="0"/>
          <w:numId w:val="0"/>
        </w:numPr>
        <w:spacing w:before="0" w:after="0" w:line="360" w:lineRule="auto"/>
        <w:jc w:val="left"/>
        <w:rPr>
          <w:rFonts w:ascii="Times New Roman" w:hAnsi="Times New Roman" w:eastAsia="方正仿宋_GBK"/>
          <w:spacing w:val="6"/>
          <w:szCs w:val="32"/>
        </w:rPr>
      </w:pPr>
      <w:bookmarkStart w:id="125" w:name="_Toc75169321"/>
      <w:bookmarkStart w:id="126" w:name="_Toc92995436"/>
      <w:bookmarkStart w:id="127" w:name="_Toc3712"/>
      <w:r>
        <w:rPr>
          <w:rFonts w:ascii="Times New Roman" w:hAnsi="Times New Roman" w:eastAsia="方正仿宋_GBK"/>
          <w:spacing w:val="6"/>
          <w:szCs w:val="32"/>
        </w:rPr>
        <w:t>6.4 促进农村小水电绿色发展</w:t>
      </w:r>
      <w:bookmarkEnd w:id="125"/>
      <w:bookmarkEnd w:id="126"/>
      <w:bookmarkEnd w:id="127"/>
    </w:p>
    <w:p w14:paraId="22E5970F">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坚持生态优先、科学发展、因地制宜、分类推进的原则，妥善处理农村小水电开发与河流生态保护的关系，鼓励小水电退出激励机制，实施璧山渡水电站整改扩容工程，推进施工图等前期设计工作，进入工程建设阶段，加快完善各级水电工程生态流量泄放设施的建设和验收工作。</w:t>
      </w:r>
    </w:p>
    <w:p w14:paraId="3FC615F5">
      <w:pPr>
        <w:spacing w:line="520" w:lineRule="exact"/>
        <w:jc w:val="center"/>
        <w:rPr>
          <w:rFonts w:ascii="Times New Roman" w:hAnsi="Times New Roman"/>
          <w:b/>
          <w:kern w:val="0"/>
          <w:sz w:val="24"/>
          <w:szCs w:val="24"/>
        </w:rPr>
        <w:sectPr>
          <w:pgSz w:w="11906" w:h="16838"/>
          <w:pgMar w:top="1417" w:right="1417" w:bottom="1417" w:left="1417" w:header="851" w:footer="992" w:gutter="0"/>
          <w:cols w:space="720" w:num="1"/>
          <w:docGrid w:type="lines" w:linePitch="312" w:charSpace="0"/>
        </w:sectPr>
      </w:pPr>
    </w:p>
    <w:p w14:paraId="5166D895">
      <w:pPr>
        <w:spacing w:line="520" w:lineRule="exact"/>
        <w:jc w:val="center"/>
        <w:rPr>
          <w:rFonts w:ascii="Times New Roman" w:hAnsi="Times New Roman"/>
          <w:b/>
          <w:kern w:val="0"/>
          <w:sz w:val="24"/>
          <w:szCs w:val="24"/>
        </w:rPr>
      </w:pPr>
      <w:r>
        <w:rPr>
          <w:rFonts w:ascii="Times New Roman" w:hAnsi="Times New Roman"/>
          <w:b/>
          <w:kern w:val="0"/>
          <w:sz w:val="24"/>
          <w:szCs w:val="24"/>
        </w:rPr>
        <w:t>专栏12：水生态修复重点任务</w:t>
      </w:r>
    </w:p>
    <w:bookmarkEnd w:id="111"/>
    <w:tbl>
      <w:tblPr>
        <w:tblStyle w:val="26"/>
        <w:tblW w:w="92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43C32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9286" w:type="dxa"/>
            <w:vAlign w:val="center"/>
          </w:tcPr>
          <w:p w14:paraId="01FB0C25">
            <w:pPr>
              <w:spacing w:line="360" w:lineRule="auto"/>
              <w:ind w:firstLine="482"/>
              <w:rPr>
                <w:rFonts w:ascii="Times New Roman" w:hAnsi="Times New Roman"/>
                <w:bCs/>
                <w:szCs w:val="21"/>
              </w:rPr>
            </w:pPr>
            <w:r>
              <w:rPr>
                <w:rFonts w:ascii="Times New Roman" w:hAnsi="Times New Roman"/>
                <w:bCs/>
                <w:szCs w:val="21"/>
              </w:rPr>
              <w:t>——建设朱衣河生态调节闸，长江柑橘带奉节段、三峡库区沿江古镇（白帝镇）文化旅游带、三峡库区农村供水保障、沿江美丽乡村示范带、三峡国家文物遗址公园（白帝城）、三峡中药材产业带等7项三峡后续标志性重大项目。</w:t>
            </w:r>
          </w:p>
          <w:p w14:paraId="4718D7B4">
            <w:pPr>
              <w:spacing w:line="360" w:lineRule="auto"/>
              <w:ind w:firstLine="482"/>
              <w:rPr>
                <w:rFonts w:ascii="Times New Roman" w:hAnsi="Times New Roman"/>
                <w:bCs/>
                <w:szCs w:val="21"/>
              </w:rPr>
            </w:pPr>
            <w:r>
              <w:rPr>
                <w:rFonts w:ascii="Times New Roman" w:hAnsi="Times New Roman"/>
                <w:bCs/>
                <w:szCs w:val="21"/>
              </w:rPr>
              <w:t>——开展安坪镇集镇水厂安全巩固提升工程、奉节县朱衣河上段综合治理工程、奉节县康乐镇平皋至长沙片农村供水保障工程等6项三峡后续项目。</w:t>
            </w:r>
          </w:p>
          <w:p w14:paraId="763C0FFA">
            <w:pPr>
              <w:spacing w:line="360" w:lineRule="auto"/>
              <w:ind w:firstLine="482"/>
              <w:rPr>
                <w:rFonts w:ascii="Times New Roman" w:hAnsi="Times New Roman"/>
                <w:bCs/>
                <w:szCs w:val="21"/>
              </w:rPr>
            </w:pPr>
            <w:r>
              <w:rPr>
                <w:rFonts w:ascii="Times New Roman" w:hAnsi="Times New Roman"/>
                <w:bCs/>
                <w:szCs w:val="21"/>
              </w:rPr>
              <w:t>——美丽家园项目、产业配套等大中型水库移民后期扶持项目，规划投资4.63亿元（含三峡库区基金）.</w:t>
            </w:r>
          </w:p>
          <w:p w14:paraId="5B1BAA9C">
            <w:pPr>
              <w:spacing w:line="360" w:lineRule="auto"/>
              <w:ind w:firstLine="482"/>
              <w:rPr>
                <w:rFonts w:ascii="Times New Roman" w:hAnsi="Times New Roman"/>
                <w:bCs/>
                <w:szCs w:val="21"/>
              </w:rPr>
            </w:pPr>
            <w:r>
              <w:rPr>
                <w:rFonts w:ascii="Times New Roman" w:hAnsi="Times New Roman"/>
                <w:bCs/>
                <w:szCs w:val="21"/>
              </w:rPr>
              <w:t>——推进水土保持生态建设，实施水土保持综合治理工程</w:t>
            </w:r>
            <w:r>
              <w:rPr>
                <w:rFonts w:hint="eastAsia" w:ascii="Times New Roman" w:hAnsi="Times New Roman"/>
                <w:bCs/>
                <w:szCs w:val="21"/>
              </w:rPr>
              <w:t>5</w:t>
            </w:r>
            <w:r>
              <w:rPr>
                <w:rFonts w:ascii="Times New Roman" w:hAnsi="Times New Roman"/>
                <w:bCs/>
                <w:szCs w:val="21"/>
              </w:rPr>
              <w:t>项，治理水土流失面积115km²。</w:t>
            </w:r>
          </w:p>
          <w:p w14:paraId="288E8B5E">
            <w:pPr>
              <w:spacing w:line="360" w:lineRule="auto"/>
              <w:ind w:firstLine="482"/>
              <w:rPr>
                <w:rFonts w:ascii="Times New Roman" w:hAnsi="Times New Roman"/>
                <w:bCs/>
                <w:szCs w:val="21"/>
              </w:rPr>
            </w:pPr>
            <w:r>
              <w:rPr>
                <w:rFonts w:ascii="Times New Roman" w:hAnsi="Times New Roman"/>
                <w:bCs/>
                <w:szCs w:val="21"/>
              </w:rPr>
              <w:t>——完成大溪河水美乡村建设。</w:t>
            </w:r>
          </w:p>
          <w:p w14:paraId="2AE7C28B">
            <w:pPr>
              <w:spacing w:line="360" w:lineRule="auto"/>
              <w:ind w:firstLine="482"/>
              <w:rPr>
                <w:rFonts w:ascii="Times New Roman" w:hAnsi="Times New Roman"/>
                <w:bCs/>
                <w:szCs w:val="21"/>
              </w:rPr>
            </w:pPr>
            <w:r>
              <w:rPr>
                <w:rFonts w:ascii="Times New Roman" w:hAnsi="Times New Roman"/>
                <w:bCs/>
                <w:szCs w:val="21"/>
              </w:rPr>
              <w:t>——推进璧山渡水电站整改扩容工程实施工作。</w:t>
            </w:r>
          </w:p>
        </w:tc>
      </w:tr>
    </w:tbl>
    <w:p w14:paraId="1622E377">
      <w:pPr>
        <w:tabs>
          <w:tab w:val="center" w:pos="4320"/>
          <w:tab w:val="right" w:pos="8640"/>
        </w:tabs>
        <w:rPr>
          <w:rFonts w:ascii="Times New Roman" w:hAnsi="Times New Roman"/>
        </w:rPr>
      </w:pPr>
    </w:p>
    <w:p w14:paraId="649ED9D4">
      <w:pPr>
        <w:spacing w:line="360" w:lineRule="auto"/>
        <w:rPr>
          <w:rFonts w:ascii="Times New Roman" w:hAnsi="Times New Roman"/>
        </w:rPr>
      </w:pPr>
    </w:p>
    <w:p w14:paraId="54AEEC33">
      <w:pPr>
        <w:rPr>
          <w:rFonts w:ascii="Times New Roman" w:hAnsi="Times New Roman" w:eastAsia="楷体"/>
          <w:sz w:val="28"/>
          <w:szCs w:val="28"/>
        </w:rPr>
      </w:pPr>
      <w:r>
        <w:rPr>
          <w:rFonts w:ascii="Times New Roman" w:hAnsi="Times New Roman" w:eastAsia="楷体"/>
          <w:sz w:val="28"/>
          <w:szCs w:val="28"/>
        </w:rPr>
        <w:br w:type="page"/>
      </w:r>
    </w:p>
    <w:bookmarkEnd w:id="49"/>
    <w:bookmarkEnd w:id="50"/>
    <w:p w14:paraId="4BA8170D">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28" w:name="_Toc30854"/>
      <w:bookmarkStart w:id="129" w:name="_Toc22568"/>
      <w:bookmarkStart w:id="130" w:name="_Toc92995437"/>
      <w:r>
        <w:rPr>
          <w:rFonts w:ascii="Times New Roman" w:hAnsi="Times New Roman" w:eastAsia="方正仿宋_GBK" w:cs="Times New Roman"/>
          <w:b/>
          <w:spacing w:val="6"/>
          <w:szCs w:val="36"/>
        </w:rPr>
        <w:t xml:space="preserve">第七章 </w:t>
      </w:r>
      <w:bookmarkEnd w:id="128"/>
      <w:r>
        <w:rPr>
          <w:rFonts w:ascii="Times New Roman" w:hAnsi="Times New Roman" w:eastAsia="方正仿宋_GBK" w:cs="Times New Roman"/>
          <w:b/>
          <w:spacing w:val="6"/>
          <w:szCs w:val="36"/>
        </w:rPr>
        <w:t>严管理重能力，提升公众服务水平</w:t>
      </w:r>
      <w:bookmarkEnd w:id="129"/>
      <w:bookmarkEnd w:id="130"/>
    </w:p>
    <w:p w14:paraId="1CC886BA">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十四五期间，全县水利行业围绕江河湖库、水资源、水利工程、水土保持、水旱灾害防御等重点领域，按照“建机制、强能力”的思路，以“三严”（源头严防、过程严控、后果严惩）为核心，针对涉水事务管理薄弱环节，以信息化、智能化管理为手段，建立健全法制体制机制，强化重点领域全过程全要素管理，全面提升涉水事务管理水平，实现制度治水、制度管水。</w:t>
      </w:r>
    </w:p>
    <w:p w14:paraId="2CBD0715">
      <w:pPr>
        <w:pStyle w:val="4"/>
        <w:numPr>
          <w:ilvl w:val="0"/>
          <w:numId w:val="0"/>
        </w:numPr>
        <w:spacing w:before="0" w:after="0" w:line="360" w:lineRule="auto"/>
        <w:jc w:val="left"/>
        <w:rPr>
          <w:rFonts w:ascii="Times New Roman" w:hAnsi="Times New Roman" w:eastAsia="方正仿宋_GBK"/>
          <w:spacing w:val="6"/>
          <w:szCs w:val="32"/>
        </w:rPr>
      </w:pPr>
      <w:bookmarkStart w:id="131" w:name="_Toc14730"/>
      <w:bookmarkStart w:id="132" w:name="_Toc15051"/>
      <w:bookmarkStart w:id="133" w:name="_Toc92995438"/>
      <w:r>
        <w:rPr>
          <w:rFonts w:ascii="Times New Roman" w:hAnsi="Times New Roman" w:eastAsia="方正仿宋_GBK"/>
          <w:spacing w:val="6"/>
          <w:szCs w:val="32"/>
        </w:rPr>
        <w:t>7.1 强化河湖监管</w:t>
      </w:r>
      <w:bookmarkEnd w:id="131"/>
      <w:r>
        <w:rPr>
          <w:rFonts w:ascii="Times New Roman" w:hAnsi="Times New Roman" w:eastAsia="方正仿宋_GBK"/>
          <w:spacing w:val="6"/>
          <w:szCs w:val="32"/>
        </w:rPr>
        <w:t>，推进幸福河湖建设</w:t>
      </w:r>
      <w:bookmarkEnd w:id="132"/>
      <w:bookmarkEnd w:id="133"/>
    </w:p>
    <w:p w14:paraId="5921969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按照中央全面深化改革和加快推进生态文明建设的决策部署，以及奉节县全面建设“四区一地、美丽家园”的总体要求，水生态文明建设是推动奉节县实现健康水生态、宜居水环境的核心内容。河湖是水资源的载体，是行蓄洪水的通道，也是生态空间的重要组成部分，奉节县河流水系密度高、河湖数量和规模在全市各区县中位居前列。十四五期间，全县要把河湖管理和保护工作放在水生态文明建设的重要位置，从以下几个方面做好河湖监管工作。</w:t>
      </w:r>
    </w:p>
    <w:p w14:paraId="6B5CB501">
      <w:pPr>
        <w:pStyle w:val="52"/>
        <w:spacing w:line="520" w:lineRule="exact"/>
        <w:ind w:firstLine="0" w:firstLineChars="0"/>
        <w:rPr>
          <w:rFonts w:ascii="Times New Roman" w:hAnsi="Times New Roman" w:eastAsia="楷体"/>
          <w:sz w:val="28"/>
          <w:szCs w:val="28"/>
        </w:rPr>
      </w:pPr>
      <w:r>
        <w:rPr>
          <w:rFonts w:ascii="Times New Roman" w:hAnsi="Times New Roman" w:eastAsia="楷体"/>
          <w:sz w:val="28"/>
          <w:szCs w:val="28"/>
        </w:rPr>
        <w:drawing>
          <wp:anchor distT="0" distB="0" distL="114300" distR="114300" simplePos="0" relativeHeight="251666432" behindDoc="0" locked="0" layoutInCell="1" allowOverlap="1">
            <wp:simplePos x="0" y="0"/>
            <wp:positionH relativeFrom="margin">
              <wp:posOffset>199390</wp:posOffset>
            </wp:positionH>
            <wp:positionV relativeFrom="paragraph">
              <wp:posOffset>168910</wp:posOffset>
            </wp:positionV>
            <wp:extent cx="5634990" cy="1941830"/>
            <wp:effectExtent l="0" t="0" r="0" b="0"/>
            <wp:wrapNone/>
            <wp:docPr id="8" name="图示 1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Pr>
          <w:rFonts w:ascii="Times New Roman" w:hAnsi="Times New Roman" w:eastAsia="楷体"/>
          <w:sz w:val="28"/>
          <w:szCs w:val="28"/>
        </w:rPr>
        <w:br w:type="page"/>
      </w:r>
    </w:p>
    <w:p w14:paraId="0D5B6FCB">
      <w:pPr>
        <w:pStyle w:val="52"/>
        <w:spacing w:line="520" w:lineRule="exact"/>
        <w:ind w:firstLine="560"/>
        <w:rPr>
          <w:rFonts w:ascii="Times New Roman" w:hAnsi="Times New Roman" w:eastAsia="楷体"/>
          <w:strike/>
          <w:sz w:val="28"/>
          <w:szCs w:val="28"/>
        </w:rPr>
      </w:pPr>
      <w:r>
        <w:rPr>
          <w:rFonts w:ascii="Times New Roman" w:hAnsi="Times New Roman" w:eastAsia="楷体"/>
          <w:sz w:val="28"/>
          <w:szCs w:val="28"/>
        </w:rPr>
        <w:t>一要建立规划约束机制，强化河湖空间用途管制。要按照全市岸线规划编制要求，组织开展全县流域面积50km</w:t>
      </w:r>
      <w:r>
        <w:rPr>
          <w:rFonts w:ascii="Times New Roman" w:hAnsi="Times New Roman" w:eastAsia="楷体"/>
          <w:sz w:val="28"/>
          <w:szCs w:val="28"/>
          <w:vertAlign w:val="superscript"/>
        </w:rPr>
        <w:t>2</w:t>
      </w:r>
      <w:r>
        <w:rPr>
          <w:rFonts w:ascii="Times New Roman" w:hAnsi="Times New Roman" w:eastAsia="楷体"/>
          <w:sz w:val="28"/>
          <w:szCs w:val="28"/>
        </w:rPr>
        <w:t>及以上河流与其他重要河流的岸线保护与利用规划，全面划定河湖管理范围，明确岸线功能分区和用途管制，以河长制为抓手，严禁违法违规开发利用河道岸线资源，严格涉河建设项目和河道采砂监管，深入推进“清四乱”常态化、规范化。建立河湖岸线保护与利用负面清单，通过编制水利基础设施空间布局规划，加强与规资、交通等有关部门协作，进一步明确河湖水源岸线空间管控要求。</w:t>
      </w:r>
    </w:p>
    <w:p w14:paraId="54123423">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二要创新河湖管护机制，积极推进水域岸线占用补偿。按照有偿使用的原则，研究建立水域岸线占用补偿制度，实行等效替代，消除涉河项目和活动对水域岸线功能的不利影响，防止围垦、侵占水域岸线。同时，积极探索引入市场机制，发挥政府和市场两只手的作用，充分利用市场资源，推进河湖管护专业化、市场化，通过合同、委托等方式向社会购买公共服务。在全县建立河湖管护考核机制，对水利主管部门和乡镇管理人员进行分级考核，形成河湖管护监督检查和考核机制，对河湖管理混乱、问题突出以及执法严重不到位的要追究相关单位和人员责任。</w:t>
      </w:r>
    </w:p>
    <w:p w14:paraId="21076CC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要强化水政执法和采砂管理。一方面，要进一步通过落实《重庆市水利局重大水行政执法决定法制审核实施办法》等5个配套制度以及《重庆市水利系统行政执法文书格式文本及制作指引》等7项行业指引应用，提高执法文件制作、法制审核、执法信息公示、执法全过程记录、档案管理等方面的科学化管理水平，提高执法效率和效能。另一方面，县水利局有关科室要抓紧完善河道采砂日常巡查制度，加大对重点河段、重要时段、敏感水域的日常监管和巡查密度，对非法采砂行为做到早发现、早制止、早处理。另外，还要积极探索县级政府部门间的联合长效管理机制，深化水利部门、交通部门的合作，加强沟通协作，形成有效监管合力。同时，要始终保持对侵占河道，破坏水利工程设施，造成水土流失，违规取水，非法采砂等违规水事行为的高压态势。为维护全县良好水生态环境保驾护航。</w:t>
      </w:r>
    </w:p>
    <w:p w14:paraId="28A9481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四是要加强队伍建设，提升河湖管理保护能力和水平。一方面，要加强水行政执法能力建设，通过开展培训不断提升执法人员业务水平的执法技能，加大高学历专业人才引进力度，进一步购置执法装备，提升执法效能和服务水平。另一方面，要提高全县河湖管理保护信息化水平，强化河道管理基础工作，建立河湖划界成果数据信息库。充分利用智慧水利平台，通过视频监控手段，加强对社会违法行为、非法采砂实施动态监控。同时，还要加强镇街基层水利管理人员的教育培训，促使管理人员要牢固树立担当意识、责任意识，确保管理人员要敢抓敢管，敢于问责追究。</w:t>
      </w:r>
      <w:bookmarkStart w:id="134" w:name="_Toc17539"/>
      <w:bookmarkStart w:id="135" w:name="_Toc16765"/>
    </w:p>
    <w:p w14:paraId="0E71C8EC">
      <w:pPr>
        <w:pStyle w:val="52"/>
        <w:spacing w:line="520" w:lineRule="exact"/>
        <w:ind w:firstLine="560"/>
        <w:rPr>
          <w:rFonts w:ascii="Times New Roman" w:hAnsi="Times New Roman" w:eastAsia="方正仿宋_GBK"/>
          <w:spacing w:val="6"/>
          <w:szCs w:val="32"/>
        </w:rPr>
      </w:pPr>
      <w:r>
        <w:rPr>
          <w:rFonts w:ascii="Times New Roman" w:hAnsi="Times New Roman" w:eastAsia="楷体"/>
          <w:sz w:val="28"/>
          <w:szCs w:val="28"/>
        </w:rPr>
        <w:t>五是要强化5G、大数据、人工智能与水利工作深度融合，推动新技术在防汛抗旱、河道管理、在建水利工程现场监管、已成水利工程运行监管等领域的运用，实现从“人海战术”到“数据跑路”，让管理更精细、服务更精准、调度更主动。</w:t>
      </w:r>
    </w:p>
    <w:p w14:paraId="5E39D2DA">
      <w:pPr>
        <w:pStyle w:val="4"/>
        <w:numPr>
          <w:ilvl w:val="0"/>
          <w:numId w:val="0"/>
        </w:numPr>
        <w:spacing w:before="0" w:after="0" w:line="360" w:lineRule="auto"/>
        <w:jc w:val="left"/>
        <w:rPr>
          <w:rFonts w:ascii="Times New Roman" w:hAnsi="Times New Roman" w:eastAsia="方正仿宋_GBK"/>
          <w:spacing w:val="6"/>
          <w:szCs w:val="32"/>
        </w:rPr>
      </w:pPr>
      <w:bookmarkStart w:id="136" w:name="_Toc92995439"/>
      <w:r>
        <w:rPr>
          <w:rFonts w:ascii="Times New Roman" w:hAnsi="Times New Roman" w:eastAsia="方正仿宋_GBK"/>
          <w:spacing w:val="6"/>
          <w:szCs w:val="32"/>
        </w:rPr>
        <w:t>7.2 深化河长制工作</w:t>
      </w:r>
      <w:bookmarkEnd w:id="134"/>
      <w:r>
        <w:rPr>
          <w:rFonts w:ascii="Times New Roman" w:hAnsi="Times New Roman" w:eastAsia="方正仿宋_GBK"/>
          <w:spacing w:val="6"/>
          <w:szCs w:val="32"/>
        </w:rPr>
        <w:t>，共抓大保护</w:t>
      </w:r>
      <w:bookmarkEnd w:id="135"/>
      <w:bookmarkEnd w:id="136"/>
    </w:p>
    <w:p w14:paraId="66C8959B">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要在全县</w:t>
      </w:r>
      <w:r>
        <w:rPr>
          <w:rFonts w:hint="eastAsia" w:ascii="Times New Roman" w:hAnsi="Times New Roman" w:eastAsia="楷体"/>
          <w:sz w:val="28"/>
          <w:szCs w:val="28"/>
          <w:lang w:eastAsia="zh-CN"/>
        </w:rPr>
        <w:t>“</w:t>
      </w:r>
      <w:r>
        <w:rPr>
          <w:rFonts w:ascii="Times New Roman" w:hAnsi="Times New Roman" w:eastAsia="楷体"/>
          <w:sz w:val="28"/>
          <w:szCs w:val="28"/>
        </w:rPr>
        <w:t>十三五</w:t>
      </w:r>
      <w:r>
        <w:rPr>
          <w:rFonts w:hint="eastAsia" w:ascii="Times New Roman" w:hAnsi="Times New Roman" w:eastAsia="楷体"/>
          <w:sz w:val="28"/>
          <w:szCs w:val="28"/>
          <w:lang w:eastAsia="zh-CN"/>
        </w:rPr>
        <w:t>”</w:t>
      </w:r>
      <w:r>
        <w:rPr>
          <w:rFonts w:ascii="Times New Roman" w:hAnsi="Times New Roman" w:eastAsia="楷体"/>
          <w:sz w:val="28"/>
          <w:szCs w:val="28"/>
        </w:rPr>
        <w:t>时期“河长制”工作成果的基础上，进一步强化工作的力度、维度和广度，形成共抓大保护的局面。一方面是广泛宣传贯彻《重庆市河长制条例》，修订完善配套制度，坚决落实河长制党政领导负责制，健全完善河长负责、部门联动、社会参与的河长制工作机制。另一方面要压实河长责任，加强督查考核，推动各级河长巡河常态化，履职规范化，督促河长巡河查河治河。编制完成“一河一策”（2021-2025年）方案，有力有序推动实施，并以县域支流监督管理能力提升工程建设为抓手，建立奉节县“智慧河长”体系，进一步完善“一河一档”，推动河长制工作与信息化的深入融合。同时，还要推动水质监测工作与河长制工作的联系机制，按照河长办及奉节县跨界断面和饮用水源水库监测方案要求，做好河流和水库水质监测工作。逐步实施流域横向生态补偿机制，推动全县主要河流生态廊道建设，实现上下游、左右岸污染联治、岸线统一管理。</w:t>
      </w:r>
    </w:p>
    <w:p w14:paraId="70D0EF29">
      <w:pPr>
        <w:spacing w:line="520" w:lineRule="exact"/>
        <w:jc w:val="center"/>
        <w:rPr>
          <w:rFonts w:ascii="Times New Roman" w:hAnsi="Times New Roman" w:eastAsia="楷体"/>
          <w:sz w:val="28"/>
          <w:szCs w:val="28"/>
        </w:rPr>
      </w:pPr>
      <w:r>
        <w:rPr>
          <w:rFonts w:ascii="Times New Roman" w:hAnsi="Times New Roman"/>
          <w:b/>
          <w:kern w:val="0"/>
          <w:sz w:val="24"/>
          <w:szCs w:val="24"/>
        </w:rPr>
        <w:t>专栏13：河湖管理工作要点</w:t>
      </w:r>
    </w:p>
    <w:tbl>
      <w:tblPr>
        <w:tblStyle w:val="26"/>
        <w:tblW w:w="90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2"/>
      </w:tblGrid>
      <w:tr w14:paraId="2C38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13E077BA">
            <w:pPr>
              <w:pStyle w:val="52"/>
              <w:spacing w:line="520" w:lineRule="exact"/>
              <w:ind w:firstLine="480"/>
              <w:rPr>
                <w:rFonts w:ascii="Times New Roman" w:hAnsi="Times New Roman"/>
                <w:sz w:val="24"/>
                <w:szCs w:val="24"/>
              </w:rPr>
            </w:pPr>
            <w:r>
              <w:rPr>
                <w:rFonts w:ascii="Times New Roman" w:hAnsi="Times New Roman"/>
                <w:sz w:val="24"/>
                <w:szCs w:val="24"/>
              </w:rPr>
              <w:t>按照水利部党组巡视整改“三对标、一规划”专项行动等要求，扎实做好河长制及湖库管理有关工作，努力打造健康河湖、美丽河湖、幸福河湖。</w:t>
            </w:r>
          </w:p>
          <w:p w14:paraId="0207123F">
            <w:pPr>
              <w:pStyle w:val="52"/>
              <w:spacing w:line="520" w:lineRule="exact"/>
              <w:ind w:firstLine="480"/>
              <w:rPr>
                <w:rFonts w:ascii="Times New Roman" w:hAnsi="Times New Roman"/>
                <w:sz w:val="24"/>
                <w:szCs w:val="24"/>
              </w:rPr>
            </w:pPr>
            <w:r>
              <w:rPr>
                <w:rFonts w:ascii="Times New Roman" w:hAnsi="Times New Roman"/>
                <w:sz w:val="24"/>
                <w:szCs w:val="24"/>
              </w:rPr>
              <w:t>首先，</w:t>
            </w:r>
            <w:r>
              <w:rPr>
                <w:rFonts w:ascii="Times New Roman" w:hAnsi="Times New Roman"/>
                <w:b/>
                <w:bCs/>
                <w:sz w:val="24"/>
                <w:szCs w:val="24"/>
              </w:rPr>
              <w:t>抓好“一个关键”——强化河长制</w:t>
            </w:r>
            <w:r>
              <w:rPr>
                <w:rFonts w:ascii="Times New Roman" w:hAnsi="Times New Roman"/>
                <w:sz w:val="24"/>
                <w:szCs w:val="24"/>
              </w:rPr>
              <w:t>，主要工作包括：制定河长履职规范、加强河长制监督检查、加强河长制考核、推动形成镇街和部门联动格局；</w:t>
            </w:r>
          </w:p>
          <w:p w14:paraId="733520C3">
            <w:pPr>
              <w:pStyle w:val="52"/>
              <w:spacing w:line="520" w:lineRule="exact"/>
              <w:ind w:firstLine="480"/>
              <w:rPr>
                <w:rFonts w:ascii="Times New Roman" w:hAnsi="Times New Roman"/>
                <w:sz w:val="24"/>
                <w:szCs w:val="24"/>
              </w:rPr>
            </w:pPr>
            <w:r>
              <w:rPr>
                <w:rFonts w:ascii="Times New Roman" w:hAnsi="Times New Roman"/>
                <w:sz w:val="24"/>
                <w:szCs w:val="24"/>
              </w:rPr>
              <w:t>其次，</w:t>
            </w:r>
            <w:r>
              <w:rPr>
                <w:rFonts w:ascii="Times New Roman" w:hAnsi="Times New Roman"/>
                <w:b/>
                <w:bCs/>
                <w:sz w:val="24"/>
                <w:szCs w:val="24"/>
              </w:rPr>
              <w:t>强化“两个重点”——深化河湖“清四乱”常态化规范化和采砂管理规范化</w:t>
            </w:r>
            <w:r>
              <w:rPr>
                <w:rFonts w:ascii="Times New Roman" w:hAnsi="Times New Roman"/>
                <w:sz w:val="24"/>
                <w:szCs w:val="24"/>
              </w:rPr>
              <w:t>。主要工作包括：完善河湖“清四乱”层级负责制、推进河湖“清四乱”常态化、推进河湖“清四乱”规范化、强化河湖“四乱问题监督检查”、压紧压实河道采砂管理责任、加强采砂监督管理和疏堵结合。</w:t>
            </w:r>
          </w:p>
          <w:p w14:paraId="4B946102">
            <w:pPr>
              <w:pStyle w:val="52"/>
              <w:spacing w:line="520" w:lineRule="exact"/>
              <w:ind w:firstLine="480"/>
              <w:rPr>
                <w:rFonts w:ascii="Times New Roman" w:hAnsi="Times New Roman" w:eastAsia="楷体"/>
                <w:sz w:val="28"/>
                <w:szCs w:val="28"/>
              </w:rPr>
            </w:pPr>
            <w:r>
              <w:rPr>
                <w:rFonts w:ascii="Times New Roman" w:hAnsi="Times New Roman"/>
                <w:sz w:val="24"/>
                <w:szCs w:val="24"/>
              </w:rPr>
              <w:t>再次，</w:t>
            </w:r>
            <w:r>
              <w:rPr>
                <w:rFonts w:ascii="Times New Roman" w:hAnsi="Times New Roman"/>
                <w:b/>
                <w:bCs/>
                <w:sz w:val="24"/>
                <w:szCs w:val="24"/>
              </w:rPr>
              <w:t>夯实四个基础</w:t>
            </w:r>
            <w:r>
              <w:rPr>
                <w:rFonts w:ascii="Times New Roman" w:hAnsi="Times New Roman"/>
                <w:sz w:val="24"/>
                <w:szCs w:val="24"/>
              </w:rPr>
              <w:t>。主要工作包括：巩固河湖管理范围划定成果、完善规划体系、开展河湖健康评估、推进智慧河湖建设。</w:t>
            </w:r>
          </w:p>
        </w:tc>
      </w:tr>
    </w:tbl>
    <w:p w14:paraId="6DAAAD9F">
      <w:pPr>
        <w:spacing w:line="520" w:lineRule="exact"/>
        <w:jc w:val="center"/>
        <w:rPr>
          <w:rFonts w:ascii="Times New Roman" w:hAnsi="Times New Roman"/>
          <w:b/>
          <w:kern w:val="0"/>
          <w:sz w:val="24"/>
          <w:szCs w:val="24"/>
        </w:rPr>
      </w:pPr>
      <w:bookmarkStart w:id="137" w:name="_Toc30202"/>
      <w:r>
        <w:rPr>
          <w:rFonts w:ascii="Times New Roman" w:hAnsi="Times New Roman"/>
          <w:b/>
          <w:kern w:val="0"/>
          <w:sz w:val="24"/>
          <w:szCs w:val="24"/>
        </w:rPr>
        <w:t>专栏14：奉节县支流监督管理指挥能力提升工程</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2"/>
      </w:tblGrid>
      <w:tr w14:paraId="3361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tcPr>
          <w:p w14:paraId="5675E545">
            <w:pPr>
              <w:pStyle w:val="52"/>
              <w:spacing w:line="520" w:lineRule="exact"/>
              <w:ind w:firstLine="480"/>
              <w:rPr>
                <w:rFonts w:ascii="Times New Roman" w:hAnsi="Times New Roman"/>
                <w:sz w:val="24"/>
                <w:szCs w:val="24"/>
              </w:rPr>
            </w:pPr>
            <w:r>
              <w:rPr>
                <w:rFonts w:ascii="Times New Roman" w:hAnsi="Times New Roman"/>
                <w:sz w:val="24"/>
                <w:szCs w:val="24"/>
              </w:rPr>
              <w:t>建设目标：结合奉节县水利发展现状，充分运用云计算、物联网、大数据、人工智能、移动互联多媒体信息等新一代信息技术，从基础设施、感知、信息资源、业务应用智能化提升等方面着手，建设奉节县智慧水利工程。以智能化手段为依托，提升三峡库区河湖监管手段，为奉节县水利工作人员提供从感知采集、分析研判到决策支持全方位的智能化、智慧化辅助支撑，全面提升奉节县水利信息化水平，为奉节县智慧水利建设奠定坚实的基础，为三峡库区移民安稳致富和库区经济社会发展提供保障与支撑。</w:t>
            </w:r>
          </w:p>
          <w:p w14:paraId="639A0129">
            <w:pPr>
              <w:pStyle w:val="52"/>
              <w:spacing w:line="520" w:lineRule="exact"/>
              <w:ind w:firstLine="480"/>
              <w:rPr>
                <w:rFonts w:ascii="Times New Roman" w:hAnsi="Times New Roman" w:eastAsia="楷体"/>
                <w:sz w:val="28"/>
                <w:szCs w:val="28"/>
              </w:rPr>
            </w:pPr>
            <w:r>
              <w:rPr>
                <w:rFonts w:ascii="Times New Roman" w:hAnsi="Times New Roman"/>
                <w:sz w:val="24"/>
                <w:szCs w:val="24"/>
              </w:rPr>
              <w:t>总体架构：主要有智慧感知、基础设施、数据资源、支撑平台、应用系统、用户等6个层次以及标准规范和安全保障两大体系构造成。</w:t>
            </w:r>
          </w:p>
        </w:tc>
      </w:tr>
    </w:tbl>
    <w:p w14:paraId="64FBB9DF">
      <w:pPr>
        <w:pStyle w:val="4"/>
        <w:numPr>
          <w:ilvl w:val="0"/>
          <w:numId w:val="0"/>
        </w:numPr>
        <w:spacing w:before="0" w:after="0" w:line="360" w:lineRule="auto"/>
        <w:jc w:val="left"/>
        <w:rPr>
          <w:rFonts w:ascii="Times New Roman" w:hAnsi="Times New Roman" w:eastAsia="方正仿宋_GBK"/>
          <w:spacing w:val="6"/>
          <w:szCs w:val="32"/>
        </w:rPr>
      </w:pPr>
      <w:bookmarkStart w:id="138" w:name="_Toc6472"/>
      <w:bookmarkStart w:id="139" w:name="_Toc92995440"/>
      <w:r>
        <w:rPr>
          <w:rFonts w:ascii="Times New Roman" w:hAnsi="Times New Roman" w:eastAsia="方正仿宋_GBK"/>
          <w:spacing w:val="6"/>
          <w:szCs w:val="32"/>
        </w:rPr>
        <w:t xml:space="preserve">7.3 </w:t>
      </w:r>
      <w:bookmarkEnd w:id="137"/>
      <w:r>
        <w:rPr>
          <w:rFonts w:ascii="Times New Roman" w:hAnsi="Times New Roman" w:eastAsia="方正仿宋_GBK"/>
          <w:spacing w:val="6"/>
          <w:szCs w:val="32"/>
        </w:rPr>
        <w:t>严格水资源管理，优化水资源利用</w:t>
      </w:r>
      <w:bookmarkEnd w:id="138"/>
      <w:bookmarkEnd w:id="139"/>
    </w:p>
    <w:p w14:paraId="3A5159D4">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全面加强水资源节约、开发、利用、保护、配置、调度等各环节监管，重点是做好合理分水、管得住水、加强节水监管。针对全县水资源约束趋紧，水环境污染严重，水生态系统退化等问题，把认真贯彻落实党的十八大以来提出的一系列生态文明理念作为核心，对下一步强化水资源监管提出一系列新举措。</w:t>
      </w:r>
    </w:p>
    <w:p w14:paraId="4A6C4CCF">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一是从源头减少水资源开发利用强度，促进人水和谐。节约优先是生态文明理念的核心之一，全县水资源利用要遵循人口经济与资源环境相均衡的生态文明核心理念，坚持以水定产、以水定城，合理控制水资源开发利用程度，努力维护河湖健康。为落实这一要求，要严格全县1.56亿m</w:t>
      </w:r>
      <w:r>
        <w:rPr>
          <w:rFonts w:ascii="Times New Roman" w:hAnsi="Times New Roman" w:eastAsia="楷体"/>
          <w:sz w:val="28"/>
          <w:szCs w:val="28"/>
          <w:vertAlign w:val="superscript"/>
        </w:rPr>
        <w:t>3</w:t>
      </w:r>
      <w:r>
        <w:rPr>
          <w:rFonts w:ascii="Times New Roman" w:hAnsi="Times New Roman" w:eastAsia="楷体"/>
          <w:sz w:val="28"/>
          <w:szCs w:val="28"/>
        </w:rPr>
        <w:t>用水总量控制，加快制定各级河流（流域）水量分配方案，细化流域和区域取水总量控制指标，严格控制流域和区域取用水总量。强化规划水资源论证制度的实施力度，在国民经济和社会发展规划以及城市总体规划、工业园区、重大项目布局安排中，开展与当地水资源条件和防洪要求相适应的专题论证，做到从源头上降低水资源开发利用强度。加强取水许可管理，并对建成运行的建设项目开展取水许可后评估。</w:t>
      </w:r>
    </w:p>
    <w:p w14:paraId="6D2A5E8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二是全面加强节水型社会建设，切实推动全县用水方式转变。当前许多水生态环境问题仍然存在，用水方式粗放的局面仍未整体扭转，用水效率仍然不高。为此，“十四五”期间，全县水资源管理工作仍然要把节水放在突出位置，通过推行系统的区域性节水制度、节水行动、节水机制，从城乡居民生活、农业生产和工业企业等重点领域发力，力争到2025年，全县完全工业增加值用水量较现状年降低10%，灌溉水利用系数从现在0.537提高到0.55，实现全县从粗放用水向节约集约用水的根本转变。对全县农村供水环节仍然存在计量不足的问题，要加大资金投入、宣传提高节水意识，推动入户计量设施比例的不断提高。</w:t>
      </w:r>
    </w:p>
    <w:p w14:paraId="67F0A192">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三是要加大水资源保护，努力改善水环境质量。水污染是当前全县面临的突出水问题之一，是涉及老百姓饮水安全、居所环境优劣的现实问题。“十四五”期间，要加强水资源保护，把切实改善崔家河、朱衣河、新民河等重要水体的水环境质量，作为水生态文明建设的重要工作。工作重点体现在三个方面，首先，要严格水功能区监督管理，从严核定水域纳污能力（容量），严格控制入河排污总量，对排污量超出水功能区限排总量的地区实施限批，加快建立以水域纳污能力倒逼陆域污染减排的综合治污和保护模式。其次，要加强水源地保护，全面开展重要饮用水水源地安全保障达标和规范化建设，依法清理水源保护区内违法建筑、排污口和各类养殖户。还要加强入河排污口整治，对问题突出、威胁饮水安全的排污口实施综合整治。</w:t>
      </w:r>
    </w:p>
    <w:p w14:paraId="0CA1E8F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四要确保现有水利工程的生态流量运行监管，抓好全县现有水库和已建电站的生态流量泄放措施建设，抓好重要河流断面生态流量确定与管控，建立生态流量水量监控预警和调度机制。</w:t>
      </w:r>
    </w:p>
    <w:p w14:paraId="62AA4C57">
      <w:pPr>
        <w:pStyle w:val="4"/>
        <w:numPr>
          <w:ilvl w:val="0"/>
          <w:numId w:val="0"/>
        </w:numPr>
        <w:spacing w:before="0" w:after="0" w:line="360" w:lineRule="auto"/>
        <w:jc w:val="left"/>
        <w:rPr>
          <w:rFonts w:ascii="Times New Roman" w:hAnsi="Times New Roman" w:eastAsia="方正仿宋_GBK"/>
          <w:spacing w:val="6"/>
          <w:szCs w:val="32"/>
        </w:rPr>
      </w:pPr>
      <w:bookmarkStart w:id="140" w:name="_Toc29982"/>
      <w:bookmarkStart w:id="141" w:name="_Toc10035"/>
      <w:bookmarkStart w:id="142" w:name="_Toc92995441"/>
      <w:r>
        <w:rPr>
          <w:rFonts w:ascii="Times New Roman" w:hAnsi="Times New Roman" w:eastAsia="方正仿宋_GBK"/>
          <w:spacing w:val="6"/>
          <w:szCs w:val="32"/>
        </w:rPr>
        <w:t>7.4 强化水利工程运行</w:t>
      </w:r>
      <w:bookmarkEnd w:id="140"/>
      <w:r>
        <w:rPr>
          <w:rFonts w:ascii="Times New Roman" w:hAnsi="Times New Roman" w:eastAsia="方正仿宋_GBK"/>
          <w:spacing w:val="6"/>
          <w:szCs w:val="32"/>
        </w:rPr>
        <w:t>管理</w:t>
      </w:r>
      <w:bookmarkEnd w:id="141"/>
      <w:bookmarkEnd w:id="142"/>
    </w:p>
    <w:p w14:paraId="616AC329">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以守住水利工程特别是水库工程安全为底线，坚持建管并重，推行水利工程全生命周期管理，压实各方主体责任，加强安全规范运行管理，建立良性运行管理体制机制，落实安全管理制度，确保工程安全运行，实现水利工程综合效益最大化。</w:t>
      </w:r>
    </w:p>
    <w:p w14:paraId="01B5BDC4">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一是要抓好水利安全生产工作，从安全管理和质量监督方面着手。</w:t>
      </w:r>
    </w:p>
    <w:p w14:paraId="75570251">
      <w:pPr>
        <w:pStyle w:val="52"/>
        <w:shd w:val="clear" w:color="auto" w:fill="FFFFFF"/>
        <w:spacing w:line="520" w:lineRule="exact"/>
        <w:ind w:firstLine="560"/>
        <w:rPr>
          <w:rFonts w:ascii="Times New Roman" w:hAnsi="Times New Roman" w:eastAsia="楷体"/>
          <w:b/>
          <w:sz w:val="28"/>
          <w:szCs w:val="28"/>
          <w:u w:val="single"/>
        </w:rPr>
      </w:pPr>
      <w:r>
        <w:rPr>
          <w:rFonts w:ascii="Times New Roman" w:hAnsi="Times New Roman" w:eastAsia="楷体"/>
          <w:sz w:val="28"/>
          <w:szCs w:val="28"/>
        </w:rPr>
        <w:t>安全管理方面：</w:t>
      </w:r>
      <w:r>
        <w:rPr>
          <w:rFonts w:ascii="Times New Roman" w:hAnsi="Times New Roman" w:eastAsia="楷体"/>
          <w:sz w:val="28"/>
          <w:szCs w:val="28"/>
        </w:rPr>
        <w:fldChar w:fldCharType="begin"/>
      </w:r>
      <w:r>
        <w:rPr>
          <w:rFonts w:ascii="Times New Roman" w:hAnsi="Times New Roman" w:eastAsia="楷体"/>
          <w:sz w:val="28"/>
          <w:szCs w:val="28"/>
        </w:rPr>
        <w:instrText xml:space="preserve"> = 1 \* GB3 </w:instrText>
      </w:r>
      <w:r>
        <w:rPr>
          <w:rFonts w:ascii="Times New Roman" w:hAnsi="Times New Roman" w:eastAsia="楷体"/>
          <w:sz w:val="28"/>
          <w:szCs w:val="28"/>
        </w:rPr>
        <w:fldChar w:fldCharType="separate"/>
      </w:r>
      <w:r>
        <w:rPr>
          <w:rFonts w:ascii="Times New Roman" w:hAnsi="Times New Roman" w:eastAsia="楷体"/>
          <w:sz w:val="28"/>
          <w:szCs w:val="28"/>
        </w:rPr>
        <w:t>①</w:t>
      </w:r>
      <w:r>
        <w:rPr>
          <w:rFonts w:ascii="Times New Roman" w:hAnsi="Times New Roman" w:eastAsia="楷体"/>
          <w:sz w:val="28"/>
          <w:szCs w:val="28"/>
        </w:rPr>
        <w:fldChar w:fldCharType="end"/>
      </w:r>
      <w:r>
        <w:rPr>
          <w:rFonts w:ascii="Times New Roman" w:hAnsi="Times New Roman" w:eastAsia="楷体"/>
          <w:sz w:val="28"/>
          <w:szCs w:val="28"/>
        </w:rPr>
        <w:t>继续深入开展以“建安”集中执法行动、安全生产大排查大整治大执法等为主线，以突出触电、起重伤害、车辆伤害方面的突出违法行为；职工（包括农民工）安全教育培训和特种作业、重要岗位操作人员持证上岗以及劳动保护用品配备使用等；年末岁尾易发的盲目赶工期、抢进度的问题；危险化学品使用、贮存安全制度建立和落实情况等方面的违法行为为重点的检查督查，加大执法处罚力度，倒逼水利生产经营单位主体责任的落实。</w:t>
      </w:r>
      <w:r>
        <w:rPr>
          <w:rFonts w:ascii="Times New Roman" w:hAnsi="Times New Roman" w:eastAsia="楷体"/>
          <w:sz w:val="28"/>
          <w:szCs w:val="28"/>
        </w:rPr>
        <w:fldChar w:fldCharType="begin"/>
      </w:r>
      <w:r>
        <w:rPr>
          <w:rFonts w:ascii="Times New Roman" w:hAnsi="Times New Roman" w:eastAsia="楷体"/>
          <w:sz w:val="28"/>
          <w:szCs w:val="28"/>
        </w:rPr>
        <w:instrText xml:space="preserve"> = 2 \* GB3 </w:instrText>
      </w:r>
      <w:r>
        <w:rPr>
          <w:rFonts w:ascii="Times New Roman" w:hAnsi="Times New Roman" w:eastAsia="楷体"/>
          <w:sz w:val="28"/>
          <w:szCs w:val="28"/>
        </w:rPr>
        <w:fldChar w:fldCharType="separate"/>
      </w:r>
      <w:r>
        <w:rPr>
          <w:rFonts w:ascii="Times New Roman" w:hAnsi="Times New Roman" w:eastAsia="楷体"/>
          <w:sz w:val="28"/>
          <w:szCs w:val="28"/>
        </w:rPr>
        <w:t>②</w:t>
      </w:r>
      <w:r>
        <w:rPr>
          <w:rFonts w:ascii="Times New Roman" w:hAnsi="Times New Roman" w:eastAsia="楷体"/>
          <w:sz w:val="28"/>
          <w:szCs w:val="28"/>
        </w:rPr>
        <w:fldChar w:fldCharType="end"/>
      </w:r>
      <w:r>
        <w:rPr>
          <w:rFonts w:ascii="Times New Roman" w:hAnsi="Times New Roman" w:eastAsia="楷体"/>
          <w:sz w:val="28"/>
          <w:szCs w:val="28"/>
        </w:rPr>
        <w:t>进一步加大安全生产宣传教育培训力度，为水利安全生产提供基础保障。</w:t>
      </w:r>
      <w:r>
        <w:rPr>
          <w:rFonts w:ascii="Times New Roman" w:hAnsi="Times New Roman" w:eastAsia="楷体"/>
          <w:sz w:val="28"/>
          <w:szCs w:val="28"/>
        </w:rPr>
        <w:fldChar w:fldCharType="begin"/>
      </w:r>
      <w:r>
        <w:rPr>
          <w:rFonts w:ascii="Times New Roman" w:hAnsi="Times New Roman" w:eastAsia="楷体"/>
          <w:sz w:val="28"/>
          <w:szCs w:val="28"/>
        </w:rPr>
        <w:instrText xml:space="preserve"> = 3 \* GB3 </w:instrText>
      </w:r>
      <w:r>
        <w:rPr>
          <w:rFonts w:ascii="Times New Roman" w:hAnsi="Times New Roman" w:eastAsia="楷体"/>
          <w:sz w:val="28"/>
          <w:szCs w:val="28"/>
        </w:rPr>
        <w:fldChar w:fldCharType="separate"/>
      </w:r>
      <w:r>
        <w:rPr>
          <w:rFonts w:ascii="Times New Roman" w:hAnsi="Times New Roman" w:eastAsia="楷体"/>
          <w:sz w:val="28"/>
          <w:szCs w:val="28"/>
        </w:rPr>
        <w:t>③</w:t>
      </w:r>
      <w:r>
        <w:rPr>
          <w:rFonts w:ascii="Times New Roman" w:hAnsi="Times New Roman" w:eastAsia="楷体"/>
          <w:sz w:val="28"/>
          <w:szCs w:val="28"/>
        </w:rPr>
        <w:fldChar w:fldCharType="end"/>
      </w:r>
      <w:r>
        <w:rPr>
          <w:rFonts w:ascii="Times New Roman" w:hAnsi="Times New Roman" w:eastAsia="楷体"/>
          <w:sz w:val="28"/>
          <w:szCs w:val="28"/>
        </w:rPr>
        <w:t>要开展安全生产应急救援桌面演练，全面提升水利领域生产安全事故应急处置能力。</w:t>
      </w:r>
    </w:p>
    <w:p w14:paraId="36581EF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质量监督方面 ：</w:t>
      </w:r>
      <w:r>
        <w:rPr>
          <w:rFonts w:ascii="Times New Roman" w:hAnsi="Times New Roman" w:eastAsia="楷体"/>
          <w:sz w:val="28"/>
          <w:szCs w:val="28"/>
        </w:rPr>
        <w:fldChar w:fldCharType="begin"/>
      </w:r>
      <w:r>
        <w:rPr>
          <w:rFonts w:ascii="Times New Roman" w:hAnsi="Times New Roman" w:eastAsia="楷体"/>
          <w:sz w:val="28"/>
          <w:szCs w:val="28"/>
        </w:rPr>
        <w:instrText xml:space="preserve"> = 1 \* GB3 </w:instrText>
      </w:r>
      <w:r>
        <w:rPr>
          <w:rFonts w:ascii="Times New Roman" w:hAnsi="Times New Roman" w:eastAsia="楷体"/>
          <w:sz w:val="28"/>
          <w:szCs w:val="28"/>
        </w:rPr>
        <w:fldChar w:fldCharType="separate"/>
      </w:r>
      <w:r>
        <w:rPr>
          <w:rFonts w:ascii="Times New Roman" w:hAnsi="Times New Roman" w:eastAsia="楷体"/>
          <w:sz w:val="28"/>
          <w:szCs w:val="28"/>
        </w:rPr>
        <w:t>①</w:t>
      </w:r>
      <w:r>
        <w:rPr>
          <w:rFonts w:ascii="Times New Roman" w:hAnsi="Times New Roman" w:eastAsia="楷体"/>
          <w:sz w:val="28"/>
          <w:szCs w:val="28"/>
        </w:rPr>
        <w:fldChar w:fldCharType="end"/>
      </w:r>
      <w:r>
        <w:rPr>
          <w:rFonts w:ascii="Times New Roman" w:hAnsi="Times New Roman" w:eastAsia="楷体"/>
          <w:sz w:val="28"/>
          <w:szCs w:val="28"/>
        </w:rPr>
        <w:t>进一步加大宣传力度，提高认识，牢固树立质量第一的意识。</w:t>
      </w:r>
      <w:r>
        <w:rPr>
          <w:rFonts w:ascii="Times New Roman" w:hAnsi="Times New Roman" w:eastAsia="楷体"/>
          <w:sz w:val="28"/>
          <w:szCs w:val="28"/>
        </w:rPr>
        <w:fldChar w:fldCharType="begin"/>
      </w:r>
      <w:r>
        <w:rPr>
          <w:rFonts w:ascii="Times New Roman" w:hAnsi="Times New Roman" w:eastAsia="楷体"/>
          <w:sz w:val="28"/>
          <w:szCs w:val="28"/>
        </w:rPr>
        <w:instrText xml:space="preserve"> = 2 \* GB3 </w:instrText>
      </w:r>
      <w:r>
        <w:rPr>
          <w:rFonts w:ascii="Times New Roman" w:hAnsi="Times New Roman" w:eastAsia="楷体"/>
          <w:sz w:val="28"/>
          <w:szCs w:val="28"/>
        </w:rPr>
        <w:fldChar w:fldCharType="separate"/>
      </w:r>
      <w:r>
        <w:rPr>
          <w:rFonts w:ascii="Times New Roman" w:hAnsi="Times New Roman" w:eastAsia="楷体"/>
          <w:sz w:val="28"/>
          <w:szCs w:val="28"/>
        </w:rPr>
        <w:t>②</w:t>
      </w:r>
      <w:r>
        <w:rPr>
          <w:rFonts w:ascii="Times New Roman" w:hAnsi="Times New Roman" w:eastAsia="楷体"/>
          <w:sz w:val="28"/>
          <w:szCs w:val="28"/>
        </w:rPr>
        <w:fldChar w:fldCharType="end"/>
      </w:r>
      <w:r>
        <w:rPr>
          <w:rFonts w:ascii="Times New Roman" w:hAnsi="Times New Roman" w:eastAsia="楷体"/>
          <w:sz w:val="28"/>
          <w:szCs w:val="28"/>
        </w:rPr>
        <w:t>要进一步完善质监规章制度，建立健全并形成一整套系统的工作流程，强化质量监督管理，建立完善质量监督管理网络，建立健全质量监督制约机制。</w:t>
      </w:r>
      <w:r>
        <w:rPr>
          <w:rFonts w:ascii="Times New Roman" w:hAnsi="Times New Roman" w:eastAsia="楷体"/>
          <w:sz w:val="28"/>
          <w:szCs w:val="28"/>
        </w:rPr>
        <w:fldChar w:fldCharType="begin"/>
      </w:r>
      <w:r>
        <w:rPr>
          <w:rFonts w:ascii="Times New Roman" w:hAnsi="Times New Roman" w:eastAsia="楷体"/>
          <w:sz w:val="28"/>
          <w:szCs w:val="28"/>
        </w:rPr>
        <w:instrText xml:space="preserve"> = 3 \* GB3 </w:instrText>
      </w:r>
      <w:r>
        <w:rPr>
          <w:rFonts w:ascii="Times New Roman" w:hAnsi="Times New Roman" w:eastAsia="楷体"/>
          <w:sz w:val="28"/>
          <w:szCs w:val="28"/>
        </w:rPr>
        <w:fldChar w:fldCharType="separate"/>
      </w:r>
      <w:r>
        <w:rPr>
          <w:rFonts w:ascii="Times New Roman" w:hAnsi="Times New Roman" w:eastAsia="楷体"/>
          <w:sz w:val="28"/>
          <w:szCs w:val="28"/>
        </w:rPr>
        <w:t>③</w:t>
      </w:r>
      <w:r>
        <w:rPr>
          <w:rFonts w:ascii="Times New Roman" w:hAnsi="Times New Roman" w:eastAsia="楷体"/>
          <w:sz w:val="28"/>
          <w:szCs w:val="28"/>
        </w:rPr>
        <w:fldChar w:fldCharType="end"/>
      </w:r>
      <w:r>
        <w:rPr>
          <w:rFonts w:ascii="Times New Roman" w:hAnsi="Times New Roman" w:eastAsia="楷体"/>
          <w:sz w:val="28"/>
          <w:szCs w:val="28"/>
        </w:rPr>
        <w:t>要进一步加大质量检查的频率和力度，加强对受监工程的质量监督抽检，加强第三方检测的管理，确保质量监督的权威性。</w:t>
      </w:r>
      <w:r>
        <w:rPr>
          <w:rFonts w:ascii="Times New Roman" w:hAnsi="Times New Roman" w:eastAsia="楷体"/>
          <w:sz w:val="28"/>
          <w:szCs w:val="28"/>
        </w:rPr>
        <w:fldChar w:fldCharType="begin"/>
      </w:r>
      <w:r>
        <w:rPr>
          <w:rFonts w:ascii="Times New Roman" w:hAnsi="Times New Roman" w:eastAsia="楷体"/>
          <w:sz w:val="28"/>
          <w:szCs w:val="28"/>
        </w:rPr>
        <w:instrText xml:space="preserve"> = 4 \* GB3 </w:instrText>
      </w:r>
      <w:r>
        <w:rPr>
          <w:rFonts w:ascii="Times New Roman" w:hAnsi="Times New Roman" w:eastAsia="楷体"/>
          <w:sz w:val="28"/>
          <w:szCs w:val="28"/>
        </w:rPr>
        <w:fldChar w:fldCharType="separate"/>
      </w:r>
      <w:r>
        <w:rPr>
          <w:rFonts w:ascii="Times New Roman" w:hAnsi="Times New Roman" w:eastAsia="楷体"/>
          <w:sz w:val="28"/>
          <w:szCs w:val="28"/>
        </w:rPr>
        <w:t>④</w:t>
      </w:r>
      <w:r>
        <w:rPr>
          <w:rFonts w:ascii="Times New Roman" w:hAnsi="Times New Roman" w:eastAsia="楷体"/>
          <w:sz w:val="28"/>
          <w:szCs w:val="28"/>
        </w:rPr>
        <w:fldChar w:fldCharType="end"/>
      </w:r>
      <w:r>
        <w:rPr>
          <w:rFonts w:ascii="Times New Roman" w:hAnsi="Times New Roman" w:eastAsia="楷体"/>
          <w:sz w:val="28"/>
          <w:szCs w:val="28"/>
        </w:rPr>
        <w:t>积极汇报争取，确保质监人员尽快到位，加强新进质监人员的技术培训，提高人员综合素质，保证质量监督的技术水平。</w:t>
      </w:r>
    </w:p>
    <w:p w14:paraId="0BB891DA">
      <w:pPr>
        <w:spacing w:line="580" w:lineRule="exact"/>
        <w:ind w:firstLine="560" w:firstLineChars="200"/>
        <w:rPr>
          <w:rFonts w:ascii="Times New Roman" w:hAnsi="Times New Roman" w:eastAsia="楷体"/>
          <w:sz w:val="28"/>
          <w:szCs w:val="28"/>
        </w:rPr>
      </w:pPr>
      <w:r>
        <w:rPr>
          <w:rFonts w:ascii="Times New Roman" w:hAnsi="Times New Roman" w:eastAsia="楷体"/>
          <w:sz w:val="28"/>
          <w:szCs w:val="28"/>
        </w:rPr>
        <w:t>二是要做好水利工程建设管理。一要在全县水利行业加快规范建设管理制度，积极引入BIM等智能化、大数据管理手段，推行水利工程建设全生命周期管理、全要素智慧管理。二要严格工程建设质量考核，强化工程施工管理，建设周期内全过程跟踪审计。三要加强水利工程征地移民安置工作，加强水利工程造价管理和服务，强化水利工程建设稽查。加强对水利建设资金管理，严格执行水利财政资金管理、绩效评价制度。</w:t>
      </w:r>
    </w:p>
    <w:p w14:paraId="359EF145">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是要打造生态友好型工程，推进水利基础设施绿色化。水利基础设施建设是保障水安全的重要手段。在发挥水利基础设施保障能力的同时，努力提高水利工程生态友好性，是奉节县十四五水利建设要落实的生态文明建设的重要任务之一。重点是要强化对工程规划、设计、建设、管理过程的全过程管理，最大程度地避免工程实施的不利环境影响。规划设计方面，要按照“确有需要、生态安全、可以持续”的原则，主动对接全市区域性水资源配置工程（川渝东北一体化水资源配置工程）的建设，主动融入和争取在有关重大水利工程布局中发挥更大作用，落实各项环境保护措施。尤其针对社会关注的重点水利工程，要坚持“三先三后</w:t>
      </w:r>
      <w:r>
        <w:rPr>
          <w:rStyle w:val="35"/>
          <w:rFonts w:ascii="Times New Roman" w:hAnsi="Times New Roman" w:eastAsia="楷体"/>
          <w:sz w:val="28"/>
          <w:szCs w:val="28"/>
        </w:rPr>
        <w:footnoteReference w:id="4"/>
      </w:r>
      <w:r>
        <w:rPr>
          <w:rFonts w:ascii="Times New Roman" w:hAnsi="Times New Roman" w:eastAsia="楷体"/>
          <w:sz w:val="28"/>
          <w:szCs w:val="28"/>
        </w:rPr>
        <w:t>”原则，深入做好前期论证工作。工程建设方面，要充分考虑水生态环境保护和修复的需要，采取生态友好型工程方案、材料和施工工艺。在工程运行方面，要争取专项资金，推进全县水库大坝安全监测智能化。</w:t>
      </w:r>
    </w:p>
    <w:p w14:paraId="4B61BC72">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是对已建成的中小型水利工程，做好日常管理和运行安全风险管理。对于全县部分水库存在坝体安全的问题，要安排专项经费、及早开展专业化治理，排除工程安全隐患，开展除险加固和治理工程验收工作。同时，对各级水库工程，要定期委托专业机构开展大坝安全管理应急预案、防汛抢险应急预案的编制，保证安全管理、应急管理有关文件的组织、人员、经费、物资体系具备时效性、可操作性，保障群众生命和财产安全。</w:t>
      </w:r>
    </w:p>
    <w:p w14:paraId="73356A4F">
      <w:pPr>
        <w:pStyle w:val="4"/>
        <w:numPr>
          <w:ilvl w:val="0"/>
          <w:numId w:val="0"/>
        </w:numPr>
        <w:spacing w:before="0" w:after="0" w:line="360" w:lineRule="auto"/>
        <w:jc w:val="left"/>
        <w:rPr>
          <w:rFonts w:ascii="Times New Roman" w:hAnsi="Times New Roman" w:eastAsia="方正仿宋_GBK"/>
          <w:spacing w:val="6"/>
          <w:szCs w:val="32"/>
        </w:rPr>
      </w:pPr>
      <w:bookmarkStart w:id="143" w:name="_Toc23820"/>
      <w:bookmarkStart w:id="144" w:name="_Toc29376"/>
      <w:bookmarkStart w:id="145" w:name="_Toc92995442"/>
      <w:r>
        <w:rPr>
          <w:rFonts w:ascii="Times New Roman" w:hAnsi="Times New Roman" w:eastAsia="方正仿宋_GBK"/>
          <w:spacing w:val="6"/>
          <w:szCs w:val="32"/>
        </w:rPr>
        <w:t>7.5 强化水土保持</w:t>
      </w:r>
      <w:bookmarkEnd w:id="143"/>
      <w:r>
        <w:rPr>
          <w:rFonts w:ascii="Times New Roman" w:hAnsi="Times New Roman" w:eastAsia="方正仿宋_GBK"/>
          <w:spacing w:val="6"/>
          <w:szCs w:val="32"/>
        </w:rPr>
        <w:t>管理</w:t>
      </w:r>
      <w:bookmarkEnd w:id="144"/>
      <w:bookmarkEnd w:id="145"/>
    </w:p>
    <w:p w14:paraId="1ACB0F7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按照县委县政府关于“坚决打赢三大攻坚战”的目标，以及在“切实筑牢长江上游重要生态屏障”中发挥更大作用的要求，十四五期间，奉节县要继续把水土保持作为生态文明建设的重要抓手，坚持预防为主，全面加强水土保持监测，强化水土保持管理，严格督查检查问责，严肃查处生产建设水土保持违法违规行为，着力提升管理能力和水平。落实生态文明建设要求，水土保持必须充分发挥生态自然修复作用，把新发展理念融入水土保持各项工作之中，夯实水土保持管理力度，主要工作涉及3个方面：</w:t>
      </w:r>
    </w:p>
    <w:p w14:paraId="16DC413B">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一是要坚持预防为主。加强对森林植被和水土流失治理成果的管护和培育，重点突出水土流失重点预防区、重要生态功能区、水源地、三峡库区生态屏障区以及重要河流两岸的水土流失预防保护，加强水土流失监测。</w:t>
      </w:r>
    </w:p>
    <w:p w14:paraId="25EE6DAF">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二是要全面提升监测与信息化水平。推动全县水土保持相关的有关部门切实履行法定职责，发挥监测在政府决策、经济社会发展和社会公共服务中的作用。着力推进生产建设项目“天地一体化”管理和水土保持重点治理工程“图斑精细化”管理，采用遥感和信息化手段开展动态监测，加强水土流失动态监测和人为水土流失管理，尽量减少“未批先建”的行为发生。力争尽快建成全面支撑信息化管理的县级水土保持综合管理与服务平台，切实提高水土保持管理效能与水平。</w:t>
      </w:r>
    </w:p>
    <w:p w14:paraId="32BD24D7">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是推进水土保持信息化管理全覆盖。进一步深化“放管服”改革，精简优化生产建设项目水土保持方案审批；进一步加强生产建设项目水土保持监督检查，督促建设单位依法依规完成水土保持工作，尽量遏制人为水土流失产生；应收尽收生产建设项目水土保持补偿费；全面完成生产建设项目水土保持设施“验收清零”行动；全面完成生产建设项目水土保持信息建设工作。</w:t>
      </w:r>
    </w:p>
    <w:p w14:paraId="25204861">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四是全力构建与生态文明建设要求相适应的制度机制。以贯彻水土保持法为重点，严格落实水土保持目标责任考核办法，压实政府各级部门水土保持主体责任。加强对生产建设项目和生产建设活动的水土保持管理，严格落实水土保持方案审批制度和水土保持“三同时”制度，规范约束各类生产建设行为，最大限度控制人为水土流失，遏制水土流失增量。建立各级管理主体（从县政府到水利局、乡镇）依法履职、（逐级）督查制度，强化对水土保持“三同时”落实工作督查，强化各级管理人员责任意识。落实中央关于生态文明建设目标评价考核有关要求，依据水土保持法和全市水土保持规划要求，加快出台县级水土保持目标责任考核制度，推动全县各级水保责任考核落地。全面深化水土保持改革，充分发挥市场在水土流失防治中的重要作用，积极培育水土保持社会服务市场主体，建立市场守信激励与失信惩戒机制，全面加强管理，提高服务质量。切实把水土保持作为生态文明宣传教育的重点内容，纳入国民教育体系，提高全社会保护水土资源的自觉性。</w:t>
      </w:r>
    </w:p>
    <w:p w14:paraId="5095DA81">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五是加大水土保持法律法规宣传教育力度。创新宣传方式，通过组织开展形式多样的宣传教育活动，提升公众对水土流失防治和保护意识，使广大市民树立“绿水青山就是金山银山”的生态文明建设理念，人人参与水土保持，保护水土资源，爱护水环境。</w:t>
      </w:r>
    </w:p>
    <w:p w14:paraId="6CFCC97D">
      <w:pPr>
        <w:pStyle w:val="4"/>
        <w:numPr>
          <w:ilvl w:val="0"/>
          <w:numId w:val="0"/>
        </w:numPr>
        <w:spacing w:before="0" w:after="0" w:line="360" w:lineRule="auto"/>
        <w:jc w:val="left"/>
        <w:rPr>
          <w:rFonts w:ascii="Times New Roman" w:hAnsi="Times New Roman" w:eastAsia="方正仿宋_GBK"/>
          <w:spacing w:val="6"/>
          <w:szCs w:val="32"/>
        </w:rPr>
      </w:pPr>
      <w:bookmarkStart w:id="146" w:name="_Toc21859"/>
      <w:bookmarkStart w:id="147" w:name="_Toc20641"/>
      <w:bookmarkStart w:id="148" w:name="_Toc92995443"/>
      <w:r>
        <w:rPr>
          <w:rFonts w:ascii="Times New Roman" w:hAnsi="Times New Roman" w:eastAsia="方正仿宋_GBK"/>
          <w:spacing w:val="6"/>
          <w:szCs w:val="32"/>
        </w:rPr>
        <w:t>7.6 突出水旱灾害防御</w:t>
      </w:r>
      <w:bookmarkEnd w:id="146"/>
      <w:r>
        <w:rPr>
          <w:rFonts w:ascii="Times New Roman" w:hAnsi="Times New Roman" w:eastAsia="方正仿宋_GBK"/>
          <w:spacing w:val="6"/>
          <w:szCs w:val="32"/>
        </w:rPr>
        <w:t>管理</w:t>
      </w:r>
      <w:bookmarkEnd w:id="147"/>
      <w:bookmarkEnd w:id="148"/>
    </w:p>
    <w:p w14:paraId="253880D7">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牢固树立底线思维，强化风险意识，妥善应对水资源、水生态环境、水利工程等领域及水库移民稳定风险，最大程度预防和减少突发水安全事件造成的损害。</w:t>
      </w:r>
    </w:p>
    <w:p w14:paraId="78E989FC">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一是要进一步健全防汛抗旱制度体系。在做好洪涝和干旱灾害应急处置的同时，全面加强防汛抗旱能力建设，配合县应急管理局健全防汛抗旱机构队伍和责任体系，完善新时期县级防汛抗旱指挥体系和组织效能，设立乡镇、社区一级的防汛抗旱指挥机构，完善县行政首长负责制为核心的责任体系，夯实防汛抗旱督查体系，加大对县级应急、水利主管部门、镇街、社区（村）的防汛抗旱组织机构在汛前准备工作、汛期应急处置、灾后恢复重建以及各项防汛抗旱专项工作实施等关键环节和重点工作的督查力度，督促各级责任人全面履职尽责。</w:t>
      </w:r>
    </w:p>
    <w:p w14:paraId="261C001C">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加强水文基础设施建设，提升水文现代化水平，完善水文监测预警体系。做好已成水文站点和水文信息中心站的运行维护工作，确保水文数据传输通畅。做好山洪灾害防治项目“十个一”建设和运行维护工作，提高山洪灾害防御能力。严格农村饮水安全工程水质监测工作标准，做好农村饮水工程水质监测方案拟定，确保水质监测覆盖率满足要求。</w:t>
      </w:r>
    </w:p>
    <w:p w14:paraId="25CDF097">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二是充分发挥有关预案在防灾减灾工作中的效能。编制中小河流防御洪水方案、超标洪水防御方案。建立洪旱、水资源、水生态预警指标和评价体系。完善全县水库、重要江河预警断面洪水预报和调度方案，加快建立防洪减灾物资储备新机制，加强水利防灾物资储备。定期规范、系统开展全县、各乡镇、水利工程防汛抗旱方案预案编制工作，重点河流、河段编制防御洪水方案，组织全县中型水库和重点小型水库开展联合调度方案编制，最大限度发挥现有水利工程的防洪效能，促进全县利用现有水利工程形成蓄泄兼筹的防洪体系。提高预案、方案等的可操作性、实用性和针对性，加强预案的培训演练。</w:t>
      </w:r>
    </w:p>
    <w:p w14:paraId="3E4EC8E4">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三是要进一步增强基层灾害防御能力。不断完善县级以下基层防汛抗旱组织体系，强化镇街专职机构经济建设、队伍建设、设施建设和保障措施，将组织机构向乡镇、社区（村）进行有效延伸。继续开展山洪灾害防治相关工作，增强基层山洪灾害综合防御能力。开展基层防汛预报预警体系建设，切实提高乡镇组织机构防灾减灾指挥决策现代化水平（“上传下达”能力），不断提高广大人民群众避险自救能力。加强城市、乡镇和连片（城乡一体化、规模化供水）区域应急备用水源的配置和管理，推进全县旱情监测预警系统和抗旱管理服务体系等非工程措施的建设，有效提高抗旱应急保障能力。</w:t>
      </w:r>
    </w:p>
    <w:p w14:paraId="4D470E8F">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四是进一步规范防汛抗旱社会管理。推动制定与县级防洪特点相适应的《洪水风险图管理与应用办法》，逐步及建立健全洪水风险图分级、分类使用管理制度，加大洪水风险图成果应用推广宣传力度，开展洪水风险图应用试点。优化县城区洪涝灾害应急管理体制，完善运作机制，规范城市防洪应急预案管理，提高城市洪涝灾害预测预警和处置能力。从严涉河项目审批和清退管理，制止各类随意侵占河道的建设行为，加强防汛抗旱新闻宣传，健全完善重要信息发布和负面不实信息回应和应急宣传机制，加强社区防灾减灾科普知识宣传，引导群众科学合理防灾避险。</w:t>
      </w:r>
    </w:p>
    <w:p w14:paraId="61DE669E">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五是进一步强化防灾应急保障能力。加强全县防汛抗旱应急队伍建设，深入人员队伍运行体制机制研究，保障队伍良性运行、人员相对稳定和可持续发展。按照《全国抗旱规划》和市级有关要求，筹备发展县级抗旱服务队，因地制宜发展乡镇级抗旱服务队，鼓励发展村级抗旱协会和农民抗旱专业户，逐步构建完善的社会化抗旱服务网络体系和良性运行机制，鼓励和扶持抗旱服务组织开展多种多样的社会化服务。增加防汛抗旱物资储备投入，优化全县主管部门、专业机构、工程管理机构的储备物资布局和品种，提高储备物资料科技含量。</w:t>
      </w:r>
    </w:p>
    <w:p w14:paraId="3000422A">
      <w:pPr>
        <w:pStyle w:val="4"/>
        <w:numPr>
          <w:ilvl w:val="0"/>
          <w:numId w:val="0"/>
        </w:numPr>
        <w:spacing w:before="0" w:after="0" w:line="360" w:lineRule="auto"/>
        <w:jc w:val="left"/>
        <w:rPr>
          <w:rFonts w:ascii="Times New Roman" w:hAnsi="Times New Roman" w:eastAsia="方正仿宋_GBK"/>
          <w:spacing w:val="6"/>
          <w:szCs w:val="32"/>
        </w:rPr>
      </w:pPr>
      <w:bookmarkStart w:id="149" w:name="_Toc92995444"/>
      <w:r>
        <w:rPr>
          <w:rFonts w:ascii="Times New Roman" w:hAnsi="Times New Roman" w:eastAsia="方正仿宋_GBK"/>
          <w:spacing w:val="6"/>
          <w:szCs w:val="32"/>
        </w:rPr>
        <w:t>7.7 扎实推进农村饮水管护</w:t>
      </w:r>
      <w:bookmarkEnd w:id="149"/>
    </w:p>
    <w:p w14:paraId="691BF210">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rPr>
        <w:t>“十三五”期间，奉节全县顺利完成了脱贫攻坚任务，广大农村人民群众生活水平和饮水条件得到了极大的改善，下一步要以农村饮水管护为抓手，杜绝返贫现象的出现，同时也是把脱贫攻坚成果向乡村振兴转化的必要手段。</w:t>
      </w:r>
    </w:p>
    <w:p w14:paraId="532FC8D5">
      <w:pPr>
        <w:pStyle w:val="52"/>
        <w:widowControl/>
        <w:spacing w:line="520" w:lineRule="exact"/>
        <w:ind w:firstLine="560"/>
        <w:rPr>
          <w:rFonts w:ascii="Times New Roman" w:hAnsi="Times New Roman" w:eastAsia="楷体"/>
          <w:sz w:val="28"/>
          <w:szCs w:val="28"/>
        </w:rPr>
      </w:pPr>
      <w:r>
        <w:rPr>
          <w:rFonts w:ascii="Times New Roman" w:hAnsi="Times New Roman" w:eastAsia="楷体"/>
          <w:sz w:val="28"/>
          <w:szCs w:val="28"/>
        </w:rPr>
        <w:t>为此，全县要</w:t>
      </w:r>
      <w:r>
        <w:rPr>
          <w:rFonts w:ascii="Times New Roman" w:hAnsi="Times New Roman" w:eastAsia="楷体"/>
          <w:color w:val="000000"/>
          <w:sz w:val="28"/>
          <w:szCs w:val="28"/>
        </w:rPr>
        <w:t>切实发挥党建引领作用，扎实有效推进农村饮水管护工作，切实增强基层党组织在协会管水中的引领作用，充分发挥党员先锋模范作用，打造共建共治共享的社会治理格局，实现农村供水工程</w:t>
      </w:r>
      <w:r>
        <w:rPr>
          <w:rFonts w:ascii="Times New Roman" w:hAnsi="Times New Roman" w:eastAsia="楷体"/>
          <w:color w:val="000000"/>
          <w:sz w:val="28"/>
          <w:szCs w:val="28"/>
          <w:lang w:bidi="zh-CN"/>
        </w:rPr>
        <w:t>“有人员管、有经费管、有制度管</w:t>
      </w:r>
      <w:r>
        <w:rPr>
          <w:rFonts w:ascii="Times New Roman" w:hAnsi="Times New Roman" w:eastAsia="楷体"/>
          <w:color w:val="000000"/>
          <w:sz w:val="28"/>
          <w:szCs w:val="28"/>
        </w:rPr>
        <w:t>”，让群众喝上放心水、满意水。</w:t>
      </w:r>
      <w:r>
        <w:rPr>
          <w:rFonts w:ascii="Times New Roman" w:hAnsi="Times New Roman" w:eastAsia="楷体"/>
          <w:sz w:val="28"/>
          <w:szCs w:val="28"/>
        </w:rPr>
        <w:t>为有效建立奉节县高质量发展阶段农村饮水管护的机制，主要从四个方面着手：</w:t>
      </w:r>
    </w:p>
    <w:p w14:paraId="6E600FDC">
      <w:pPr>
        <w:pStyle w:val="52"/>
        <w:spacing w:line="520" w:lineRule="exact"/>
        <w:ind w:firstLine="560"/>
        <w:jc w:val="left"/>
        <w:rPr>
          <w:rFonts w:ascii="Times New Roman" w:hAnsi="Times New Roman" w:eastAsia="楷体"/>
          <w:sz w:val="28"/>
          <w:szCs w:val="28"/>
          <w:lang w:val="zh-TW" w:bidi="zh-TW"/>
        </w:rPr>
      </w:pPr>
      <w:r>
        <w:rPr>
          <w:rFonts w:ascii="Times New Roman" w:hAnsi="Times New Roman" w:eastAsia="楷体"/>
          <w:color w:val="000000"/>
          <w:sz w:val="28"/>
          <w:szCs w:val="28"/>
          <w:lang w:bidi="zh-TW"/>
        </w:rPr>
        <w:t>一是要</w:t>
      </w:r>
      <w:r>
        <w:rPr>
          <w:rFonts w:ascii="Times New Roman" w:hAnsi="Times New Roman" w:eastAsia="楷体"/>
          <w:color w:val="000000"/>
          <w:sz w:val="28"/>
          <w:szCs w:val="28"/>
          <w:lang w:val="zh-TW" w:bidi="zh-TW"/>
        </w:rPr>
        <w:t>全面建立农村供水管护协会。在全县村（社区）全面建立农村供水管护协会。村（社区）党组织书记按程序任协会会长，引导用水户加入协会，建立健全协会章程，</w:t>
      </w:r>
      <w:r>
        <w:rPr>
          <w:rFonts w:ascii="Times New Roman" w:hAnsi="Times New Roman" w:eastAsia="楷体"/>
          <w:color w:val="000000"/>
          <w:sz w:val="28"/>
          <w:szCs w:val="28"/>
          <w:lang w:bidi="zh-TW"/>
        </w:rPr>
        <w:t>明确内部分工</w:t>
      </w:r>
      <w:r>
        <w:rPr>
          <w:rFonts w:ascii="Times New Roman" w:hAnsi="Times New Roman" w:eastAsia="楷体"/>
          <w:color w:val="000000"/>
          <w:sz w:val="28"/>
          <w:szCs w:val="28"/>
          <w:lang w:val="zh-TW" w:bidi="zh-TW"/>
        </w:rPr>
        <w:t>，落实管护人员。</w:t>
      </w:r>
    </w:p>
    <w:p w14:paraId="68F9F577">
      <w:pPr>
        <w:pStyle w:val="52"/>
        <w:spacing w:line="520" w:lineRule="exact"/>
        <w:ind w:firstLine="560"/>
        <w:jc w:val="left"/>
        <w:rPr>
          <w:rFonts w:ascii="Times New Roman" w:hAnsi="Times New Roman" w:eastAsia="楷体"/>
          <w:sz w:val="28"/>
          <w:szCs w:val="28"/>
          <w:lang w:val="zh-TW" w:bidi="zh-TW"/>
        </w:rPr>
      </w:pPr>
      <w:r>
        <w:rPr>
          <w:rFonts w:ascii="Times New Roman" w:hAnsi="Times New Roman" w:eastAsia="楷体"/>
          <w:color w:val="000000"/>
          <w:sz w:val="28"/>
          <w:szCs w:val="28"/>
          <w:lang w:bidi="zh-TW"/>
        </w:rPr>
        <w:t>二是要</w:t>
      </w:r>
      <w:r>
        <w:rPr>
          <w:rFonts w:ascii="Times New Roman" w:hAnsi="Times New Roman" w:eastAsia="楷体"/>
          <w:color w:val="000000"/>
          <w:sz w:val="28"/>
          <w:szCs w:val="28"/>
          <w:lang w:val="zh-TW" w:bidi="zh-TW"/>
        </w:rPr>
        <w:t>多方筹措农村供水管护资金。</w:t>
      </w:r>
      <w:r>
        <w:rPr>
          <w:rFonts w:ascii="Times New Roman" w:hAnsi="Times New Roman" w:eastAsia="楷体"/>
          <w:color w:val="000000"/>
          <w:sz w:val="28"/>
          <w:szCs w:val="28"/>
          <w:lang w:bidi="zh-TW"/>
        </w:rPr>
        <w:t>农村饮水工程管护资金采取“县级奖补一点、镇村筹集一点、受益户缴一点”等方式落实管护经费，</w:t>
      </w:r>
      <w:r>
        <w:rPr>
          <w:rFonts w:ascii="Times New Roman" w:hAnsi="Times New Roman" w:eastAsia="楷体"/>
          <w:color w:val="000000"/>
          <w:sz w:val="28"/>
          <w:szCs w:val="28"/>
          <w:lang w:val="zh-TW" w:bidi="zh-TW"/>
        </w:rPr>
        <w:t>农村集中供水工程全面实行水价收取制度，县级维修养护补助资金与水费收取情况挂钩。</w:t>
      </w:r>
    </w:p>
    <w:p w14:paraId="4310675B">
      <w:pPr>
        <w:pStyle w:val="52"/>
        <w:spacing w:line="520" w:lineRule="exact"/>
        <w:ind w:firstLine="560"/>
        <w:jc w:val="left"/>
        <w:rPr>
          <w:rFonts w:ascii="Times New Roman" w:hAnsi="Times New Roman" w:eastAsia="楷体"/>
          <w:sz w:val="28"/>
          <w:szCs w:val="28"/>
          <w:lang w:val="zh-TW" w:bidi="zh-TW"/>
        </w:rPr>
      </w:pPr>
      <w:r>
        <w:rPr>
          <w:rFonts w:ascii="Times New Roman" w:hAnsi="Times New Roman" w:eastAsia="楷体"/>
          <w:color w:val="000000"/>
          <w:sz w:val="28"/>
          <w:szCs w:val="28"/>
          <w:lang w:bidi="zh-TW"/>
        </w:rPr>
        <w:t>三是要</w:t>
      </w:r>
      <w:r>
        <w:rPr>
          <w:rFonts w:ascii="Times New Roman" w:hAnsi="Times New Roman" w:eastAsia="楷体"/>
          <w:color w:val="000000"/>
          <w:sz w:val="28"/>
          <w:szCs w:val="28"/>
          <w:lang w:val="zh-TW" w:bidi="zh-TW"/>
        </w:rPr>
        <w:t>着力完善农村供水管护制度。各村（社区）要按照每处供水因地制宜制定供水管护制度，要明确管护职责划分、工程巡查维护频次、工程维修方式（程序）、水费收取方式及价格、应急供水保障方式。同时，规范水费收取，建立饮水维修养护资金公示制度。</w:t>
      </w:r>
    </w:p>
    <w:p w14:paraId="37200A69">
      <w:pPr>
        <w:pStyle w:val="52"/>
        <w:spacing w:line="520" w:lineRule="exact"/>
        <w:ind w:firstLine="560"/>
        <w:rPr>
          <w:rFonts w:ascii="Times New Roman" w:hAnsi="Times New Roman" w:eastAsia="楷体"/>
          <w:sz w:val="28"/>
          <w:szCs w:val="28"/>
        </w:rPr>
      </w:pPr>
      <w:r>
        <w:rPr>
          <w:rFonts w:ascii="Times New Roman" w:hAnsi="Times New Roman" w:eastAsia="楷体"/>
          <w:sz w:val="28"/>
          <w:szCs w:val="28"/>
          <w:lang w:bidi="zh-TW"/>
        </w:rPr>
        <w:t>四是要</w:t>
      </w:r>
      <w:r>
        <w:rPr>
          <w:rFonts w:ascii="Times New Roman" w:hAnsi="Times New Roman" w:eastAsia="楷体"/>
          <w:sz w:val="28"/>
          <w:szCs w:val="28"/>
          <w:lang w:val="zh-TW" w:bidi="zh-TW"/>
        </w:rPr>
        <w:t>大力实施农村供水“一改三提”。农村供水坚持规模化发展、规范化建设、标准化改造、专业化管理、市场化运营的主导方向，着力改善农村供水设施条件，提升供水量、水质达标率和运行管护能力。</w:t>
      </w:r>
    </w:p>
    <w:p w14:paraId="79012C7C">
      <w:pPr>
        <w:pStyle w:val="51"/>
        <w:keepNext/>
        <w:keepLines/>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r>
        <w:rPr>
          <w:rFonts w:ascii="Times New Roman" w:hAnsi="Times New Roman" w:eastAsia="楷体" w:cs="Times New Roman"/>
          <w:sz w:val="28"/>
          <w:szCs w:val="28"/>
        </w:rPr>
        <w:br w:type="page"/>
      </w:r>
      <w:bookmarkStart w:id="150" w:name="_Toc21525"/>
      <w:bookmarkStart w:id="151" w:name="_Toc92995445"/>
      <w:r>
        <w:rPr>
          <w:rFonts w:ascii="Times New Roman" w:hAnsi="Times New Roman" w:eastAsia="方正仿宋_GBK" w:cs="Times New Roman"/>
          <w:b/>
          <w:spacing w:val="6"/>
          <w:szCs w:val="36"/>
        </w:rPr>
        <w:t>第八章 抓改革激发活力，增强水利发展后劲</w:t>
      </w:r>
      <w:bookmarkEnd w:id="150"/>
      <w:bookmarkEnd w:id="151"/>
    </w:p>
    <w:p w14:paraId="26644CF2">
      <w:pPr>
        <w:adjustRightInd w:val="0"/>
        <w:snapToGrid w:val="0"/>
        <w:spacing w:line="520" w:lineRule="exact"/>
        <w:ind w:firstLine="560" w:firstLineChars="200"/>
        <w:rPr>
          <w:rFonts w:ascii="Times New Roman" w:hAnsi="Times New Roman" w:eastAsia="楷体"/>
          <w:sz w:val="28"/>
          <w:szCs w:val="28"/>
          <w:shd w:val="clear" w:color="auto" w:fill="FFFFFF"/>
        </w:rPr>
      </w:pPr>
      <w:r>
        <w:rPr>
          <w:rFonts w:ascii="Times New Roman" w:hAnsi="Times New Roman" w:eastAsia="楷体"/>
          <w:sz w:val="28"/>
          <w:szCs w:val="28"/>
          <w:shd w:val="clear" w:color="auto" w:fill="FFFFFF"/>
        </w:rPr>
        <w:t>党的十九届四中、五中全会对坚持和完善中国特色社会主义制度，推进国家治理体系和治理能力现代化作出重大部署，会议有关决定全面回答了在我国国家制度和国家治理系统上应该“坚持和巩固什么、完善和发展什么”这个重大政治问题，为推动各方面制度更加成熟、更加定型明确了时间表、路线图。水利治理体系和治理能力是国家治理体系和治理能力的重要组成部分。</w:t>
      </w:r>
    </w:p>
    <w:p w14:paraId="4EA8112E">
      <w:pPr>
        <w:pStyle w:val="16"/>
        <w:pBdr>
          <w:bottom w:val="none" w:color="auto" w:sz="0" w:space="0"/>
        </w:pBdr>
        <w:rPr>
          <w:rFonts w:ascii="Times New Roman" w:hAnsi="Times New Roman"/>
        </w:rPr>
      </w:pPr>
    </w:p>
    <w:p w14:paraId="743000B6">
      <w:pPr>
        <w:pStyle w:val="4"/>
        <w:numPr>
          <w:ilvl w:val="0"/>
          <w:numId w:val="0"/>
        </w:numPr>
        <w:spacing w:before="0" w:after="0" w:line="360" w:lineRule="auto"/>
        <w:jc w:val="left"/>
        <w:rPr>
          <w:rFonts w:ascii="Times New Roman" w:hAnsi="Times New Roman" w:eastAsia="方正仿宋_GBK"/>
          <w:spacing w:val="6"/>
          <w:szCs w:val="32"/>
        </w:rPr>
      </w:pPr>
      <w:bookmarkStart w:id="152" w:name="_Toc5729"/>
      <w:bookmarkStart w:id="153" w:name="_Toc92995446"/>
      <w:bookmarkStart w:id="154" w:name="_Toc15838"/>
      <w:r>
        <w:rPr>
          <w:rFonts w:ascii="Times New Roman" w:hAnsi="Times New Roman" w:eastAsia="方正仿宋_GBK"/>
          <w:spacing w:val="6"/>
          <w:szCs w:val="32"/>
        </w:rPr>
        <w:t>8.1 创新投融资体制机制，保障水利建设资金需求</w:t>
      </w:r>
      <w:bookmarkEnd w:id="152"/>
      <w:bookmarkEnd w:id="153"/>
    </w:p>
    <w:p w14:paraId="537B0A5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奉节县水利建设现阶段已初步形成了多元化水利投入机制。近几年来，奉节县政府利用土地融资收益和地方财政性收入用于朱衣河整治、中小型水库工程建设等。但后续水利高质量发展，需要大规模的资金投入，单靠政府为主投入是远远不够的，深入投融资体制改革，坚持政府与市场两手发力，特别是鼓励和引导社会资本参与水利工程建设和运营，对于推进水利建设具有非常重要的意义，是未来水利建设行业发展之路。针对今后的水利建设，奉节县仍需继续推进水利投融资改革。</w:t>
      </w:r>
    </w:p>
    <w:p w14:paraId="481F854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一是在继续积极争取中央、地方配套资金对水利建设投入的同时，要多措并举，吸引社会资金和外资参与水利设施建设，特别是积极引导新开发区域的企业参与，依靠社会力量建设水利工程。建立健全政府和社会资本合作机制，合理选择PPP、BOT、TOT和股权投资等全新的水利工程融资形式。对于有社会资本参与的水利建设工程，政府应给予优先支持，并根据项目的不同情况，通过投资补助、资本金注入、贷款贴息等方式引导和扶持，激发群众参与水利设施建设的积极性。</w:t>
      </w:r>
    </w:p>
    <w:p w14:paraId="11B3BD43">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二是鼓励金融机构扩大水利信贷经费规模，指引商业银行增加水利项目的信贷经费，加快经营性水利投融资进度，扩大水利专项建设基金规模和范围，提高对公益性水利设施项目的扶持力度，同时探索利用工程供水、发电等预期收益质押贷款，充分发挥政策性金融机构的作用，为水利工程建设提供长期稳定、相对低成本的资金支持。</w:t>
      </w:r>
    </w:p>
    <w:p w14:paraId="7CBD4CA9">
      <w:pPr>
        <w:pStyle w:val="4"/>
        <w:numPr>
          <w:ilvl w:val="0"/>
          <w:numId w:val="0"/>
        </w:numPr>
        <w:spacing w:before="0" w:after="0" w:line="360" w:lineRule="auto"/>
        <w:jc w:val="left"/>
        <w:rPr>
          <w:rFonts w:ascii="Times New Roman" w:hAnsi="Times New Roman" w:eastAsia="方正仿宋_GBK"/>
          <w:spacing w:val="6"/>
          <w:szCs w:val="32"/>
        </w:rPr>
      </w:pPr>
      <w:bookmarkStart w:id="155" w:name="_Toc15797"/>
      <w:bookmarkStart w:id="156" w:name="_Toc92995447"/>
      <w:r>
        <w:rPr>
          <w:rFonts w:ascii="Times New Roman" w:hAnsi="Times New Roman" w:eastAsia="方正仿宋_GBK"/>
          <w:spacing w:val="6"/>
          <w:szCs w:val="32"/>
        </w:rPr>
        <w:t>8.2 完善水利监管体系，增强行业监管水平</w:t>
      </w:r>
      <w:bookmarkEnd w:id="154"/>
      <w:bookmarkEnd w:id="155"/>
      <w:bookmarkEnd w:id="156"/>
    </w:p>
    <w:p w14:paraId="1F3A578A">
      <w:pPr>
        <w:adjustRightInd w:val="0"/>
        <w:snapToGrid w:val="0"/>
        <w:spacing w:line="520" w:lineRule="exact"/>
        <w:ind w:firstLine="592" w:firstLineChars="200"/>
        <w:rPr>
          <w:rFonts w:ascii="Times New Roman" w:hAnsi="Times New Roman" w:eastAsia="楷体"/>
          <w:sz w:val="28"/>
          <w:szCs w:val="28"/>
          <w:shd w:val="clear" w:color="auto" w:fill="FFFFFF"/>
        </w:rPr>
      </w:pPr>
      <w:r>
        <w:rPr>
          <w:rFonts w:ascii="Times New Roman" w:hAnsi="Times New Roman" w:eastAsia="楷体"/>
          <w:spacing w:val="8"/>
          <w:sz w:val="28"/>
          <w:szCs w:val="28"/>
          <w:shd w:val="clear" w:color="auto" w:fill="FFFFFF"/>
        </w:rPr>
        <w:t>“十四五”时期是</w:t>
      </w:r>
      <w:r>
        <w:rPr>
          <w:rFonts w:ascii="Times New Roman" w:hAnsi="Times New Roman" w:eastAsia="楷体"/>
          <w:sz w:val="28"/>
          <w:szCs w:val="28"/>
          <w:shd w:val="clear" w:color="auto" w:fill="FFFFFF"/>
        </w:rPr>
        <w:t>全县</w:t>
      </w:r>
      <w:r>
        <w:rPr>
          <w:rFonts w:ascii="Times New Roman" w:hAnsi="Times New Roman" w:eastAsia="楷体"/>
          <w:spacing w:val="8"/>
          <w:sz w:val="28"/>
          <w:szCs w:val="28"/>
          <w:shd w:val="clear" w:color="auto" w:fill="FFFFFF"/>
        </w:rPr>
        <w:t>水利行业强监管的全面强化期，</w:t>
      </w:r>
      <w:r>
        <w:rPr>
          <w:rFonts w:ascii="Times New Roman" w:hAnsi="Times New Roman" w:eastAsia="楷体"/>
          <w:sz w:val="28"/>
          <w:szCs w:val="28"/>
          <w:shd w:val="clear" w:color="auto" w:fill="FFFFFF"/>
        </w:rPr>
        <w:t>如何强化监管，是需要首先解决的问题。</w:t>
      </w:r>
      <w:r>
        <w:rPr>
          <w:rFonts w:ascii="Times New Roman" w:hAnsi="Times New Roman" w:eastAsia="楷体"/>
          <w:spacing w:val="8"/>
          <w:sz w:val="28"/>
          <w:szCs w:val="28"/>
          <w:shd w:val="clear" w:color="auto" w:fill="FFFFFF"/>
        </w:rPr>
        <w:t>要推动行业监管体系从平稳起步向全面完善转变，专项监管行动从“被动迎战”向“主动出击”转变，专业领域监管从重点突破向纵深发展转变，坚持以问题为导向，以全面解决涉水各领域中因人的行为不当而造成的水安全水资源水生态水环境问题为目标，</w:t>
      </w:r>
      <w:r>
        <w:rPr>
          <w:rFonts w:ascii="Times New Roman" w:hAnsi="Times New Roman" w:eastAsia="楷体"/>
          <w:sz w:val="28"/>
          <w:szCs w:val="28"/>
          <w:shd w:val="clear" w:color="auto" w:fill="FFFFFF"/>
        </w:rPr>
        <w:t>通过完善行业监管体系、推进常态化、规范化、法制化监管</w:t>
      </w:r>
      <w:r>
        <w:rPr>
          <w:rFonts w:ascii="Times New Roman" w:hAnsi="Times New Roman" w:eastAsia="楷体"/>
          <w:spacing w:val="8"/>
          <w:sz w:val="28"/>
          <w:szCs w:val="28"/>
          <w:shd w:val="clear" w:color="auto" w:fill="FFFFFF"/>
        </w:rPr>
        <w:t>，</w:t>
      </w:r>
      <w:r>
        <w:rPr>
          <w:rFonts w:ascii="Times New Roman" w:hAnsi="Times New Roman" w:eastAsia="楷体"/>
          <w:sz w:val="28"/>
          <w:szCs w:val="28"/>
          <w:shd w:val="clear" w:color="auto" w:fill="FFFFFF"/>
        </w:rPr>
        <w:t>从而</w:t>
      </w:r>
      <w:r>
        <w:rPr>
          <w:rFonts w:ascii="Times New Roman" w:hAnsi="Times New Roman" w:eastAsia="楷体"/>
          <w:spacing w:val="8"/>
          <w:sz w:val="28"/>
          <w:szCs w:val="28"/>
          <w:shd w:val="clear" w:color="auto" w:fill="FFFFFF"/>
        </w:rPr>
        <w:t>全面提升涉水事务监管水平，努力实现水利治理体系和治理能力现代化。</w:t>
      </w:r>
    </w:p>
    <w:p w14:paraId="3E778122">
      <w:pPr>
        <w:adjustRightInd w:val="0"/>
        <w:snapToGrid w:val="0"/>
        <w:spacing w:line="520" w:lineRule="exact"/>
        <w:ind w:firstLine="562" w:firstLineChars="200"/>
        <w:rPr>
          <w:rFonts w:ascii="Times New Roman" w:hAnsi="Times New Roman" w:eastAsia="楷体"/>
          <w:sz w:val="28"/>
          <w:szCs w:val="28"/>
          <w:shd w:val="clear" w:color="auto" w:fill="FFFFFF"/>
        </w:rPr>
      </w:pPr>
      <w:r>
        <w:rPr>
          <w:rFonts w:ascii="Times New Roman" w:hAnsi="Times New Roman" w:eastAsia="楷体"/>
          <w:b/>
          <w:bCs/>
          <w:sz w:val="28"/>
          <w:szCs w:val="28"/>
          <w:shd w:val="clear" w:color="auto" w:fill="FFFFFF"/>
        </w:rPr>
        <w:t>完善行业监管体系。</w:t>
      </w:r>
      <w:r>
        <w:rPr>
          <w:rFonts w:ascii="Times New Roman" w:hAnsi="Times New Roman" w:eastAsia="楷体"/>
          <w:sz w:val="28"/>
          <w:szCs w:val="28"/>
          <w:shd w:val="clear" w:color="auto" w:fill="FFFFFF"/>
        </w:rPr>
        <w:t>是要按照“全面覆盖、上下贯通、保障到位”的要求，完善县级水利监管体系，主动融入市级水利监管系统。聚焦水利工程建设和运行、水资源管理、河湖管理、水灾害防御、水土保持、水库移民、水利资金等重点领域，进一步明晰综合监管、专业监管、专职监管、日常监管四个层次的职责定位和任务分工，以县水利局为主体、覆盖乡镇（街道）层级，推动县级水利部门监管方案和实施办法建设、队伍建设、信息化建设，到2025年基本建立覆盖全行业的监管体系，各层级各领域监管工作全面展开，监管效能逐步提升。</w:t>
      </w:r>
    </w:p>
    <w:p w14:paraId="2EF8B668">
      <w:pPr>
        <w:adjustRightInd w:val="0"/>
        <w:snapToGrid w:val="0"/>
        <w:spacing w:line="520" w:lineRule="exact"/>
        <w:ind w:firstLine="562" w:firstLineChars="200"/>
        <w:rPr>
          <w:rFonts w:ascii="Times New Roman" w:hAnsi="Times New Roman" w:eastAsia="楷体"/>
          <w:sz w:val="28"/>
          <w:szCs w:val="28"/>
          <w:shd w:val="clear" w:color="auto" w:fill="FFFFFF"/>
        </w:rPr>
      </w:pPr>
      <w:r>
        <w:rPr>
          <w:rFonts w:ascii="Times New Roman" w:hAnsi="Times New Roman" w:eastAsia="楷体"/>
          <w:b/>
          <w:bCs/>
          <w:sz w:val="28"/>
          <w:szCs w:val="28"/>
          <w:shd w:val="clear" w:color="auto" w:fill="FFFFFF"/>
        </w:rPr>
        <w:t>推进常态化监管。</w:t>
      </w:r>
      <w:r>
        <w:rPr>
          <w:rFonts w:ascii="Times New Roman" w:hAnsi="Times New Roman" w:eastAsia="楷体"/>
          <w:sz w:val="28"/>
          <w:szCs w:val="28"/>
          <w:shd w:val="clear" w:color="auto" w:fill="FFFFFF"/>
        </w:rPr>
        <w:t>以统筹优化年度监管计划为抓手，着力改变监管任务“一布置一落实”的状态，促进监管工作成为水利部门部署安排、推进工作、总结评价中不可或缺的内容。优化监管信息平台，拓展完善功能，推广全县应用，通过信息化技术手段开展实时、高效、精准监管，助推监管工作计划、组织实施、考核评价等常态化运作。</w:t>
      </w:r>
    </w:p>
    <w:p w14:paraId="0A8EFC44">
      <w:pPr>
        <w:adjustRightInd w:val="0"/>
        <w:snapToGrid w:val="0"/>
        <w:spacing w:line="520" w:lineRule="exact"/>
        <w:ind w:firstLine="562" w:firstLineChars="200"/>
        <w:rPr>
          <w:rFonts w:ascii="Times New Roman" w:hAnsi="Times New Roman" w:eastAsia="楷体"/>
          <w:sz w:val="28"/>
          <w:szCs w:val="28"/>
          <w:shd w:val="clear" w:color="auto" w:fill="FFFFFF"/>
        </w:rPr>
      </w:pPr>
      <w:r>
        <w:rPr>
          <w:rFonts w:ascii="Times New Roman" w:hAnsi="Times New Roman" w:eastAsia="楷体"/>
          <w:b/>
          <w:bCs/>
          <w:sz w:val="28"/>
          <w:szCs w:val="28"/>
          <w:shd w:val="clear" w:color="auto" w:fill="FFFFFF"/>
        </w:rPr>
        <w:t>推进规范化监管。</w:t>
      </w:r>
      <w:r>
        <w:rPr>
          <w:rFonts w:ascii="Times New Roman" w:hAnsi="Times New Roman" w:eastAsia="楷体"/>
          <w:sz w:val="28"/>
          <w:szCs w:val="28"/>
          <w:shd w:val="clear" w:color="auto" w:fill="FFFFFF"/>
        </w:rPr>
        <w:t>不断总结监管工作经验，编制各监管领域（环节）的“作业指导书”，细化各领域监督检查的“规定动作”和标准体系，明确查什么、怎么查；同时不断梳理、修正、补充问题清单，全面列举实体问题、行为问题，通过一正一反“两个清单”，减少主观因素对监管过程和监管结果的影响，确保监管队伍认真履职尽责，实现规范化监管。</w:t>
      </w:r>
    </w:p>
    <w:p w14:paraId="406D4339">
      <w:pPr>
        <w:adjustRightInd w:val="0"/>
        <w:snapToGrid w:val="0"/>
        <w:spacing w:line="520" w:lineRule="exact"/>
        <w:ind w:firstLine="562" w:firstLineChars="200"/>
        <w:rPr>
          <w:rFonts w:ascii="Times New Roman" w:hAnsi="Times New Roman" w:eastAsia="楷体"/>
          <w:sz w:val="28"/>
          <w:szCs w:val="28"/>
          <w:shd w:val="clear" w:color="auto" w:fill="FFFFFF"/>
        </w:rPr>
      </w:pPr>
      <w:r>
        <w:rPr>
          <w:rFonts w:ascii="Times New Roman" w:hAnsi="Times New Roman" w:eastAsia="楷体"/>
          <w:b/>
          <w:bCs/>
          <w:sz w:val="28"/>
          <w:szCs w:val="28"/>
          <w:shd w:val="clear" w:color="auto" w:fill="FFFFFF"/>
        </w:rPr>
        <w:t>推进法治化监管。</w:t>
      </w:r>
      <w:r>
        <w:rPr>
          <w:rFonts w:ascii="Times New Roman" w:hAnsi="Times New Roman" w:eastAsia="楷体"/>
          <w:sz w:val="28"/>
          <w:szCs w:val="28"/>
          <w:shd w:val="clear" w:color="auto" w:fill="FFFFFF"/>
        </w:rPr>
        <w:t>以“2+N”监管制度体系为基础，推进空白领域尽快制定监督检查办法和问题清单，对问题清单进行动态完善，逐年更新版本。不断总结监管工作规律，梳理监管实践中的有效做法，固化形成制度、部门规章，划清水利各领域监管“红线”，使法规制度长牙、带电、有威慑力，推动强监管工作在法治轨道上不断前进。</w:t>
      </w:r>
    </w:p>
    <w:p w14:paraId="54AE04C0">
      <w:pPr>
        <w:pStyle w:val="4"/>
        <w:numPr>
          <w:ilvl w:val="0"/>
          <w:numId w:val="0"/>
        </w:numPr>
        <w:spacing w:before="0" w:after="0" w:line="360" w:lineRule="auto"/>
        <w:jc w:val="left"/>
        <w:rPr>
          <w:rFonts w:ascii="Times New Roman" w:hAnsi="Times New Roman" w:eastAsia="方正仿宋_GBK"/>
          <w:spacing w:val="6"/>
          <w:szCs w:val="32"/>
        </w:rPr>
      </w:pPr>
      <w:bookmarkStart w:id="157" w:name="_Toc21987"/>
      <w:bookmarkStart w:id="158" w:name="_Toc16507"/>
      <w:bookmarkStart w:id="159" w:name="_Toc92995448"/>
      <w:r>
        <w:rPr>
          <w:rFonts w:ascii="Times New Roman" w:hAnsi="Times New Roman" w:eastAsia="方正仿宋_GBK"/>
          <w:spacing w:val="6"/>
          <w:szCs w:val="32"/>
        </w:rPr>
        <w:t>8.3 深化“放管服”改革，提升水利政务服务能力</w:t>
      </w:r>
      <w:bookmarkEnd w:id="157"/>
      <w:bookmarkEnd w:id="158"/>
      <w:bookmarkEnd w:id="159"/>
    </w:p>
    <w:p w14:paraId="5D92778C">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水利行业“放管服”改革的目的是要提升水利政务服务能力，打破行政性垄断，防止市场垄断，减少政府对要素的直接配置，加快建设统一开放、竞争有序的工程建设运营的市场体系，推动实现工程效益最大化和效率最优化。奉节县水利深化“放管服”改革，要以行政审批制度改革为突破口，创新体制，健全完善各项规章制度，进一步清理和规范水行政审批项目，精简审批程序，加快水行政管理职能转变。从为群众提供方便快捷的服务出发，对现有审批事项承诺时间进行压缩，对申请材料进行精简，使办事流程更加简化，审批时限进一步缩短。规范行政审批行为，强化审批权力监督，不断提高行政审批效率。</w:t>
      </w:r>
    </w:p>
    <w:p w14:paraId="6C4F2D49">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一要进一步加强“放管服”改革优化营商环境工作，全面提升优化行政审批运行机制。按照减事项、减程序、减费用的原则，优化审批流程、简化审批环节，大力推进并联审批。做好已取消审批事项的事中事后监管，对保留的行政许可事项，要减流程、减环节、减材料，提高工作效率和群众便利度。加快完成行政许可标准化建设和“互联网+政务服务”，重点推进行政许可事项、流程、服务、场所、监督评价标准化建设。充分发挥相关部门的行政许可协同作用。</w:t>
      </w:r>
    </w:p>
    <w:p w14:paraId="1756281D">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二要加大宣传力度，让更多的企业和群众了解审批办理流程，提高辖区内企业参与审批和监督审批的意识和能力，促进水利行政主管部门审批行为更严谨、更规范、更阳光。</w:t>
      </w:r>
    </w:p>
    <w:p w14:paraId="72D079AC">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三要严格依法行政，合规、简明、高效地做好每一项审批服务。要严格按照法定条件和法定程序，取消重复性、形式化的审批手续，推行网上审批，对审批事项通过单位门户网站向社会公示，及时发现和纠正违规审批行为。</w:t>
      </w:r>
    </w:p>
    <w:p w14:paraId="5977F2A5">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四要深化行政管理体制改革，把简政放权、放管结合、优化服务作为全面深化改革的“先手棋”，全面提升服务效率和水平。围绕行政审批服务方式，力争申报材料再精简，没有法律依据的申报材料一律取消。</w:t>
      </w:r>
    </w:p>
    <w:p w14:paraId="7CF37E1D">
      <w:pPr>
        <w:pStyle w:val="4"/>
        <w:numPr>
          <w:ilvl w:val="0"/>
          <w:numId w:val="0"/>
        </w:numPr>
        <w:spacing w:before="0" w:after="0" w:line="360" w:lineRule="auto"/>
        <w:jc w:val="left"/>
        <w:rPr>
          <w:rFonts w:ascii="Times New Roman" w:hAnsi="Times New Roman" w:eastAsia="方正仿宋_GBK"/>
          <w:spacing w:val="6"/>
          <w:szCs w:val="32"/>
        </w:rPr>
      </w:pPr>
      <w:bookmarkStart w:id="160" w:name="_Toc17301"/>
      <w:bookmarkStart w:id="161" w:name="_Toc92995449"/>
      <w:bookmarkStart w:id="162" w:name="_Toc29227"/>
      <w:r>
        <w:rPr>
          <w:rFonts w:ascii="Times New Roman" w:hAnsi="Times New Roman" w:eastAsia="方正仿宋_GBK"/>
          <w:spacing w:val="6"/>
          <w:szCs w:val="32"/>
        </w:rPr>
        <w:t>8.4 加强科技创新，夯实水利高质量发展基础</w:t>
      </w:r>
      <w:bookmarkEnd w:id="160"/>
      <w:bookmarkEnd w:id="161"/>
    </w:p>
    <w:p w14:paraId="33A6AAC1">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以信息化为途径，加快提升水利科学化、智能化管理水平。信息化是水利现代化最为显著的标志。要以全面实施“智慧水利”为目标，以“智慧河长”为主要抓手，在系统规划的基础上，加快推进现代化通信技术、物联网技术、遥测遥感技术等在水利工程调度运行、水资源管理保护、暴雨洪水监测预报、防洪抗旱决策指挥等方面的深度应用，以水利信息化引领和带动水利现代化建设。要提升防汛抗旱指挥决策支持系统，按照“自动化监测、系统化运行、精准化调度、智能化管理”的要求，加强对已建防汛抗旱决策指挥系统的升级改造，充实完善防汛专业数据库，进一步提升全县防汛抗旱管理和决策指挥科学化能力。</w:t>
      </w:r>
    </w:p>
    <w:p w14:paraId="1FCF9BA6">
      <w:pPr>
        <w:pStyle w:val="89"/>
        <w:spacing w:line="520" w:lineRule="exact"/>
        <w:ind w:firstLine="560"/>
        <w:rPr>
          <w:rFonts w:ascii="Times New Roman" w:hAnsi="Times New Roman" w:eastAsia="楷体"/>
          <w:sz w:val="28"/>
          <w:szCs w:val="28"/>
        </w:rPr>
      </w:pPr>
      <w:r>
        <w:rPr>
          <w:rFonts w:ascii="Times New Roman" w:hAnsi="Times New Roman" w:eastAsia="楷体"/>
          <w:sz w:val="28"/>
          <w:szCs w:val="28"/>
        </w:rPr>
        <w:t>水利科技创新与信息化建设关键靠人才。奉节县水利发展要立足水利现代化建设的总体目标，切实加强水利科技人才队伍建设。要建立健全科技人才培养机制，制定专项工作计划，加强对中青年科技人员的专业培养和实践锻炼，促进科技人才队伍的更好更快成长。要牢固树立“科技促人才、人才带科技”意识，着力培养建设一批专业领域领军人物和技术带头人，形成一支结构合理、专业齐全、科技创新和推广能力强的水利科技人才队伍。要搭建更多平台，让科技创新人才有更多施展才华的空间，得到更多学习交流的机会；要建立有效机制，激励科技人员创新创造的积极性。</w:t>
      </w:r>
    </w:p>
    <w:p w14:paraId="35BB74D5">
      <w:pPr>
        <w:pStyle w:val="4"/>
        <w:numPr>
          <w:ilvl w:val="0"/>
          <w:numId w:val="0"/>
        </w:numPr>
        <w:spacing w:before="0" w:after="0" w:line="360" w:lineRule="auto"/>
        <w:jc w:val="left"/>
        <w:rPr>
          <w:rFonts w:ascii="Times New Roman" w:hAnsi="Times New Roman" w:eastAsia="方正仿宋_GBK"/>
          <w:spacing w:val="6"/>
          <w:szCs w:val="32"/>
        </w:rPr>
      </w:pPr>
      <w:bookmarkStart w:id="163" w:name="_Toc30453"/>
      <w:bookmarkStart w:id="164" w:name="_Toc92995450"/>
      <w:r>
        <w:rPr>
          <w:rFonts w:ascii="Times New Roman" w:hAnsi="Times New Roman" w:eastAsia="方正仿宋_GBK"/>
          <w:spacing w:val="6"/>
          <w:szCs w:val="32"/>
        </w:rPr>
        <w:t>8.5 大力弘扬水文化，厚植新时代水利精神</w:t>
      </w:r>
      <w:bookmarkEnd w:id="162"/>
      <w:bookmarkEnd w:id="163"/>
      <w:bookmarkEnd w:id="164"/>
    </w:p>
    <w:p w14:paraId="3C3300A9">
      <w:pPr>
        <w:spacing w:line="520" w:lineRule="exact"/>
        <w:ind w:firstLine="560" w:firstLineChars="200"/>
        <w:rPr>
          <w:rFonts w:ascii="Times New Roman" w:hAnsi="Times New Roman" w:eastAsia="楷体"/>
          <w:sz w:val="28"/>
          <w:szCs w:val="28"/>
          <w:shd w:val="clear" w:color="auto" w:fill="FFFFFF"/>
        </w:rPr>
      </w:pPr>
      <w:r>
        <w:rPr>
          <w:rFonts w:ascii="Times New Roman" w:hAnsi="Times New Roman" w:eastAsia="楷体"/>
          <w:sz w:val="28"/>
          <w:szCs w:val="28"/>
        </w:rPr>
        <w:t>大力弘扬水文化对促进奉节县高质量发展有着重要意义，是奉节县生态文明建设和水利发展现代化的有力支撑。增强水文化基础，能够引导社会建立人水和谐的生产生活方式。近年来，奉节县全力推进生态文明建设工作，充分利用区域水资源优势开展水文化建设，加快水利旅游产业链建设。“十四五”期间，奉节县将在以下几个方面继续推进生态文明建设，大力弘扬水文化，引导社会建立人水和谐的生产生活方式，使水文化更好地适应水利现代化建设的需求。</w:t>
      </w:r>
    </w:p>
    <w:p w14:paraId="14E96B3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一要挖掘和弘扬精神形态的水文化遗产，系统整理总结奉节县水文化的基本内涵、核心元素和表征符号，对有关水文化的传说、歌谣、诗赋、碑文等传统文化开展精神水文化遗产的保护和传承。</w:t>
      </w:r>
    </w:p>
    <w:p w14:paraId="373407F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二要做好水文化的传播工作。大力弘扬水文化，加强水情宣传是水文化发展的重要环节。加强传播载体建设、传播平台建设和内外学习交流，发挥水利工程设施、水利风景区、水情教育基地的作用，向社会公众充分展现治水兴水的人文关怀和文化魅力。针对不同的群体，不仅要充分利用报纸、电视、广播、街头宣传栏等传统媒介，更要充分利用微信公众号、微博等新型传媒资源，开展多层次、多种类、多形式的持续宣传活动，深化社会各界人士对水的认识，营造爱水、护水、节水的社会氛围，使水文化深入人心。</w:t>
      </w:r>
    </w:p>
    <w:p w14:paraId="40397D8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三要夯实水利法治文化建设。依法治水是水利工作的重要原则，水法规建设的内核是水利法治文化建设，在水利改革发展面临新形势的当下，水利法治文化的影响力日渐凸显。奉节县政府要积极组织相关水利法治文化宣贯，在社会上形成良好水法治氛围，加大水利法治文化宣传和普及。以“世界水日”和“中国水周”为主线，开展水法律法规宣传、有奖征文比赛、知识竞赛等，增强全社会的水法律意识。</w:t>
      </w:r>
    </w:p>
    <w:p w14:paraId="12C984A8">
      <w:pPr>
        <w:pStyle w:val="51"/>
        <w:keepNext/>
        <w:numPr>
          <w:ilvl w:val="0"/>
          <w:numId w:val="0"/>
        </w:numPr>
        <w:spacing w:before="468" w:beforeLines="150" w:after="468" w:afterLines="150" w:line="480" w:lineRule="auto"/>
        <w:jc w:val="center"/>
        <w:rPr>
          <w:rFonts w:ascii="Times New Roman" w:hAnsi="Times New Roman" w:eastAsia="方正仿宋_GBK" w:cs="Times New Roman"/>
          <w:b/>
          <w:spacing w:val="6"/>
          <w:szCs w:val="36"/>
        </w:rPr>
        <w:sectPr>
          <w:pgSz w:w="11906" w:h="16838"/>
          <w:pgMar w:top="1417" w:right="1417" w:bottom="1417" w:left="1417" w:header="851" w:footer="992" w:gutter="0"/>
          <w:cols w:space="720" w:num="1"/>
          <w:docGrid w:type="lines" w:linePitch="312" w:charSpace="0"/>
        </w:sectPr>
      </w:pPr>
    </w:p>
    <w:p w14:paraId="11EAE4A2">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65" w:name="_Toc18937"/>
      <w:bookmarkStart w:id="166" w:name="_Toc92995451"/>
      <w:bookmarkStart w:id="167" w:name="_Toc55892110"/>
      <w:r>
        <w:rPr>
          <w:rFonts w:ascii="Times New Roman" w:hAnsi="Times New Roman" w:eastAsia="方正仿宋_GBK" w:cs="Times New Roman"/>
          <w:b/>
          <w:spacing w:val="6"/>
          <w:szCs w:val="36"/>
        </w:rPr>
        <w:t>第九章 规划投资估算及年度安排</w:t>
      </w:r>
      <w:bookmarkEnd w:id="165"/>
      <w:bookmarkEnd w:id="166"/>
    </w:p>
    <w:p w14:paraId="3AD37489">
      <w:pPr>
        <w:pStyle w:val="4"/>
        <w:numPr>
          <w:ilvl w:val="0"/>
          <w:numId w:val="0"/>
        </w:numPr>
        <w:spacing w:before="0" w:after="0" w:line="360" w:lineRule="auto"/>
        <w:jc w:val="left"/>
        <w:rPr>
          <w:rFonts w:ascii="Times New Roman" w:hAnsi="Times New Roman" w:eastAsia="方正仿宋_GBK"/>
          <w:spacing w:val="6"/>
          <w:szCs w:val="32"/>
        </w:rPr>
      </w:pPr>
      <w:bookmarkStart w:id="168" w:name="_Toc92995452"/>
      <w:r>
        <w:rPr>
          <w:rFonts w:ascii="Times New Roman" w:hAnsi="Times New Roman" w:eastAsia="方正仿宋_GBK"/>
          <w:spacing w:val="6"/>
          <w:szCs w:val="32"/>
        </w:rPr>
        <w:t>9.1</w:t>
      </w:r>
      <w:r>
        <w:rPr>
          <w:rFonts w:hint="eastAsia" w:ascii="Times New Roman" w:hAnsi="Times New Roman" w:eastAsia="方正仿宋_GBK"/>
          <w:spacing w:val="6"/>
          <w:szCs w:val="32"/>
        </w:rPr>
        <w:t>行业内投资</w:t>
      </w:r>
      <w:bookmarkEnd w:id="168"/>
    </w:p>
    <w:p w14:paraId="6AEBD7A3">
      <w:pPr>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根据 “十四五”水安全保障的目标和主要建设任务，在总结“十三五”规划完成情况及投入结构分析的基础上，按照突出重点、适度超前的原则，统筹分析中央、市级、区县级的财力和投入可能性，在确保“十三五”续建项目建设投资需求的前提下，结合“十四五”规划拟建重点项目筛选情况，按不同工程类别投资及其可能来源测算“十四五”时期水利投资规模。</w:t>
      </w:r>
    </w:p>
    <w:p w14:paraId="71E1E529">
      <w:pPr>
        <w:spacing w:line="600" w:lineRule="exact"/>
        <w:ind w:firstLine="560" w:firstLineChars="200"/>
        <w:rPr>
          <w:rFonts w:ascii="Times New Roman" w:hAnsi="Times New Roman" w:eastAsia="楷体"/>
          <w:sz w:val="28"/>
          <w:szCs w:val="28"/>
        </w:rPr>
      </w:pPr>
      <w:r>
        <w:rPr>
          <w:rFonts w:ascii="Times New Roman" w:hAnsi="Times New Roman" w:eastAsia="楷体"/>
          <w:sz w:val="28"/>
          <w:szCs w:val="28"/>
        </w:rPr>
        <w:t xml:space="preserve"> “十四五”时期，奉节县水利发展共筹划69项</w:t>
      </w:r>
      <w:r>
        <w:rPr>
          <w:rFonts w:hint="eastAsia" w:ascii="Times New Roman" w:hAnsi="Times New Roman" w:eastAsia="楷体"/>
          <w:sz w:val="28"/>
          <w:szCs w:val="28"/>
        </w:rPr>
        <w:t>1</w:t>
      </w:r>
      <w:r>
        <w:rPr>
          <w:rFonts w:ascii="Times New Roman" w:hAnsi="Times New Roman" w:eastAsia="楷体"/>
          <w:sz w:val="28"/>
          <w:szCs w:val="28"/>
        </w:rPr>
        <w:t>3类规划项目， “十四五”时期计划完成投资67.79亿元。</w:t>
      </w:r>
      <w:r>
        <w:rPr>
          <w:rFonts w:hint="eastAsia" w:ascii="Times New Roman" w:hAnsi="Times New Roman" w:eastAsia="楷体"/>
          <w:sz w:val="28"/>
          <w:szCs w:val="28"/>
        </w:rPr>
        <w:t>其中主要水库工程、库岸治理工程、中小河流治理工程、供水工程、大中型水库后扶为“十四五”时期投资重点。</w:t>
      </w:r>
    </w:p>
    <w:p w14:paraId="4F7B8F24">
      <w:pPr>
        <w:spacing w:line="600" w:lineRule="exact"/>
        <w:ind w:firstLine="562" w:firstLineChars="200"/>
        <w:rPr>
          <w:rFonts w:ascii="Times New Roman" w:hAnsi="Times New Roman" w:eastAsia="楷体"/>
          <w:sz w:val="28"/>
          <w:szCs w:val="28"/>
        </w:rPr>
      </w:pPr>
      <w:r>
        <w:rPr>
          <w:rFonts w:hint="eastAsia" w:ascii="Times New Roman" w:hAnsi="Times New Roman" w:eastAsia="楷体"/>
          <w:b/>
          <w:bCs/>
          <w:sz w:val="28"/>
          <w:szCs w:val="28"/>
        </w:rPr>
        <w:t>水库工程：</w:t>
      </w:r>
      <w:r>
        <w:rPr>
          <w:rFonts w:hint="eastAsia" w:ascii="Times New Roman" w:hAnsi="Times New Roman" w:eastAsia="楷体"/>
          <w:sz w:val="28"/>
          <w:szCs w:val="28"/>
        </w:rPr>
        <w:t>项目合计1</w:t>
      </w:r>
      <w:r>
        <w:rPr>
          <w:rFonts w:ascii="Times New Roman" w:hAnsi="Times New Roman" w:eastAsia="楷体"/>
          <w:sz w:val="28"/>
          <w:szCs w:val="28"/>
        </w:rPr>
        <w:t>8</w:t>
      </w:r>
      <w:r>
        <w:rPr>
          <w:rFonts w:hint="eastAsia" w:ascii="Times New Roman" w:hAnsi="Times New Roman" w:eastAsia="楷体"/>
          <w:sz w:val="28"/>
          <w:szCs w:val="28"/>
        </w:rPr>
        <w:t>项，计划完成投资3</w:t>
      </w:r>
      <w:r>
        <w:rPr>
          <w:rFonts w:ascii="Times New Roman" w:hAnsi="Times New Roman" w:eastAsia="楷体"/>
          <w:sz w:val="28"/>
          <w:szCs w:val="28"/>
        </w:rPr>
        <w:t>0.28</w:t>
      </w:r>
      <w:r>
        <w:rPr>
          <w:rFonts w:hint="eastAsia" w:ascii="Times New Roman" w:hAnsi="Times New Roman" w:eastAsia="楷体"/>
          <w:sz w:val="28"/>
          <w:szCs w:val="28"/>
        </w:rPr>
        <w:t>亿元，其中续建工程4项，计划完成投资2</w:t>
      </w:r>
      <w:r>
        <w:rPr>
          <w:rFonts w:ascii="Times New Roman" w:hAnsi="Times New Roman" w:eastAsia="楷体"/>
          <w:sz w:val="28"/>
          <w:szCs w:val="28"/>
        </w:rPr>
        <w:t>.23</w:t>
      </w:r>
      <w:r>
        <w:rPr>
          <w:rFonts w:hint="eastAsia" w:ascii="Times New Roman" w:hAnsi="Times New Roman" w:eastAsia="楷体"/>
          <w:sz w:val="28"/>
          <w:szCs w:val="28"/>
        </w:rPr>
        <w:t>亿元，新建工程8项，计划完成投资2</w:t>
      </w:r>
      <w:r>
        <w:rPr>
          <w:rFonts w:ascii="Times New Roman" w:hAnsi="Times New Roman" w:eastAsia="楷体"/>
          <w:sz w:val="28"/>
          <w:szCs w:val="28"/>
        </w:rPr>
        <w:t>7.96</w:t>
      </w:r>
      <w:r>
        <w:rPr>
          <w:rFonts w:hint="eastAsia" w:ascii="Times New Roman" w:hAnsi="Times New Roman" w:eastAsia="楷体"/>
          <w:sz w:val="28"/>
          <w:szCs w:val="28"/>
        </w:rPr>
        <w:t>亿元，开展前期工作工程6项，计划完成投资0</w:t>
      </w:r>
      <w:r>
        <w:rPr>
          <w:rFonts w:ascii="Times New Roman" w:hAnsi="Times New Roman" w:eastAsia="楷体"/>
          <w:sz w:val="28"/>
          <w:szCs w:val="28"/>
        </w:rPr>
        <w:t>.09</w:t>
      </w:r>
      <w:r>
        <w:rPr>
          <w:rFonts w:hint="eastAsia" w:ascii="Times New Roman" w:hAnsi="Times New Roman" w:eastAsia="楷体"/>
          <w:sz w:val="28"/>
          <w:szCs w:val="28"/>
        </w:rPr>
        <w:t>亿元。水库工程计划完成投资占总计划投资的4</w:t>
      </w:r>
      <w:r>
        <w:rPr>
          <w:rFonts w:ascii="Times New Roman" w:hAnsi="Times New Roman" w:eastAsia="楷体"/>
          <w:sz w:val="28"/>
          <w:szCs w:val="28"/>
        </w:rPr>
        <w:t>4.67</w:t>
      </w:r>
      <w:r>
        <w:rPr>
          <w:rFonts w:hint="eastAsia" w:ascii="Times New Roman" w:hAnsi="Times New Roman" w:eastAsia="楷体"/>
          <w:sz w:val="28"/>
          <w:szCs w:val="28"/>
        </w:rPr>
        <w:t>%。</w:t>
      </w:r>
    </w:p>
    <w:p w14:paraId="2EF99580">
      <w:pPr>
        <w:spacing w:line="600" w:lineRule="exact"/>
        <w:ind w:firstLine="562" w:firstLineChars="200"/>
      </w:pPr>
      <w:r>
        <w:rPr>
          <w:rFonts w:hint="eastAsia" w:ascii="Times New Roman" w:hAnsi="Times New Roman" w:eastAsia="楷体"/>
          <w:b/>
          <w:bCs/>
          <w:sz w:val="28"/>
          <w:szCs w:val="28"/>
        </w:rPr>
        <w:t>库岸治理工程：</w:t>
      </w:r>
      <w:r>
        <w:rPr>
          <w:rFonts w:hint="eastAsia" w:ascii="Times New Roman" w:hAnsi="Times New Roman" w:eastAsia="楷体"/>
          <w:sz w:val="28"/>
          <w:szCs w:val="28"/>
        </w:rPr>
        <w:t>项目合计5项，均为新建工程，计划完成投资1</w:t>
      </w:r>
      <w:r>
        <w:rPr>
          <w:rFonts w:ascii="Times New Roman" w:hAnsi="Times New Roman" w:eastAsia="楷体"/>
          <w:sz w:val="28"/>
          <w:szCs w:val="28"/>
        </w:rPr>
        <w:t>3.89</w:t>
      </w:r>
      <w:r>
        <w:rPr>
          <w:rFonts w:hint="eastAsia" w:ascii="Times New Roman" w:hAnsi="Times New Roman" w:eastAsia="楷体"/>
          <w:sz w:val="28"/>
          <w:szCs w:val="28"/>
        </w:rPr>
        <w:t>亿元，占总计划投资的</w:t>
      </w:r>
      <w:r>
        <w:rPr>
          <w:rFonts w:ascii="Times New Roman" w:hAnsi="Times New Roman" w:eastAsia="楷体"/>
          <w:sz w:val="28"/>
          <w:szCs w:val="28"/>
        </w:rPr>
        <w:t>20.49</w:t>
      </w:r>
      <w:r>
        <w:rPr>
          <w:rFonts w:hint="eastAsia" w:ascii="Times New Roman" w:hAnsi="Times New Roman" w:eastAsia="楷体"/>
          <w:sz w:val="28"/>
          <w:szCs w:val="28"/>
        </w:rPr>
        <w:t>%。</w:t>
      </w:r>
    </w:p>
    <w:p w14:paraId="05F9EBE4">
      <w:pPr>
        <w:spacing w:line="600" w:lineRule="exact"/>
        <w:ind w:firstLine="562" w:firstLineChars="200"/>
      </w:pPr>
      <w:r>
        <w:rPr>
          <w:rFonts w:hint="eastAsia" w:ascii="Times New Roman" w:hAnsi="Times New Roman" w:eastAsia="楷体"/>
          <w:b/>
          <w:bCs/>
          <w:sz w:val="28"/>
          <w:szCs w:val="28"/>
        </w:rPr>
        <w:t>中小河流治理工程：</w:t>
      </w:r>
      <w:r>
        <w:rPr>
          <w:rFonts w:hint="eastAsia" w:ascii="Times New Roman" w:hAnsi="Times New Roman" w:eastAsia="楷体"/>
          <w:sz w:val="28"/>
          <w:szCs w:val="28"/>
        </w:rPr>
        <w:t>项目合计</w:t>
      </w:r>
      <w:r>
        <w:rPr>
          <w:rFonts w:ascii="Times New Roman" w:hAnsi="Times New Roman" w:eastAsia="楷体"/>
          <w:sz w:val="28"/>
          <w:szCs w:val="28"/>
        </w:rPr>
        <w:t>8</w:t>
      </w:r>
      <w:r>
        <w:rPr>
          <w:rFonts w:hint="eastAsia" w:ascii="Times New Roman" w:hAnsi="Times New Roman" w:eastAsia="楷体"/>
          <w:sz w:val="28"/>
          <w:szCs w:val="28"/>
        </w:rPr>
        <w:t>项，均为新建工程，计划完成投资9</w:t>
      </w:r>
      <w:r>
        <w:rPr>
          <w:rFonts w:ascii="Times New Roman" w:hAnsi="Times New Roman" w:eastAsia="楷体"/>
          <w:sz w:val="28"/>
          <w:szCs w:val="28"/>
        </w:rPr>
        <w:t>.46</w:t>
      </w:r>
      <w:r>
        <w:rPr>
          <w:rFonts w:hint="eastAsia" w:ascii="Times New Roman" w:hAnsi="Times New Roman" w:eastAsia="楷体"/>
          <w:sz w:val="28"/>
          <w:szCs w:val="28"/>
        </w:rPr>
        <w:t>亿元，占总计划投资的</w:t>
      </w:r>
      <w:r>
        <w:rPr>
          <w:rFonts w:ascii="Times New Roman" w:hAnsi="Times New Roman" w:eastAsia="楷体"/>
          <w:sz w:val="28"/>
          <w:szCs w:val="28"/>
        </w:rPr>
        <w:t>13.96</w:t>
      </w:r>
      <w:r>
        <w:rPr>
          <w:rFonts w:hint="eastAsia" w:ascii="Times New Roman" w:hAnsi="Times New Roman" w:eastAsia="楷体"/>
          <w:sz w:val="28"/>
          <w:szCs w:val="28"/>
        </w:rPr>
        <w:t>%。</w:t>
      </w:r>
    </w:p>
    <w:p w14:paraId="7F6FD2AE">
      <w:pPr>
        <w:spacing w:line="600" w:lineRule="exact"/>
        <w:ind w:firstLine="562" w:firstLineChars="200"/>
        <w:rPr>
          <w:rFonts w:ascii="Times New Roman" w:hAnsi="Times New Roman" w:eastAsia="楷体"/>
          <w:sz w:val="28"/>
          <w:szCs w:val="28"/>
        </w:rPr>
      </w:pPr>
      <w:r>
        <w:rPr>
          <w:rFonts w:hint="eastAsia" w:ascii="Times New Roman" w:hAnsi="Times New Roman" w:eastAsia="楷体"/>
          <w:b/>
          <w:bCs/>
          <w:sz w:val="28"/>
          <w:szCs w:val="28"/>
        </w:rPr>
        <w:t>供水工程：</w:t>
      </w:r>
      <w:r>
        <w:rPr>
          <w:rFonts w:hint="eastAsia" w:ascii="Times New Roman" w:hAnsi="Times New Roman" w:eastAsia="楷体"/>
          <w:sz w:val="28"/>
          <w:szCs w:val="28"/>
        </w:rPr>
        <w:t>项目合计</w:t>
      </w:r>
      <w:r>
        <w:rPr>
          <w:rFonts w:ascii="Times New Roman" w:hAnsi="Times New Roman" w:eastAsia="楷体"/>
          <w:sz w:val="28"/>
          <w:szCs w:val="28"/>
        </w:rPr>
        <w:t>17</w:t>
      </w:r>
      <w:r>
        <w:rPr>
          <w:rFonts w:hint="eastAsia" w:ascii="Times New Roman" w:hAnsi="Times New Roman" w:eastAsia="楷体"/>
          <w:sz w:val="28"/>
          <w:szCs w:val="28"/>
        </w:rPr>
        <w:t>项，主要为新建、改造和管网延伸，计划完成投资</w:t>
      </w:r>
      <w:r>
        <w:rPr>
          <w:rFonts w:ascii="Times New Roman" w:hAnsi="Times New Roman" w:eastAsia="楷体"/>
          <w:sz w:val="28"/>
          <w:szCs w:val="28"/>
        </w:rPr>
        <w:t>5.08</w:t>
      </w:r>
      <w:r>
        <w:rPr>
          <w:rFonts w:hint="eastAsia" w:ascii="Times New Roman" w:hAnsi="Times New Roman" w:eastAsia="楷体"/>
          <w:sz w:val="28"/>
          <w:szCs w:val="28"/>
        </w:rPr>
        <w:t>亿元，占总计划投资的</w:t>
      </w:r>
      <w:r>
        <w:rPr>
          <w:rFonts w:ascii="Times New Roman" w:hAnsi="Times New Roman" w:eastAsia="楷体"/>
          <w:sz w:val="28"/>
          <w:szCs w:val="28"/>
        </w:rPr>
        <w:t>7.49</w:t>
      </w:r>
      <w:r>
        <w:rPr>
          <w:rFonts w:hint="eastAsia" w:ascii="Times New Roman" w:hAnsi="Times New Roman" w:eastAsia="楷体"/>
          <w:sz w:val="28"/>
          <w:szCs w:val="28"/>
        </w:rPr>
        <w:t>%。</w:t>
      </w:r>
    </w:p>
    <w:p w14:paraId="62AFD58D">
      <w:pPr>
        <w:spacing w:line="600" w:lineRule="exact"/>
        <w:ind w:firstLine="562" w:firstLineChars="200"/>
        <w:rPr>
          <w:rFonts w:ascii="Times New Roman" w:hAnsi="Times New Roman" w:eastAsia="楷体"/>
          <w:sz w:val="28"/>
          <w:szCs w:val="28"/>
        </w:rPr>
      </w:pPr>
      <w:r>
        <w:rPr>
          <w:rFonts w:hint="eastAsia" w:ascii="Times New Roman" w:hAnsi="Times New Roman" w:eastAsia="楷体"/>
          <w:b/>
          <w:bCs/>
          <w:sz w:val="28"/>
          <w:szCs w:val="28"/>
        </w:rPr>
        <w:t>大中型水库后扶：</w:t>
      </w:r>
      <w:r>
        <w:rPr>
          <w:rFonts w:hint="eastAsia" w:ascii="Times New Roman" w:hAnsi="Times New Roman" w:eastAsia="楷体"/>
          <w:sz w:val="28"/>
          <w:szCs w:val="28"/>
        </w:rPr>
        <w:t>计划完成投资4</w:t>
      </w:r>
      <w:r>
        <w:rPr>
          <w:rFonts w:ascii="Times New Roman" w:hAnsi="Times New Roman" w:eastAsia="楷体"/>
          <w:sz w:val="28"/>
          <w:szCs w:val="28"/>
        </w:rPr>
        <w:t>.63</w:t>
      </w:r>
      <w:r>
        <w:rPr>
          <w:rFonts w:hint="eastAsia" w:ascii="Times New Roman" w:hAnsi="Times New Roman" w:eastAsia="楷体"/>
          <w:sz w:val="28"/>
          <w:szCs w:val="28"/>
        </w:rPr>
        <w:t>亿元，占总计划投资的6</w:t>
      </w:r>
      <w:r>
        <w:rPr>
          <w:rFonts w:ascii="Times New Roman" w:hAnsi="Times New Roman" w:eastAsia="楷体"/>
          <w:sz w:val="28"/>
          <w:szCs w:val="28"/>
        </w:rPr>
        <w:t>.83</w:t>
      </w:r>
      <w:r>
        <w:rPr>
          <w:rFonts w:hint="eastAsia" w:ascii="Times New Roman" w:hAnsi="Times New Roman" w:eastAsia="楷体"/>
          <w:sz w:val="28"/>
          <w:szCs w:val="28"/>
        </w:rPr>
        <w:t>%。</w:t>
      </w:r>
    </w:p>
    <w:p w14:paraId="625EC6A1">
      <w:pPr>
        <w:spacing w:line="600" w:lineRule="exact"/>
        <w:ind w:firstLine="562" w:firstLineChars="200"/>
        <w:rPr>
          <w:rFonts w:ascii="Times New Roman" w:hAnsi="Times New Roman" w:eastAsia="楷体"/>
          <w:sz w:val="28"/>
          <w:szCs w:val="28"/>
        </w:rPr>
      </w:pPr>
      <w:r>
        <w:rPr>
          <w:rFonts w:hint="eastAsia" w:ascii="Times New Roman" w:hAnsi="Times New Roman" w:eastAsia="楷体"/>
          <w:b/>
          <w:bCs/>
          <w:sz w:val="28"/>
          <w:szCs w:val="28"/>
        </w:rPr>
        <w:t>其余</w:t>
      </w:r>
      <w:r>
        <w:rPr>
          <w:rFonts w:ascii="Times New Roman" w:hAnsi="Times New Roman" w:eastAsia="楷体"/>
          <w:b/>
          <w:bCs/>
          <w:sz w:val="28"/>
          <w:szCs w:val="28"/>
        </w:rPr>
        <w:t>工程：</w:t>
      </w:r>
      <w:r>
        <w:rPr>
          <w:rFonts w:hint="eastAsia" w:ascii="Times New Roman" w:hAnsi="Times New Roman" w:eastAsia="楷体"/>
          <w:sz w:val="28"/>
          <w:szCs w:val="28"/>
        </w:rPr>
        <w:t>其余工程计划总投资合计4</w:t>
      </w:r>
      <w:r>
        <w:rPr>
          <w:rFonts w:ascii="Times New Roman" w:hAnsi="Times New Roman" w:eastAsia="楷体"/>
          <w:sz w:val="28"/>
          <w:szCs w:val="28"/>
        </w:rPr>
        <w:t>.45</w:t>
      </w:r>
      <w:r>
        <w:rPr>
          <w:rFonts w:hint="eastAsia" w:ascii="Times New Roman" w:hAnsi="Times New Roman" w:eastAsia="楷体"/>
          <w:sz w:val="28"/>
          <w:szCs w:val="28"/>
        </w:rPr>
        <w:t>亿元，占总计划投资的6</w:t>
      </w:r>
      <w:r>
        <w:rPr>
          <w:rFonts w:ascii="Times New Roman" w:hAnsi="Times New Roman" w:eastAsia="楷体"/>
          <w:sz w:val="28"/>
          <w:szCs w:val="28"/>
        </w:rPr>
        <w:t>.57%</w:t>
      </w:r>
      <w:r>
        <w:rPr>
          <w:rFonts w:hint="eastAsia" w:ascii="Times New Roman" w:hAnsi="Times New Roman" w:eastAsia="楷体"/>
          <w:sz w:val="28"/>
          <w:szCs w:val="28"/>
        </w:rPr>
        <w:t>。</w:t>
      </w:r>
    </w:p>
    <w:p w14:paraId="40DC33BA">
      <w:pPr>
        <w:spacing w:line="400" w:lineRule="exact"/>
        <w:ind w:firstLine="560" w:firstLineChars="200"/>
        <w:jc w:val="center"/>
        <w:rPr>
          <w:rFonts w:ascii="Times New Roman" w:hAnsi="Times New Roman" w:eastAsiaTheme="minorEastAsia"/>
          <w:sz w:val="28"/>
          <w:szCs w:val="28"/>
        </w:rPr>
      </w:pPr>
      <w:r>
        <w:rPr>
          <w:rFonts w:ascii="Times New Roman" w:hAnsi="Times New Roman" w:eastAsia="楷体"/>
          <w:sz w:val="28"/>
          <w:szCs w:val="28"/>
        </w:rPr>
        <w:tab/>
      </w:r>
      <w:r>
        <w:rPr>
          <w:rFonts w:ascii="Times New Roman" w:hAnsi="Times New Roman" w:eastAsiaTheme="minorEastAsia"/>
          <w:sz w:val="28"/>
          <w:szCs w:val="28"/>
        </w:rPr>
        <w:t>奉节县“十四五”水利工程项目库投资汇总成果表</w:t>
      </w:r>
    </w:p>
    <w:p w14:paraId="2F79BC65">
      <w:pPr>
        <w:rPr>
          <w:rFonts w:ascii="Times New Roman" w:hAnsi="Times New Roman" w:eastAsia="楷体"/>
          <w:sz w:val="28"/>
          <w:szCs w:val="28"/>
        </w:rPr>
      </w:pPr>
      <w:r>
        <w:rPr>
          <w:rFonts w:ascii="Times New Roman" w:hAnsi="Times New Roman"/>
          <w:szCs w:val="21"/>
        </w:rPr>
        <w:t xml:space="preserve">  表9.1-1</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3076"/>
        <w:gridCol w:w="1123"/>
        <w:gridCol w:w="2646"/>
        <w:gridCol w:w="1783"/>
      </w:tblGrid>
      <w:tr w14:paraId="0D8DD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354" w:type="pct"/>
            <w:noWrap/>
            <w:vAlign w:val="center"/>
          </w:tcPr>
          <w:p w14:paraId="15C86AF3">
            <w:pPr>
              <w:widowControl/>
              <w:spacing w:line="280" w:lineRule="exact"/>
              <w:rPr>
                <w:rFonts w:ascii="宋体" w:hAnsi="宋体"/>
                <w:b/>
                <w:bCs/>
                <w:color w:val="000000"/>
                <w:kern w:val="0"/>
                <w:sz w:val="22"/>
              </w:rPr>
            </w:pPr>
            <w:r>
              <w:rPr>
                <w:rFonts w:hint="eastAsia" w:ascii="宋体" w:hAnsi="宋体"/>
                <w:b/>
                <w:bCs/>
                <w:color w:val="000000"/>
                <w:kern w:val="0"/>
                <w:sz w:val="22"/>
              </w:rPr>
              <w:t>序号</w:t>
            </w:r>
          </w:p>
        </w:tc>
        <w:tc>
          <w:tcPr>
            <w:tcW w:w="1656" w:type="pct"/>
            <w:noWrap/>
            <w:vAlign w:val="center"/>
          </w:tcPr>
          <w:p w14:paraId="42741D4C">
            <w:pPr>
              <w:widowControl/>
              <w:spacing w:line="280" w:lineRule="exact"/>
              <w:rPr>
                <w:rFonts w:ascii="宋体" w:hAnsi="宋体"/>
                <w:b/>
                <w:bCs/>
                <w:color w:val="000000"/>
                <w:kern w:val="0"/>
                <w:sz w:val="22"/>
              </w:rPr>
            </w:pPr>
            <w:r>
              <w:rPr>
                <w:rFonts w:hint="eastAsia" w:ascii="宋体" w:hAnsi="宋体"/>
                <w:b/>
                <w:bCs/>
                <w:color w:val="000000"/>
                <w:kern w:val="0"/>
                <w:sz w:val="22"/>
              </w:rPr>
              <w:t>项目类型</w:t>
            </w:r>
          </w:p>
        </w:tc>
        <w:tc>
          <w:tcPr>
            <w:tcW w:w="605" w:type="pct"/>
            <w:noWrap/>
            <w:vAlign w:val="center"/>
          </w:tcPr>
          <w:p w14:paraId="0839B1DC">
            <w:pPr>
              <w:widowControl/>
              <w:spacing w:line="280" w:lineRule="exact"/>
              <w:rPr>
                <w:rFonts w:ascii="宋体" w:hAnsi="宋体"/>
                <w:b/>
                <w:bCs/>
                <w:color w:val="000000"/>
                <w:kern w:val="0"/>
                <w:sz w:val="22"/>
              </w:rPr>
            </w:pPr>
            <w:r>
              <w:rPr>
                <w:rFonts w:hint="eastAsia" w:ascii="宋体" w:hAnsi="宋体"/>
                <w:b/>
                <w:bCs/>
                <w:color w:val="000000"/>
                <w:kern w:val="0"/>
                <w:sz w:val="22"/>
              </w:rPr>
              <w:t>数量</w:t>
            </w:r>
          </w:p>
        </w:tc>
        <w:tc>
          <w:tcPr>
            <w:tcW w:w="1425" w:type="pct"/>
            <w:noWrap/>
            <w:vAlign w:val="center"/>
          </w:tcPr>
          <w:p w14:paraId="1E4C8B74">
            <w:pPr>
              <w:widowControl/>
              <w:spacing w:line="280" w:lineRule="exact"/>
              <w:rPr>
                <w:rFonts w:ascii="宋体" w:hAnsi="宋体"/>
                <w:b/>
                <w:bCs/>
                <w:color w:val="000000"/>
                <w:kern w:val="0"/>
                <w:sz w:val="22"/>
              </w:rPr>
            </w:pPr>
            <w:r>
              <w:rPr>
                <w:rFonts w:hint="eastAsia" w:ascii="宋体" w:hAnsi="宋体"/>
                <w:b/>
                <w:bCs/>
                <w:color w:val="000000"/>
                <w:kern w:val="0"/>
                <w:sz w:val="22"/>
              </w:rPr>
              <w:t>“十四五”投资（亿元）</w:t>
            </w:r>
          </w:p>
        </w:tc>
        <w:tc>
          <w:tcPr>
            <w:tcW w:w="960" w:type="pct"/>
            <w:vAlign w:val="center"/>
          </w:tcPr>
          <w:p w14:paraId="4F08343E">
            <w:pPr>
              <w:widowControl/>
              <w:spacing w:line="280" w:lineRule="exact"/>
              <w:rPr>
                <w:rFonts w:ascii="宋体" w:hAnsi="宋体"/>
                <w:b/>
                <w:bCs/>
                <w:color w:val="000000"/>
                <w:kern w:val="0"/>
                <w:sz w:val="22"/>
              </w:rPr>
            </w:pPr>
            <w:r>
              <w:rPr>
                <w:rFonts w:hint="eastAsia" w:ascii="宋体" w:hAnsi="宋体"/>
                <w:b/>
                <w:bCs/>
                <w:color w:val="000000"/>
                <w:kern w:val="0"/>
                <w:sz w:val="22"/>
              </w:rPr>
              <w:t>投资占比</w:t>
            </w:r>
          </w:p>
        </w:tc>
      </w:tr>
      <w:tr w14:paraId="0730D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38B82F8E">
            <w:pPr>
              <w:widowControl/>
              <w:spacing w:line="280" w:lineRule="exact"/>
              <w:rPr>
                <w:rFonts w:ascii="宋体" w:hAnsi="宋体"/>
                <w:b/>
                <w:bCs/>
                <w:color w:val="000000"/>
                <w:kern w:val="0"/>
                <w:sz w:val="22"/>
              </w:rPr>
            </w:pPr>
            <w:r>
              <w:rPr>
                <w:rFonts w:hint="eastAsia" w:ascii="宋体" w:hAnsi="宋体"/>
                <w:b/>
                <w:bCs/>
                <w:color w:val="000000"/>
                <w:kern w:val="0"/>
                <w:sz w:val="22"/>
              </w:rPr>
              <w:t>1</w:t>
            </w:r>
          </w:p>
        </w:tc>
        <w:tc>
          <w:tcPr>
            <w:tcW w:w="1656" w:type="pct"/>
            <w:noWrap/>
            <w:vAlign w:val="center"/>
          </w:tcPr>
          <w:p w14:paraId="25EB0909">
            <w:pPr>
              <w:widowControl/>
              <w:spacing w:line="280" w:lineRule="exact"/>
              <w:rPr>
                <w:rFonts w:ascii="宋体" w:hAnsi="宋体"/>
                <w:color w:val="000000"/>
                <w:kern w:val="0"/>
                <w:sz w:val="22"/>
              </w:rPr>
            </w:pPr>
            <w:r>
              <w:rPr>
                <w:rFonts w:hint="eastAsia" w:ascii="宋体" w:hAnsi="宋体"/>
                <w:color w:val="000000"/>
                <w:kern w:val="0"/>
                <w:sz w:val="22"/>
              </w:rPr>
              <w:t>水库工程</w:t>
            </w:r>
          </w:p>
        </w:tc>
        <w:tc>
          <w:tcPr>
            <w:tcW w:w="605" w:type="pct"/>
            <w:noWrap/>
            <w:vAlign w:val="center"/>
          </w:tcPr>
          <w:p w14:paraId="266D5774">
            <w:pPr>
              <w:widowControl/>
              <w:spacing w:line="280" w:lineRule="exact"/>
              <w:rPr>
                <w:rFonts w:ascii="宋体" w:hAnsi="宋体"/>
                <w:color w:val="000000"/>
                <w:kern w:val="0"/>
                <w:sz w:val="22"/>
              </w:rPr>
            </w:pPr>
            <w:r>
              <w:rPr>
                <w:rFonts w:hint="eastAsia" w:ascii="宋体" w:hAnsi="宋体"/>
                <w:color w:val="000000"/>
                <w:kern w:val="0"/>
                <w:sz w:val="22"/>
              </w:rPr>
              <w:t>18</w:t>
            </w:r>
          </w:p>
        </w:tc>
        <w:tc>
          <w:tcPr>
            <w:tcW w:w="1425" w:type="pct"/>
            <w:noWrap/>
            <w:vAlign w:val="center"/>
          </w:tcPr>
          <w:p w14:paraId="4FDD0997">
            <w:pPr>
              <w:widowControl/>
              <w:spacing w:line="280" w:lineRule="exact"/>
              <w:rPr>
                <w:rFonts w:ascii="宋体" w:hAnsi="宋体"/>
                <w:color w:val="000000"/>
                <w:kern w:val="0"/>
                <w:sz w:val="22"/>
              </w:rPr>
            </w:pPr>
            <w:r>
              <w:rPr>
                <w:rFonts w:hint="eastAsia" w:ascii="宋体" w:hAnsi="宋体"/>
                <w:color w:val="000000"/>
                <w:kern w:val="0"/>
                <w:sz w:val="22"/>
              </w:rPr>
              <w:t>302805</w:t>
            </w:r>
          </w:p>
        </w:tc>
        <w:tc>
          <w:tcPr>
            <w:tcW w:w="960" w:type="pct"/>
            <w:vAlign w:val="bottom"/>
          </w:tcPr>
          <w:p w14:paraId="155B48DA">
            <w:pPr>
              <w:widowControl/>
              <w:spacing w:line="280" w:lineRule="exact"/>
              <w:rPr>
                <w:rFonts w:ascii="宋体" w:hAnsi="宋体"/>
                <w:color w:val="000000"/>
                <w:kern w:val="0"/>
                <w:sz w:val="22"/>
              </w:rPr>
            </w:pPr>
            <w:r>
              <w:rPr>
                <w:rFonts w:hint="eastAsia" w:ascii="宋体" w:hAnsi="宋体"/>
                <w:color w:val="000000"/>
                <w:kern w:val="0"/>
                <w:sz w:val="22"/>
              </w:rPr>
              <w:t>44.67%</w:t>
            </w:r>
          </w:p>
        </w:tc>
      </w:tr>
      <w:tr w14:paraId="07125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1AF1E0C5">
            <w:pPr>
              <w:widowControl/>
              <w:spacing w:line="280" w:lineRule="exact"/>
              <w:rPr>
                <w:rFonts w:ascii="宋体" w:hAnsi="宋体"/>
                <w:b/>
                <w:bCs/>
                <w:color w:val="000000"/>
                <w:kern w:val="0"/>
                <w:sz w:val="22"/>
              </w:rPr>
            </w:pPr>
            <w:r>
              <w:rPr>
                <w:rFonts w:hint="eastAsia" w:ascii="宋体" w:hAnsi="宋体"/>
                <w:b/>
                <w:bCs/>
                <w:color w:val="000000"/>
                <w:kern w:val="0"/>
                <w:sz w:val="22"/>
              </w:rPr>
              <w:t>2</w:t>
            </w:r>
          </w:p>
        </w:tc>
        <w:tc>
          <w:tcPr>
            <w:tcW w:w="1656" w:type="pct"/>
            <w:noWrap/>
            <w:vAlign w:val="center"/>
          </w:tcPr>
          <w:p w14:paraId="28BEFD82">
            <w:pPr>
              <w:widowControl/>
              <w:spacing w:line="280" w:lineRule="exact"/>
              <w:rPr>
                <w:rFonts w:ascii="宋体" w:hAnsi="宋体"/>
                <w:color w:val="000000"/>
                <w:kern w:val="0"/>
                <w:sz w:val="22"/>
              </w:rPr>
            </w:pPr>
            <w:r>
              <w:rPr>
                <w:rFonts w:hint="eastAsia" w:ascii="宋体" w:hAnsi="宋体"/>
                <w:color w:val="000000"/>
                <w:kern w:val="0"/>
                <w:sz w:val="22"/>
              </w:rPr>
              <w:t>库岸治理工程</w:t>
            </w:r>
          </w:p>
        </w:tc>
        <w:tc>
          <w:tcPr>
            <w:tcW w:w="605" w:type="pct"/>
            <w:noWrap/>
            <w:vAlign w:val="center"/>
          </w:tcPr>
          <w:p w14:paraId="560451BA">
            <w:pPr>
              <w:widowControl/>
              <w:spacing w:line="280" w:lineRule="exact"/>
              <w:rPr>
                <w:rFonts w:ascii="宋体" w:hAnsi="宋体"/>
                <w:color w:val="000000"/>
                <w:kern w:val="0"/>
                <w:sz w:val="22"/>
              </w:rPr>
            </w:pPr>
            <w:r>
              <w:rPr>
                <w:rFonts w:hint="eastAsia" w:ascii="宋体" w:hAnsi="宋体"/>
                <w:color w:val="000000"/>
                <w:kern w:val="0"/>
                <w:sz w:val="22"/>
              </w:rPr>
              <w:t>5</w:t>
            </w:r>
          </w:p>
        </w:tc>
        <w:tc>
          <w:tcPr>
            <w:tcW w:w="1425" w:type="pct"/>
            <w:noWrap/>
            <w:vAlign w:val="center"/>
          </w:tcPr>
          <w:p w14:paraId="6DC0A364">
            <w:pPr>
              <w:widowControl/>
              <w:spacing w:line="280" w:lineRule="exact"/>
              <w:rPr>
                <w:rFonts w:ascii="宋体" w:hAnsi="宋体"/>
                <w:color w:val="000000"/>
                <w:kern w:val="0"/>
                <w:sz w:val="22"/>
              </w:rPr>
            </w:pPr>
            <w:r>
              <w:rPr>
                <w:rFonts w:hint="eastAsia" w:ascii="宋体" w:hAnsi="宋体"/>
                <w:color w:val="000000"/>
                <w:kern w:val="0"/>
                <w:sz w:val="22"/>
              </w:rPr>
              <w:t>138874</w:t>
            </w:r>
          </w:p>
        </w:tc>
        <w:tc>
          <w:tcPr>
            <w:tcW w:w="960" w:type="pct"/>
            <w:vAlign w:val="bottom"/>
          </w:tcPr>
          <w:p w14:paraId="03B75A10">
            <w:pPr>
              <w:widowControl/>
              <w:spacing w:line="280" w:lineRule="exact"/>
              <w:rPr>
                <w:rFonts w:ascii="宋体" w:hAnsi="宋体"/>
                <w:color w:val="000000"/>
                <w:kern w:val="0"/>
                <w:sz w:val="22"/>
              </w:rPr>
            </w:pPr>
            <w:r>
              <w:rPr>
                <w:rFonts w:hint="eastAsia" w:ascii="宋体" w:hAnsi="宋体"/>
                <w:color w:val="000000"/>
                <w:kern w:val="0"/>
                <w:sz w:val="22"/>
              </w:rPr>
              <w:t>20.49%</w:t>
            </w:r>
          </w:p>
        </w:tc>
      </w:tr>
      <w:tr w14:paraId="5406A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2541D3C1">
            <w:pPr>
              <w:widowControl/>
              <w:spacing w:line="280" w:lineRule="exact"/>
              <w:rPr>
                <w:rFonts w:ascii="宋体" w:hAnsi="宋体"/>
                <w:b/>
                <w:bCs/>
                <w:color w:val="000000"/>
                <w:kern w:val="0"/>
                <w:sz w:val="22"/>
              </w:rPr>
            </w:pPr>
            <w:r>
              <w:rPr>
                <w:rFonts w:hint="eastAsia" w:ascii="宋体" w:hAnsi="宋体"/>
                <w:b/>
                <w:bCs/>
                <w:color w:val="000000"/>
                <w:kern w:val="0"/>
                <w:sz w:val="22"/>
              </w:rPr>
              <w:t>3</w:t>
            </w:r>
          </w:p>
        </w:tc>
        <w:tc>
          <w:tcPr>
            <w:tcW w:w="1656" w:type="pct"/>
            <w:noWrap/>
            <w:vAlign w:val="center"/>
          </w:tcPr>
          <w:p w14:paraId="5E5C2D84">
            <w:pPr>
              <w:widowControl/>
              <w:spacing w:line="280" w:lineRule="exact"/>
              <w:rPr>
                <w:rFonts w:ascii="宋体" w:hAnsi="宋体"/>
                <w:color w:val="000000"/>
                <w:kern w:val="0"/>
                <w:sz w:val="22"/>
              </w:rPr>
            </w:pPr>
            <w:r>
              <w:rPr>
                <w:rFonts w:hint="eastAsia" w:ascii="宋体" w:hAnsi="宋体"/>
                <w:color w:val="000000"/>
                <w:kern w:val="0"/>
                <w:sz w:val="22"/>
              </w:rPr>
              <w:t>中小河流治理工程</w:t>
            </w:r>
          </w:p>
        </w:tc>
        <w:tc>
          <w:tcPr>
            <w:tcW w:w="605" w:type="pct"/>
            <w:noWrap/>
            <w:vAlign w:val="center"/>
          </w:tcPr>
          <w:p w14:paraId="6A490A85">
            <w:pPr>
              <w:widowControl/>
              <w:spacing w:line="280" w:lineRule="exact"/>
              <w:rPr>
                <w:rFonts w:ascii="宋体" w:hAnsi="宋体"/>
                <w:color w:val="000000"/>
                <w:kern w:val="0"/>
                <w:sz w:val="22"/>
              </w:rPr>
            </w:pPr>
            <w:r>
              <w:rPr>
                <w:rFonts w:hint="eastAsia" w:ascii="宋体" w:hAnsi="宋体"/>
                <w:color w:val="000000"/>
                <w:kern w:val="0"/>
                <w:sz w:val="22"/>
              </w:rPr>
              <w:t>8</w:t>
            </w:r>
          </w:p>
        </w:tc>
        <w:tc>
          <w:tcPr>
            <w:tcW w:w="1425" w:type="pct"/>
            <w:noWrap/>
            <w:vAlign w:val="center"/>
          </w:tcPr>
          <w:p w14:paraId="1F4ACD46">
            <w:pPr>
              <w:widowControl/>
              <w:spacing w:line="280" w:lineRule="exact"/>
              <w:rPr>
                <w:rFonts w:ascii="宋体" w:hAnsi="宋体"/>
                <w:color w:val="000000"/>
                <w:kern w:val="0"/>
                <w:sz w:val="22"/>
              </w:rPr>
            </w:pPr>
            <w:r>
              <w:rPr>
                <w:rFonts w:ascii="宋体" w:hAnsi="宋体"/>
                <w:color w:val="000000"/>
                <w:kern w:val="0"/>
                <w:sz w:val="22"/>
              </w:rPr>
              <w:t>94645</w:t>
            </w:r>
          </w:p>
        </w:tc>
        <w:tc>
          <w:tcPr>
            <w:tcW w:w="960" w:type="pct"/>
            <w:vAlign w:val="bottom"/>
          </w:tcPr>
          <w:p w14:paraId="4219A9EE">
            <w:pPr>
              <w:widowControl/>
              <w:spacing w:line="280" w:lineRule="exact"/>
              <w:rPr>
                <w:rFonts w:ascii="宋体" w:hAnsi="宋体"/>
                <w:color w:val="000000"/>
                <w:kern w:val="0"/>
                <w:sz w:val="22"/>
              </w:rPr>
            </w:pPr>
            <w:r>
              <w:rPr>
                <w:rFonts w:hint="eastAsia" w:ascii="宋体" w:hAnsi="宋体"/>
                <w:color w:val="000000"/>
                <w:kern w:val="0"/>
                <w:sz w:val="22"/>
              </w:rPr>
              <w:t>13.96%</w:t>
            </w:r>
          </w:p>
        </w:tc>
      </w:tr>
      <w:tr w14:paraId="533A2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0F82F712">
            <w:pPr>
              <w:widowControl/>
              <w:spacing w:line="280" w:lineRule="exact"/>
              <w:rPr>
                <w:rFonts w:ascii="宋体" w:hAnsi="宋体"/>
                <w:b/>
                <w:bCs/>
                <w:color w:val="000000"/>
                <w:kern w:val="0"/>
                <w:sz w:val="22"/>
              </w:rPr>
            </w:pPr>
            <w:r>
              <w:rPr>
                <w:rFonts w:hint="eastAsia" w:ascii="宋体" w:hAnsi="宋体"/>
                <w:b/>
                <w:bCs/>
                <w:color w:val="000000"/>
                <w:kern w:val="0"/>
                <w:sz w:val="22"/>
              </w:rPr>
              <w:t>4</w:t>
            </w:r>
          </w:p>
        </w:tc>
        <w:tc>
          <w:tcPr>
            <w:tcW w:w="1656" w:type="pct"/>
            <w:noWrap/>
            <w:vAlign w:val="center"/>
          </w:tcPr>
          <w:p w14:paraId="1B554F22">
            <w:pPr>
              <w:widowControl/>
              <w:spacing w:line="280" w:lineRule="exact"/>
              <w:rPr>
                <w:rFonts w:ascii="宋体" w:hAnsi="宋体"/>
                <w:color w:val="000000"/>
                <w:kern w:val="0"/>
                <w:sz w:val="22"/>
              </w:rPr>
            </w:pPr>
            <w:r>
              <w:rPr>
                <w:rFonts w:hint="eastAsia" w:ascii="宋体" w:hAnsi="宋体"/>
                <w:color w:val="000000"/>
                <w:kern w:val="0"/>
                <w:sz w:val="22"/>
              </w:rPr>
              <w:t>病险水库（闸）除险加固工程</w:t>
            </w:r>
          </w:p>
        </w:tc>
        <w:tc>
          <w:tcPr>
            <w:tcW w:w="605" w:type="pct"/>
            <w:noWrap/>
            <w:vAlign w:val="center"/>
          </w:tcPr>
          <w:p w14:paraId="1CA803EA">
            <w:pPr>
              <w:widowControl/>
              <w:spacing w:line="280" w:lineRule="exact"/>
              <w:rPr>
                <w:rFonts w:ascii="宋体" w:hAnsi="宋体"/>
                <w:color w:val="000000"/>
                <w:kern w:val="0"/>
                <w:sz w:val="22"/>
              </w:rPr>
            </w:pPr>
            <w:r>
              <w:rPr>
                <w:rFonts w:hint="eastAsia" w:ascii="宋体" w:hAnsi="宋体"/>
                <w:color w:val="000000"/>
                <w:kern w:val="0"/>
                <w:sz w:val="22"/>
              </w:rPr>
              <w:t>8</w:t>
            </w:r>
          </w:p>
        </w:tc>
        <w:tc>
          <w:tcPr>
            <w:tcW w:w="1425" w:type="pct"/>
            <w:noWrap/>
            <w:vAlign w:val="center"/>
          </w:tcPr>
          <w:p w14:paraId="7124D17E">
            <w:pPr>
              <w:widowControl/>
              <w:spacing w:line="280" w:lineRule="exact"/>
              <w:rPr>
                <w:rFonts w:ascii="宋体" w:hAnsi="宋体"/>
                <w:color w:val="000000"/>
                <w:kern w:val="0"/>
                <w:sz w:val="22"/>
              </w:rPr>
            </w:pPr>
            <w:r>
              <w:rPr>
                <w:rFonts w:hint="eastAsia" w:ascii="宋体" w:hAnsi="宋体"/>
                <w:color w:val="000000"/>
                <w:kern w:val="0"/>
                <w:sz w:val="22"/>
              </w:rPr>
              <w:t>2602</w:t>
            </w:r>
          </w:p>
        </w:tc>
        <w:tc>
          <w:tcPr>
            <w:tcW w:w="960" w:type="pct"/>
            <w:vAlign w:val="bottom"/>
          </w:tcPr>
          <w:p w14:paraId="41603A3E">
            <w:pPr>
              <w:widowControl/>
              <w:spacing w:line="280" w:lineRule="exact"/>
              <w:rPr>
                <w:rFonts w:ascii="宋体" w:hAnsi="宋体"/>
                <w:color w:val="000000"/>
                <w:kern w:val="0"/>
                <w:sz w:val="22"/>
              </w:rPr>
            </w:pPr>
            <w:r>
              <w:rPr>
                <w:rFonts w:hint="eastAsia" w:ascii="宋体" w:hAnsi="宋体"/>
                <w:color w:val="000000"/>
                <w:kern w:val="0"/>
                <w:sz w:val="22"/>
              </w:rPr>
              <w:t>0.38%</w:t>
            </w:r>
          </w:p>
        </w:tc>
      </w:tr>
      <w:tr w14:paraId="07F0D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3521482A">
            <w:pPr>
              <w:widowControl/>
              <w:spacing w:line="280" w:lineRule="exact"/>
              <w:rPr>
                <w:rFonts w:ascii="宋体" w:hAnsi="宋体"/>
                <w:b/>
                <w:bCs/>
                <w:color w:val="000000"/>
                <w:kern w:val="0"/>
                <w:sz w:val="22"/>
              </w:rPr>
            </w:pPr>
            <w:r>
              <w:rPr>
                <w:rFonts w:hint="eastAsia" w:ascii="宋体" w:hAnsi="宋体"/>
                <w:b/>
                <w:bCs/>
                <w:color w:val="000000"/>
                <w:kern w:val="0"/>
                <w:sz w:val="22"/>
              </w:rPr>
              <w:t>5</w:t>
            </w:r>
          </w:p>
        </w:tc>
        <w:tc>
          <w:tcPr>
            <w:tcW w:w="1656" w:type="pct"/>
            <w:noWrap/>
            <w:vAlign w:val="center"/>
          </w:tcPr>
          <w:p w14:paraId="79B6AE1D">
            <w:pPr>
              <w:widowControl/>
              <w:spacing w:line="280" w:lineRule="exact"/>
              <w:rPr>
                <w:rFonts w:ascii="宋体" w:hAnsi="宋体"/>
                <w:color w:val="000000"/>
                <w:kern w:val="0"/>
                <w:sz w:val="22"/>
              </w:rPr>
            </w:pPr>
            <w:r>
              <w:rPr>
                <w:rFonts w:hint="eastAsia" w:ascii="宋体" w:hAnsi="宋体"/>
                <w:color w:val="000000"/>
                <w:kern w:val="0"/>
                <w:sz w:val="22"/>
              </w:rPr>
              <w:t>山洪沟治理工程</w:t>
            </w:r>
          </w:p>
        </w:tc>
        <w:tc>
          <w:tcPr>
            <w:tcW w:w="605" w:type="pct"/>
            <w:noWrap/>
            <w:vAlign w:val="center"/>
          </w:tcPr>
          <w:p w14:paraId="76EB42D8">
            <w:pPr>
              <w:widowControl/>
              <w:spacing w:line="280" w:lineRule="exact"/>
              <w:rPr>
                <w:rFonts w:ascii="宋体" w:hAnsi="宋体"/>
                <w:color w:val="000000"/>
                <w:kern w:val="0"/>
                <w:sz w:val="22"/>
              </w:rPr>
            </w:pPr>
            <w:r>
              <w:rPr>
                <w:rFonts w:hint="eastAsia" w:ascii="宋体" w:hAnsi="宋体"/>
                <w:color w:val="000000"/>
                <w:kern w:val="0"/>
                <w:sz w:val="22"/>
              </w:rPr>
              <w:t>2</w:t>
            </w:r>
          </w:p>
        </w:tc>
        <w:tc>
          <w:tcPr>
            <w:tcW w:w="1425" w:type="pct"/>
            <w:noWrap/>
            <w:vAlign w:val="center"/>
          </w:tcPr>
          <w:p w14:paraId="26B680EF">
            <w:pPr>
              <w:widowControl/>
              <w:spacing w:line="280" w:lineRule="exact"/>
              <w:rPr>
                <w:rFonts w:ascii="宋体" w:hAnsi="宋体"/>
                <w:color w:val="000000"/>
                <w:kern w:val="0"/>
                <w:sz w:val="22"/>
              </w:rPr>
            </w:pPr>
            <w:r>
              <w:rPr>
                <w:rFonts w:hint="eastAsia" w:ascii="宋体" w:hAnsi="宋体"/>
                <w:color w:val="000000"/>
                <w:kern w:val="0"/>
                <w:sz w:val="22"/>
              </w:rPr>
              <w:t>200</w:t>
            </w:r>
          </w:p>
        </w:tc>
        <w:tc>
          <w:tcPr>
            <w:tcW w:w="960" w:type="pct"/>
            <w:vAlign w:val="bottom"/>
          </w:tcPr>
          <w:p w14:paraId="745D6D9D">
            <w:pPr>
              <w:widowControl/>
              <w:spacing w:line="280" w:lineRule="exact"/>
              <w:rPr>
                <w:rFonts w:ascii="宋体" w:hAnsi="宋体"/>
                <w:color w:val="000000"/>
                <w:kern w:val="0"/>
                <w:sz w:val="22"/>
              </w:rPr>
            </w:pPr>
            <w:r>
              <w:rPr>
                <w:rFonts w:hint="eastAsia" w:ascii="宋体" w:hAnsi="宋体"/>
                <w:color w:val="000000"/>
                <w:kern w:val="0"/>
                <w:sz w:val="22"/>
              </w:rPr>
              <w:t>0.03%</w:t>
            </w:r>
          </w:p>
        </w:tc>
      </w:tr>
      <w:tr w14:paraId="71F95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154110B9">
            <w:pPr>
              <w:widowControl/>
              <w:spacing w:line="280" w:lineRule="exact"/>
              <w:rPr>
                <w:rFonts w:ascii="宋体" w:hAnsi="宋体"/>
                <w:b/>
                <w:bCs/>
                <w:color w:val="000000"/>
                <w:kern w:val="0"/>
                <w:sz w:val="22"/>
              </w:rPr>
            </w:pPr>
            <w:r>
              <w:rPr>
                <w:rFonts w:hint="eastAsia" w:ascii="宋体" w:hAnsi="宋体"/>
                <w:b/>
                <w:bCs/>
                <w:color w:val="000000"/>
                <w:kern w:val="0"/>
                <w:sz w:val="22"/>
              </w:rPr>
              <w:t>6</w:t>
            </w:r>
          </w:p>
        </w:tc>
        <w:tc>
          <w:tcPr>
            <w:tcW w:w="1656" w:type="pct"/>
            <w:noWrap/>
            <w:vAlign w:val="center"/>
          </w:tcPr>
          <w:p w14:paraId="241A2A86">
            <w:pPr>
              <w:widowControl/>
              <w:spacing w:line="280" w:lineRule="exact"/>
              <w:rPr>
                <w:rFonts w:ascii="宋体" w:hAnsi="宋体"/>
                <w:color w:val="000000"/>
                <w:kern w:val="0"/>
                <w:sz w:val="22"/>
              </w:rPr>
            </w:pPr>
            <w:r>
              <w:rPr>
                <w:rFonts w:hint="eastAsia" w:ascii="宋体" w:hAnsi="宋体"/>
                <w:color w:val="000000"/>
                <w:kern w:val="0"/>
                <w:sz w:val="22"/>
              </w:rPr>
              <w:t>供水工程</w:t>
            </w:r>
          </w:p>
        </w:tc>
        <w:tc>
          <w:tcPr>
            <w:tcW w:w="605" w:type="pct"/>
            <w:noWrap/>
            <w:vAlign w:val="center"/>
          </w:tcPr>
          <w:p w14:paraId="2488EDE8">
            <w:pPr>
              <w:widowControl/>
              <w:spacing w:line="280" w:lineRule="exact"/>
              <w:rPr>
                <w:rFonts w:ascii="宋体" w:hAnsi="宋体"/>
                <w:color w:val="000000"/>
                <w:kern w:val="0"/>
                <w:sz w:val="22"/>
              </w:rPr>
            </w:pPr>
            <w:r>
              <w:rPr>
                <w:rFonts w:hint="eastAsia" w:ascii="宋体" w:hAnsi="宋体"/>
                <w:color w:val="000000"/>
                <w:kern w:val="0"/>
                <w:sz w:val="22"/>
              </w:rPr>
              <w:t>17</w:t>
            </w:r>
          </w:p>
        </w:tc>
        <w:tc>
          <w:tcPr>
            <w:tcW w:w="1425" w:type="pct"/>
            <w:noWrap/>
            <w:vAlign w:val="center"/>
          </w:tcPr>
          <w:p w14:paraId="004B8050">
            <w:pPr>
              <w:widowControl/>
              <w:spacing w:line="280" w:lineRule="exact"/>
              <w:rPr>
                <w:rFonts w:ascii="宋体" w:hAnsi="宋体"/>
                <w:color w:val="000000"/>
                <w:kern w:val="0"/>
                <w:sz w:val="22"/>
              </w:rPr>
            </w:pPr>
            <w:r>
              <w:rPr>
                <w:rFonts w:hint="eastAsia" w:ascii="宋体" w:hAnsi="宋体"/>
                <w:color w:val="000000"/>
                <w:kern w:val="0"/>
                <w:sz w:val="22"/>
              </w:rPr>
              <w:t>50780</w:t>
            </w:r>
          </w:p>
        </w:tc>
        <w:tc>
          <w:tcPr>
            <w:tcW w:w="960" w:type="pct"/>
            <w:vAlign w:val="bottom"/>
          </w:tcPr>
          <w:p w14:paraId="08182DB6">
            <w:pPr>
              <w:widowControl/>
              <w:spacing w:line="280" w:lineRule="exact"/>
              <w:rPr>
                <w:rFonts w:ascii="宋体" w:hAnsi="宋体"/>
                <w:color w:val="000000"/>
                <w:kern w:val="0"/>
                <w:sz w:val="22"/>
              </w:rPr>
            </w:pPr>
            <w:r>
              <w:rPr>
                <w:rFonts w:hint="eastAsia" w:ascii="宋体" w:hAnsi="宋体"/>
                <w:color w:val="000000"/>
                <w:kern w:val="0"/>
                <w:sz w:val="22"/>
              </w:rPr>
              <w:t>7.49%</w:t>
            </w:r>
          </w:p>
        </w:tc>
      </w:tr>
      <w:tr w14:paraId="12A7C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1A3DF55C">
            <w:pPr>
              <w:widowControl/>
              <w:spacing w:line="280" w:lineRule="exact"/>
              <w:rPr>
                <w:rFonts w:ascii="宋体" w:hAnsi="宋体"/>
                <w:b/>
                <w:bCs/>
                <w:color w:val="000000"/>
                <w:kern w:val="0"/>
                <w:sz w:val="22"/>
              </w:rPr>
            </w:pPr>
            <w:r>
              <w:rPr>
                <w:rFonts w:hint="eastAsia" w:ascii="宋体" w:hAnsi="宋体"/>
                <w:b/>
                <w:bCs/>
                <w:color w:val="000000"/>
                <w:kern w:val="0"/>
                <w:sz w:val="22"/>
              </w:rPr>
              <w:t>7</w:t>
            </w:r>
          </w:p>
        </w:tc>
        <w:tc>
          <w:tcPr>
            <w:tcW w:w="1656" w:type="pct"/>
            <w:noWrap/>
            <w:vAlign w:val="center"/>
          </w:tcPr>
          <w:p w14:paraId="42B7CB46">
            <w:pPr>
              <w:widowControl/>
              <w:spacing w:line="280" w:lineRule="exact"/>
              <w:rPr>
                <w:rFonts w:ascii="宋体" w:hAnsi="宋体"/>
                <w:color w:val="000000"/>
                <w:kern w:val="0"/>
                <w:sz w:val="22"/>
              </w:rPr>
            </w:pPr>
            <w:r>
              <w:rPr>
                <w:rFonts w:hint="eastAsia" w:ascii="宋体" w:hAnsi="宋体"/>
                <w:color w:val="000000"/>
                <w:kern w:val="0"/>
                <w:sz w:val="22"/>
              </w:rPr>
              <w:t>农田水利</w:t>
            </w:r>
          </w:p>
        </w:tc>
        <w:tc>
          <w:tcPr>
            <w:tcW w:w="605" w:type="pct"/>
            <w:noWrap/>
            <w:vAlign w:val="center"/>
          </w:tcPr>
          <w:p w14:paraId="5A4BB365">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3D3D1467">
            <w:pPr>
              <w:widowControl/>
              <w:spacing w:line="280" w:lineRule="exact"/>
              <w:rPr>
                <w:rFonts w:ascii="宋体" w:hAnsi="宋体"/>
                <w:color w:val="000000"/>
                <w:kern w:val="0"/>
                <w:sz w:val="22"/>
              </w:rPr>
            </w:pPr>
            <w:r>
              <w:rPr>
                <w:rFonts w:hint="eastAsia" w:ascii="宋体" w:hAnsi="宋体"/>
                <w:color w:val="000000"/>
                <w:kern w:val="0"/>
                <w:sz w:val="22"/>
              </w:rPr>
              <w:t>2000</w:t>
            </w:r>
          </w:p>
        </w:tc>
        <w:tc>
          <w:tcPr>
            <w:tcW w:w="960" w:type="pct"/>
            <w:vAlign w:val="bottom"/>
          </w:tcPr>
          <w:p w14:paraId="51E77C4B">
            <w:pPr>
              <w:widowControl/>
              <w:spacing w:line="280" w:lineRule="exact"/>
              <w:rPr>
                <w:rFonts w:ascii="宋体" w:hAnsi="宋体"/>
                <w:color w:val="000000"/>
                <w:kern w:val="0"/>
                <w:sz w:val="22"/>
              </w:rPr>
            </w:pPr>
            <w:r>
              <w:rPr>
                <w:rFonts w:hint="eastAsia" w:ascii="宋体" w:hAnsi="宋体"/>
                <w:color w:val="000000"/>
                <w:kern w:val="0"/>
                <w:sz w:val="22"/>
              </w:rPr>
              <w:t>0.30%</w:t>
            </w:r>
          </w:p>
        </w:tc>
      </w:tr>
      <w:tr w14:paraId="58F9C7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30EDA99E">
            <w:pPr>
              <w:widowControl/>
              <w:spacing w:line="280" w:lineRule="exact"/>
              <w:rPr>
                <w:rFonts w:ascii="宋体" w:hAnsi="宋体"/>
                <w:b/>
                <w:bCs/>
                <w:color w:val="000000"/>
                <w:kern w:val="0"/>
                <w:sz w:val="22"/>
              </w:rPr>
            </w:pPr>
            <w:r>
              <w:rPr>
                <w:rFonts w:hint="eastAsia" w:ascii="宋体" w:hAnsi="宋体"/>
                <w:b/>
                <w:bCs/>
                <w:color w:val="000000"/>
                <w:kern w:val="0"/>
                <w:sz w:val="22"/>
              </w:rPr>
              <w:t>8</w:t>
            </w:r>
          </w:p>
        </w:tc>
        <w:tc>
          <w:tcPr>
            <w:tcW w:w="1656" w:type="pct"/>
            <w:noWrap/>
            <w:vAlign w:val="center"/>
          </w:tcPr>
          <w:p w14:paraId="69B85BC2">
            <w:pPr>
              <w:widowControl/>
              <w:spacing w:line="280" w:lineRule="exact"/>
              <w:rPr>
                <w:rFonts w:ascii="宋体" w:hAnsi="宋体"/>
                <w:color w:val="000000"/>
                <w:kern w:val="0"/>
                <w:sz w:val="22"/>
              </w:rPr>
            </w:pPr>
            <w:r>
              <w:rPr>
                <w:rFonts w:hint="eastAsia" w:ascii="宋体" w:hAnsi="宋体"/>
                <w:color w:val="000000"/>
                <w:kern w:val="0"/>
                <w:sz w:val="22"/>
              </w:rPr>
              <w:t>水土保持</w:t>
            </w:r>
          </w:p>
        </w:tc>
        <w:tc>
          <w:tcPr>
            <w:tcW w:w="605" w:type="pct"/>
            <w:noWrap/>
            <w:vAlign w:val="center"/>
          </w:tcPr>
          <w:p w14:paraId="357FEA1A">
            <w:pPr>
              <w:widowControl/>
              <w:spacing w:line="280" w:lineRule="exact"/>
              <w:rPr>
                <w:rFonts w:ascii="宋体" w:hAnsi="宋体"/>
                <w:color w:val="000000"/>
                <w:kern w:val="0"/>
                <w:sz w:val="22"/>
              </w:rPr>
            </w:pPr>
            <w:r>
              <w:rPr>
                <w:rFonts w:hint="eastAsia" w:ascii="宋体" w:hAnsi="宋体"/>
                <w:color w:val="000000"/>
                <w:kern w:val="0"/>
                <w:sz w:val="22"/>
              </w:rPr>
              <w:t>5</w:t>
            </w:r>
          </w:p>
        </w:tc>
        <w:tc>
          <w:tcPr>
            <w:tcW w:w="1425" w:type="pct"/>
            <w:noWrap/>
            <w:vAlign w:val="center"/>
          </w:tcPr>
          <w:p w14:paraId="53BA09BA">
            <w:pPr>
              <w:widowControl/>
              <w:spacing w:line="280" w:lineRule="exact"/>
              <w:rPr>
                <w:rFonts w:ascii="宋体" w:hAnsi="宋体"/>
                <w:color w:val="000000"/>
                <w:kern w:val="0"/>
                <w:sz w:val="22"/>
              </w:rPr>
            </w:pPr>
            <w:r>
              <w:rPr>
                <w:rFonts w:hint="eastAsia" w:ascii="宋体" w:hAnsi="宋体"/>
                <w:color w:val="000000"/>
                <w:kern w:val="0"/>
                <w:sz w:val="22"/>
              </w:rPr>
              <w:t>4211</w:t>
            </w:r>
          </w:p>
        </w:tc>
        <w:tc>
          <w:tcPr>
            <w:tcW w:w="960" w:type="pct"/>
            <w:vAlign w:val="bottom"/>
          </w:tcPr>
          <w:p w14:paraId="1A187F36">
            <w:pPr>
              <w:widowControl/>
              <w:spacing w:line="280" w:lineRule="exact"/>
              <w:rPr>
                <w:rFonts w:ascii="宋体" w:hAnsi="宋体"/>
                <w:color w:val="000000"/>
                <w:kern w:val="0"/>
                <w:sz w:val="22"/>
              </w:rPr>
            </w:pPr>
            <w:r>
              <w:rPr>
                <w:rFonts w:hint="eastAsia" w:ascii="宋体" w:hAnsi="宋体"/>
                <w:color w:val="000000"/>
                <w:kern w:val="0"/>
                <w:sz w:val="22"/>
              </w:rPr>
              <w:t>0.62%</w:t>
            </w:r>
          </w:p>
        </w:tc>
      </w:tr>
      <w:tr w14:paraId="34953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32D707F9">
            <w:pPr>
              <w:widowControl/>
              <w:spacing w:line="280" w:lineRule="exact"/>
              <w:rPr>
                <w:rFonts w:ascii="宋体" w:hAnsi="宋体"/>
                <w:b/>
                <w:bCs/>
                <w:color w:val="000000"/>
                <w:kern w:val="0"/>
                <w:sz w:val="22"/>
              </w:rPr>
            </w:pPr>
            <w:r>
              <w:rPr>
                <w:rFonts w:hint="eastAsia" w:ascii="宋体" w:hAnsi="宋体"/>
                <w:b/>
                <w:bCs/>
                <w:color w:val="000000"/>
                <w:kern w:val="0"/>
                <w:sz w:val="22"/>
              </w:rPr>
              <w:t>9</w:t>
            </w:r>
          </w:p>
        </w:tc>
        <w:tc>
          <w:tcPr>
            <w:tcW w:w="1656" w:type="pct"/>
            <w:noWrap/>
            <w:vAlign w:val="center"/>
          </w:tcPr>
          <w:p w14:paraId="2CB222A0">
            <w:pPr>
              <w:widowControl/>
              <w:spacing w:line="280" w:lineRule="exact"/>
              <w:rPr>
                <w:rFonts w:ascii="宋体" w:hAnsi="宋体"/>
                <w:color w:val="000000"/>
                <w:kern w:val="0"/>
                <w:sz w:val="22"/>
              </w:rPr>
            </w:pPr>
            <w:r>
              <w:rPr>
                <w:rFonts w:hint="eastAsia" w:ascii="宋体" w:hAnsi="宋体"/>
                <w:color w:val="000000"/>
                <w:kern w:val="0"/>
                <w:sz w:val="22"/>
              </w:rPr>
              <w:t>水生态保护修复工程</w:t>
            </w:r>
          </w:p>
        </w:tc>
        <w:tc>
          <w:tcPr>
            <w:tcW w:w="605" w:type="pct"/>
            <w:noWrap/>
            <w:vAlign w:val="center"/>
          </w:tcPr>
          <w:p w14:paraId="1B8C93A4">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1AD67967">
            <w:pPr>
              <w:widowControl/>
              <w:spacing w:line="280" w:lineRule="exact"/>
              <w:rPr>
                <w:rFonts w:ascii="宋体" w:hAnsi="宋体"/>
                <w:color w:val="000000"/>
                <w:kern w:val="0"/>
                <w:sz w:val="22"/>
              </w:rPr>
            </w:pPr>
            <w:r>
              <w:rPr>
                <w:rFonts w:hint="eastAsia" w:ascii="宋体" w:hAnsi="宋体"/>
                <w:color w:val="000000"/>
                <w:kern w:val="0"/>
                <w:sz w:val="22"/>
              </w:rPr>
              <w:t>20000</w:t>
            </w:r>
          </w:p>
        </w:tc>
        <w:tc>
          <w:tcPr>
            <w:tcW w:w="960" w:type="pct"/>
            <w:vAlign w:val="bottom"/>
          </w:tcPr>
          <w:p w14:paraId="3DBB6995">
            <w:pPr>
              <w:widowControl/>
              <w:spacing w:line="280" w:lineRule="exact"/>
              <w:rPr>
                <w:rFonts w:ascii="宋体" w:hAnsi="宋体"/>
                <w:color w:val="000000"/>
                <w:kern w:val="0"/>
                <w:sz w:val="22"/>
              </w:rPr>
            </w:pPr>
            <w:r>
              <w:rPr>
                <w:rFonts w:hint="eastAsia" w:ascii="宋体" w:hAnsi="宋体"/>
                <w:color w:val="000000"/>
                <w:kern w:val="0"/>
                <w:sz w:val="22"/>
              </w:rPr>
              <w:t>2.95%</w:t>
            </w:r>
          </w:p>
        </w:tc>
      </w:tr>
      <w:tr w14:paraId="4DD2C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41AFA13D">
            <w:pPr>
              <w:widowControl/>
              <w:spacing w:line="280" w:lineRule="exact"/>
              <w:rPr>
                <w:rFonts w:ascii="宋体" w:hAnsi="宋体"/>
                <w:b/>
                <w:bCs/>
                <w:color w:val="000000"/>
                <w:kern w:val="0"/>
                <w:sz w:val="22"/>
              </w:rPr>
            </w:pPr>
            <w:r>
              <w:rPr>
                <w:rFonts w:hint="eastAsia" w:ascii="宋体" w:hAnsi="宋体"/>
                <w:b/>
                <w:bCs/>
                <w:color w:val="000000"/>
                <w:kern w:val="0"/>
                <w:sz w:val="22"/>
              </w:rPr>
              <w:t>10</w:t>
            </w:r>
          </w:p>
        </w:tc>
        <w:tc>
          <w:tcPr>
            <w:tcW w:w="1656" w:type="pct"/>
            <w:noWrap/>
            <w:vAlign w:val="center"/>
          </w:tcPr>
          <w:p w14:paraId="03589DB5">
            <w:pPr>
              <w:widowControl/>
              <w:spacing w:line="280" w:lineRule="exact"/>
              <w:rPr>
                <w:rFonts w:ascii="宋体" w:hAnsi="宋体"/>
                <w:color w:val="000000"/>
                <w:kern w:val="0"/>
                <w:sz w:val="22"/>
              </w:rPr>
            </w:pPr>
            <w:r>
              <w:rPr>
                <w:rFonts w:hint="eastAsia" w:ascii="宋体" w:hAnsi="宋体"/>
                <w:color w:val="000000"/>
                <w:kern w:val="0"/>
                <w:sz w:val="22"/>
              </w:rPr>
              <w:t>监测设施提档升级</w:t>
            </w:r>
          </w:p>
        </w:tc>
        <w:tc>
          <w:tcPr>
            <w:tcW w:w="605" w:type="pct"/>
            <w:noWrap/>
            <w:vAlign w:val="center"/>
          </w:tcPr>
          <w:p w14:paraId="05271665">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679CC44A">
            <w:pPr>
              <w:widowControl/>
              <w:spacing w:line="280" w:lineRule="exact"/>
              <w:rPr>
                <w:rFonts w:ascii="宋体" w:hAnsi="宋体"/>
                <w:color w:val="000000"/>
                <w:kern w:val="0"/>
                <w:sz w:val="22"/>
              </w:rPr>
            </w:pPr>
            <w:r>
              <w:rPr>
                <w:rFonts w:hint="eastAsia" w:ascii="宋体" w:hAnsi="宋体"/>
                <w:color w:val="000000"/>
                <w:kern w:val="0"/>
                <w:sz w:val="22"/>
              </w:rPr>
              <w:t>3000</w:t>
            </w:r>
          </w:p>
        </w:tc>
        <w:tc>
          <w:tcPr>
            <w:tcW w:w="960" w:type="pct"/>
            <w:vAlign w:val="bottom"/>
          </w:tcPr>
          <w:p w14:paraId="3B20573D">
            <w:pPr>
              <w:widowControl/>
              <w:spacing w:line="280" w:lineRule="exact"/>
              <w:rPr>
                <w:rFonts w:ascii="宋体" w:hAnsi="宋体"/>
                <w:color w:val="000000"/>
                <w:kern w:val="0"/>
                <w:sz w:val="22"/>
              </w:rPr>
            </w:pPr>
            <w:r>
              <w:rPr>
                <w:rFonts w:hint="eastAsia" w:ascii="宋体" w:hAnsi="宋体"/>
                <w:color w:val="000000"/>
                <w:kern w:val="0"/>
                <w:sz w:val="22"/>
              </w:rPr>
              <w:t>0.44%</w:t>
            </w:r>
          </w:p>
        </w:tc>
      </w:tr>
      <w:tr w14:paraId="60EF6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7C1B4333">
            <w:pPr>
              <w:widowControl/>
              <w:spacing w:line="280" w:lineRule="exact"/>
              <w:rPr>
                <w:rFonts w:ascii="宋体" w:hAnsi="宋体"/>
                <w:b/>
                <w:bCs/>
                <w:color w:val="000000"/>
                <w:kern w:val="0"/>
                <w:sz w:val="22"/>
              </w:rPr>
            </w:pPr>
            <w:r>
              <w:rPr>
                <w:rFonts w:hint="eastAsia" w:ascii="宋体" w:hAnsi="宋体"/>
                <w:b/>
                <w:bCs/>
                <w:color w:val="000000"/>
                <w:kern w:val="0"/>
                <w:sz w:val="22"/>
              </w:rPr>
              <w:t>11</w:t>
            </w:r>
          </w:p>
        </w:tc>
        <w:tc>
          <w:tcPr>
            <w:tcW w:w="1656" w:type="pct"/>
            <w:noWrap/>
            <w:vAlign w:val="center"/>
          </w:tcPr>
          <w:p w14:paraId="63A7B040">
            <w:pPr>
              <w:widowControl/>
              <w:spacing w:line="280" w:lineRule="exact"/>
              <w:rPr>
                <w:rFonts w:ascii="宋体" w:hAnsi="宋体"/>
                <w:color w:val="000000"/>
                <w:kern w:val="0"/>
                <w:sz w:val="22"/>
              </w:rPr>
            </w:pPr>
            <w:r>
              <w:rPr>
                <w:rFonts w:hint="eastAsia" w:ascii="宋体" w:hAnsi="宋体"/>
                <w:color w:val="000000"/>
                <w:kern w:val="0"/>
                <w:sz w:val="22"/>
              </w:rPr>
              <w:t>水电工程</w:t>
            </w:r>
          </w:p>
        </w:tc>
        <w:tc>
          <w:tcPr>
            <w:tcW w:w="605" w:type="pct"/>
            <w:noWrap/>
            <w:vAlign w:val="center"/>
          </w:tcPr>
          <w:p w14:paraId="1F6FA8D8">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14F92BC6">
            <w:pPr>
              <w:widowControl/>
              <w:spacing w:line="280" w:lineRule="exact"/>
              <w:rPr>
                <w:rFonts w:ascii="宋体" w:hAnsi="宋体"/>
                <w:color w:val="000000"/>
                <w:kern w:val="0"/>
                <w:sz w:val="22"/>
              </w:rPr>
            </w:pPr>
            <w:r>
              <w:rPr>
                <w:rFonts w:hint="eastAsia" w:ascii="宋体" w:hAnsi="宋体"/>
                <w:color w:val="000000"/>
                <w:kern w:val="0"/>
                <w:sz w:val="22"/>
              </w:rPr>
              <w:t>10000</w:t>
            </w:r>
          </w:p>
        </w:tc>
        <w:tc>
          <w:tcPr>
            <w:tcW w:w="960" w:type="pct"/>
            <w:vAlign w:val="bottom"/>
          </w:tcPr>
          <w:p w14:paraId="775F5E64">
            <w:pPr>
              <w:widowControl/>
              <w:spacing w:line="280" w:lineRule="exact"/>
              <w:rPr>
                <w:rFonts w:ascii="宋体" w:hAnsi="宋体"/>
                <w:color w:val="000000"/>
                <w:kern w:val="0"/>
                <w:sz w:val="22"/>
              </w:rPr>
            </w:pPr>
            <w:r>
              <w:rPr>
                <w:rFonts w:hint="eastAsia" w:ascii="宋体" w:hAnsi="宋体"/>
                <w:color w:val="000000"/>
                <w:kern w:val="0"/>
                <w:sz w:val="22"/>
              </w:rPr>
              <w:t>1.48%</w:t>
            </w:r>
          </w:p>
        </w:tc>
      </w:tr>
      <w:tr w14:paraId="518BE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34CB341D">
            <w:pPr>
              <w:widowControl/>
              <w:spacing w:line="280" w:lineRule="exact"/>
              <w:rPr>
                <w:rFonts w:ascii="宋体" w:hAnsi="宋体"/>
                <w:b/>
                <w:bCs/>
                <w:color w:val="000000"/>
                <w:kern w:val="0"/>
                <w:sz w:val="22"/>
              </w:rPr>
            </w:pPr>
            <w:r>
              <w:rPr>
                <w:rFonts w:hint="eastAsia" w:ascii="宋体" w:hAnsi="宋体"/>
                <w:b/>
                <w:bCs/>
                <w:color w:val="000000"/>
                <w:kern w:val="0"/>
                <w:sz w:val="22"/>
              </w:rPr>
              <w:t>12</w:t>
            </w:r>
          </w:p>
        </w:tc>
        <w:tc>
          <w:tcPr>
            <w:tcW w:w="1656" w:type="pct"/>
            <w:noWrap/>
            <w:vAlign w:val="center"/>
          </w:tcPr>
          <w:p w14:paraId="69D0782B">
            <w:pPr>
              <w:widowControl/>
              <w:spacing w:line="280" w:lineRule="exact"/>
              <w:rPr>
                <w:rFonts w:ascii="宋体" w:hAnsi="宋体"/>
                <w:color w:val="000000"/>
                <w:kern w:val="0"/>
                <w:sz w:val="22"/>
              </w:rPr>
            </w:pPr>
            <w:r>
              <w:rPr>
                <w:rFonts w:hint="eastAsia" w:ascii="宋体" w:hAnsi="宋体"/>
                <w:color w:val="000000"/>
                <w:kern w:val="0"/>
                <w:sz w:val="22"/>
              </w:rPr>
              <w:t>智慧水利</w:t>
            </w:r>
          </w:p>
        </w:tc>
        <w:tc>
          <w:tcPr>
            <w:tcW w:w="605" w:type="pct"/>
            <w:noWrap/>
            <w:vAlign w:val="center"/>
          </w:tcPr>
          <w:p w14:paraId="6DAC9F01">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19765E57">
            <w:pPr>
              <w:widowControl/>
              <w:spacing w:line="280" w:lineRule="exact"/>
              <w:rPr>
                <w:rFonts w:ascii="宋体" w:hAnsi="宋体"/>
                <w:color w:val="000000"/>
                <w:kern w:val="0"/>
                <w:sz w:val="22"/>
              </w:rPr>
            </w:pPr>
            <w:r>
              <w:rPr>
                <w:rFonts w:hint="eastAsia" w:ascii="宋体" w:hAnsi="宋体"/>
                <w:color w:val="000000"/>
                <w:kern w:val="0"/>
                <w:sz w:val="22"/>
              </w:rPr>
              <w:t>2500</w:t>
            </w:r>
          </w:p>
        </w:tc>
        <w:tc>
          <w:tcPr>
            <w:tcW w:w="960" w:type="pct"/>
            <w:vAlign w:val="bottom"/>
          </w:tcPr>
          <w:p w14:paraId="6CB72293">
            <w:pPr>
              <w:widowControl/>
              <w:spacing w:line="280" w:lineRule="exact"/>
              <w:rPr>
                <w:rFonts w:ascii="宋体" w:hAnsi="宋体"/>
                <w:color w:val="000000"/>
                <w:kern w:val="0"/>
                <w:sz w:val="22"/>
              </w:rPr>
            </w:pPr>
            <w:r>
              <w:rPr>
                <w:rFonts w:hint="eastAsia" w:ascii="宋体" w:hAnsi="宋体"/>
                <w:color w:val="000000"/>
                <w:kern w:val="0"/>
                <w:sz w:val="22"/>
              </w:rPr>
              <w:t>0.37%</w:t>
            </w:r>
          </w:p>
        </w:tc>
      </w:tr>
      <w:tr w14:paraId="13BC33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2E59028E">
            <w:pPr>
              <w:widowControl/>
              <w:spacing w:line="280" w:lineRule="exact"/>
              <w:rPr>
                <w:rFonts w:ascii="宋体" w:hAnsi="宋体"/>
                <w:b/>
                <w:bCs/>
                <w:color w:val="000000"/>
                <w:kern w:val="0"/>
                <w:sz w:val="22"/>
              </w:rPr>
            </w:pPr>
            <w:r>
              <w:rPr>
                <w:rFonts w:hint="eastAsia" w:ascii="宋体" w:hAnsi="宋体"/>
                <w:b/>
                <w:bCs/>
                <w:color w:val="000000"/>
                <w:kern w:val="0"/>
                <w:sz w:val="22"/>
              </w:rPr>
              <w:t>13</w:t>
            </w:r>
          </w:p>
        </w:tc>
        <w:tc>
          <w:tcPr>
            <w:tcW w:w="1656" w:type="pct"/>
            <w:noWrap/>
            <w:vAlign w:val="center"/>
          </w:tcPr>
          <w:p w14:paraId="1B86D8CE">
            <w:pPr>
              <w:widowControl/>
              <w:spacing w:line="280" w:lineRule="exact"/>
              <w:rPr>
                <w:rFonts w:ascii="宋体" w:hAnsi="宋体"/>
                <w:color w:val="000000"/>
                <w:kern w:val="0"/>
                <w:sz w:val="22"/>
              </w:rPr>
            </w:pPr>
            <w:r>
              <w:rPr>
                <w:rFonts w:hint="eastAsia" w:ascii="宋体" w:hAnsi="宋体"/>
                <w:color w:val="000000"/>
                <w:kern w:val="0"/>
                <w:sz w:val="22"/>
              </w:rPr>
              <w:t>大中型水库后扶</w:t>
            </w:r>
          </w:p>
        </w:tc>
        <w:tc>
          <w:tcPr>
            <w:tcW w:w="605" w:type="pct"/>
            <w:noWrap/>
            <w:vAlign w:val="center"/>
          </w:tcPr>
          <w:p w14:paraId="37A939DC">
            <w:pPr>
              <w:widowControl/>
              <w:spacing w:line="280" w:lineRule="exact"/>
              <w:rPr>
                <w:rFonts w:ascii="宋体" w:hAnsi="宋体"/>
                <w:color w:val="000000"/>
                <w:kern w:val="0"/>
                <w:sz w:val="22"/>
              </w:rPr>
            </w:pPr>
            <w:r>
              <w:rPr>
                <w:rFonts w:hint="eastAsia" w:ascii="宋体" w:hAnsi="宋体"/>
                <w:color w:val="000000"/>
                <w:kern w:val="0"/>
                <w:sz w:val="22"/>
              </w:rPr>
              <w:t>1</w:t>
            </w:r>
          </w:p>
        </w:tc>
        <w:tc>
          <w:tcPr>
            <w:tcW w:w="1425" w:type="pct"/>
            <w:noWrap/>
            <w:vAlign w:val="center"/>
          </w:tcPr>
          <w:p w14:paraId="31A0A82D">
            <w:pPr>
              <w:widowControl/>
              <w:spacing w:line="280" w:lineRule="exact"/>
              <w:rPr>
                <w:rFonts w:ascii="宋体" w:hAnsi="宋体"/>
                <w:color w:val="000000"/>
                <w:kern w:val="0"/>
                <w:sz w:val="22"/>
              </w:rPr>
            </w:pPr>
            <w:r>
              <w:rPr>
                <w:rFonts w:hint="eastAsia" w:ascii="宋体" w:hAnsi="宋体"/>
                <w:color w:val="000000"/>
                <w:kern w:val="0"/>
                <w:sz w:val="22"/>
              </w:rPr>
              <w:t>46278</w:t>
            </w:r>
          </w:p>
        </w:tc>
        <w:tc>
          <w:tcPr>
            <w:tcW w:w="960" w:type="pct"/>
            <w:vAlign w:val="bottom"/>
          </w:tcPr>
          <w:p w14:paraId="5A7475EB">
            <w:pPr>
              <w:widowControl/>
              <w:spacing w:line="280" w:lineRule="exact"/>
              <w:rPr>
                <w:rFonts w:ascii="宋体" w:hAnsi="宋体"/>
                <w:color w:val="000000"/>
                <w:kern w:val="0"/>
                <w:sz w:val="22"/>
              </w:rPr>
            </w:pPr>
            <w:r>
              <w:rPr>
                <w:rFonts w:hint="eastAsia" w:ascii="宋体" w:hAnsi="宋体"/>
                <w:color w:val="000000"/>
                <w:kern w:val="0"/>
                <w:sz w:val="22"/>
              </w:rPr>
              <w:t>6.83%</w:t>
            </w:r>
          </w:p>
        </w:tc>
      </w:tr>
      <w:tr w14:paraId="6F0F9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54" w:type="pct"/>
            <w:noWrap/>
            <w:vAlign w:val="center"/>
          </w:tcPr>
          <w:p w14:paraId="4F9DF66F">
            <w:pPr>
              <w:widowControl/>
              <w:spacing w:line="280" w:lineRule="exact"/>
              <w:rPr>
                <w:rFonts w:ascii="宋体" w:hAnsi="宋体"/>
                <w:b/>
                <w:bCs/>
                <w:color w:val="000000"/>
                <w:kern w:val="0"/>
                <w:sz w:val="22"/>
              </w:rPr>
            </w:pPr>
            <w:r>
              <w:rPr>
                <w:rFonts w:hint="eastAsia" w:ascii="宋体" w:hAnsi="宋体"/>
                <w:b/>
                <w:bCs/>
                <w:color w:val="000000"/>
                <w:kern w:val="0"/>
                <w:sz w:val="22"/>
              </w:rPr>
              <w:t>总计</w:t>
            </w:r>
          </w:p>
        </w:tc>
        <w:tc>
          <w:tcPr>
            <w:tcW w:w="1656" w:type="pct"/>
            <w:noWrap/>
            <w:vAlign w:val="center"/>
          </w:tcPr>
          <w:p w14:paraId="4A157C94">
            <w:pPr>
              <w:widowControl/>
              <w:spacing w:line="280" w:lineRule="exact"/>
              <w:rPr>
                <w:rFonts w:ascii="宋体" w:hAnsi="宋体"/>
                <w:b/>
                <w:bCs/>
                <w:color w:val="000000"/>
                <w:kern w:val="0"/>
                <w:sz w:val="22"/>
              </w:rPr>
            </w:pPr>
          </w:p>
        </w:tc>
        <w:tc>
          <w:tcPr>
            <w:tcW w:w="605" w:type="pct"/>
            <w:noWrap/>
            <w:vAlign w:val="center"/>
          </w:tcPr>
          <w:p w14:paraId="6087B6D3">
            <w:pPr>
              <w:widowControl/>
              <w:spacing w:line="280" w:lineRule="exact"/>
              <w:rPr>
                <w:rFonts w:ascii="宋体" w:hAnsi="宋体"/>
                <w:b/>
                <w:bCs/>
                <w:color w:val="000000"/>
                <w:kern w:val="0"/>
                <w:sz w:val="22"/>
              </w:rPr>
            </w:pPr>
            <w:r>
              <w:rPr>
                <w:rFonts w:hint="eastAsia" w:ascii="宋体" w:hAnsi="宋体"/>
                <w:b/>
                <w:bCs/>
                <w:color w:val="000000"/>
                <w:kern w:val="0"/>
                <w:sz w:val="22"/>
              </w:rPr>
              <w:t>6</w:t>
            </w:r>
            <w:r>
              <w:rPr>
                <w:rFonts w:ascii="宋体" w:hAnsi="宋体"/>
                <w:b/>
                <w:bCs/>
                <w:color w:val="000000"/>
                <w:kern w:val="0"/>
                <w:sz w:val="22"/>
              </w:rPr>
              <w:t>9</w:t>
            </w:r>
          </w:p>
        </w:tc>
        <w:tc>
          <w:tcPr>
            <w:tcW w:w="1425" w:type="pct"/>
            <w:noWrap/>
            <w:vAlign w:val="center"/>
          </w:tcPr>
          <w:p w14:paraId="5DB73047">
            <w:pPr>
              <w:widowControl/>
              <w:spacing w:line="280" w:lineRule="exact"/>
              <w:rPr>
                <w:rFonts w:ascii="宋体" w:hAnsi="宋体"/>
                <w:b/>
                <w:bCs/>
                <w:color w:val="000000"/>
                <w:kern w:val="0"/>
                <w:sz w:val="22"/>
              </w:rPr>
            </w:pPr>
            <w:r>
              <w:rPr>
                <w:rFonts w:ascii="宋体" w:hAnsi="宋体"/>
                <w:b/>
                <w:bCs/>
                <w:color w:val="000000"/>
                <w:kern w:val="0"/>
                <w:sz w:val="22"/>
              </w:rPr>
              <w:t>677895</w:t>
            </w:r>
          </w:p>
        </w:tc>
        <w:tc>
          <w:tcPr>
            <w:tcW w:w="960" w:type="pct"/>
            <w:vAlign w:val="center"/>
          </w:tcPr>
          <w:p w14:paraId="7BAB21E6">
            <w:pPr>
              <w:widowControl/>
              <w:spacing w:line="280" w:lineRule="exact"/>
              <w:rPr>
                <w:rFonts w:ascii="宋体" w:hAnsi="宋体"/>
                <w:b/>
                <w:bCs/>
                <w:color w:val="000000"/>
                <w:kern w:val="0"/>
                <w:sz w:val="22"/>
              </w:rPr>
            </w:pPr>
            <w:r>
              <w:rPr>
                <w:rFonts w:hint="eastAsia" w:ascii="宋体" w:hAnsi="宋体"/>
                <w:b/>
                <w:bCs/>
                <w:color w:val="000000"/>
                <w:sz w:val="22"/>
              </w:rPr>
              <w:t>100.0%</w:t>
            </w:r>
          </w:p>
        </w:tc>
      </w:tr>
    </w:tbl>
    <w:p w14:paraId="6DEE4D66">
      <w:pPr>
        <w:rPr>
          <w:rFonts w:ascii="Times New Roman" w:hAnsi="Times New Roman" w:eastAsia="楷体"/>
          <w:sz w:val="28"/>
          <w:szCs w:val="28"/>
        </w:rPr>
      </w:pPr>
      <w:r>
        <w:rPr>
          <w:rFonts w:ascii="Times New Roman" w:hAnsi="Times New Roman" w:eastAsia="楷体"/>
          <w:sz w:val="28"/>
          <w:szCs w:val="28"/>
        </w:rPr>
        <w:drawing>
          <wp:inline distT="0" distB="0" distL="0" distR="0">
            <wp:extent cx="5773420" cy="5121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73420" cy="5121275"/>
                    </a:xfrm>
                    <a:prstGeom prst="rect">
                      <a:avLst/>
                    </a:prstGeom>
                    <a:noFill/>
                  </pic:spPr>
                </pic:pic>
              </a:graphicData>
            </a:graphic>
          </wp:inline>
        </w:drawing>
      </w:r>
    </w:p>
    <w:p w14:paraId="279B1CC4">
      <w:pPr>
        <w:pStyle w:val="2"/>
        <w:sectPr>
          <w:pgSz w:w="11906" w:h="16838"/>
          <w:pgMar w:top="1418" w:right="1418" w:bottom="1418" w:left="1418" w:header="851" w:footer="992" w:gutter="0"/>
          <w:cols w:space="720" w:num="1"/>
          <w:docGrid w:type="lines" w:linePitch="312" w:charSpace="0"/>
        </w:sectPr>
      </w:pPr>
    </w:p>
    <w:p w14:paraId="1EA831BF">
      <w:pPr>
        <w:spacing w:line="400" w:lineRule="exact"/>
        <w:ind w:firstLine="560" w:firstLineChars="200"/>
        <w:jc w:val="center"/>
        <w:rPr>
          <w:rFonts w:ascii="Times New Roman" w:hAnsi="Times New Roman" w:eastAsiaTheme="minorEastAsia"/>
          <w:sz w:val="28"/>
          <w:szCs w:val="28"/>
        </w:rPr>
      </w:pPr>
      <w:r>
        <w:rPr>
          <w:rFonts w:ascii="Times New Roman" w:hAnsi="Times New Roman" w:eastAsiaTheme="minorEastAsia"/>
          <w:sz w:val="28"/>
          <w:szCs w:val="28"/>
        </w:rPr>
        <w:tab/>
      </w:r>
      <w:r>
        <w:rPr>
          <w:rFonts w:ascii="Times New Roman" w:hAnsi="Times New Roman" w:eastAsiaTheme="minorEastAsia"/>
          <w:sz w:val="28"/>
          <w:szCs w:val="28"/>
        </w:rPr>
        <w:t>奉节县“十四五”水利工程项目估算投资汇总成果表</w:t>
      </w:r>
    </w:p>
    <w:p w14:paraId="6F0F9125">
      <w:pPr>
        <w:rPr>
          <w:rFonts w:ascii="Times New Roman" w:hAnsi="Times New Roman"/>
        </w:rPr>
      </w:pPr>
      <w:r>
        <w:rPr>
          <w:rFonts w:ascii="Times New Roman" w:hAnsi="Times New Roman"/>
          <w:szCs w:val="21"/>
        </w:rPr>
        <w:t xml:space="preserve">  表9.1-2</w:t>
      </w:r>
    </w:p>
    <w:tbl>
      <w:tblPr>
        <w:tblStyle w:val="5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326"/>
        <w:gridCol w:w="1632"/>
        <w:gridCol w:w="933"/>
        <w:gridCol w:w="933"/>
        <w:gridCol w:w="933"/>
        <w:gridCol w:w="1632"/>
        <w:gridCol w:w="1166"/>
        <w:gridCol w:w="2335"/>
        <w:gridCol w:w="1632"/>
      </w:tblGrid>
      <w:tr w14:paraId="35D3A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vMerge w:val="restart"/>
            <w:noWrap/>
            <w:vAlign w:val="center"/>
          </w:tcPr>
          <w:p w14:paraId="6CE9FEB0">
            <w:pPr>
              <w:widowControl/>
              <w:spacing w:line="280" w:lineRule="exact"/>
              <w:rPr>
                <w:rFonts w:ascii="宋体" w:hAnsi="宋体"/>
                <w:b/>
                <w:bCs/>
                <w:color w:val="000000"/>
                <w:kern w:val="0"/>
                <w:sz w:val="22"/>
              </w:rPr>
            </w:pPr>
            <w:r>
              <w:rPr>
                <w:rFonts w:hint="eastAsia" w:ascii="宋体" w:hAnsi="宋体"/>
                <w:b/>
                <w:bCs/>
                <w:color w:val="000000"/>
                <w:kern w:val="0"/>
                <w:sz w:val="22"/>
              </w:rPr>
              <w:t>序号</w:t>
            </w:r>
          </w:p>
        </w:tc>
        <w:tc>
          <w:tcPr>
            <w:tcW w:w="818" w:type="pct"/>
            <w:vMerge w:val="restart"/>
            <w:noWrap/>
            <w:vAlign w:val="center"/>
          </w:tcPr>
          <w:p w14:paraId="45547C19">
            <w:pPr>
              <w:widowControl/>
              <w:spacing w:line="280" w:lineRule="exact"/>
              <w:rPr>
                <w:rFonts w:ascii="宋体" w:hAnsi="宋体"/>
                <w:b/>
                <w:bCs/>
                <w:color w:val="000000"/>
                <w:kern w:val="0"/>
                <w:sz w:val="22"/>
              </w:rPr>
            </w:pPr>
            <w:r>
              <w:rPr>
                <w:rFonts w:hint="eastAsia" w:ascii="宋体" w:hAnsi="宋体"/>
                <w:b/>
                <w:bCs/>
                <w:color w:val="000000"/>
                <w:kern w:val="0"/>
                <w:sz w:val="22"/>
              </w:rPr>
              <w:t>项目类型</w:t>
            </w:r>
          </w:p>
        </w:tc>
        <w:tc>
          <w:tcPr>
            <w:tcW w:w="574" w:type="pct"/>
            <w:vMerge w:val="restart"/>
            <w:noWrap/>
            <w:vAlign w:val="center"/>
          </w:tcPr>
          <w:p w14:paraId="4252F0B6">
            <w:pPr>
              <w:widowControl/>
              <w:spacing w:line="280" w:lineRule="exact"/>
              <w:rPr>
                <w:rFonts w:ascii="宋体" w:hAnsi="宋体"/>
                <w:b/>
                <w:bCs/>
                <w:color w:val="000000"/>
                <w:kern w:val="0"/>
                <w:sz w:val="22"/>
              </w:rPr>
            </w:pPr>
            <w:r>
              <w:rPr>
                <w:rFonts w:hint="eastAsia" w:ascii="宋体" w:hAnsi="宋体"/>
                <w:b/>
                <w:bCs/>
                <w:color w:val="000000"/>
                <w:kern w:val="0"/>
                <w:sz w:val="22"/>
              </w:rPr>
              <w:t>总投资</w:t>
            </w:r>
            <w:r>
              <w:rPr>
                <w:rFonts w:hint="eastAsia" w:ascii="宋体" w:hAnsi="宋体"/>
                <w:b/>
                <w:bCs/>
                <w:color w:val="000000"/>
                <w:kern w:val="0"/>
                <w:sz w:val="22"/>
              </w:rPr>
              <w:br w:type="textWrapping"/>
            </w:r>
            <w:r>
              <w:rPr>
                <w:rFonts w:hint="eastAsia" w:ascii="宋体" w:hAnsi="宋体"/>
                <w:b/>
                <w:bCs/>
                <w:color w:val="000000"/>
                <w:kern w:val="0"/>
                <w:sz w:val="22"/>
              </w:rPr>
              <w:t>估算（万元）</w:t>
            </w:r>
          </w:p>
        </w:tc>
        <w:tc>
          <w:tcPr>
            <w:tcW w:w="3363" w:type="pct"/>
            <w:gridSpan w:val="7"/>
            <w:noWrap/>
            <w:vAlign w:val="center"/>
          </w:tcPr>
          <w:p w14:paraId="13733864">
            <w:pPr>
              <w:widowControl/>
              <w:spacing w:line="280" w:lineRule="exact"/>
              <w:rPr>
                <w:rFonts w:ascii="宋体" w:hAnsi="宋体"/>
                <w:b/>
                <w:bCs/>
                <w:color w:val="000000"/>
                <w:kern w:val="0"/>
                <w:sz w:val="22"/>
              </w:rPr>
            </w:pPr>
            <w:r>
              <w:rPr>
                <w:rFonts w:hint="eastAsia" w:ascii="宋体" w:hAnsi="宋体"/>
                <w:b/>
                <w:bCs/>
                <w:color w:val="000000"/>
                <w:kern w:val="0"/>
                <w:sz w:val="22"/>
              </w:rPr>
              <w:t>资金来源</w:t>
            </w:r>
          </w:p>
        </w:tc>
      </w:tr>
      <w:tr w14:paraId="545F8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vMerge w:val="continue"/>
            <w:noWrap/>
            <w:vAlign w:val="center"/>
          </w:tcPr>
          <w:p w14:paraId="779AE40F">
            <w:pPr>
              <w:widowControl/>
              <w:spacing w:line="280" w:lineRule="exact"/>
              <w:rPr>
                <w:rFonts w:ascii="宋体" w:hAnsi="宋体"/>
                <w:b/>
                <w:bCs/>
                <w:color w:val="000000"/>
                <w:kern w:val="0"/>
                <w:sz w:val="22"/>
              </w:rPr>
            </w:pPr>
          </w:p>
        </w:tc>
        <w:tc>
          <w:tcPr>
            <w:tcW w:w="818" w:type="pct"/>
            <w:vMerge w:val="continue"/>
            <w:noWrap/>
            <w:vAlign w:val="center"/>
          </w:tcPr>
          <w:p w14:paraId="030DAEA8">
            <w:pPr>
              <w:widowControl/>
              <w:spacing w:line="280" w:lineRule="exact"/>
              <w:rPr>
                <w:rFonts w:ascii="宋体" w:hAnsi="宋体"/>
                <w:b/>
                <w:bCs/>
                <w:color w:val="000000"/>
                <w:kern w:val="0"/>
                <w:sz w:val="22"/>
              </w:rPr>
            </w:pPr>
          </w:p>
        </w:tc>
        <w:tc>
          <w:tcPr>
            <w:tcW w:w="574" w:type="pct"/>
            <w:vMerge w:val="continue"/>
            <w:noWrap/>
            <w:vAlign w:val="center"/>
          </w:tcPr>
          <w:p w14:paraId="60DE5620">
            <w:pPr>
              <w:widowControl/>
              <w:spacing w:line="280" w:lineRule="exact"/>
              <w:rPr>
                <w:rFonts w:ascii="宋体" w:hAnsi="宋体"/>
                <w:b/>
                <w:bCs/>
                <w:color w:val="000000"/>
                <w:kern w:val="0"/>
                <w:sz w:val="22"/>
              </w:rPr>
            </w:pPr>
          </w:p>
        </w:tc>
        <w:tc>
          <w:tcPr>
            <w:tcW w:w="328" w:type="pct"/>
            <w:noWrap/>
            <w:vAlign w:val="center"/>
          </w:tcPr>
          <w:p w14:paraId="7F3EEB1A">
            <w:pPr>
              <w:widowControl/>
              <w:spacing w:line="280" w:lineRule="exact"/>
              <w:rPr>
                <w:rFonts w:ascii="宋体" w:hAnsi="宋体"/>
                <w:b/>
                <w:bCs/>
                <w:color w:val="000000"/>
                <w:kern w:val="0"/>
                <w:sz w:val="22"/>
              </w:rPr>
            </w:pPr>
            <w:r>
              <w:rPr>
                <w:rFonts w:hint="eastAsia" w:ascii="宋体" w:hAnsi="宋体"/>
                <w:b/>
                <w:bCs/>
                <w:color w:val="000000"/>
                <w:kern w:val="0"/>
                <w:sz w:val="22"/>
              </w:rPr>
              <w:t>中央</w:t>
            </w:r>
          </w:p>
        </w:tc>
        <w:tc>
          <w:tcPr>
            <w:tcW w:w="328" w:type="pct"/>
            <w:noWrap/>
            <w:vAlign w:val="center"/>
          </w:tcPr>
          <w:p w14:paraId="7FF38C25">
            <w:pPr>
              <w:widowControl/>
              <w:spacing w:line="280" w:lineRule="exact"/>
              <w:rPr>
                <w:rFonts w:ascii="宋体" w:hAnsi="宋体"/>
                <w:b/>
                <w:bCs/>
                <w:color w:val="000000"/>
                <w:kern w:val="0"/>
                <w:sz w:val="22"/>
              </w:rPr>
            </w:pPr>
            <w:r>
              <w:rPr>
                <w:rFonts w:hint="eastAsia" w:ascii="宋体" w:hAnsi="宋体"/>
                <w:b/>
                <w:bCs/>
                <w:color w:val="000000"/>
                <w:kern w:val="0"/>
                <w:sz w:val="22"/>
              </w:rPr>
              <w:t>市级</w:t>
            </w:r>
          </w:p>
        </w:tc>
        <w:tc>
          <w:tcPr>
            <w:tcW w:w="328" w:type="pct"/>
            <w:noWrap/>
            <w:vAlign w:val="center"/>
          </w:tcPr>
          <w:p w14:paraId="7D5891EC">
            <w:pPr>
              <w:widowControl/>
              <w:spacing w:line="280" w:lineRule="exact"/>
              <w:rPr>
                <w:rFonts w:ascii="宋体" w:hAnsi="宋体"/>
                <w:b/>
                <w:bCs/>
                <w:color w:val="000000"/>
                <w:kern w:val="0"/>
                <w:sz w:val="22"/>
              </w:rPr>
            </w:pPr>
            <w:r>
              <w:rPr>
                <w:rFonts w:hint="eastAsia" w:ascii="宋体" w:hAnsi="宋体"/>
                <w:b/>
                <w:bCs/>
                <w:color w:val="000000"/>
                <w:kern w:val="0"/>
                <w:sz w:val="22"/>
              </w:rPr>
              <w:t>县级</w:t>
            </w:r>
          </w:p>
        </w:tc>
        <w:tc>
          <w:tcPr>
            <w:tcW w:w="574" w:type="pct"/>
            <w:noWrap/>
            <w:vAlign w:val="center"/>
          </w:tcPr>
          <w:p w14:paraId="305B1CFC">
            <w:pPr>
              <w:widowControl/>
              <w:spacing w:line="280" w:lineRule="exact"/>
              <w:rPr>
                <w:rFonts w:ascii="宋体" w:hAnsi="宋体"/>
                <w:b/>
                <w:bCs/>
                <w:color w:val="000000"/>
                <w:kern w:val="0"/>
                <w:sz w:val="22"/>
              </w:rPr>
            </w:pPr>
            <w:r>
              <w:rPr>
                <w:rFonts w:hint="eastAsia" w:ascii="宋体" w:hAnsi="宋体"/>
                <w:b/>
                <w:bCs/>
                <w:color w:val="000000"/>
                <w:kern w:val="0"/>
                <w:sz w:val="22"/>
              </w:rPr>
              <w:t>国（央企）企</w:t>
            </w:r>
          </w:p>
        </w:tc>
        <w:tc>
          <w:tcPr>
            <w:tcW w:w="410" w:type="pct"/>
            <w:noWrap/>
            <w:vAlign w:val="center"/>
          </w:tcPr>
          <w:p w14:paraId="7BC9FF86">
            <w:pPr>
              <w:widowControl/>
              <w:spacing w:line="280" w:lineRule="exact"/>
              <w:rPr>
                <w:rFonts w:ascii="宋体" w:hAnsi="宋体"/>
                <w:b/>
                <w:bCs/>
                <w:color w:val="000000"/>
                <w:kern w:val="0"/>
                <w:sz w:val="22"/>
              </w:rPr>
            </w:pPr>
            <w:r>
              <w:rPr>
                <w:rFonts w:hint="eastAsia" w:ascii="宋体" w:hAnsi="宋体"/>
                <w:b/>
                <w:bCs/>
                <w:color w:val="000000"/>
                <w:kern w:val="0"/>
                <w:sz w:val="22"/>
              </w:rPr>
              <w:t>三峡后续</w:t>
            </w:r>
          </w:p>
        </w:tc>
        <w:tc>
          <w:tcPr>
            <w:tcW w:w="821" w:type="pct"/>
            <w:noWrap/>
            <w:vAlign w:val="center"/>
          </w:tcPr>
          <w:p w14:paraId="61ECB325">
            <w:pPr>
              <w:widowControl/>
              <w:spacing w:line="280" w:lineRule="exact"/>
              <w:rPr>
                <w:rFonts w:ascii="宋体" w:hAnsi="宋体"/>
                <w:b/>
                <w:bCs/>
                <w:color w:val="000000"/>
                <w:kern w:val="0"/>
                <w:sz w:val="22"/>
              </w:rPr>
            </w:pPr>
            <w:r>
              <w:rPr>
                <w:rFonts w:hint="eastAsia" w:ascii="宋体" w:hAnsi="宋体"/>
                <w:b/>
                <w:bCs/>
                <w:color w:val="000000"/>
                <w:kern w:val="0"/>
                <w:sz w:val="22"/>
              </w:rPr>
              <w:t>大中型水库后扶资金</w:t>
            </w:r>
          </w:p>
        </w:tc>
        <w:tc>
          <w:tcPr>
            <w:tcW w:w="574" w:type="pct"/>
            <w:noWrap/>
            <w:vAlign w:val="center"/>
          </w:tcPr>
          <w:p w14:paraId="31C72587">
            <w:pPr>
              <w:widowControl/>
              <w:spacing w:line="280" w:lineRule="exact"/>
              <w:rPr>
                <w:rFonts w:ascii="宋体" w:hAnsi="宋体"/>
                <w:b/>
                <w:bCs/>
                <w:color w:val="000000"/>
                <w:kern w:val="0"/>
                <w:sz w:val="22"/>
              </w:rPr>
            </w:pPr>
            <w:r>
              <w:rPr>
                <w:rFonts w:hint="eastAsia" w:ascii="宋体" w:hAnsi="宋体"/>
                <w:b/>
                <w:bCs/>
                <w:color w:val="000000"/>
                <w:kern w:val="0"/>
                <w:sz w:val="22"/>
              </w:rPr>
              <w:t>三峡库区基金</w:t>
            </w:r>
          </w:p>
        </w:tc>
      </w:tr>
      <w:tr w14:paraId="2C769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7F6D04F2">
            <w:pPr>
              <w:widowControl/>
              <w:spacing w:line="280" w:lineRule="exact"/>
              <w:rPr>
                <w:rFonts w:ascii="宋体" w:hAnsi="宋体"/>
                <w:b/>
                <w:bCs/>
                <w:color w:val="000000"/>
                <w:kern w:val="0"/>
                <w:sz w:val="22"/>
              </w:rPr>
            </w:pPr>
            <w:r>
              <w:rPr>
                <w:rFonts w:hint="eastAsia" w:ascii="宋体" w:hAnsi="宋体"/>
                <w:b/>
                <w:bCs/>
                <w:color w:val="000000"/>
                <w:kern w:val="0"/>
                <w:sz w:val="22"/>
              </w:rPr>
              <w:t>1</w:t>
            </w:r>
          </w:p>
        </w:tc>
        <w:tc>
          <w:tcPr>
            <w:tcW w:w="818" w:type="pct"/>
            <w:noWrap/>
            <w:vAlign w:val="center"/>
          </w:tcPr>
          <w:p w14:paraId="13A82014">
            <w:pPr>
              <w:widowControl/>
              <w:spacing w:line="280" w:lineRule="exact"/>
              <w:rPr>
                <w:rFonts w:ascii="宋体" w:hAnsi="宋体"/>
                <w:color w:val="000000"/>
                <w:kern w:val="0"/>
                <w:sz w:val="22"/>
              </w:rPr>
            </w:pPr>
            <w:r>
              <w:rPr>
                <w:rFonts w:hint="eastAsia" w:ascii="宋体" w:hAnsi="宋体"/>
                <w:color w:val="000000"/>
                <w:kern w:val="0"/>
                <w:sz w:val="22"/>
              </w:rPr>
              <w:t>水库工程</w:t>
            </w:r>
          </w:p>
        </w:tc>
        <w:tc>
          <w:tcPr>
            <w:tcW w:w="574" w:type="pct"/>
            <w:noWrap/>
            <w:vAlign w:val="center"/>
          </w:tcPr>
          <w:p w14:paraId="0DFD6045">
            <w:pPr>
              <w:widowControl/>
              <w:spacing w:line="280" w:lineRule="exact"/>
              <w:rPr>
                <w:rFonts w:ascii="宋体" w:hAnsi="宋体"/>
                <w:color w:val="000000"/>
                <w:kern w:val="0"/>
                <w:sz w:val="22"/>
              </w:rPr>
            </w:pPr>
            <w:r>
              <w:rPr>
                <w:rFonts w:hint="eastAsia" w:ascii="宋体" w:hAnsi="宋体"/>
                <w:color w:val="000000"/>
                <w:kern w:val="0"/>
                <w:sz w:val="22"/>
              </w:rPr>
              <w:t>1057132</w:t>
            </w:r>
          </w:p>
        </w:tc>
        <w:tc>
          <w:tcPr>
            <w:tcW w:w="328" w:type="pct"/>
            <w:noWrap/>
            <w:vAlign w:val="center"/>
          </w:tcPr>
          <w:p w14:paraId="1C1E7C64">
            <w:pPr>
              <w:widowControl/>
              <w:spacing w:line="280" w:lineRule="exact"/>
              <w:rPr>
                <w:rFonts w:ascii="宋体" w:hAnsi="宋体"/>
                <w:color w:val="000000"/>
                <w:kern w:val="0"/>
                <w:sz w:val="22"/>
              </w:rPr>
            </w:pPr>
            <w:r>
              <w:rPr>
                <w:rFonts w:hint="eastAsia" w:ascii="宋体" w:hAnsi="宋体"/>
                <w:color w:val="000000"/>
                <w:kern w:val="0"/>
                <w:sz w:val="22"/>
              </w:rPr>
              <w:t>421096</w:t>
            </w:r>
          </w:p>
        </w:tc>
        <w:tc>
          <w:tcPr>
            <w:tcW w:w="328" w:type="pct"/>
            <w:noWrap/>
            <w:vAlign w:val="center"/>
          </w:tcPr>
          <w:p w14:paraId="3903E056">
            <w:pPr>
              <w:widowControl/>
              <w:spacing w:line="280" w:lineRule="exact"/>
              <w:rPr>
                <w:rFonts w:ascii="宋体" w:hAnsi="宋体"/>
                <w:color w:val="000000"/>
                <w:kern w:val="0"/>
                <w:sz w:val="22"/>
              </w:rPr>
            </w:pPr>
            <w:r>
              <w:rPr>
                <w:rFonts w:hint="eastAsia" w:ascii="宋体" w:hAnsi="宋体"/>
                <w:color w:val="000000"/>
                <w:kern w:val="0"/>
                <w:sz w:val="22"/>
              </w:rPr>
              <w:t>341063</w:t>
            </w:r>
          </w:p>
        </w:tc>
        <w:tc>
          <w:tcPr>
            <w:tcW w:w="328" w:type="pct"/>
            <w:noWrap/>
            <w:vAlign w:val="center"/>
          </w:tcPr>
          <w:p w14:paraId="28554791">
            <w:pPr>
              <w:widowControl/>
              <w:spacing w:line="280" w:lineRule="exact"/>
              <w:rPr>
                <w:rFonts w:ascii="宋体" w:hAnsi="宋体"/>
                <w:color w:val="000000"/>
                <w:kern w:val="0"/>
                <w:sz w:val="22"/>
              </w:rPr>
            </w:pPr>
            <w:r>
              <w:rPr>
                <w:rFonts w:hint="eastAsia" w:ascii="宋体" w:hAnsi="宋体"/>
                <w:color w:val="000000"/>
                <w:kern w:val="0"/>
                <w:sz w:val="22"/>
              </w:rPr>
              <w:t>144873</w:t>
            </w:r>
          </w:p>
        </w:tc>
        <w:tc>
          <w:tcPr>
            <w:tcW w:w="574" w:type="pct"/>
            <w:noWrap/>
            <w:vAlign w:val="center"/>
          </w:tcPr>
          <w:p w14:paraId="3A4C5DAA">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0042F821">
            <w:pPr>
              <w:widowControl/>
              <w:spacing w:line="280" w:lineRule="exact"/>
              <w:rPr>
                <w:rFonts w:ascii="宋体" w:hAnsi="宋体"/>
                <w:color w:val="000000"/>
                <w:kern w:val="0"/>
                <w:sz w:val="22"/>
              </w:rPr>
            </w:pPr>
            <w:r>
              <w:rPr>
                <w:rFonts w:hint="eastAsia" w:ascii="宋体" w:hAnsi="宋体"/>
                <w:color w:val="000000"/>
                <w:kern w:val="0"/>
                <w:sz w:val="22"/>
              </w:rPr>
              <w:t>150100</w:t>
            </w:r>
          </w:p>
        </w:tc>
        <w:tc>
          <w:tcPr>
            <w:tcW w:w="821" w:type="pct"/>
            <w:noWrap/>
            <w:vAlign w:val="center"/>
          </w:tcPr>
          <w:p w14:paraId="3D1E94F3">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4C768F56">
            <w:pPr>
              <w:widowControl/>
              <w:spacing w:line="280" w:lineRule="exact"/>
              <w:rPr>
                <w:rFonts w:ascii="宋体" w:hAnsi="宋体"/>
                <w:color w:val="000000"/>
                <w:kern w:val="0"/>
                <w:sz w:val="22"/>
              </w:rPr>
            </w:pPr>
            <w:r>
              <w:rPr>
                <w:rFonts w:hint="eastAsia" w:ascii="宋体" w:hAnsi="宋体"/>
                <w:color w:val="000000"/>
                <w:kern w:val="0"/>
                <w:sz w:val="22"/>
              </w:rPr>
              <w:t>0</w:t>
            </w:r>
          </w:p>
        </w:tc>
      </w:tr>
      <w:tr w14:paraId="31815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1E24AB6B">
            <w:pPr>
              <w:widowControl/>
              <w:spacing w:line="280" w:lineRule="exact"/>
              <w:rPr>
                <w:rFonts w:ascii="宋体" w:hAnsi="宋体"/>
                <w:b/>
                <w:bCs/>
                <w:color w:val="000000"/>
                <w:kern w:val="0"/>
                <w:sz w:val="22"/>
              </w:rPr>
            </w:pPr>
            <w:r>
              <w:rPr>
                <w:rFonts w:hint="eastAsia" w:ascii="宋体" w:hAnsi="宋体"/>
                <w:b/>
                <w:bCs/>
                <w:color w:val="000000"/>
                <w:kern w:val="0"/>
                <w:sz w:val="22"/>
              </w:rPr>
              <w:t>2</w:t>
            </w:r>
          </w:p>
        </w:tc>
        <w:tc>
          <w:tcPr>
            <w:tcW w:w="818" w:type="pct"/>
            <w:noWrap/>
            <w:vAlign w:val="center"/>
          </w:tcPr>
          <w:p w14:paraId="5879E0D1">
            <w:pPr>
              <w:widowControl/>
              <w:spacing w:line="280" w:lineRule="exact"/>
              <w:rPr>
                <w:rFonts w:ascii="宋体" w:hAnsi="宋体"/>
                <w:color w:val="000000"/>
                <w:kern w:val="0"/>
                <w:sz w:val="22"/>
              </w:rPr>
            </w:pPr>
            <w:r>
              <w:rPr>
                <w:rFonts w:hint="eastAsia" w:ascii="宋体" w:hAnsi="宋体"/>
                <w:color w:val="000000"/>
                <w:kern w:val="0"/>
                <w:sz w:val="22"/>
              </w:rPr>
              <w:t>库岸治理工程</w:t>
            </w:r>
          </w:p>
        </w:tc>
        <w:tc>
          <w:tcPr>
            <w:tcW w:w="574" w:type="pct"/>
            <w:noWrap/>
            <w:vAlign w:val="center"/>
          </w:tcPr>
          <w:p w14:paraId="7A2D3471">
            <w:pPr>
              <w:widowControl/>
              <w:spacing w:line="280" w:lineRule="exact"/>
              <w:rPr>
                <w:rFonts w:ascii="宋体" w:hAnsi="宋体"/>
                <w:color w:val="000000"/>
                <w:kern w:val="0"/>
                <w:sz w:val="22"/>
              </w:rPr>
            </w:pPr>
            <w:r>
              <w:rPr>
                <w:rFonts w:hint="eastAsia" w:ascii="宋体" w:hAnsi="宋体"/>
                <w:color w:val="000000"/>
                <w:kern w:val="0"/>
                <w:sz w:val="22"/>
              </w:rPr>
              <w:t>153363</w:t>
            </w:r>
          </w:p>
        </w:tc>
        <w:tc>
          <w:tcPr>
            <w:tcW w:w="328" w:type="pct"/>
            <w:noWrap/>
            <w:vAlign w:val="center"/>
          </w:tcPr>
          <w:p w14:paraId="1E34AC13">
            <w:pPr>
              <w:widowControl/>
              <w:spacing w:line="280" w:lineRule="exact"/>
              <w:rPr>
                <w:rFonts w:ascii="宋体" w:hAnsi="宋体"/>
                <w:color w:val="000000"/>
                <w:kern w:val="0"/>
                <w:sz w:val="22"/>
              </w:rPr>
            </w:pPr>
            <w:r>
              <w:rPr>
                <w:rFonts w:hint="eastAsia" w:ascii="宋体" w:hAnsi="宋体"/>
                <w:color w:val="000000"/>
                <w:kern w:val="0"/>
                <w:sz w:val="22"/>
              </w:rPr>
              <w:t>18653</w:t>
            </w:r>
          </w:p>
        </w:tc>
        <w:tc>
          <w:tcPr>
            <w:tcW w:w="328" w:type="pct"/>
            <w:noWrap/>
            <w:vAlign w:val="center"/>
          </w:tcPr>
          <w:p w14:paraId="659E4F47">
            <w:pPr>
              <w:widowControl/>
              <w:spacing w:line="280" w:lineRule="exact"/>
              <w:rPr>
                <w:rFonts w:ascii="宋体" w:hAnsi="宋体"/>
                <w:color w:val="000000"/>
                <w:kern w:val="0"/>
                <w:sz w:val="22"/>
              </w:rPr>
            </w:pPr>
            <w:r>
              <w:rPr>
                <w:rFonts w:hint="eastAsia" w:ascii="宋体" w:hAnsi="宋体"/>
                <w:color w:val="000000"/>
                <w:kern w:val="0"/>
                <w:sz w:val="22"/>
              </w:rPr>
              <w:t>14000</w:t>
            </w:r>
          </w:p>
        </w:tc>
        <w:tc>
          <w:tcPr>
            <w:tcW w:w="328" w:type="pct"/>
            <w:noWrap/>
            <w:vAlign w:val="center"/>
          </w:tcPr>
          <w:p w14:paraId="7C0B5192">
            <w:pPr>
              <w:widowControl/>
              <w:spacing w:line="280" w:lineRule="exact"/>
              <w:rPr>
                <w:rFonts w:ascii="宋体" w:hAnsi="宋体"/>
                <w:color w:val="000000"/>
                <w:kern w:val="0"/>
                <w:sz w:val="22"/>
              </w:rPr>
            </w:pPr>
            <w:r>
              <w:rPr>
                <w:rFonts w:hint="eastAsia" w:ascii="宋体" w:hAnsi="宋体"/>
                <w:color w:val="000000"/>
                <w:kern w:val="0"/>
                <w:sz w:val="22"/>
              </w:rPr>
              <w:t>3045</w:t>
            </w:r>
          </w:p>
        </w:tc>
        <w:tc>
          <w:tcPr>
            <w:tcW w:w="574" w:type="pct"/>
            <w:noWrap/>
            <w:vAlign w:val="center"/>
          </w:tcPr>
          <w:p w14:paraId="478EAFBB">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2FA5C941">
            <w:pPr>
              <w:widowControl/>
              <w:spacing w:line="280" w:lineRule="exact"/>
              <w:rPr>
                <w:rFonts w:ascii="宋体" w:hAnsi="宋体"/>
                <w:color w:val="000000"/>
                <w:kern w:val="0"/>
                <w:sz w:val="22"/>
              </w:rPr>
            </w:pPr>
            <w:r>
              <w:rPr>
                <w:rFonts w:hint="eastAsia" w:ascii="宋体" w:hAnsi="宋体"/>
                <w:color w:val="000000"/>
                <w:kern w:val="0"/>
                <w:sz w:val="22"/>
              </w:rPr>
              <w:t>117665</w:t>
            </w:r>
          </w:p>
        </w:tc>
        <w:tc>
          <w:tcPr>
            <w:tcW w:w="821" w:type="pct"/>
            <w:noWrap/>
            <w:vAlign w:val="center"/>
          </w:tcPr>
          <w:p w14:paraId="1BF1EA66">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4F87E1EA">
            <w:pPr>
              <w:widowControl/>
              <w:spacing w:line="280" w:lineRule="exact"/>
              <w:rPr>
                <w:rFonts w:ascii="宋体" w:hAnsi="宋体"/>
                <w:color w:val="000000"/>
                <w:kern w:val="0"/>
                <w:sz w:val="22"/>
              </w:rPr>
            </w:pPr>
            <w:r>
              <w:rPr>
                <w:rFonts w:hint="eastAsia" w:ascii="宋体" w:hAnsi="宋体"/>
                <w:color w:val="000000"/>
                <w:kern w:val="0"/>
                <w:sz w:val="22"/>
              </w:rPr>
              <w:t>0</w:t>
            </w:r>
          </w:p>
        </w:tc>
      </w:tr>
      <w:tr w14:paraId="263FD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7E3FC7C6">
            <w:pPr>
              <w:widowControl/>
              <w:spacing w:line="280" w:lineRule="exact"/>
              <w:rPr>
                <w:rFonts w:ascii="宋体" w:hAnsi="宋体"/>
                <w:b/>
                <w:bCs/>
                <w:color w:val="000000"/>
                <w:kern w:val="0"/>
                <w:sz w:val="22"/>
              </w:rPr>
            </w:pPr>
            <w:r>
              <w:rPr>
                <w:rFonts w:hint="eastAsia" w:ascii="宋体" w:hAnsi="宋体"/>
                <w:b/>
                <w:bCs/>
                <w:color w:val="000000"/>
                <w:kern w:val="0"/>
                <w:sz w:val="22"/>
              </w:rPr>
              <w:t>3</w:t>
            </w:r>
          </w:p>
        </w:tc>
        <w:tc>
          <w:tcPr>
            <w:tcW w:w="818" w:type="pct"/>
            <w:noWrap/>
            <w:vAlign w:val="center"/>
          </w:tcPr>
          <w:p w14:paraId="0A5E9C4E">
            <w:pPr>
              <w:widowControl/>
              <w:spacing w:line="280" w:lineRule="exact"/>
              <w:rPr>
                <w:rFonts w:ascii="宋体" w:hAnsi="宋体"/>
                <w:color w:val="000000"/>
                <w:kern w:val="0"/>
                <w:sz w:val="22"/>
              </w:rPr>
            </w:pPr>
            <w:r>
              <w:rPr>
                <w:rFonts w:hint="eastAsia" w:ascii="宋体" w:hAnsi="宋体"/>
                <w:color w:val="000000"/>
                <w:kern w:val="0"/>
                <w:sz w:val="22"/>
              </w:rPr>
              <w:t>中小河流治理工程</w:t>
            </w:r>
          </w:p>
        </w:tc>
        <w:tc>
          <w:tcPr>
            <w:tcW w:w="574" w:type="pct"/>
            <w:noWrap/>
            <w:vAlign w:val="center"/>
          </w:tcPr>
          <w:p w14:paraId="0F05A945">
            <w:pPr>
              <w:widowControl/>
              <w:spacing w:line="280" w:lineRule="exact"/>
              <w:rPr>
                <w:rFonts w:ascii="宋体" w:hAnsi="宋体"/>
                <w:color w:val="000000"/>
                <w:kern w:val="0"/>
                <w:sz w:val="22"/>
              </w:rPr>
            </w:pPr>
            <w:r>
              <w:rPr>
                <w:rFonts w:hint="eastAsia" w:ascii="宋体" w:hAnsi="宋体"/>
                <w:color w:val="000000"/>
                <w:kern w:val="0"/>
                <w:sz w:val="22"/>
              </w:rPr>
              <w:t>95745</w:t>
            </w:r>
          </w:p>
        </w:tc>
        <w:tc>
          <w:tcPr>
            <w:tcW w:w="328" w:type="pct"/>
            <w:noWrap/>
            <w:vAlign w:val="center"/>
          </w:tcPr>
          <w:p w14:paraId="2717E3D8">
            <w:pPr>
              <w:widowControl/>
              <w:spacing w:line="280" w:lineRule="exact"/>
              <w:rPr>
                <w:rFonts w:ascii="宋体" w:hAnsi="宋体"/>
                <w:color w:val="000000"/>
                <w:kern w:val="0"/>
                <w:sz w:val="22"/>
              </w:rPr>
            </w:pPr>
            <w:r>
              <w:rPr>
                <w:rFonts w:hint="eastAsia" w:ascii="宋体" w:hAnsi="宋体"/>
                <w:color w:val="000000"/>
                <w:kern w:val="0"/>
                <w:sz w:val="22"/>
              </w:rPr>
              <w:t>62387</w:t>
            </w:r>
          </w:p>
        </w:tc>
        <w:tc>
          <w:tcPr>
            <w:tcW w:w="328" w:type="pct"/>
            <w:noWrap/>
            <w:vAlign w:val="center"/>
          </w:tcPr>
          <w:p w14:paraId="345FF71E">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64630956">
            <w:pPr>
              <w:widowControl/>
              <w:spacing w:line="280" w:lineRule="exact"/>
              <w:rPr>
                <w:rFonts w:ascii="宋体" w:hAnsi="宋体"/>
                <w:color w:val="000000"/>
                <w:kern w:val="0"/>
                <w:sz w:val="22"/>
              </w:rPr>
            </w:pPr>
            <w:r>
              <w:rPr>
                <w:rFonts w:hint="eastAsia" w:ascii="宋体" w:hAnsi="宋体"/>
                <w:color w:val="000000"/>
                <w:kern w:val="0"/>
                <w:sz w:val="22"/>
              </w:rPr>
              <w:t>1100</w:t>
            </w:r>
          </w:p>
        </w:tc>
        <w:tc>
          <w:tcPr>
            <w:tcW w:w="574" w:type="pct"/>
            <w:noWrap/>
            <w:vAlign w:val="center"/>
          </w:tcPr>
          <w:p w14:paraId="016DA4E3">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36CDABC3">
            <w:pPr>
              <w:widowControl/>
              <w:spacing w:line="280" w:lineRule="exact"/>
              <w:rPr>
                <w:rFonts w:ascii="宋体" w:hAnsi="宋体"/>
                <w:color w:val="000000"/>
                <w:kern w:val="0"/>
                <w:sz w:val="22"/>
              </w:rPr>
            </w:pPr>
            <w:r>
              <w:rPr>
                <w:rFonts w:hint="eastAsia" w:ascii="宋体" w:hAnsi="宋体"/>
                <w:color w:val="000000"/>
                <w:kern w:val="0"/>
                <w:sz w:val="22"/>
              </w:rPr>
              <w:t>32258</w:t>
            </w:r>
          </w:p>
        </w:tc>
        <w:tc>
          <w:tcPr>
            <w:tcW w:w="821" w:type="pct"/>
            <w:noWrap/>
            <w:vAlign w:val="center"/>
          </w:tcPr>
          <w:p w14:paraId="236B3D5F">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27AE1F82">
            <w:pPr>
              <w:widowControl/>
              <w:spacing w:line="280" w:lineRule="exact"/>
              <w:rPr>
                <w:rFonts w:ascii="宋体" w:hAnsi="宋体"/>
                <w:color w:val="000000"/>
                <w:kern w:val="0"/>
                <w:sz w:val="22"/>
              </w:rPr>
            </w:pPr>
            <w:r>
              <w:rPr>
                <w:rFonts w:hint="eastAsia" w:ascii="宋体" w:hAnsi="宋体"/>
                <w:color w:val="000000"/>
                <w:kern w:val="0"/>
                <w:sz w:val="22"/>
              </w:rPr>
              <w:t>0</w:t>
            </w:r>
          </w:p>
        </w:tc>
      </w:tr>
      <w:tr w14:paraId="3D074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5573F446">
            <w:pPr>
              <w:widowControl/>
              <w:spacing w:line="280" w:lineRule="exact"/>
              <w:rPr>
                <w:rFonts w:ascii="宋体" w:hAnsi="宋体"/>
                <w:b/>
                <w:bCs/>
                <w:color w:val="000000"/>
                <w:kern w:val="0"/>
                <w:sz w:val="22"/>
              </w:rPr>
            </w:pPr>
            <w:r>
              <w:rPr>
                <w:rFonts w:hint="eastAsia" w:ascii="宋体" w:hAnsi="宋体"/>
                <w:b/>
                <w:bCs/>
                <w:color w:val="000000"/>
                <w:kern w:val="0"/>
                <w:sz w:val="22"/>
              </w:rPr>
              <w:t>4</w:t>
            </w:r>
          </w:p>
        </w:tc>
        <w:tc>
          <w:tcPr>
            <w:tcW w:w="818" w:type="pct"/>
            <w:noWrap/>
            <w:vAlign w:val="center"/>
          </w:tcPr>
          <w:p w14:paraId="22335F67">
            <w:pPr>
              <w:widowControl/>
              <w:spacing w:line="280" w:lineRule="exact"/>
              <w:rPr>
                <w:rFonts w:ascii="宋体" w:hAnsi="宋体"/>
                <w:color w:val="000000"/>
                <w:kern w:val="0"/>
                <w:sz w:val="22"/>
              </w:rPr>
            </w:pPr>
            <w:r>
              <w:rPr>
                <w:rFonts w:hint="eastAsia" w:ascii="宋体" w:hAnsi="宋体"/>
                <w:color w:val="000000"/>
                <w:kern w:val="0"/>
                <w:sz w:val="22"/>
              </w:rPr>
              <w:t>病险水库（闸）</w:t>
            </w:r>
          </w:p>
          <w:p w14:paraId="47515C72">
            <w:pPr>
              <w:widowControl/>
              <w:spacing w:line="280" w:lineRule="exact"/>
              <w:rPr>
                <w:rFonts w:ascii="宋体" w:hAnsi="宋体"/>
                <w:color w:val="000000"/>
                <w:kern w:val="0"/>
                <w:sz w:val="22"/>
              </w:rPr>
            </w:pPr>
            <w:r>
              <w:rPr>
                <w:rFonts w:hint="eastAsia" w:ascii="宋体" w:hAnsi="宋体"/>
                <w:color w:val="000000"/>
                <w:kern w:val="0"/>
                <w:sz w:val="22"/>
              </w:rPr>
              <w:t>除险加固工程</w:t>
            </w:r>
          </w:p>
        </w:tc>
        <w:tc>
          <w:tcPr>
            <w:tcW w:w="574" w:type="pct"/>
            <w:noWrap/>
            <w:vAlign w:val="center"/>
          </w:tcPr>
          <w:p w14:paraId="3435CBF3">
            <w:pPr>
              <w:widowControl/>
              <w:spacing w:line="280" w:lineRule="exact"/>
              <w:rPr>
                <w:rFonts w:ascii="宋体" w:hAnsi="宋体"/>
                <w:color w:val="000000"/>
                <w:kern w:val="0"/>
                <w:sz w:val="22"/>
              </w:rPr>
            </w:pPr>
            <w:r>
              <w:rPr>
                <w:rFonts w:hint="eastAsia" w:ascii="宋体" w:hAnsi="宋体"/>
                <w:color w:val="000000"/>
                <w:kern w:val="0"/>
                <w:sz w:val="22"/>
              </w:rPr>
              <w:t>2602</w:t>
            </w:r>
          </w:p>
        </w:tc>
        <w:tc>
          <w:tcPr>
            <w:tcW w:w="328" w:type="pct"/>
            <w:noWrap/>
            <w:vAlign w:val="center"/>
          </w:tcPr>
          <w:p w14:paraId="534A6B7B">
            <w:pPr>
              <w:widowControl/>
              <w:spacing w:line="280" w:lineRule="exact"/>
              <w:rPr>
                <w:rFonts w:ascii="宋体" w:hAnsi="宋体"/>
                <w:color w:val="000000"/>
                <w:kern w:val="0"/>
                <w:sz w:val="22"/>
              </w:rPr>
            </w:pPr>
            <w:r>
              <w:rPr>
                <w:rFonts w:hint="eastAsia" w:ascii="宋体" w:hAnsi="宋体"/>
                <w:color w:val="000000"/>
                <w:kern w:val="0"/>
                <w:sz w:val="22"/>
              </w:rPr>
              <w:t>2602</w:t>
            </w:r>
          </w:p>
        </w:tc>
        <w:tc>
          <w:tcPr>
            <w:tcW w:w="328" w:type="pct"/>
            <w:noWrap/>
            <w:vAlign w:val="center"/>
          </w:tcPr>
          <w:p w14:paraId="58FA315C">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636D06D7">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03D17D38">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1CFF31B4">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12797D2C">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5DBB8FC4">
            <w:pPr>
              <w:widowControl/>
              <w:spacing w:line="280" w:lineRule="exact"/>
              <w:rPr>
                <w:rFonts w:ascii="宋体" w:hAnsi="宋体"/>
                <w:color w:val="000000"/>
                <w:kern w:val="0"/>
                <w:sz w:val="22"/>
              </w:rPr>
            </w:pPr>
            <w:r>
              <w:rPr>
                <w:rFonts w:hint="eastAsia" w:ascii="宋体" w:hAnsi="宋体"/>
                <w:color w:val="000000"/>
                <w:kern w:val="0"/>
                <w:sz w:val="22"/>
              </w:rPr>
              <w:t>0</w:t>
            </w:r>
          </w:p>
        </w:tc>
      </w:tr>
      <w:tr w14:paraId="453E5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5E12B548">
            <w:pPr>
              <w:widowControl/>
              <w:spacing w:line="280" w:lineRule="exact"/>
              <w:rPr>
                <w:rFonts w:ascii="宋体" w:hAnsi="宋体"/>
                <w:b/>
                <w:bCs/>
                <w:color w:val="000000"/>
                <w:kern w:val="0"/>
                <w:sz w:val="22"/>
              </w:rPr>
            </w:pPr>
            <w:r>
              <w:rPr>
                <w:rFonts w:hint="eastAsia" w:ascii="宋体" w:hAnsi="宋体"/>
                <w:b/>
                <w:bCs/>
                <w:color w:val="000000"/>
                <w:kern w:val="0"/>
                <w:sz w:val="22"/>
              </w:rPr>
              <w:t>5</w:t>
            </w:r>
          </w:p>
        </w:tc>
        <w:tc>
          <w:tcPr>
            <w:tcW w:w="818" w:type="pct"/>
            <w:noWrap/>
            <w:vAlign w:val="center"/>
          </w:tcPr>
          <w:p w14:paraId="1042BC31">
            <w:pPr>
              <w:widowControl/>
              <w:spacing w:line="280" w:lineRule="exact"/>
              <w:rPr>
                <w:rFonts w:ascii="宋体" w:hAnsi="宋体"/>
                <w:color w:val="000000"/>
                <w:kern w:val="0"/>
                <w:sz w:val="22"/>
              </w:rPr>
            </w:pPr>
            <w:r>
              <w:rPr>
                <w:rFonts w:hint="eastAsia" w:ascii="宋体" w:hAnsi="宋体"/>
                <w:color w:val="000000"/>
                <w:kern w:val="0"/>
                <w:sz w:val="22"/>
              </w:rPr>
              <w:t>山洪沟治理工程</w:t>
            </w:r>
          </w:p>
        </w:tc>
        <w:tc>
          <w:tcPr>
            <w:tcW w:w="574" w:type="pct"/>
            <w:noWrap/>
            <w:vAlign w:val="center"/>
          </w:tcPr>
          <w:p w14:paraId="7D658B67">
            <w:pPr>
              <w:widowControl/>
              <w:spacing w:line="280" w:lineRule="exact"/>
              <w:rPr>
                <w:rFonts w:ascii="宋体" w:hAnsi="宋体"/>
                <w:color w:val="000000"/>
                <w:kern w:val="0"/>
                <w:sz w:val="22"/>
              </w:rPr>
            </w:pPr>
            <w:r>
              <w:rPr>
                <w:rFonts w:hint="eastAsia" w:ascii="宋体" w:hAnsi="宋体"/>
                <w:color w:val="000000"/>
                <w:kern w:val="0"/>
                <w:sz w:val="22"/>
              </w:rPr>
              <w:t>3122</w:t>
            </w:r>
          </w:p>
        </w:tc>
        <w:tc>
          <w:tcPr>
            <w:tcW w:w="328" w:type="pct"/>
            <w:noWrap/>
            <w:vAlign w:val="center"/>
          </w:tcPr>
          <w:p w14:paraId="77E96A0C">
            <w:pPr>
              <w:widowControl/>
              <w:spacing w:line="280" w:lineRule="exact"/>
              <w:rPr>
                <w:rFonts w:ascii="宋体" w:hAnsi="宋体"/>
                <w:color w:val="000000"/>
                <w:kern w:val="0"/>
                <w:sz w:val="22"/>
              </w:rPr>
            </w:pPr>
            <w:r>
              <w:rPr>
                <w:rFonts w:hint="eastAsia" w:ascii="宋体" w:hAnsi="宋体"/>
                <w:color w:val="000000"/>
                <w:kern w:val="0"/>
                <w:sz w:val="22"/>
              </w:rPr>
              <w:t>3122</w:t>
            </w:r>
          </w:p>
        </w:tc>
        <w:tc>
          <w:tcPr>
            <w:tcW w:w="328" w:type="pct"/>
            <w:noWrap/>
            <w:vAlign w:val="center"/>
          </w:tcPr>
          <w:p w14:paraId="471DFA10">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56CD45F8">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286A7BE5">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3A5671CD">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6D789B76">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25E9CADD">
            <w:pPr>
              <w:widowControl/>
              <w:spacing w:line="280" w:lineRule="exact"/>
              <w:rPr>
                <w:rFonts w:ascii="宋体" w:hAnsi="宋体"/>
                <w:color w:val="000000"/>
                <w:kern w:val="0"/>
                <w:sz w:val="22"/>
              </w:rPr>
            </w:pPr>
            <w:r>
              <w:rPr>
                <w:rFonts w:hint="eastAsia" w:ascii="宋体" w:hAnsi="宋体"/>
                <w:color w:val="000000"/>
                <w:kern w:val="0"/>
                <w:sz w:val="22"/>
              </w:rPr>
              <w:t>0</w:t>
            </w:r>
          </w:p>
        </w:tc>
      </w:tr>
      <w:tr w14:paraId="57D1C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729EA264">
            <w:pPr>
              <w:widowControl/>
              <w:spacing w:line="280" w:lineRule="exact"/>
              <w:rPr>
                <w:rFonts w:ascii="宋体" w:hAnsi="宋体"/>
                <w:b/>
                <w:bCs/>
                <w:color w:val="000000"/>
                <w:kern w:val="0"/>
                <w:sz w:val="22"/>
              </w:rPr>
            </w:pPr>
            <w:r>
              <w:rPr>
                <w:rFonts w:hint="eastAsia" w:ascii="宋体" w:hAnsi="宋体"/>
                <w:b/>
                <w:bCs/>
                <w:color w:val="000000"/>
                <w:kern w:val="0"/>
                <w:sz w:val="22"/>
              </w:rPr>
              <w:t>6</w:t>
            </w:r>
          </w:p>
        </w:tc>
        <w:tc>
          <w:tcPr>
            <w:tcW w:w="818" w:type="pct"/>
            <w:noWrap/>
            <w:vAlign w:val="center"/>
          </w:tcPr>
          <w:p w14:paraId="2036E2E3">
            <w:pPr>
              <w:widowControl/>
              <w:spacing w:line="280" w:lineRule="exact"/>
              <w:rPr>
                <w:rFonts w:ascii="宋体" w:hAnsi="宋体"/>
                <w:color w:val="000000"/>
                <w:kern w:val="0"/>
                <w:sz w:val="22"/>
              </w:rPr>
            </w:pPr>
            <w:r>
              <w:rPr>
                <w:rFonts w:hint="eastAsia" w:ascii="宋体" w:hAnsi="宋体"/>
                <w:color w:val="000000"/>
                <w:kern w:val="0"/>
                <w:sz w:val="22"/>
              </w:rPr>
              <w:t>供水工程</w:t>
            </w:r>
          </w:p>
        </w:tc>
        <w:tc>
          <w:tcPr>
            <w:tcW w:w="574" w:type="pct"/>
            <w:noWrap/>
            <w:vAlign w:val="center"/>
          </w:tcPr>
          <w:p w14:paraId="506FCA68">
            <w:pPr>
              <w:widowControl/>
              <w:spacing w:line="280" w:lineRule="exact"/>
              <w:rPr>
                <w:rFonts w:ascii="宋体" w:hAnsi="宋体"/>
                <w:color w:val="000000"/>
                <w:kern w:val="0"/>
                <w:sz w:val="22"/>
              </w:rPr>
            </w:pPr>
            <w:r>
              <w:rPr>
                <w:rFonts w:hint="eastAsia" w:ascii="宋体" w:hAnsi="宋体"/>
                <w:color w:val="000000"/>
                <w:kern w:val="0"/>
                <w:sz w:val="22"/>
              </w:rPr>
              <w:t>68136</w:t>
            </w:r>
          </w:p>
        </w:tc>
        <w:tc>
          <w:tcPr>
            <w:tcW w:w="328" w:type="pct"/>
            <w:noWrap/>
            <w:vAlign w:val="center"/>
          </w:tcPr>
          <w:p w14:paraId="5E0AC9AB">
            <w:pPr>
              <w:widowControl/>
              <w:spacing w:line="280" w:lineRule="exact"/>
              <w:rPr>
                <w:rFonts w:ascii="宋体" w:hAnsi="宋体"/>
                <w:color w:val="000000"/>
                <w:kern w:val="0"/>
                <w:sz w:val="22"/>
              </w:rPr>
            </w:pPr>
            <w:r>
              <w:rPr>
                <w:rFonts w:hint="eastAsia" w:ascii="宋体" w:hAnsi="宋体"/>
                <w:color w:val="000000"/>
                <w:kern w:val="0"/>
                <w:sz w:val="22"/>
              </w:rPr>
              <w:t>5000</w:t>
            </w:r>
          </w:p>
        </w:tc>
        <w:tc>
          <w:tcPr>
            <w:tcW w:w="328" w:type="pct"/>
            <w:noWrap/>
            <w:vAlign w:val="center"/>
          </w:tcPr>
          <w:p w14:paraId="615B995F">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457C1F98">
            <w:pPr>
              <w:widowControl/>
              <w:spacing w:line="280" w:lineRule="exact"/>
              <w:rPr>
                <w:rFonts w:ascii="宋体" w:hAnsi="宋体"/>
                <w:color w:val="000000"/>
                <w:kern w:val="0"/>
                <w:sz w:val="22"/>
              </w:rPr>
            </w:pPr>
            <w:r>
              <w:rPr>
                <w:rFonts w:hint="eastAsia" w:ascii="宋体" w:hAnsi="宋体"/>
                <w:color w:val="000000"/>
                <w:kern w:val="0"/>
                <w:sz w:val="22"/>
              </w:rPr>
              <w:t>4000</w:t>
            </w:r>
          </w:p>
        </w:tc>
        <w:tc>
          <w:tcPr>
            <w:tcW w:w="574" w:type="pct"/>
            <w:noWrap/>
            <w:vAlign w:val="center"/>
          </w:tcPr>
          <w:p w14:paraId="360C5630">
            <w:pPr>
              <w:widowControl/>
              <w:spacing w:line="280" w:lineRule="exact"/>
              <w:rPr>
                <w:rFonts w:ascii="宋体" w:hAnsi="宋体"/>
                <w:color w:val="000000"/>
                <w:kern w:val="0"/>
                <w:sz w:val="22"/>
              </w:rPr>
            </w:pPr>
            <w:r>
              <w:rPr>
                <w:rFonts w:hint="eastAsia" w:ascii="宋体" w:hAnsi="宋体"/>
                <w:color w:val="000000"/>
                <w:kern w:val="0"/>
                <w:sz w:val="22"/>
              </w:rPr>
              <w:t>22200</w:t>
            </w:r>
          </w:p>
        </w:tc>
        <w:tc>
          <w:tcPr>
            <w:tcW w:w="410" w:type="pct"/>
            <w:noWrap/>
            <w:vAlign w:val="center"/>
          </w:tcPr>
          <w:p w14:paraId="49F2D3FC">
            <w:pPr>
              <w:widowControl/>
              <w:spacing w:line="280" w:lineRule="exact"/>
              <w:rPr>
                <w:rFonts w:ascii="宋体" w:hAnsi="宋体"/>
                <w:color w:val="000000"/>
                <w:kern w:val="0"/>
                <w:sz w:val="22"/>
              </w:rPr>
            </w:pPr>
            <w:r>
              <w:rPr>
                <w:rFonts w:hint="eastAsia" w:ascii="宋体" w:hAnsi="宋体"/>
                <w:color w:val="000000"/>
                <w:kern w:val="0"/>
                <w:sz w:val="22"/>
              </w:rPr>
              <w:t>32481</w:t>
            </w:r>
          </w:p>
        </w:tc>
        <w:tc>
          <w:tcPr>
            <w:tcW w:w="821" w:type="pct"/>
            <w:noWrap/>
            <w:vAlign w:val="center"/>
          </w:tcPr>
          <w:p w14:paraId="585DEF6D">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79D8E3F8">
            <w:pPr>
              <w:widowControl/>
              <w:spacing w:line="280" w:lineRule="exact"/>
              <w:rPr>
                <w:rFonts w:ascii="宋体" w:hAnsi="宋体"/>
                <w:color w:val="000000"/>
                <w:kern w:val="0"/>
                <w:sz w:val="22"/>
              </w:rPr>
            </w:pPr>
            <w:r>
              <w:rPr>
                <w:rFonts w:hint="eastAsia" w:ascii="宋体" w:hAnsi="宋体"/>
                <w:color w:val="000000"/>
                <w:kern w:val="0"/>
                <w:sz w:val="22"/>
              </w:rPr>
              <w:t>0</w:t>
            </w:r>
          </w:p>
        </w:tc>
      </w:tr>
      <w:tr w14:paraId="79C67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6378A247">
            <w:pPr>
              <w:widowControl/>
              <w:spacing w:line="280" w:lineRule="exact"/>
              <w:rPr>
                <w:rFonts w:ascii="宋体" w:hAnsi="宋体"/>
                <w:b/>
                <w:bCs/>
                <w:color w:val="000000"/>
                <w:kern w:val="0"/>
                <w:sz w:val="22"/>
              </w:rPr>
            </w:pPr>
            <w:r>
              <w:rPr>
                <w:rFonts w:hint="eastAsia" w:ascii="宋体" w:hAnsi="宋体"/>
                <w:b/>
                <w:bCs/>
                <w:color w:val="000000"/>
                <w:kern w:val="0"/>
                <w:sz w:val="22"/>
              </w:rPr>
              <w:t>7</w:t>
            </w:r>
          </w:p>
        </w:tc>
        <w:tc>
          <w:tcPr>
            <w:tcW w:w="818" w:type="pct"/>
            <w:noWrap/>
            <w:vAlign w:val="center"/>
          </w:tcPr>
          <w:p w14:paraId="4B5282B9">
            <w:pPr>
              <w:widowControl/>
              <w:spacing w:line="280" w:lineRule="exact"/>
              <w:rPr>
                <w:rFonts w:ascii="宋体" w:hAnsi="宋体"/>
                <w:color w:val="000000"/>
                <w:kern w:val="0"/>
                <w:sz w:val="22"/>
              </w:rPr>
            </w:pPr>
            <w:r>
              <w:rPr>
                <w:rFonts w:hint="eastAsia" w:ascii="宋体" w:hAnsi="宋体"/>
                <w:color w:val="000000"/>
                <w:kern w:val="0"/>
                <w:sz w:val="22"/>
              </w:rPr>
              <w:t>农田水利</w:t>
            </w:r>
          </w:p>
        </w:tc>
        <w:tc>
          <w:tcPr>
            <w:tcW w:w="574" w:type="pct"/>
            <w:noWrap/>
            <w:vAlign w:val="center"/>
          </w:tcPr>
          <w:p w14:paraId="06A2619A">
            <w:pPr>
              <w:widowControl/>
              <w:spacing w:line="280" w:lineRule="exact"/>
              <w:rPr>
                <w:rFonts w:ascii="宋体" w:hAnsi="宋体"/>
                <w:color w:val="000000"/>
                <w:kern w:val="0"/>
                <w:sz w:val="22"/>
              </w:rPr>
            </w:pPr>
            <w:r>
              <w:rPr>
                <w:rFonts w:hint="eastAsia" w:ascii="宋体" w:hAnsi="宋体"/>
                <w:color w:val="000000"/>
                <w:kern w:val="0"/>
                <w:sz w:val="22"/>
              </w:rPr>
              <w:t>12150</w:t>
            </w:r>
          </w:p>
        </w:tc>
        <w:tc>
          <w:tcPr>
            <w:tcW w:w="328" w:type="pct"/>
            <w:noWrap/>
            <w:vAlign w:val="center"/>
          </w:tcPr>
          <w:p w14:paraId="3A17835C">
            <w:pPr>
              <w:widowControl/>
              <w:spacing w:line="280" w:lineRule="exact"/>
              <w:rPr>
                <w:rFonts w:ascii="宋体" w:hAnsi="宋体"/>
                <w:color w:val="000000"/>
                <w:kern w:val="0"/>
                <w:sz w:val="22"/>
              </w:rPr>
            </w:pPr>
            <w:r>
              <w:rPr>
                <w:rFonts w:hint="eastAsia" w:ascii="宋体" w:hAnsi="宋体"/>
                <w:color w:val="000000"/>
                <w:kern w:val="0"/>
                <w:sz w:val="22"/>
              </w:rPr>
              <w:t>9720</w:t>
            </w:r>
          </w:p>
        </w:tc>
        <w:tc>
          <w:tcPr>
            <w:tcW w:w="328" w:type="pct"/>
            <w:noWrap/>
            <w:vAlign w:val="center"/>
          </w:tcPr>
          <w:p w14:paraId="463B5651">
            <w:pPr>
              <w:widowControl/>
              <w:spacing w:line="280" w:lineRule="exact"/>
              <w:rPr>
                <w:rFonts w:ascii="宋体" w:hAnsi="宋体"/>
                <w:color w:val="000000"/>
                <w:kern w:val="0"/>
                <w:sz w:val="22"/>
              </w:rPr>
            </w:pPr>
            <w:r>
              <w:rPr>
                <w:rFonts w:hint="eastAsia" w:ascii="宋体" w:hAnsi="宋体"/>
                <w:color w:val="000000"/>
                <w:kern w:val="0"/>
                <w:sz w:val="22"/>
              </w:rPr>
              <w:t>2430</w:t>
            </w:r>
          </w:p>
        </w:tc>
        <w:tc>
          <w:tcPr>
            <w:tcW w:w="328" w:type="pct"/>
            <w:noWrap/>
            <w:vAlign w:val="center"/>
          </w:tcPr>
          <w:p w14:paraId="478DBB71">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405A1D93">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01E78A72">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121DFA1E">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128D92F2">
            <w:pPr>
              <w:widowControl/>
              <w:spacing w:line="280" w:lineRule="exact"/>
              <w:rPr>
                <w:rFonts w:ascii="宋体" w:hAnsi="宋体"/>
                <w:color w:val="000000"/>
                <w:kern w:val="0"/>
                <w:sz w:val="22"/>
              </w:rPr>
            </w:pPr>
            <w:r>
              <w:rPr>
                <w:rFonts w:hint="eastAsia" w:ascii="宋体" w:hAnsi="宋体"/>
                <w:color w:val="000000"/>
                <w:kern w:val="0"/>
                <w:sz w:val="22"/>
              </w:rPr>
              <w:t>0</w:t>
            </w:r>
          </w:p>
        </w:tc>
      </w:tr>
      <w:tr w14:paraId="7C041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740EFD8D">
            <w:pPr>
              <w:widowControl/>
              <w:spacing w:line="280" w:lineRule="exact"/>
              <w:rPr>
                <w:rFonts w:ascii="宋体" w:hAnsi="宋体"/>
                <w:b/>
                <w:bCs/>
                <w:color w:val="000000"/>
                <w:kern w:val="0"/>
                <w:sz w:val="22"/>
              </w:rPr>
            </w:pPr>
            <w:r>
              <w:rPr>
                <w:rFonts w:hint="eastAsia" w:ascii="宋体" w:hAnsi="宋体"/>
                <w:b/>
                <w:bCs/>
                <w:color w:val="000000"/>
                <w:kern w:val="0"/>
                <w:sz w:val="22"/>
              </w:rPr>
              <w:t>8</w:t>
            </w:r>
          </w:p>
        </w:tc>
        <w:tc>
          <w:tcPr>
            <w:tcW w:w="818" w:type="pct"/>
            <w:noWrap/>
            <w:vAlign w:val="center"/>
          </w:tcPr>
          <w:p w14:paraId="18CFF37B">
            <w:pPr>
              <w:widowControl/>
              <w:spacing w:line="280" w:lineRule="exact"/>
              <w:rPr>
                <w:rFonts w:ascii="宋体" w:hAnsi="宋体"/>
                <w:color w:val="000000"/>
                <w:kern w:val="0"/>
                <w:sz w:val="22"/>
              </w:rPr>
            </w:pPr>
            <w:r>
              <w:rPr>
                <w:rFonts w:hint="eastAsia" w:ascii="宋体" w:hAnsi="宋体"/>
                <w:color w:val="000000"/>
                <w:kern w:val="0"/>
                <w:sz w:val="22"/>
              </w:rPr>
              <w:t>水土保持</w:t>
            </w:r>
          </w:p>
        </w:tc>
        <w:tc>
          <w:tcPr>
            <w:tcW w:w="574" w:type="pct"/>
            <w:noWrap/>
            <w:vAlign w:val="center"/>
          </w:tcPr>
          <w:p w14:paraId="1E55E645">
            <w:pPr>
              <w:widowControl/>
              <w:spacing w:line="280" w:lineRule="exact"/>
              <w:rPr>
                <w:rFonts w:ascii="宋体" w:hAnsi="宋体"/>
                <w:color w:val="000000"/>
                <w:kern w:val="0"/>
                <w:sz w:val="22"/>
              </w:rPr>
            </w:pPr>
            <w:r>
              <w:rPr>
                <w:rFonts w:hint="eastAsia" w:ascii="宋体" w:hAnsi="宋体"/>
                <w:color w:val="000000"/>
                <w:kern w:val="0"/>
                <w:sz w:val="22"/>
              </w:rPr>
              <w:t>10000</w:t>
            </w:r>
          </w:p>
        </w:tc>
        <w:tc>
          <w:tcPr>
            <w:tcW w:w="328" w:type="pct"/>
            <w:noWrap/>
            <w:vAlign w:val="center"/>
          </w:tcPr>
          <w:p w14:paraId="4606AAEA">
            <w:pPr>
              <w:widowControl/>
              <w:spacing w:line="280" w:lineRule="exact"/>
              <w:rPr>
                <w:rFonts w:ascii="宋体" w:hAnsi="宋体"/>
                <w:color w:val="000000"/>
                <w:kern w:val="0"/>
                <w:sz w:val="22"/>
              </w:rPr>
            </w:pPr>
            <w:r>
              <w:rPr>
                <w:rFonts w:hint="eastAsia" w:ascii="宋体" w:hAnsi="宋体"/>
                <w:color w:val="000000"/>
                <w:kern w:val="0"/>
                <w:sz w:val="22"/>
              </w:rPr>
              <w:t>8000</w:t>
            </w:r>
          </w:p>
        </w:tc>
        <w:tc>
          <w:tcPr>
            <w:tcW w:w="328" w:type="pct"/>
            <w:noWrap/>
            <w:vAlign w:val="center"/>
          </w:tcPr>
          <w:p w14:paraId="255DCD79">
            <w:pPr>
              <w:widowControl/>
              <w:spacing w:line="280" w:lineRule="exact"/>
              <w:rPr>
                <w:rFonts w:ascii="宋体" w:hAnsi="宋体"/>
                <w:color w:val="000000"/>
                <w:kern w:val="0"/>
                <w:sz w:val="22"/>
              </w:rPr>
            </w:pPr>
            <w:r>
              <w:rPr>
                <w:rFonts w:hint="eastAsia" w:ascii="宋体" w:hAnsi="宋体"/>
                <w:color w:val="000000"/>
                <w:kern w:val="0"/>
                <w:sz w:val="22"/>
              </w:rPr>
              <w:t>2000</w:t>
            </w:r>
          </w:p>
        </w:tc>
        <w:tc>
          <w:tcPr>
            <w:tcW w:w="328" w:type="pct"/>
            <w:noWrap/>
            <w:vAlign w:val="center"/>
          </w:tcPr>
          <w:p w14:paraId="16D01581">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2797D758">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2C73E770">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3C73D1B0">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1659F98F">
            <w:pPr>
              <w:widowControl/>
              <w:spacing w:line="280" w:lineRule="exact"/>
              <w:rPr>
                <w:rFonts w:ascii="宋体" w:hAnsi="宋体"/>
                <w:color w:val="000000"/>
                <w:kern w:val="0"/>
                <w:sz w:val="22"/>
              </w:rPr>
            </w:pPr>
            <w:r>
              <w:rPr>
                <w:rFonts w:hint="eastAsia" w:ascii="宋体" w:hAnsi="宋体"/>
                <w:color w:val="000000"/>
                <w:kern w:val="0"/>
                <w:sz w:val="22"/>
              </w:rPr>
              <w:t>0</w:t>
            </w:r>
          </w:p>
        </w:tc>
      </w:tr>
      <w:tr w14:paraId="009C3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5129932B">
            <w:pPr>
              <w:widowControl/>
              <w:spacing w:line="280" w:lineRule="exact"/>
              <w:rPr>
                <w:rFonts w:ascii="宋体" w:hAnsi="宋体"/>
                <w:b/>
                <w:bCs/>
                <w:color w:val="000000"/>
                <w:kern w:val="0"/>
                <w:sz w:val="22"/>
              </w:rPr>
            </w:pPr>
            <w:r>
              <w:rPr>
                <w:rFonts w:hint="eastAsia" w:ascii="宋体" w:hAnsi="宋体"/>
                <w:b/>
                <w:bCs/>
                <w:color w:val="000000"/>
                <w:kern w:val="0"/>
                <w:sz w:val="22"/>
              </w:rPr>
              <w:t>9</w:t>
            </w:r>
          </w:p>
        </w:tc>
        <w:tc>
          <w:tcPr>
            <w:tcW w:w="818" w:type="pct"/>
            <w:noWrap/>
            <w:vAlign w:val="center"/>
          </w:tcPr>
          <w:p w14:paraId="0CD0F46F">
            <w:pPr>
              <w:widowControl/>
              <w:spacing w:line="280" w:lineRule="exact"/>
              <w:rPr>
                <w:rFonts w:ascii="宋体" w:hAnsi="宋体"/>
                <w:color w:val="000000"/>
                <w:kern w:val="0"/>
                <w:sz w:val="22"/>
              </w:rPr>
            </w:pPr>
            <w:r>
              <w:rPr>
                <w:rFonts w:hint="eastAsia" w:ascii="宋体" w:hAnsi="宋体"/>
                <w:color w:val="000000"/>
                <w:kern w:val="0"/>
                <w:sz w:val="22"/>
              </w:rPr>
              <w:t>水生态保护修复工程</w:t>
            </w:r>
          </w:p>
        </w:tc>
        <w:tc>
          <w:tcPr>
            <w:tcW w:w="574" w:type="pct"/>
            <w:noWrap/>
            <w:vAlign w:val="center"/>
          </w:tcPr>
          <w:p w14:paraId="5E6059E5">
            <w:pPr>
              <w:widowControl/>
              <w:spacing w:line="280" w:lineRule="exact"/>
              <w:rPr>
                <w:rFonts w:ascii="宋体" w:hAnsi="宋体"/>
                <w:color w:val="000000"/>
                <w:kern w:val="0"/>
                <w:sz w:val="22"/>
              </w:rPr>
            </w:pPr>
            <w:r>
              <w:rPr>
                <w:rFonts w:hint="eastAsia" w:ascii="宋体" w:hAnsi="宋体"/>
                <w:color w:val="000000"/>
                <w:kern w:val="0"/>
                <w:sz w:val="22"/>
              </w:rPr>
              <w:t>50000</w:t>
            </w:r>
          </w:p>
        </w:tc>
        <w:tc>
          <w:tcPr>
            <w:tcW w:w="328" w:type="pct"/>
            <w:noWrap/>
            <w:vAlign w:val="center"/>
          </w:tcPr>
          <w:p w14:paraId="22123AF7">
            <w:pPr>
              <w:widowControl/>
              <w:spacing w:line="280" w:lineRule="exact"/>
              <w:rPr>
                <w:rFonts w:ascii="宋体" w:hAnsi="宋体"/>
                <w:color w:val="000000"/>
                <w:kern w:val="0"/>
                <w:sz w:val="22"/>
              </w:rPr>
            </w:pPr>
            <w:r>
              <w:rPr>
                <w:rFonts w:hint="eastAsia" w:ascii="宋体" w:hAnsi="宋体"/>
                <w:color w:val="000000"/>
                <w:kern w:val="0"/>
                <w:sz w:val="22"/>
              </w:rPr>
              <w:t>40000</w:t>
            </w:r>
          </w:p>
        </w:tc>
        <w:tc>
          <w:tcPr>
            <w:tcW w:w="328" w:type="pct"/>
            <w:noWrap/>
            <w:vAlign w:val="center"/>
          </w:tcPr>
          <w:p w14:paraId="5D479CC5">
            <w:pPr>
              <w:widowControl/>
              <w:spacing w:line="280" w:lineRule="exact"/>
              <w:rPr>
                <w:rFonts w:ascii="宋体" w:hAnsi="宋体"/>
                <w:color w:val="000000"/>
                <w:kern w:val="0"/>
                <w:sz w:val="22"/>
              </w:rPr>
            </w:pPr>
            <w:r>
              <w:rPr>
                <w:rFonts w:hint="eastAsia" w:ascii="宋体" w:hAnsi="宋体"/>
                <w:color w:val="000000"/>
                <w:kern w:val="0"/>
                <w:sz w:val="22"/>
              </w:rPr>
              <w:t>10000</w:t>
            </w:r>
          </w:p>
        </w:tc>
        <w:tc>
          <w:tcPr>
            <w:tcW w:w="328" w:type="pct"/>
            <w:noWrap/>
            <w:vAlign w:val="center"/>
          </w:tcPr>
          <w:p w14:paraId="4FB3F7A3">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3E073DDE">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0D32B474">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3F1F4E6F">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4FB17A58">
            <w:pPr>
              <w:widowControl/>
              <w:spacing w:line="280" w:lineRule="exact"/>
              <w:rPr>
                <w:rFonts w:ascii="宋体" w:hAnsi="宋体"/>
                <w:color w:val="000000"/>
                <w:kern w:val="0"/>
                <w:sz w:val="22"/>
              </w:rPr>
            </w:pPr>
            <w:r>
              <w:rPr>
                <w:rFonts w:hint="eastAsia" w:ascii="宋体" w:hAnsi="宋体"/>
                <w:color w:val="000000"/>
                <w:kern w:val="0"/>
                <w:sz w:val="22"/>
              </w:rPr>
              <w:t>0</w:t>
            </w:r>
          </w:p>
        </w:tc>
      </w:tr>
      <w:tr w14:paraId="7926E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2991A67B">
            <w:pPr>
              <w:widowControl/>
              <w:spacing w:line="280" w:lineRule="exact"/>
              <w:rPr>
                <w:rFonts w:ascii="宋体" w:hAnsi="宋体"/>
                <w:b/>
                <w:bCs/>
                <w:color w:val="000000"/>
                <w:kern w:val="0"/>
                <w:sz w:val="22"/>
              </w:rPr>
            </w:pPr>
            <w:r>
              <w:rPr>
                <w:rFonts w:hint="eastAsia" w:ascii="宋体" w:hAnsi="宋体"/>
                <w:b/>
                <w:bCs/>
                <w:color w:val="000000"/>
                <w:kern w:val="0"/>
                <w:sz w:val="22"/>
              </w:rPr>
              <w:t>10</w:t>
            </w:r>
          </w:p>
        </w:tc>
        <w:tc>
          <w:tcPr>
            <w:tcW w:w="818" w:type="pct"/>
            <w:noWrap/>
            <w:vAlign w:val="center"/>
          </w:tcPr>
          <w:p w14:paraId="21245969">
            <w:pPr>
              <w:widowControl/>
              <w:spacing w:line="280" w:lineRule="exact"/>
              <w:rPr>
                <w:rFonts w:ascii="宋体" w:hAnsi="宋体"/>
                <w:color w:val="000000"/>
                <w:kern w:val="0"/>
                <w:sz w:val="22"/>
              </w:rPr>
            </w:pPr>
            <w:r>
              <w:rPr>
                <w:rFonts w:hint="eastAsia" w:ascii="宋体" w:hAnsi="宋体"/>
                <w:color w:val="000000"/>
                <w:kern w:val="0"/>
                <w:sz w:val="22"/>
              </w:rPr>
              <w:t>监测设施提档升级</w:t>
            </w:r>
          </w:p>
        </w:tc>
        <w:tc>
          <w:tcPr>
            <w:tcW w:w="574" w:type="pct"/>
            <w:noWrap/>
            <w:vAlign w:val="center"/>
          </w:tcPr>
          <w:p w14:paraId="17971601">
            <w:pPr>
              <w:widowControl/>
              <w:spacing w:line="280" w:lineRule="exact"/>
              <w:rPr>
                <w:rFonts w:ascii="宋体" w:hAnsi="宋体"/>
                <w:color w:val="000000"/>
                <w:kern w:val="0"/>
                <w:sz w:val="22"/>
              </w:rPr>
            </w:pPr>
            <w:r>
              <w:rPr>
                <w:rFonts w:hint="eastAsia" w:ascii="宋体" w:hAnsi="宋体"/>
                <w:color w:val="000000"/>
                <w:kern w:val="0"/>
                <w:sz w:val="22"/>
              </w:rPr>
              <w:t>5000</w:t>
            </w:r>
          </w:p>
        </w:tc>
        <w:tc>
          <w:tcPr>
            <w:tcW w:w="328" w:type="pct"/>
            <w:noWrap/>
            <w:vAlign w:val="center"/>
          </w:tcPr>
          <w:p w14:paraId="67C44263">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469A0CB6">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3D6FB2AE">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5AED1DF5">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2B77C705">
            <w:pPr>
              <w:widowControl/>
              <w:spacing w:line="280" w:lineRule="exact"/>
              <w:rPr>
                <w:rFonts w:ascii="宋体" w:hAnsi="宋体"/>
                <w:color w:val="000000"/>
                <w:kern w:val="0"/>
                <w:sz w:val="22"/>
              </w:rPr>
            </w:pPr>
            <w:r>
              <w:rPr>
                <w:rFonts w:hint="eastAsia" w:ascii="宋体" w:hAnsi="宋体"/>
                <w:color w:val="000000"/>
                <w:kern w:val="0"/>
                <w:sz w:val="22"/>
              </w:rPr>
              <w:t>5000</w:t>
            </w:r>
          </w:p>
        </w:tc>
        <w:tc>
          <w:tcPr>
            <w:tcW w:w="821" w:type="pct"/>
            <w:noWrap/>
            <w:vAlign w:val="center"/>
          </w:tcPr>
          <w:p w14:paraId="32D10718">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1323AB19">
            <w:pPr>
              <w:widowControl/>
              <w:spacing w:line="280" w:lineRule="exact"/>
              <w:rPr>
                <w:rFonts w:ascii="宋体" w:hAnsi="宋体"/>
                <w:color w:val="000000"/>
                <w:kern w:val="0"/>
                <w:sz w:val="22"/>
              </w:rPr>
            </w:pPr>
            <w:r>
              <w:rPr>
                <w:rFonts w:hint="eastAsia" w:ascii="宋体" w:hAnsi="宋体"/>
                <w:color w:val="000000"/>
                <w:kern w:val="0"/>
                <w:sz w:val="22"/>
              </w:rPr>
              <w:t>0</w:t>
            </w:r>
          </w:p>
        </w:tc>
      </w:tr>
      <w:tr w14:paraId="58DA3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68755A10">
            <w:pPr>
              <w:widowControl/>
              <w:spacing w:line="280" w:lineRule="exact"/>
              <w:rPr>
                <w:rFonts w:ascii="宋体" w:hAnsi="宋体"/>
                <w:b/>
                <w:bCs/>
                <w:color w:val="000000"/>
                <w:kern w:val="0"/>
                <w:sz w:val="22"/>
              </w:rPr>
            </w:pPr>
            <w:r>
              <w:rPr>
                <w:rFonts w:hint="eastAsia" w:ascii="宋体" w:hAnsi="宋体"/>
                <w:b/>
                <w:bCs/>
                <w:color w:val="000000"/>
                <w:kern w:val="0"/>
                <w:sz w:val="22"/>
              </w:rPr>
              <w:t>11</w:t>
            </w:r>
          </w:p>
        </w:tc>
        <w:tc>
          <w:tcPr>
            <w:tcW w:w="818" w:type="pct"/>
            <w:noWrap/>
            <w:vAlign w:val="center"/>
          </w:tcPr>
          <w:p w14:paraId="5D7F0959">
            <w:pPr>
              <w:widowControl/>
              <w:spacing w:line="280" w:lineRule="exact"/>
              <w:rPr>
                <w:rFonts w:ascii="宋体" w:hAnsi="宋体"/>
                <w:color w:val="000000"/>
                <w:kern w:val="0"/>
                <w:sz w:val="22"/>
              </w:rPr>
            </w:pPr>
            <w:r>
              <w:rPr>
                <w:rFonts w:hint="eastAsia" w:ascii="宋体" w:hAnsi="宋体"/>
                <w:color w:val="000000"/>
                <w:kern w:val="0"/>
                <w:sz w:val="22"/>
              </w:rPr>
              <w:t>水电工程</w:t>
            </w:r>
          </w:p>
        </w:tc>
        <w:tc>
          <w:tcPr>
            <w:tcW w:w="574" w:type="pct"/>
            <w:noWrap/>
            <w:vAlign w:val="center"/>
          </w:tcPr>
          <w:p w14:paraId="2B69F9C2">
            <w:pPr>
              <w:widowControl/>
              <w:spacing w:line="280" w:lineRule="exact"/>
              <w:rPr>
                <w:rFonts w:ascii="宋体" w:hAnsi="宋体"/>
                <w:color w:val="000000"/>
                <w:kern w:val="0"/>
                <w:sz w:val="22"/>
              </w:rPr>
            </w:pPr>
            <w:r>
              <w:rPr>
                <w:rFonts w:hint="eastAsia" w:ascii="宋体" w:hAnsi="宋体"/>
                <w:color w:val="000000"/>
                <w:kern w:val="0"/>
                <w:sz w:val="22"/>
              </w:rPr>
              <w:t>22000</w:t>
            </w:r>
          </w:p>
        </w:tc>
        <w:tc>
          <w:tcPr>
            <w:tcW w:w="328" w:type="pct"/>
            <w:noWrap/>
            <w:vAlign w:val="center"/>
          </w:tcPr>
          <w:p w14:paraId="398ADB82">
            <w:pPr>
              <w:widowControl/>
              <w:spacing w:line="280" w:lineRule="exact"/>
              <w:rPr>
                <w:rFonts w:ascii="宋体" w:hAnsi="宋体"/>
                <w:color w:val="000000"/>
                <w:kern w:val="0"/>
                <w:sz w:val="22"/>
              </w:rPr>
            </w:pPr>
            <w:r>
              <w:rPr>
                <w:rFonts w:hint="eastAsia" w:ascii="宋体" w:hAnsi="宋体"/>
                <w:color w:val="000000"/>
                <w:kern w:val="0"/>
                <w:sz w:val="22"/>
              </w:rPr>
              <w:t>8011</w:t>
            </w:r>
          </w:p>
        </w:tc>
        <w:tc>
          <w:tcPr>
            <w:tcW w:w="328" w:type="pct"/>
            <w:noWrap/>
            <w:vAlign w:val="center"/>
          </w:tcPr>
          <w:p w14:paraId="11298EA4">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5FF58E1D">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26D1400A">
            <w:pPr>
              <w:widowControl/>
              <w:spacing w:line="280" w:lineRule="exact"/>
              <w:rPr>
                <w:rFonts w:ascii="宋体" w:hAnsi="宋体"/>
                <w:color w:val="000000"/>
                <w:kern w:val="0"/>
                <w:sz w:val="22"/>
              </w:rPr>
            </w:pPr>
            <w:r>
              <w:rPr>
                <w:rFonts w:hint="eastAsia" w:ascii="宋体" w:hAnsi="宋体"/>
                <w:color w:val="000000"/>
                <w:kern w:val="0"/>
                <w:sz w:val="22"/>
              </w:rPr>
              <w:t>13989</w:t>
            </w:r>
          </w:p>
        </w:tc>
        <w:tc>
          <w:tcPr>
            <w:tcW w:w="410" w:type="pct"/>
            <w:noWrap/>
            <w:vAlign w:val="center"/>
          </w:tcPr>
          <w:p w14:paraId="4DA089C9">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3EB43566">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626AEFC0">
            <w:pPr>
              <w:widowControl/>
              <w:spacing w:line="280" w:lineRule="exact"/>
              <w:rPr>
                <w:rFonts w:ascii="宋体" w:hAnsi="宋体"/>
                <w:color w:val="000000"/>
                <w:kern w:val="0"/>
                <w:sz w:val="22"/>
              </w:rPr>
            </w:pPr>
            <w:r>
              <w:rPr>
                <w:rFonts w:hint="eastAsia" w:ascii="宋体" w:hAnsi="宋体"/>
                <w:color w:val="000000"/>
                <w:kern w:val="0"/>
                <w:sz w:val="22"/>
              </w:rPr>
              <w:t>0</w:t>
            </w:r>
          </w:p>
        </w:tc>
      </w:tr>
      <w:tr w14:paraId="06C04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1EAAADF1">
            <w:pPr>
              <w:widowControl/>
              <w:spacing w:line="280" w:lineRule="exact"/>
              <w:rPr>
                <w:rFonts w:ascii="宋体" w:hAnsi="宋体"/>
                <w:b/>
                <w:bCs/>
                <w:color w:val="000000"/>
                <w:kern w:val="0"/>
                <w:sz w:val="22"/>
              </w:rPr>
            </w:pPr>
            <w:r>
              <w:rPr>
                <w:rFonts w:hint="eastAsia" w:ascii="宋体" w:hAnsi="宋体"/>
                <w:b/>
                <w:bCs/>
                <w:color w:val="000000"/>
                <w:kern w:val="0"/>
                <w:sz w:val="22"/>
              </w:rPr>
              <w:t>12</w:t>
            </w:r>
          </w:p>
        </w:tc>
        <w:tc>
          <w:tcPr>
            <w:tcW w:w="818" w:type="pct"/>
            <w:noWrap/>
            <w:vAlign w:val="center"/>
          </w:tcPr>
          <w:p w14:paraId="7A20AA82">
            <w:pPr>
              <w:widowControl/>
              <w:spacing w:line="280" w:lineRule="exact"/>
              <w:rPr>
                <w:rFonts w:ascii="宋体" w:hAnsi="宋体"/>
                <w:color w:val="000000"/>
                <w:kern w:val="0"/>
                <w:sz w:val="22"/>
              </w:rPr>
            </w:pPr>
            <w:r>
              <w:rPr>
                <w:rFonts w:hint="eastAsia" w:ascii="宋体" w:hAnsi="宋体"/>
                <w:color w:val="000000"/>
                <w:kern w:val="0"/>
                <w:sz w:val="22"/>
              </w:rPr>
              <w:t>智慧水利</w:t>
            </w:r>
          </w:p>
        </w:tc>
        <w:tc>
          <w:tcPr>
            <w:tcW w:w="574" w:type="pct"/>
            <w:noWrap/>
            <w:vAlign w:val="center"/>
          </w:tcPr>
          <w:p w14:paraId="18180792">
            <w:pPr>
              <w:widowControl/>
              <w:spacing w:line="280" w:lineRule="exact"/>
              <w:rPr>
                <w:rFonts w:ascii="宋体" w:hAnsi="宋体"/>
                <w:color w:val="000000"/>
                <w:kern w:val="0"/>
                <w:sz w:val="22"/>
              </w:rPr>
            </w:pPr>
            <w:r>
              <w:rPr>
                <w:rFonts w:hint="eastAsia" w:ascii="宋体" w:hAnsi="宋体"/>
                <w:color w:val="000000"/>
                <w:kern w:val="0"/>
                <w:sz w:val="22"/>
              </w:rPr>
              <w:t>2862</w:t>
            </w:r>
          </w:p>
        </w:tc>
        <w:tc>
          <w:tcPr>
            <w:tcW w:w="328" w:type="pct"/>
            <w:noWrap/>
            <w:vAlign w:val="center"/>
          </w:tcPr>
          <w:p w14:paraId="557C6F33">
            <w:pPr>
              <w:widowControl/>
              <w:spacing w:line="280" w:lineRule="exact"/>
              <w:rPr>
                <w:rFonts w:ascii="宋体" w:hAnsi="宋体"/>
                <w:color w:val="000000"/>
                <w:kern w:val="0"/>
                <w:sz w:val="22"/>
              </w:rPr>
            </w:pPr>
            <w:r>
              <w:rPr>
                <w:rFonts w:hint="eastAsia" w:ascii="宋体" w:hAnsi="宋体"/>
                <w:color w:val="000000"/>
                <w:kern w:val="0"/>
                <w:sz w:val="22"/>
              </w:rPr>
              <w:t>1145</w:t>
            </w:r>
          </w:p>
        </w:tc>
        <w:tc>
          <w:tcPr>
            <w:tcW w:w="328" w:type="pct"/>
            <w:noWrap/>
            <w:vAlign w:val="center"/>
          </w:tcPr>
          <w:p w14:paraId="58CA87A8">
            <w:pPr>
              <w:widowControl/>
              <w:spacing w:line="280" w:lineRule="exact"/>
              <w:rPr>
                <w:rFonts w:ascii="宋体" w:hAnsi="宋体"/>
                <w:color w:val="000000"/>
                <w:kern w:val="0"/>
                <w:sz w:val="22"/>
              </w:rPr>
            </w:pPr>
            <w:r>
              <w:rPr>
                <w:rFonts w:hint="eastAsia" w:ascii="宋体" w:hAnsi="宋体"/>
                <w:color w:val="000000"/>
                <w:kern w:val="0"/>
                <w:sz w:val="22"/>
              </w:rPr>
              <w:t>1145</w:t>
            </w:r>
          </w:p>
        </w:tc>
        <w:tc>
          <w:tcPr>
            <w:tcW w:w="328" w:type="pct"/>
            <w:noWrap/>
            <w:vAlign w:val="center"/>
          </w:tcPr>
          <w:p w14:paraId="4AEB0844">
            <w:pPr>
              <w:widowControl/>
              <w:spacing w:line="280" w:lineRule="exact"/>
              <w:rPr>
                <w:rFonts w:ascii="宋体" w:hAnsi="宋体"/>
                <w:color w:val="000000"/>
                <w:kern w:val="0"/>
                <w:sz w:val="22"/>
              </w:rPr>
            </w:pPr>
            <w:r>
              <w:rPr>
                <w:rFonts w:hint="eastAsia" w:ascii="宋体" w:hAnsi="宋体"/>
                <w:color w:val="000000"/>
                <w:kern w:val="0"/>
                <w:sz w:val="22"/>
              </w:rPr>
              <w:t>572</w:t>
            </w:r>
          </w:p>
        </w:tc>
        <w:tc>
          <w:tcPr>
            <w:tcW w:w="574" w:type="pct"/>
            <w:noWrap/>
            <w:vAlign w:val="center"/>
          </w:tcPr>
          <w:p w14:paraId="52AA1FAE">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259E5B83">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6901B501">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0015100B">
            <w:pPr>
              <w:widowControl/>
              <w:spacing w:line="280" w:lineRule="exact"/>
              <w:rPr>
                <w:rFonts w:ascii="宋体" w:hAnsi="宋体"/>
                <w:color w:val="000000"/>
                <w:kern w:val="0"/>
                <w:sz w:val="22"/>
              </w:rPr>
            </w:pPr>
            <w:r>
              <w:rPr>
                <w:rFonts w:hint="eastAsia" w:ascii="宋体" w:hAnsi="宋体"/>
                <w:color w:val="000000"/>
                <w:kern w:val="0"/>
                <w:sz w:val="22"/>
              </w:rPr>
              <w:t>0</w:t>
            </w:r>
          </w:p>
        </w:tc>
      </w:tr>
      <w:tr w14:paraId="5AA0B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0987BB4E">
            <w:pPr>
              <w:widowControl/>
              <w:spacing w:line="280" w:lineRule="exact"/>
              <w:rPr>
                <w:rFonts w:ascii="宋体" w:hAnsi="宋体"/>
                <w:b/>
                <w:bCs/>
                <w:color w:val="000000"/>
                <w:kern w:val="0"/>
                <w:sz w:val="22"/>
              </w:rPr>
            </w:pPr>
            <w:r>
              <w:rPr>
                <w:rFonts w:hint="eastAsia" w:ascii="宋体" w:hAnsi="宋体"/>
                <w:b/>
                <w:bCs/>
                <w:color w:val="000000"/>
                <w:kern w:val="0"/>
                <w:sz w:val="22"/>
              </w:rPr>
              <w:t>13</w:t>
            </w:r>
          </w:p>
        </w:tc>
        <w:tc>
          <w:tcPr>
            <w:tcW w:w="818" w:type="pct"/>
            <w:noWrap/>
            <w:vAlign w:val="center"/>
          </w:tcPr>
          <w:p w14:paraId="240246BC">
            <w:pPr>
              <w:widowControl/>
              <w:spacing w:line="280" w:lineRule="exact"/>
              <w:rPr>
                <w:rFonts w:ascii="宋体" w:hAnsi="宋体"/>
                <w:color w:val="000000"/>
                <w:kern w:val="0"/>
                <w:sz w:val="22"/>
              </w:rPr>
            </w:pPr>
            <w:r>
              <w:rPr>
                <w:rFonts w:hint="eastAsia" w:ascii="宋体" w:hAnsi="宋体"/>
                <w:color w:val="000000"/>
                <w:kern w:val="0"/>
                <w:sz w:val="22"/>
              </w:rPr>
              <w:t>大中型水库后扶</w:t>
            </w:r>
          </w:p>
        </w:tc>
        <w:tc>
          <w:tcPr>
            <w:tcW w:w="574" w:type="pct"/>
            <w:noWrap/>
            <w:vAlign w:val="center"/>
          </w:tcPr>
          <w:p w14:paraId="0EC4D67E">
            <w:pPr>
              <w:widowControl/>
              <w:spacing w:line="280" w:lineRule="exact"/>
              <w:rPr>
                <w:rFonts w:ascii="宋体" w:hAnsi="宋体"/>
                <w:color w:val="000000"/>
                <w:kern w:val="0"/>
                <w:sz w:val="22"/>
              </w:rPr>
            </w:pPr>
            <w:r>
              <w:rPr>
                <w:rFonts w:hint="eastAsia" w:ascii="宋体" w:hAnsi="宋体"/>
                <w:color w:val="000000"/>
                <w:kern w:val="0"/>
                <w:sz w:val="22"/>
              </w:rPr>
              <w:t>46278</w:t>
            </w:r>
          </w:p>
        </w:tc>
        <w:tc>
          <w:tcPr>
            <w:tcW w:w="328" w:type="pct"/>
            <w:noWrap/>
            <w:vAlign w:val="center"/>
          </w:tcPr>
          <w:p w14:paraId="1233B2AA">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38C11668">
            <w:pPr>
              <w:widowControl/>
              <w:spacing w:line="280" w:lineRule="exact"/>
              <w:rPr>
                <w:rFonts w:ascii="宋体" w:hAnsi="宋体"/>
                <w:color w:val="000000"/>
                <w:kern w:val="0"/>
                <w:sz w:val="22"/>
              </w:rPr>
            </w:pPr>
            <w:r>
              <w:rPr>
                <w:rFonts w:hint="eastAsia" w:ascii="宋体" w:hAnsi="宋体"/>
                <w:color w:val="000000"/>
                <w:kern w:val="0"/>
                <w:sz w:val="22"/>
              </w:rPr>
              <w:t>0</w:t>
            </w:r>
          </w:p>
        </w:tc>
        <w:tc>
          <w:tcPr>
            <w:tcW w:w="328" w:type="pct"/>
            <w:noWrap/>
            <w:vAlign w:val="center"/>
          </w:tcPr>
          <w:p w14:paraId="1DF92524">
            <w:pPr>
              <w:widowControl/>
              <w:spacing w:line="280" w:lineRule="exact"/>
              <w:rPr>
                <w:rFonts w:ascii="宋体" w:hAnsi="宋体"/>
                <w:color w:val="000000"/>
                <w:kern w:val="0"/>
                <w:sz w:val="22"/>
              </w:rPr>
            </w:pPr>
            <w:r>
              <w:rPr>
                <w:rFonts w:hint="eastAsia" w:ascii="宋体" w:hAnsi="宋体"/>
                <w:color w:val="000000"/>
                <w:kern w:val="0"/>
                <w:sz w:val="22"/>
              </w:rPr>
              <w:t>0</w:t>
            </w:r>
          </w:p>
        </w:tc>
        <w:tc>
          <w:tcPr>
            <w:tcW w:w="574" w:type="pct"/>
            <w:noWrap/>
            <w:vAlign w:val="center"/>
          </w:tcPr>
          <w:p w14:paraId="75BE1A9C">
            <w:pPr>
              <w:widowControl/>
              <w:spacing w:line="280" w:lineRule="exact"/>
              <w:rPr>
                <w:rFonts w:ascii="宋体" w:hAnsi="宋体"/>
                <w:color w:val="000000"/>
                <w:kern w:val="0"/>
                <w:sz w:val="22"/>
              </w:rPr>
            </w:pPr>
            <w:r>
              <w:rPr>
                <w:rFonts w:hint="eastAsia" w:ascii="宋体" w:hAnsi="宋体"/>
                <w:color w:val="000000"/>
                <w:kern w:val="0"/>
                <w:sz w:val="22"/>
              </w:rPr>
              <w:t>0</w:t>
            </w:r>
          </w:p>
        </w:tc>
        <w:tc>
          <w:tcPr>
            <w:tcW w:w="410" w:type="pct"/>
            <w:noWrap/>
            <w:vAlign w:val="center"/>
          </w:tcPr>
          <w:p w14:paraId="774F690F">
            <w:pPr>
              <w:widowControl/>
              <w:spacing w:line="280" w:lineRule="exact"/>
              <w:rPr>
                <w:rFonts w:ascii="宋体" w:hAnsi="宋体"/>
                <w:color w:val="000000"/>
                <w:kern w:val="0"/>
                <w:sz w:val="22"/>
              </w:rPr>
            </w:pPr>
            <w:r>
              <w:rPr>
                <w:rFonts w:hint="eastAsia" w:ascii="宋体" w:hAnsi="宋体"/>
                <w:color w:val="000000"/>
                <w:kern w:val="0"/>
                <w:sz w:val="22"/>
              </w:rPr>
              <w:t>0</w:t>
            </w:r>
          </w:p>
        </w:tc>
        <w:tc>
          <w:tcPr>
            <w:tcW w:w="821" w:type="pct"/>
            <w:noWrap/>
            <w:vAlign w:val="center"/>
          </w:tcPr>
          <w:p w14:paraId="2334BBF5">
            <w:pPr>
              <w:widowControl/>
              <w:spacing w:line="280" w:lineRule="exact"/>
              <w:rPr>
                <w:rFonts w:ascii="宋体" w:hAnsi="宋体"/>
                <w:color w:val="000000"/>
                <w:kern w:val="0"/>
                <w:sz w:val="22"/>
              </w:rPr>
            </w:pPr>
            <w:r>
              <w:rPr>
                <w:rFonts w:hint="eastAsia" w:ascii="宋体" w:hAnsi="宋体"/>
                <w:color w:val="000000"/>
                <w:kern w:val="0"/>
                <w:sz w:val="22"/>
              </w:rPr>
              <w:t>10626</w:t>
            </w:r>
          </w:p>
        </w:tc>
        <w:tc>
          <w:tcPr>
            <w:tcW w:w="574" w:type="pct"/>
            <w:noWrap/>
            <w:vAlign w:val="center"/>
          </w:tcPr>
          <w:p w14:paraId="75F73714">
            <w:pPr>
              <w:widowControl/>
              <w:spacing w:line="280" w:lineRule="exact"/>
              <w:rPr>
                <w:rFonts w:ascii="宋体" w:hAnsi="宋体"/>
                <w:color w:val="000000"/>
                <w:kern w:val="0"/>
                <w:sz w:val="22"/>
              </w:rPr>
            </w:pPr>
            <w:r>
              <w:rPr>
                <w:rFonts w:hint="eastAsia" w:ascii="宋体" w:hAnsi="宋体"/>
                <w:color w:val="000000"/>
                <w:kern w:val="0"/>
                <w:sz w:val="22"/>
              </w:rPr>
              <w:t>35651</w:t>
            </w:r>
          </w:p>
        </w:tc>
      </w:tr>
      <w:tr w14:paraId="0CAA2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5" w:type="pct"/>
            <w:noWrap/>
            <w:vAlign w:val="center"/>
          </w:tcPr>
          <w:p w14:paraId="08409A1C">
            <w:pPr>
              <w:widowControl/>
              <w:spacing w:line="280" w:lineRule="exact"/>
              <w:rPr>
                <w:rFonts w:ascii="宋体" w:hAnsi="宋体"/>
                <w:b/>
                <w:bCs/>
                <w:color w:val="000000"/>
                <w:kern w:val="0"/>
                <w:sz w:val="22"/>
              </w:rPr>
            </w:pPr>
            <w:r>
              <w:rPr>
                <w:rFonts w:hint="eastAsia" w:ascii="宋体" w:hAnsi="宋体"/>
                <w:b/>
                <w:bCs/>
                <w:color w:val="000000"/>
                <w:kern w:val="0"/>
                <w:sz w:val="22"/>
              </w:rPr>
              <w:t>总计</w:t>
            </w:r>
          </w:p>
        </w:tc>
        <w:tc>
          <w:tcPr>
            <w:tcW w:w="818" w:type="pct"/>
            <w:noWrap/>
            <w:vAlign w:val="center"/>
          </w:tcPr>
          <w:p w14:paraId="3458EB03">
            <w:pPr>
              <w:widowControl/>
              <w:spacing w:line="280" w:lineRule="exact"/>
              <w:rPr>
                <w:rFonts w:ascii="宋体" w:hAnsi="宋体"/>
                <w:b/>
                <w:bCs/>
                <w:color w:val="000000"/>
                <w:kern w:val="0"/>
                <w:sz w:val="22"/>
              </w:rPr>
            </w:pPr>
          </w:p>
        </w:tc>
        <w:tc>
          <w:tcPr>
            <w:tcW w:w="574" w:type="pct"/>
            <w:noWrap/>
            <w:vAlign w:val="center"/>
          </w:tcPr>
          <w:p w14:paraId="17AAF5B9">
            <w:pPr>
              <w:widowControl/>
              <w:spacing w:line="280" w:lineRule="exact"/>
              <w:rPr>
                <w:rFonts w:ascii="宋体" w:hAnsi="宋体"/>
                <w:b/>
                <w:bCs/>
                <w:color w:val="000000"/>
                <w:kern w:val="0"/>
                <w:sz w:val="22"/>
              </w:rPr>
            </w:pPr>
            <w:r>
              <w:rPr>
                <w:rFonts w:hint="eastAsia" w:ascii="宋体" w:hAnsi="宋体"/>
                <w:b/>
                <w:bCs/>
                <w:color w:val="000000"/>
                <w:kern w:val="0"/>
                <w:sz w:val="22"/>
              </w:rPr>
              <w:t>1528390</w:t>
            </w:r>
          </w:p>
        </w:tc>
        <w:tc>
          <w:tcPr>
            <w:tcW w:w="328" w:type="pct"/>
            <w:noWrap/>
            <w:vAlign w:val="center"/>
          </w:tcPr>
          <w:p w14:paraId="626C63E9">
            <w:pPr>
              <w:widowControl/>
              <w:spacing w:line="280" w:lineRule="exact"/>
              <w:rPr>
                <w:rFonts w:ascii="宋体" w:hAnsi="宋体"/>
                <w:b/>
                <w:bCs/>
                <w:color w:val="000000"/>
                <w:kern w:val="0"/>
                <w:sz w:val="22"/>
              </w:rPr>
            </w:pPr>
            <w:r>
              <w:rPr>
                <w:rFonts w:hint="eastAsia" w:ascii="宋体" w:hAnsi="宋体"/>
                <w:b/>
                <w:bCs/>
                <w:color w:val="000000"/>
                <w:kern w:val="0"/>
                <w:sz w:val="22"/>
              </w:rPr>
              <w:t>579736</w:t>
            </w:r>
          </w:p>
        </w:tc>
        <w:tc>
          <w:tcPr>
            <w:tcW w:w="328" w:type="pct"/>
            <w:noWrap/>
            <w:vAlign w:val="center"/>
          </w:tcPr>
          <w:p w14:paraId="6C972EA4">
            <w:pPr>
              <w:widowControl/>
              <w:spacing w:line="280" w:lineRule="exact"/>
              <w:rPr>
                <w:rFonts w:ascii="宋体" w:hAnsi="宋体"/>
                <w:b/>
                <w:bCs/>
                <w:color w:val="000000"/>
                <w:kern w:val="0"/>
                <w:sz w:val="22"/>
              </w:rPr>
            </w:pPr>
            <w:r>
              <w:rPr>
                <w:rFonts w:hint="eastAsia" w:ascii="宋体" w:hAnsi="宋体"/>
                <w:b/>
                <w:bCs/>
                <w:color w:val="000000"/>
                <w:kern w:val="0"/>
                <w:sz w:val="22"/>
              </w:rPr>
              <w:t>370638</w:t>
            </w:r>
          </w:p>
        </w:tc>
        <w:tc>
          <w:tcPr>
            <w:tcW w:w="328" w:type="pct"/>
            <w:noWrap/>
            <w:vAlign w:val="center"/>
          </w:tcPr>
          <w:p w14:paraId="7E6C4D9D">
            <w:pPr>
              <w:widowControl/>
              <w:spacing w:line="280" w:lineRule="exact"/>
              <w:rPr>
                <w:rFonts w:ascii="宋体" w:hAnsi="宋体"/>
                <w:b/>
                <w:bCs/>
                <w:color w:val="000000"/>
                <w:kern w:val="0"/>
                <w:sz w:val="22"/>
              </w:rPr>
            </w:pPr>
            <w:r>
              <w:rPr>
                <w:rFonts w:hint="eastAsia" w:ascii="宋体" w:hAnsi="宋体"/>
                <w:b/>
                <w:bCs/>
                <w:color w:val="000000"/>
                <w:kern w:val="0"/>
                <w:sz w:val="22"/>
              </w:rPr>
              <w:t>153590</w:t>
            </w:r>
          </w:p>
        </w:tc>
        <w:tc>
          <w:tcPr>
            <w:tcW w:w="574" w:type="pct"/>
            <w:noWrap/>
            <w:vAlign w:val="center"/>
          </w:tcPr>
          <w:p w14:paraId="5D655EA1">
            <w:pPr>
              <w:widowControl/>
              <w:spacing w:line="280" w:lineRule="exact"/>
              <w:rPr>
                <w:rFonts w:ascii="宋体" w:hAnsi="宋体"/>
                <w:b/>
                <w:bCs/>
                <w:color w:val="000000"/>
                <w:kern w:val="0"/>
                <w:sz w:val="22"/>
              </w:rPr>
            </w:pPr>
            <w:r>
              <w:rPr>
                <w:rFonts w:hint="eastAsia" w:ascii="宋体" w:hAnsi="宋体"/>
                <w:b/>
                <w:bCs/>
                <w:color w:val="000000"/>
                <w:kern w:val="0"/>
                <w:sz w:val="22"/>
              </w:rPr>
              <w:t>36189</w:t>
            </w:r>
          </w:p>
        </w:tc>
        <w:tc>
          <w:tcPr>
            <w:tcW w:w="410" w:type="pct"/>
            <w:noWrap/>
            <w:vAlign w:val="center"/>
          </w:tcPr>
          <w:p w14:paraId="35260C33">
            <w:pPr>
              <w:widowControl/>
              <w:spacing w:line="280" w:lineRule="exact"/>
              <w:rPr>
                <w:rFonts w:ascii="宋体" w:hAnsi="宋体"/>
                <w:b/>
                <w:bCs/>
                <w:color w:val="000000"/>
                <w:kern w:val="0"/>
                <w:sz w:val="22"/>
              </w:rPr>
            </w:pPr>
            <w:r>
              <w:rPr>
                <w:rFonts w:hint="eastAsia" w:ascii="宋体" w:hAnsi="宋体"/>
                <w:b/>
                <w:bCs/>
                <w:color w:val="000000"/>
                <w:kern w:val="0"/>
                <w:sz w:val="22"/>
              </w:rPr>
              <w:t>337504</w:t>
            </w:r>
          </w:p>
        </w:tc>
        <w:tc>
          <w:tcPr>
            <w:tcW w:w="821" w:type="pct"/>
            <w:noWrap/>
            <w:vAlign w:val="center"/>
          </w:tcPr>
          <w:p w14:paraId="67A00B90">
            <w:pPr>
              <w:widowControl/>
              <w:spacing w:line="280" w:lineRule="exact"/>
              <w:rPr>
                <w:rFonts w:ascii="宋体" w:hAnsi="宋体"/>
                <w:b/>
                <w:bCs/>
                <w:color w:val="000000"/>
                <w:kern w:val="0"/>
                <w:sz w:val="22"/>
              </w:rPr>
            </w:pPr>
            <w:r>
              <w:rPr>
                <w:rFonts w:hint="eastAsia" w:ascii="宋体" w:hAnsi="宋体"/>
                <w:b/>
                <w:bCs/>
                <w:color w:val="000000"/>
                <w:kern w:val="0"/>
                <w:sz w:val="22"/>
              </w:rPr>
              <w:t>10626</w:t>
            </w:r>
          </w:p>
        </w:tc>
        <w:tc>
          <w:tcPr>
            <w:tcW w:w="574" w:type="pct"/>
            <w:noWrap/>
            <w:vAlign w:val="center"/>
          </w:tcPr>
          <w:p w14:paraId="4B236621">
            <w:pPr>
              <w:widowControl/>
              <w:spacing w:line="280" w:lineRule="exact"/>
              <w:rPr>
                <w:rFonts w:ascii="宋体" w:hAnsi="宋体"/>
                <w:b/>
                <w:bCs/>
                <w:color w:val="000000"/>
                <w:kern w:val="0"/>
                <w:sz w:val="22"/>
              </w:rPr>
            </w:pPr>
            <w:r>
              <w:rPr>
                <w:rFonts w:hint="eastAsia" w:ascii="宋体" w:hAnsi="宋体"/>
                <w:b/>
                <w:bCs/>
                <w:color w:val="000000"/>
                <w:kern w:val="0"/>
                <w:sz w:val="22"/>
              </w:rPr>
              <w:t>35651</w:t>
            </w:r>
          </w:p>
        </w:tc>
      </w:tr>
    </w:tbl>
    <w:p w14:paraId="5F4DEC80">
      <w:pPr>
        <w:pStyle w:val="50"/>
        <w:ind w:firstLine="640"/>
        <w:rPr>
          <w:rFonts w:ascii="Times New Roman" w:hAnsi="Times New Roman"/>
        </w:rPr>
        <w:sectPr>
          <w:pgSz w:w="16838" w:h="11906" w:orient="landscape"/>
          <w:pgMar w:top="1418" w:right="1418" w:bottom="1418" w:left="1418" w:header="851" w:footer="992" w:gutter="0"/>
          <w:cols w:space="720" w:num="1"/>
          <w:docGrid w:type="lines" w:linePitch="312" w:charSpace="0"/>
        </w:sectPr>
      </w:pPr>
    </w:p>
    <w:p w14:paraId="4C1C3D2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奉节县“十四五”期间水利发展和建设资金来源结构主要由中央投资、市级政府投资、县级政府投资、国企投资（央企、市级国企）、三峡后续资金、大中型水库后扶资金和三峡库区基金组成，其占比分别为38%、24%、10%、</w:t>
      </w:r>
      <w:r>
        <w:rPr>
          <w:rFonts w:hint="eastAsia" w:ascii="Times New Roman" w:hAnsi="Times New Roman" w:eastAsia="楷体"/>
          <w:sz w:val="28"/>
          <w:szCs w:val="28"/>
        </w:rPr>
        <w:t>3</w:t>
      </w:r>
      <w:r>
        <w:rPr>
          <w:rFonts w:ascii="Times New Roman" w:hAnsi="Times New Roman" w:eastAsia="楷体"/>
          <w:sz w:val="28"/>
          <w:szCs w:val="28"/>
        </w:rPr>
        <w:t>%、22%、1%、2%。</w:t>
      </w:r>
    </w:p>
    <w:p w14:paraId="72212964">
      <w:pPr>
        <w:spacing w:line="360" w:lineRule="auto"/>
        <w:rPr>
          <w:rFonts w:ascii="Times New Roman" w:hAnsi="Times New Roman"/>
        </w:rPr>
      </w:pPr>
      <w:r>
        <w:drawing>
          <wp:inline distT="0" distB="0" distL="0" distR="0">
            <wp:extent cx="5759450" cy="3605530"/>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1A9DE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年度投资计划：根据“十四五”项目实施年度计划，预计在2025年末总计下达资金67.79亿元，2021年投资总额</w:t>
      </w:r>
      <w:r>
        <w:rPr>
          <w:rFonts w:hint="eastAsia" w:ascii="Times New Roman" w:hAnsi="Times New Roman" w:eastAsia="楷体"/>
          <w:sz w:val="28"/>
          <w:szCs w:val="28"/>
        </w:rPr>
        <w:t>1</w:t>
      </w:r>
      <w:r>
        <w:rPr>
          <w:rFonts w:ascii="Times New Roman" w:hAnsi="Times New Roman" w:eastAsia="楷体"/>
          <w:sz w:val="28"/>
          <w:szCs w:val="28"/>
        </w:rPr>
        <w:t>1亿元，占总投资的16 %，2022年投资总额18.0亿元，占总投资的27%，2023年投资总额</w:t>
      </w:r>
      <w:r>
        <w:rPr>
          <w:rFonts w:hint="eastAsia" w:ascii="Times New Roman" w:hAnsi="Times New Roman" w:eastAsia="楷体"/>
          <w:sz w:val="28"/>
          <w:szCs w:val="28"/>
        </w:rPr>
        <w:t>1</w:t>
      </w:r>
      <w:r>
        <w:rPr>
          <w:rFonts w:ascii="Times New Roman" w:hAnsi="Times New Roman" w:eastAsia="楷体"/>
          <w:sz w:val="28"/>
          <w:szCs w:val="28"/>
        </w:rPr>
        <w:t>8.0亿元，占总投资的27%，2024年投资总额14.0亿元，占总投资的21%，2025年投资总6.79亿元，占总投资的10%。</w:t>
      </w:r>
    </w:p>
    <w:p w14:paraId="63CE061A">
      <w:pPr>
        <w:spacing w:line="400" w:lineRule="exact"/>
        <w:ind w:firstLine="560" w:firstLineChars="200"/>
        <w:jc w:val="center"/>
        <w:rPr>
          <w:rFonts w:ascii="Times New Roman" w:hAnsi="Times New Roman" w:eastAsiaTheme="minorEastAsia"/>
          <w:sz w:val="28"/>
          <w:szCs w:val="28"/>
        </w:rPr>
      </w:pPr>
      <w:r>
        <w:rPr>
          <w:rFonts w:ascii="Times New Roman" w:hAnsi="Times New Roman" w:eastAsiaTheme="minorEastAsia"/>
          <w:sz w:val="28"/>
          <w:szCs w:val="28"/>
        </w:rPr>
        <w:t>奉节县“十四五”水安全保障规划项目年度计划表</w:t>
      </w:r>
    </w:p>
    <w:p w14:paraId="357731AC">
      <w:pPr>
        <w:rPr>
          <w:rFonts w:ascii="Times New Roman" w:hAnsi="Times New Roman"/>
        </w:rPr>
      </w:pPr>
      <w:r>
        <w:rPr>
          <w:rFonts w:ascii="Times New Roman" w:hAnsi="Times New Roman"/>
        </w:rPr>
        <w:t>表9.1-3</w:t>
      </w:r>
    </w:p>
    <w:tbl>
      <w:tblPr>
        <w:tblStyle w:val="26"/>
        <w:tblW w:w="5000" w:type="pct"/>
        <w:tblInd w:w="0" w:type="dxa"/>
        <w:tblLayout w:type="autofit"/>
        <w:tblCellMar>
          <w:top w:w="0" w:type="dxa"/>
          <w:left w:w="108" w:type="dxa"/>
          <w:bottom w:w="0" w:type="dxa"/>
          <w:right w:w="108" w:type="dxa"/>
        </w:tblCellMar>
      </w:tblPr>
      <w:tblGrid>
        <w:gridCol w:w="1718"/>
        <w:gridCol w:w="2752"/>
        <w:gridCol w:w="3098"/>
        <w:gridCol w:w="1718"/>
      </w:tblGrid>
      <w:tr w14:paraId="3E2BA65F">
        <w:tblPrEx>
          <w:tblCellMar>
            <w:top w:w="0" w:type="dxa"/>
            <w:left w:w="108" w:type="dxa"/>
            <w:bottom w:w="0" w:type="dxa"/>
            <w:right w:w="108" w:type="dxa"/>
          </w:tblCellMar>
        </w:tblPrEx>
        <w:trPr>
          <w:trHeight w:val="20" w:hRule="atLeast"/>
          <w:tblHeader/>
        </w:trPr>
        <w:tc>
          <w:tcPr>
            <w:tcW w:w="925" w:type="pct"/>
            <w:tcBorders>
              <w:top w:val="single" w:color="auto" w:sz="12" w:space="0"/>
              <w:left w:val="single" w:color="auto" w:sz="12" w:space="0"/>
              <w:bottom w:val="single" w:color="auto" w:sz="8" w:space="0"/>
              <w:right w:val="single" w:color="auto" w:sz="8" w:space="0"/>
            </w:tcBorders>
            <w:noWrap/>
            <w:vAlign w:val="center"/>
          </w:tcPr>
          <w:p w14:paraId="738E425F">
            <w:pPr>
              <w:widowControl/>
              <w:spacing w:line="0" w:lineRule="atLeast"/>
              <w:jc w:val="center"/>
              <w:rPr>
                <w:rFonts w:ascii="Times New Roman" w:hAnsi="Times New Roman"/>
                <w:kern w:val="0"/>
                <w:sz w:val="22"/>
              </w:rPr>
            </w:pPr>
            <w:r>
              <w:rPr>
                <w:rFonts w:ascii="Times New Roman" w:hAnsi="Times New Roman"/>
                <w:kern w:val="0"/>
                <w:sz w:val="22"/>
              </w:rPr>
              <w:t>实施年度</w:t>
            </w:r>
          </w:p>
        </w:tc>
        <w:tc>
          <w:tcPr>
            <w:tcW w:w="1482" w:type="pct"/>
            <w:tcBorders>
              <w:top w:val="single" w:color="auto" w:sz="12" w:space="0"/>
              <w:left w:val="nil"/>
              <w:bottom w:val="single" w:color="auto" w:sz="8" w:space="0"/>
              <w:right w:val="single" w:color="auto" w:sz="8" w:space="0"/>
            </w:tcBorders>
            <w:noWrap/>
            <w:vAlign w:val="center"/>
          </w:tcPr>
          <w:p w14:paraId="669D4522">
            <w:pPr>
              <w:widowControl/>
              <w:spacing w:line="0" w:lineRule="atLeast"/>
              <w:jc w:val="center"/>
              <w:rPr>
                <w:rFonts w:ascii="Times New Roman" w:hAnsi="Times New Roman"/>
                <w:kern w:val="0"/>
                <w:sz w:val="22"/>
              </w:rPr>
            </w:pPr>
            <w:r>
              <w:rPr>
                <w:rFonts w:ascii="Times New Roman" w:hAnsi="Times New Roman"/>
                <w:kern w:val="0"/>
                <w:sz w:val="22"/>
              </w:rPr>
              <w:t>启动和实施项目</w:t>
            </w:r>
          </w:p>
        </w:tc>
        <w:tc>
          <w:tcPr>
            <w:tcW w:w="1668" w:type="pct"/>
            <w:tcBorders>
              <w:top w:val="single" w:color="auto" w:sz="12" w:space="0"/>
              <w:left w:val="nil"/>
              <w:bottom w:val="single" w:color="auto" w:sz="8" w:space="0"/>
              <w:right w:val="single" w:color="auto" w:sz="8" w:space="0"/>
            </w:tcBorders>
            <w:noWrap/>
            <w:vAlign w:val="center"/>
          </w:tcPr>
          <w:p w14:paraId="07D185E9">
            <w:pPr>
              <w:widowControl/>
              <w:spacing w:line="0" w:lineRule="atLeast"/>
              <w:jc w:val="center"/>
              <w:rPr>
                <w:rFonts w:ascii="Times New Roman" w:hAnsi="Times New Roman"/>
                <w:kern w:val="0"/>
                <w:sz w:val="22"/>
              </w:rPr>
            </w:pPr>
            <w:r>
              <w:rPr>
                <w:rFonts w:ascii="Times New Roman" w:hAnsi="Times New Roman"/>
                <w:kern w:val="0"/>
                <w:sz w:val="22"/>
              </w:rPr>
              <w:t>年度投资（万元）</w:t>
            </w:r>
          </w:p>
        </w:tc>
        <w:tc>
          <w:tcPr>
            <w:tcW w:w="925" w:type="pct"/>
            <w:tcBorders>
              <w:top w:val="single" w:color="auto" w:sz="12" w:space="0"/>
              <w:left w:val="nil"/>
              <w:bottom w:val="single" w:color="auto" w:sz="8" w:space="0"/>
              <w:right w:val="single" w:color="auto" w:sz="12" w:space="0"/>
            </w:tcBorders>
            <w:noWrap/>
            <w:vAlign w:val="center"/>
          </w:tcPr>
          <w:p w14:paraId="5E113223">
            <w:pPr>
              <w:widowControl/>
              <w:spacing w:line="0" w:lineRule="atLeast"/>
              <w:jc w:val="center"/>
              <w:rPr>
                <w:rFonts w:ascii="Times New Roman" w:hAnsi="Times New Roman"/>
                <w:kern w:val="0"/>
                <w:sz w:val="22"/>
              </w:rPr>
            </w:pPr>
            <w:r>
              <w:rPr>
                <w:rFonts w:ascii="Times New Roman" w:hAnsi="Times New Roman"/>
                <w:kern w:val="0"/>
                <w:sz w:val="22"/>
              </w:rPr>
              <w:t>投资占比</w:t>
            </w:r>
          </w:p>
        </w:tc>
      </w:tr>
      <w:tr w14:paraId="573653FA">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8" w:space="0"/>
              <w:right w:val="single" w:color="auto" w:sz="8" w:space="0"/>
            </w:tcBorders>
            <w:noWrap/>
            <w:vAlign w:val="center"/>
          </w:tcPr>
          <w:p w14:paraId="5C618697">
            <w:pPr>
              <w:widowControl/>
              <w:spacing w:line="0" w:lineRule="atLeast"/>
              <w:jc w:val="center"/>
              <w:rPr>
                <w:rFonts w:ascii="Times New Roman" w:hAnsi="Times New Roman"/>
                <w:kern w:val="0"/>
                <w:sz w:val="22"/>
              </w:rPr>
            </w:pPr>
            <w:r>
              <w:rPr>
                <w:rFonts w:ascii="Times New Roman" w:hAnsi="Times New Roman"/>
                <w:kern w:val="0"/>
                <w:sz w:val="22"/>
              </w:rPr>
              <w:t>2021年</w:t>
            </w:r>
          </w:p>
        </w:tc>
        <w:tc>
          <w:tcPr>
            <w:tcW w:w="1482" w:type="pct"/>
            <w:tcBorders>
              <w:top w:val="nil"/>
              <w:left w:val="nil"/>
              <w:bottom w:val="single" w:color="auto" w:sz="8" w:space="0"/>
              <w:right w:val="single" w:color="auto" w:sz="8" w:space="0"/>
            </w:tcBorders>
            <w:noWrap/>
            <w:vAlign w:val="center"/>
          </w:tcPr>
          <w:p w14:paraId="3FF56E38">
            <w:pPr>
              <w:widowControl/>
              <w:spacing w:line="0" w:lineRule="atLeast"/>
              <w:jc w:val="center"/>
              <w:rPr>
                <w:rFonts w:ascii="Times New Roman" w:hAnsi="Times New Roman"/>
                <w:kern w:val="0"/>
                <w:sz w:val="22"/>
              </w:rPr>
            </w:pPr>
            <w:r>
              <w:rPr>
                <w:rFonts w:ascii="Times New Roman" w:hAnsi="Times New Roman"/>
                <w:color w:val="000000"/>
                <w:sz w:val="22"/>
              </w:rPr>
              <w:t>33</w:t>
            </w:r>
          </w:p>
        </w:tc>
        <w:tc>
          <w:tcPr>
            <w:tcW w:w="1668" w:type="pct"/>
            <w:tcBorders>
              <w:top w:val="nil"/>
              <w:left w:val="nil"/>
              <w:bottom w:val="single" w:color="auto" w:sz="8" w:space="0"/>
              <w:right w:val="single" w:color="auto" w:sz="8" w:space="0"/>
            </w:tcBorders>
            <w:noWrap/>
            <w:vAlign w:val="center"/>
          </w:tcPr>
          <w:p w14:paraId="26DC7B78">
            <w:pPr>
              <w:widowControl/>
              <w:spacing w:line="0" w:lineRule="atLeast"/>
              <w:jc w:val="center"/>
              <w:rPr>
                <w:rFonts w:ascii="Times New Roman" w:hAnsi="Times New Roman"/>
                <w:kern w:val="0"/>
                <w:sz w:val="22"/>
              </w:rPr>
            </w:pPr>
            <w:r>
              <w:rPr>
                <w:rFonts w:ascii="Times New Roman" w:hAnsi="Times New Roman"/>
                <w:color w:val="000000"/>
                <w:sz w:val="22"/>
              </w:rPr>
              <w:t>110000</w:t>
            </w:r>
          </w:p>
        </w:tc>
        <w:tc>
          <w:tcPr>
            <w:tcW w:w="925" w:type="pct"/>
            <w:tcBorders>
              <w:top w:val="nil"/>
              <w:left w:val="nil"/>
              <w:bottom w:val="single" w:color="auto" w:sz="8" w:space="0"/>
              <w:right w:val="single" w:color="auto" w:sz="12" w:space="0"/>
            </w:tcBorders>
            <w:noWrap/>
            <w:vAlign w:val="center"/>
          </w:tcPr>
          <w:p w14:paraId="55625812">
            <w:pPr>
              <w:widowControl/>
              <w:spacing w:line="0" w:lineRule="atLeast"/>
              <w:jc w:val="center"/>
              <w:rPr>
                <w:rFonts w:ascii="Times New Roman" w:hAnsi="Times New Roman"/>
                <w:kern w:val="0"/>
                <w:sz w:val="22"/>
              </w:rPr>
            </w:pPr>
            <w:r>
              <w:rPr>
                <w:rFonts w:ascii="Times New Roman" w:hAnsi="Times New Roman"/>
                <w:color w:val="000000"/>
                <w:sz w:val="22"/>
              </w:rPr>
              <w:t>16%</w:t>
            </w:r>
          </w:p>
        </w:tc>
      </w:tr>
      <w:tr w14:paraId="3B3326CF">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8" w:space="0"/>
              <w:right w:val="single" w:color="auto" w:sz="8" w:space="0"/>
            </w:tcBorders>
            <w:noWrap/>
            <w:vAlign w:val="center"/>
          </w:tcPr>
          <w:p w14:paraId="3F74F779">
            <w:pPr>
              <w:widowControl/>
              <w:spacing w:line="0" w:lineRule="atLeast"/>
              <w:jc w:val="center"/>
              <w:rPr>
                <w:rFonts w:ascii="Times New Roman" w:hAnsi="Times New Roman"/>
                <w:kern w:val="0"/>
                <w:sz w:val="22"/>
              </w:rPr>
            </w:pPr>
            <w:r>
              <w:rPr>
                <w:rFonts w:ascii="Times New Roman" w:hAnsi="Times New Roman"/>
                <w:kern w:val="0"/>
                <w:sz w:val="22"/>
              </w:rPr>
              <w:t>2022年</w:t>
            </w:r>
          </w:p>
        </w:tc>
        <w:tc>
          <w:tcPr>
            <w:tcW w:w="1482" w:type="pct"/>
            <w:tcBorders>
              <w:top w:val="nil"/>
              <w:left w:val="nil"/>
              <w:bottom w:val="single" w:color="auto" w:sz="8" w:space="0"/>
              <w:right w:val="single" w:color="auto" w:sz="8" w:space="0"/>
            </w:tcBorders>
            <w:noWrap/>
            <w:vAlign w:val="center"/>
          </w:tcPr>
          <w:p w14:paraId="65E1EDE1">
            <w:pPr>
              <w:widowControl/>
              <w:spacing w:line="0" w:lineRule="atLeast"/>
              <w:jc w:val="center"/>
              <w:rPr>
                <w:rFonts w:ascii="Times New Roman" w:hAnsi="Times New Roman"/>
                <w:kern w:val="0"/>
                <w:sz w:val="22"/>
              </w:rPr>
            </w:pPr>
            <w:r>
              <w:rPr>
                <w:rFonts w:ascii="Times New Roman" w:hAnsi="Times New Roman"/>
                <w:color w:val="000000"/>
                <w:sz w:val="22"/>
              </w:rPr>
              <w:t>16</w:t>
            </w:r>
          </w:p>
        </w:tc>
        <w:tc>
          <w:tcPr>
            <w:tcW w:w="1668" w:type="pct"/>
            <w:tcBorders>
              <w:top w:val="nil"/>
              <w:left w:val="nil"/>
              <w:bottom w:val="single" w:color="auto" w:sz="8" w:space="0"/>
              <w:right w:val="single" w:color="auto" w:sz="8" w:space="0"/>
            </w:tcBorders>
            <w:noWrap/>
            <w:vAlign w:val="center"/>
          </w:tcPr>
          <w:p w14:paraId="12131349">
            <w:pPr>
              <w:widowControl/>
              <w:spacing w:line="0" w:lineRule="atLeast"/>
              <w:jc w:val="center"/>
              <w:rPr>
                <w:rFonts w:ascii="Times New Roman" w:hAnsi="Times New Roman"/>
                <w:kern w:val="0"/>
                <w:sz w:val="22"/>
              </w:rPr>
            </w:pPr>
            <w:r>
              <w:rPr>
                <w:rFonts w:ascii="Times New Roman" w:hAnsi="Times New Roman"/>
                <w:color w:val="000000"/>
                <w:sz w:val="22"/>
              </w:rPr>
              <w:t>180000</w:t>
            </w:r>
          </w:p>
        </w:tc>
        <w:tc>
          <w:tcPr>
            <w:tcW w:w="925" w:type="pct"/>
            <w:tcBorders>
              <w:top w:val="nil"/>
              <w:left w:val="nil"/>
              <w:bottom w:val="single" w:color="auto" w:sz="8" w:space="0"/>
              <w:right w:val="single" w:color="auto" w:sz="12" w:space="0"/>
            </w:tcBorders>
            <w:noWrap/>
            <w:vAlign w:val="center"/>
          </w:tcPr>
          <w:p w14:paraId="6C34EB9E">
            <w:pPr>
              <w:widowControl/>
              <w:spacing w:line="0" w:lineRule="atLeast"/>
              <w:jc w:val="center"/>
              <w:rPr>
                <w:rFonts w:ascii="Times New Roman" w:hAnsi="Times New Roman"/>
                <w:kern w:val="0"/>
                <w:sz w:val="22"/>
              </w:rPr>
            </w:pPr>
            <w:r>
              <w:rPr>
                <w:rFonts w:ascii="Times New Roman" w:hAnsi="Times New Roman"/>
                <w:color w:val="000000"/>
                <w:sz w:val="22"/>
              </w:rPr>
              <w:t>27%</w:t>
            </w:r>
          </w:p>
        </w:tc>
      </w:tr>
      <w:tr w14:paraId="14A3F594">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8" w:space="0"/>
              <w:right w:val="single" w:color="auto" w:sz="8" w:space="0"/>
            </w:tcBorders>
            <w:noWrap/>
            <w:vAlign w:val="center"/>
          </w:tcPr>
          <w:p w14:paraId="2E3894D0">
            <w:pPr>
              <w:widowControl/>
              <w:spacing w:line="0" w:lineRule="atLeast"/>
              <w:jc w:val="center"/>
              <w:rPr>
                <w:rFonts w:ascii="Times New Roman" w:hAnsi="Times New Roman"/>
                <w:kern w:val="0"/>
                <w:sz w:val="22"/>
              </w:rPr>
            </w:pPr>
            <w:r>
              <w:rPr>
                <w:rFonts w:ascii="Times New Roman" w:hAnsi="Times New Roman"/>
                <w:kern w:val="0"/>
                <w:sz w:val="22"/>
              </w:rPr>
              <w:t>2023年</w:t>
            </w:r>
          </w:p>
        </w:tc>
        <w:tc>
          <w:tcPr>
            <w:tcW w:w="1482" w:type="pct"/>
            <w:tcBorders>
              <w:top w:val="nil"/>
              <w:left w:val="nil"/>
              <w:bottom w:val="single" w:color="auto" w:sz="8" w:space="0"/>
              <w:right w:val="single" w:color="auto" w:sz="8" w:space="0"/>
            </w:tcBorders>
            <w:noWrap/>
            <w:vAlign w:val="center"/>
          </w:tcPr>
          <w:p w14:paraId="29F3B41A">
            <w:pPr>
              <w:widowControl/>
              <w:spacing w:line="0" w:lineRule="atLeast"/>
              <w:jc w:val="center"/>
              <w:rPr>
                <w:rFonts w:ascii="Times New Roman" w:hAnsi="Times New Roman"/>
                <w:kern w:val="0"/>
                <w:sz w:val="22"/>
              </w:rPr>
            </w:pPr>
            <w:r>
              <w:rPr>
                <w:rFonts w:ascii="Times New Roman" w:hAnsi="Times New Roman"/>
                <w:color w:val="000000"/>
                <w:sz w:val="22"/>
              </w:rPr>
              <w:t>11</w:t>
            </w:r>
          </w:p>
        </w:tc>
        <w:tc>
          <w:tcPr>
            <w:tcW w:w="1668" w:type="pct"/>
            <w:tcBorders>
              <w:top w:val="nil"/>
              <w:left w:val="nil"/>
              <w:bottom w:val="single" w:color="auto" w:sz="8" w:space="0"/>
              <w:right w:val="single" w:color="auto" w:sz="8" w:space="0"/>
            </w:tcBorders>
            <w:noWrap/>
            <w:vAlign w:val="center"/>
          </w:tcPr>
          <w:p w14:paraId="0C68E5CB">
            <w:pPr>
              <w:widowControl/>
              <w:spacing w:line="0" w:lineRule="atLeast"/>
              <w:jc w:val="center"/>
              <w:rPr>
                <w:rFonts w:ascii="Times New Roman" w:hAnsi="Times New Roman"/>
                <w:kern w:val="0"/>
                <w:sz w:val="22"/>
              </w:rPr>
            </w:pPr>
            <w:r>
              <w:rPr>
                <w:rFonts w:ascii="Times New Roman" w:hAnsi="Times New Roman"/>
                <w:color w:val="000000"/>
                <w:sz w:val="22"/>
              </w:rPr>
              <w:t>180000</w:t>
            </w:r>
          </w:p>
        </w:tc>
        <w:tc>
          <w:tcPr>
            <w:tcW w:w="925" w:type="pct"/>
            <w:tcBorders>
              <w:top w:val="nil"/>
              <w:left w:val="nil"/>
              <w:bottom w:val="single" w:color="auto" w:sz="8" w:space="0"/>
              <w:right w:val="single" w:color="auto" w:sz="12" w:space="0"/>
            </w:tcBorders>
            <w:noWrap/>
            <w:vAlign w:val="center"/>
          </w:tcPr>
          <w:p w14:paraId="5FC7BDC0">
            <w:pPr>
              <w:widowControl/>
              <w:spacing w:line="0" w:lineRule="atLeast"/>
              <w:jc w:val="center"/>
              <w:rPr>
                <w:rFonts w:ascii="Times New Roman" w:hAnsi="Times New Roman"/>
                <w:kern w:val="0"/>
                <w:sz w:val="22"/>
              </w:rPr>
            </w:pPr>
            <w:r>
              <w:rPr>
                <w:rFonts w:ascii="Times New Roman" w:hAnsi="Times New Roman"/>
                <w:color w:val="000000"/>
                <w:sz w:val="22"/>
              </w:rPr>
              <w:t>27%</w:t>
            </w:r>
          </w:p>
        </w:tc>
      </w:tr>
      <w:tr w14:paraId="4E5DE6EB">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8" w:space="0"/>
              <w:right w:val="single" w:color="auto" w:sz="8" w:space="0"/>
            </w:tcBorders>
            <w:noWrap/>
            <w:vAlign w:val="center"/>
          </w:tcPr>
          <w:p w14:paraId="45307675">
            <w:pPr>
              <w:widowControl/>
              <w:spacing w:line="0" w:lineRule="atLeast"/>
              <w:jc w:val="center"/>
              <w:rPr>
                <w:rFonts w:ascii="Times New Roman" w:hAnsi="Times New Roman"/>
                <w:kern w:val="0"/>
                <w:sz w:val="22"/>
              </w:rPr>
            </w:pPr>
            <w:r>
              <w:rPr>
                <w:rFonts w:ascii="Times New Roman" w:hAnsi="Times New Roman"/>
                <w:kern w:val="0"/>
                <w:sz w:val="22"/>
              </w:rPr>
              <w:t>2024年</w:t>
            </w:r>
          </w:p>
        </w:tc>
        <w:tc>
          <w:tcPr>
            <w:tcW w:w="1482" w:type="pct"/>
            <w:tcBorders>
              <w:top w:val="nil"/>
              <w:left w:val="nil"/>
              <w:bottom w:val="single" w:color="auto" w:sz="8" w:space="0"/>
              <w:right w:val="single" w:color="auto" w:sz="8" w:space="0"/>
            </w:tcBorders>
            <w:noWrap/>
            <w:vAlign w:val="center"/>
          </w:tcPr>
          <w:p w14:paraId="23D89D2F">
            <w:pPr>
              <w:widowControl/>
              <w:spacing w:line="0" w:lineRule="atLeast"/>
              <w:jc w:val="center"/>
              <w:rPr>
                <w:rFonts w:ascii="Times New Roman" w:hAnsi="Times New Roman"/>
                <w:kern w:val="0"/>
                <w:sz w:val="22"/>
              </w:rPr>
            </w:pPr>
            <w:r>
              <w:rPr>
                <w:rFonts w:ascii="Times New Roman" w:hAnsi="Times New Roman"/>
                <w:color w:val="000000"/>
                <w:sz w:val="22"/>
              </w:rPr>
              <w:t>5</w:t>
            </w:r>
          </w:p>
        </w:tc>
        <w:tc>
          <w:tcPr>
            <w:tcW w:w="1668" w:type="pct"/>
            <w:tcBorders>
              <w:top w:val="nil"/>
              <w:left w:val="nil"/>
              <w:bottom w:val="single" w:color="auto" w:sz="8" w:space="0"/>
              <w:right w:val="single" w:color="auto" w:sz="8" w:space="0"/>
            </w:tcBorders>
            <w:noWrap/>
            <w:vAlign w:val="center"/>
          </w:tcPr>
          <w:p w14:paraId="3F2E13E5">
            <w:pPr>
              <w:widowControl/>
              <w:spacing w:line="0" w:lineRule="atLeast"/>
              <w:jc w:val="center"/>
              <w:rPr>
                <w:rFonts w:ascii="Times New Roman" w:hAnsi="Times New Roman"/>
                <w:kern w:val="0"/>
                <w:sz w:val="22"/>
              </w:rPr>
            </w:pPr>
            <w:r>
              <w:rPr>
                <w:rFonts w:ascii="Times New Roman" w:hAnsi="Times New Roman"/>
                <w:color w:val="000000"/>
                <w:sz w:val="22"/>
              </w:rPr>
              <w:t>140000</w:t>
            </w:r>
          </w:p>
        </w:tc>
        <w:tc>
          <w:tcPr>
            <w:tcW w:w="925" w:type="pct"/>
            <w:tcBorders>
              <w:top w:val="nil"/>
              <w:left w:val="nil"/>
              <w:bottom w:val="single" w:color="auto" w:sz="8" w:space="0"/>
              <w:right w:val="single" w:color="auto" w:sz="12" w:space="0"/>
            </w:tcBorders>
            <w:noWrap/>
            <w:vAlign w:val="center"/>
          </w:tcPr>
          <w:p w14:paraId="31C16411">
            <w:pPr>
              <w:widowControl/>
              <w:spacing w:line="0" w:lineRule="atLeast"/>
              <w:jc w:val="center"/>
              <w:rPr>
                <w:rFonts w:ascii="Times New Roman" w:hAnsi="Times New Roman"/>
                <w:kern w:val="0"/>
                <w:sz w:val="22"/>
              </w:rPr>
            </w:pPr>
            <w:r>
              <w:rPr>
                <w:rFonts w:ascii="Times New Roman" w:hAnsi="Times New Roman"/>
                <w:color w:val="000000"/>
                <w:sz w:val="22"/>
              </w:rPr>
              <w:t>21%</w:t>
            </w:r>
          </w:p>
        </w:tc>
      </w:tr>
      <w:tr w14:paraId="71DCE765">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8" w:space="0"/>
              <w:right w:val="single" w:color="auto" w:sz="8" w:space="0"/>
            </w:tcBorders>
            <w:noWrap/>
            <w:vAlign w:val="center"/>
          </w:tcPr>
          <w:p w14:paraId="0AB0D632">
            <w:pPr>
              <w:widowControl/>
              <w:spacing w:line="0" w:lineRule="atLeast"/>
              <w:jc w:val="center"/>
              <w:rPr>
                <w:rFonts w:ascii="Times New Roman" w:hAnsi="Times New Roman"/>
                <w:kern w:val="0"/>
                <w:sz w:val="22"/>
              </w:rPr>
            </w:pPr>
            <w:r>
              <w:rPr>
                <w:rFonts w:ascii="Times New Roman" w:hAnsi="Times New Roman"/>
                <w:kern w:val="0"/>
                <w:sz w:val="22"/>
              </w:rPr>
              <w:t>2025年</w:t>
            </w:r>
          </w:p>
        </w:tc>
        <w:tc>
          <w:tcPr>
            <w:tcW w:w="1482" w:type="pct"/>
            <w:tcBorders>
              <w:top w:val="nil"/>
              <w:left w:val="nil"/>
              <w:bottom w:val="single" w:color="auto" w:sz="8" w:space="0"/>
              <w:right w:val="single" w:color="auto" w:sz="8" w:space="0"/>
            </w:tcBorders>
            <w:noWrap/>
            <w:vAlign w:val="center"/>
          </w:tcPr>
          <w:p w14:paraId="4B0D3810">
            <w:pPr>
              <w:widowControl/>
              <w:spacing w:line="0" w:lineRule="atLeast"/>
              <w:jc w:val="center"/>
              <w:rPr>
                <w:rFonts w:ascii="Times New Roman" w:hAnsi="Times New Roman"/>
                <w:kern w:val="0"/>
                <w:sz w:val="22"/>
              </w:rPr>
            </w:pPr>
            <w:r>
              <w:rPr>
                <w:rFonts w:ascii="Times New Roman" w:hAnsi="Times New Roman"/>
                <w:color w:val="000000"/>
                <w:sz w:val="22"/>
              </w:rPr>
              <w:t>4</w:t>
            </w:r>
          </w:p>
        </w:tc>
        <w:tc>
          <w:tcPr>
            <w:tcW w:w="1668" w:type="pct"/>
            <w:tcBorders>
              <w:top w:val="nil"/>
              <w:left w:val="nil"/>
              <w:bottom w:val="single" w:color="auto" w:sz="8" w:space="0"/>
              <w:right w:val="single" w:color="auto" w:sz="8" w:space="0"/>
            </w:tcBorders>
            <w:noWrap/>
            <w:vAlign w:val="center"/>
          </w:tcPr>
          <w:p w14:paraId="4508D3DA">
            <w:pPr>
              <w:widowControl/>
              <w:spacing w:line="0" w:lineRule="atLeast"/>
              <w:jc w:val="center"/>
              <w:rPr>
                <w:rFonts w:ascii="Times New Roman" w:hAnsi="Times New Roman"/>
                <w:kern w:val="0"/>
                <w:sz w:val="22"/>
              </w:rPr>
            </w:pPr>
            <w:r>
              <w:rPr>
                <w:rFonts w:ascii="Times New Roman" w:hAnsi="Times New Roman"/>
                <w:color w:val="000000"/>
                <w:sz w:val="22"/>
              </w:rPr>
              <w:t>67895</w:t>
            </w:r>
          </w:p>
        </w:tc>
        <w:tc>
          <w:tcPr>
            <w:tcW w:w="925" w:type="pct"/>
            <w:tcBorders>
              <w:top w:val="nil"/>
              <w:left w:val="nil"/>
              <w:bottom w:val="single" w:color="auto" w:sz="8" w:space="0"/>
              <w:right w:val="single" w:color="auto" w:sz="12" w:space="0"/>
            </w:tcBorders>
            <w:noWrap/>
            <w:vAlign w:val="center"/>
          </w:tcPr>
          <w:p w14:paraId="03932306">
            <w:pPr>
              <w:widowControl/>
              <w:spacing w:line="0" w:lineRule="atLeast"/>
              <w:jc w:val="center"/>
              <w:rPr>
                <w:rFonts w:ascii="Times New Roman" w:hAnsi="Times New Roman"/>
                <w:kern w:val="0"/>
                <w:sz w:val="22"/>
              </w:rPr>
            </w:pPr>
            <w:r>
              <w:rPr>
                <w:rFonts w:ascii="Times New Roman" w:hAnsi="Times New Roman"/>
                <w:color w:val="000000"/>
                <w:sz w:val="22"/>
              </w:rPr>
              <w:t>10%</w:t>
            </w:r>
          </w:p>
        </w:tc>
      </w:tr>
      <w:tr w14:paraId="55EB1CD5">
        <w:tblPrEx>
          <w:tblCellMar>
            <w:top w:w="0" w:type="dxa"/>
            <w:left w:w="108" w:type="dxa"/>
            <w:bottom w:w="0" w:type="dxa"/>
            <w:right w:w="108" w:type="dxa"/>
          </w:tblCellMar>
        </w:tblPrEx>
        <w:trPr>
          <w:trHeight w:val="20" w:hRule="atLeast"/>
        </w:trPr>
        <w:tc>
          <w:tcPr>
            <w:tcW w:w="925" w:type="pct"/>
            <w:tcBorders>
              <w:top w:val="nil"/>
              <w:left w:val="single" w:color="auto" w:sz="12" w:space="0"/>
              <w:bottom w:val="single" w:color="auto" w:sz="12" w:space="0"/>
              <w:right w:val="single" w:color="auto" w:sz="8" w:space="0"/>
            </w:tcBorders>
            <w:noWrap/>
            <w:vAlign w:val="center"/>
          </w:tcPr>
          <w:p w14:paraId="4A1F26F8">
            <w:pPr>
              <w:widowControl/>
              <w:spacing w:line="0" w:lineRule="atLeast"/>
              <w:jc w:val="center"/>
              <w:rPr>
                <w:rFonts w:ascii="Times New Roman" w:hAnsi="Times New Roman"/>
                <w:kern w:val="0"/>
                <w:sz w:val="22"/>
              </w:rPr>
            </w:pPr>
            <w:r>
              <w:rPr>
                <w:rFonts w:ascii="Times New Roman" w:hAnsi="Times New Roman"/>
                <w:kern w:val="0"/>
                <w:sz w:val="22"/>
              </w:rPr>
              <w:t>合计</w:t>
            </w:r>
          </w:p>
        </w:tc>
        <w:tc>
          <w:tcPr>
            <w:tcW w:w="1482" w:type="pct"/>
            <w:tcBorders>
              <w:top w:val="nil"/>
              <w:left w:val="nil"/>
              <w:bottom w:val="single" w:color="auto" w:sz="12" w:space="0"/>
              <w:right w:val="single" w:color="auto" w:sz="8" w:space="0"/>
            </w:tcBorders>
            <w:noWrap/>
            <w:vAlign w:val="center"/>
          </w:tcPr>
          <w:p w14:paraId="70272B9F">
            <w:pPr>
              <w:widowControl/>
              <w:spacing w:line="0" w:lineRule="atLeast"/>
              <w:jc w:val="center"/>
              <w:rPr>
                <w:rFonts w:ascii="Times New Roman" w:hAnsi="Times New Roman"/>
                <w:kern w:val="0"/>
                <w:sz w:val="22"/>
              </w:rPr>
            </w:pPr>
            <w:r>
              <w:rPr>
                <w:rFonts w:ascii="Times New Roman" w:hAnsi="Times New Roman"/>
                <w:color w:val="000000"/>
                <w:sz w:val="22"/>
              </w:rPr>
              <w:t>69</w:t>
            </w:r>
          </w:p>
        </w:tc>
        <w:tc>
          <w:tcPr>
            <w:tcW w:w="1668" w:type="pct"/>
            <w:tcBorders>
              <w:top w:val="nil"/>
              <w:left w:val="nil"/>
              <w:bottom w:val="single" w:color="auto" w:sz="12" w:space="0"/>
              <w:right w:val="single" w:color="auto" w:sz="8" w:space="0"/>
            </w:tcBorders>
            <w:noWrap/>
            <w:vAlign w:val="center"/>
          </w:tcPr>
          <w:p w14:paraId="27792C4E">
            <w:pPr>
              <w:widowControl/>
              <w:spacing w:line="0" w:lineRule="atLeast"/>
              <w:jc w:val="center"/>
              <w:rPr>
                <w:rFonts w:ascii="Times New Roman" w:hAnsi="Times New Roman"/>
                <w:kern w:val="0"/>
                <w:sz w:val="22"/>
              </w:rPr>
            </w:pPr>
            <w:r>
              <w:rPr>
                <w:rFonts w:ascii="Times New Roman" w:hAnsi="Times New Roman"/>
                <w:color w:val="000000"/>
                <w:sz w:val="22"/>
              </w:rPr>
              <w:t>677895</w:t>
            </w:r>
          </w:p>
        </w:tc>
        <w:tc>
          <w:tcPr>
            <w:tcW w:w="925" w:type="pct"/>
            <w:tcBorders>
              <w:top w:val="nil"/>
              <w:left w:val="nil"/>
              <w:bottom w:val="single" w:color="auto" w:sz="12" w:space="0"/>
              <w:right w:val="single" w:color="auto" w:sz="12" w:space="0"/>
            </w:tcBorders>
            <w:noWrap/>
            <w:vAlign w:val="center"/>
          </w:tcPr>
          <w:p w14:paraId="1400E17A">
            <w:pPr>
              <w:widowControl/>
              <w:spacing w:line="0" w:lineRule="atLeast"/>
              <w:jc w:val="center"/>
              <w:rPr>
                <w:rFonts w:ascii="Times New Roman" w:hAnsi="Times New Roman"/>
                <w:kern w:val="0"/>
                <w:sz w:val="22"/>
              </w:rPr>
            </w:pPr>
            <w:r>
              <w:rPr>
                <w:rFonts w:ascii="Times New Roman" w:hAnsi="Times New Roman"/>
                <w:color w:val="000000"/>
                <w:sz w:val="22"/>
              </w:rPr>
              <w:t>100%</w:t>
            </w:r>
          </w:p>
        </w:tc>
      </w:tr>
    </w:tbl>
    <w:p w14:paraId="5E110ACC">
      <w:pPr>
        <w:pStyle w:val="51"/>
        <w:keepNext/>
        <w:numPr>
          <w:ilvl w:val="0"/>
          <w:numId w:val="0"/>
        </w:numPr>
        <w:spacing w:before="468" w:beforeLines="150" w:after="468" w:afterLines="150" w:line="480" w:lineRule="auto"/>
        <w:jc w:val="center"/>
        <w:rPr>
          <w:rFonts w:ascii="Times New Roman" w:hAnsi="Times New Roman" w:eastAsia="方正仿宋_GBK" w:cs="Times New Roman"/>
          <w:b/>
          <w:spacing w:val="6"/>
          <w:szCs w:val="36"/>
        </w:rPr>
        <w:sectPr>
          <w:pgSz w:w="11906" w:h="16838"/>
          <w:pgMar w:top="1418" w:right="1418" w:bottom="1418" w:left="1418" w:header="851" w:footer="992" w:gutter="0"/>
          <w:cols w:space="720" w:num="1"/>
          <w:docGrid w:type="lines" w:linePitch="312" w:charSpace="0"/>
        </w:sectPr>
      </w:pPr>
    </w:p>
    <w:p w14:paraId="0B4CCA30">
      <w:pPr>
        <w:pStyle w:val="4"/>
        <w:numPr>
          <w:ilvl w:val="0"/>
          <w:numId w:val="0"/>
        </w:numPr>
        <w:spacing w:before="0" w:after="0" w:line="360" w:lineRule="auto"/>
        <w:jc w:val="left"/>
        <w:rPr>
          <w:rFonts w:ascii="Times New Roman" w:hAnsi="Times New Roman" w:eastAsia="方正仿宋_GBK"/>
          <w:spacing w:val="6"/>
          <w:szCs w:val="32"/>
        </w:rPr>
      </w:pPr>
      <w:bookmarkStart w:id="169" w:name="_Toc92995453"/>
      <w:bookmarkStart w:id="170" w:name="_Toc24566"/>
      <w:r>
        <w:rPr>
          <w:rFonts w:ascii="Times New Roman" w:hAnsi="Times New Roman" w:eastAsia="方正仿宋_GBK"/>
          <w:spacing w:val="6"/>
          <w:szCs w:val="32"/>
        </w:rPr>
        <w:t>9.2</w:t>
      </w:r>
      <w:r>
        <w:rPr>
          <w:rFonts w:hint="eastAsia" w:ascii="Times New Roman" w:hAnsi="Times New Roman" w:eastAsia="方正仿宋_GBK"/>
          <w:spacing w:val="6"/>
          <w:szCs w:val="32"/>
        </w:rPr>
        <w:t>行业外投资</w:t>
      </w:r>
      <w:bookmarkEnd w:id="169"/>
    </w:p>
    <w:p w14:paraId="66EEA577">
      <w:pPr>
        <w:spacing w:line="600" w:lineRule="exact"/>
        <w:ind w:firstLine="560" w:firstLineChars="200"/>
        <w:rPr>
          <w:rFonts w:ascii="Times New Roman" w:hAnsi="Times New Roman" w:eastAsia="楷体"/>
          <w:sz w:val="28"/>
          <w:szCs w:val="28"/>
        </w:rPr>
      </w:pPr>
      <w:r>
        <w:rPr>
          <w:rFonts w:hint="eastAsia" w:ascii="Times New Roman" w:hAnsi="Times New Roman" w:eastAsia="楷体"/>
          <w:sz w:val="28"/>
          <w:szCs w:val="28"/>
        </w:rPr>
        <w:t>行业外投资主要为奉节县水行政主管部分负责的三峡后续非水利类项目，其资金来源主要为三峡后续资金。“十四五”时期，奉节县规划有3</w:t>
      </w:r>
      <w:r>
        <w:rPr>
          <w:rFonts w:ascii="Times New Roman" w:hAnsi="Times New Roman" w:eastAsia="楷体"/>
          <w:sz w:val="28"/>
          <w:szCs w:val="28"/>
        </w:rPr>
        <w:t>3</w:t>
      </w:r>
      <w:r>
        <w:rPr>
          <w:rFonts w:hint="eastAsia" w:ascii="Times New Roman" w:hAnsi="Times New Roman" w:eastAsia="楷体"/>
          <w:sz w:val="28"/>
          <w:szCs w:val="28"/>
        </w:rPr>
        <w:t>项三峡后续非水利类项目，合计总投资</w:t>
      </w:r>
      <w:r>
        <w:rPr>
          <w:rFonts w:ascii="Times New Roman" w:hAnsi="Times New Roman" w:eastAsia="楷体"/>
          <w:sz w:val="28"/>
          <w:szCs w:val="28"/>
        </w:rPr>
        <w:t>55.20</w:t>
      </w:r>
      <w:r>
        <w:rPr>
          <w:rFonts w:hint="eastAsia" w:ascii="Times New Roman" w:hAnsi="Times New Roman" w:eastAsia="楷体"/>
          <w:sz w:val="28"/>
          <w:szCs w:val="28"/>
        </w:rPr>
        <w:t>亿元。</w:t>
      </w:r>
    </w:p>
    <w:p w14:paraId="3F8D65A0">
      <w:pPr>
        <w:pStyle w:val="2"/>
      </w:pPr>
    </w:p>
    <w:p w14:paraId="019BD341"/>
    <w:p w14:paraId="0569FC8F">
      <w:pPr>
        <w:pStyle w:val="2"/>
        <w:sectPr>
          <w:pgSz w:w="11906" w:h="16838"/>
          <w:pgMar w:top="1418" w:right="1418" w:bottom="1418" w:left="1418" w:header="851" w:footer="992" w:gutter="0"/>
          <w:cols w:space="720" w:num="1"/>
          <w:docGrid w:type="lines" w:linePitch="312" w:charSpace="0"/>
        </w:sectPr>
      </w:pPr>
    </w:p>
    <w:p w14:paraId="629DD4D1">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71" w:name="_Toc92995454"/>
      <w:r>
        <w:rPr>
          <w:rFonts w:ascii="Times New Roman" w:hAnsi="Times New Roman" w:eastAsia="方正仿宋_GBK" w:cs="Times New Roman"/>
          <w:b/>
          <w:spacing w:val="6"/>
          <w:szCs w:val="36"/>
        </w:rPr>
        <w:t>第十章 环境影响评价</w:t>
      </w:r>
      <w:bookmarkEnd w:id="167"/>
      <w:bookmarkEnd w:id="170"/>
      <w:bookmarkEnd w:id="171"/>
    </w:p>
    <w:p w14:paraId="78EB01F5">
      <w:pPr>
        <w:spacing w:line="520" w:lineRule="exact"/>
        <w:ind w:firstLine="560" w:firstLineChars="200"/>
        <w:rPr>
          <w:rFonts w:ascii="Times New Roman" w:hAnsi="Times New Roman" w:eastAsia="楷体"/>
          <w:sz w:val="28"/>
          <w:szCs w:val="28"/>
        </w:rPr>
      </w:pPr>
      <w:bookmarkStart w:id="172" w:name="_Toc55892111"/>
      <w:r>
        <w:rPr>
          <w:rFonts w:ascii="Times New Roman" w:hAnsi="Times New Roman" w:eastAsia="楷体"/>
          <w:sz w:val="28"/>
          <w:szCs w:val="28"/>
        </w:rPr>
        <w:t>“十四五”时期，奉节县水利发展建设任务主要包括水源工程、防洪工程、供水工程、灌溉工程、水生态工程以及水利信息化建设等，规划实施后，将有效提高防洪减灾能力、城乡供水保障能力、农田水利保障能力、水环境生态能力，为全县经济社会发展提供水利支撑和保障。</w:t>
      </w:r>
    </w:p>
    <w:p w14:paraId="3779E264">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一、主要环境影响分析</w:t>
      </w:r>
      <w:bookmarkEnd w:id="172"/>
    </w:p>
    <w:p w14:paraId="164FD2B2">
      <w:pPr>
        <w:spacing w:line="520" w:lineRule="exact"/>
        <w:ind w:firstLine="560" w:firstLineChars="200"/>
        <w:rPr>
          <w:rFonts w:ascii="Times New Roman" w:hAnsi="Times New Roman" w:eastAsia="楷体"/>
          <w:sz w:val="28"/>
          <w:szCs w:val="28"/>
        </w:rPr>
      </w:pPr>
      <w:bookmarkStart w:id="173" w:name="_Toc55892112"/>
      <w:r>
        <w:rPr>
          <w:rFonts w:ascii="Times New Roman" w:hAnsi="Times New Roman" w:eastAsia="楷体"/>
          <w:sz w:val="28"/>
          <w:szCs w:val="28"/>
        </w:rPr>
        <w:t>规划实施和水利工程建设也可能对局部带来一些不利环境影响。水库建设将淹没土地和产生移民，征地拆迁和移民安置可能带来一些社会问题。整治河道、加固堤防、筑坝建库等水利工程建设将影响河流的水文情势及水生态环境；水库蓄水可能改变岩体的应力状态，产生局部的应力集中，可能产生滑坡塌岸，可能对自然景观和文物、水生生物栖息繁衍环境、生物多样性等产生影响。农田灌溉工程建成运行后，减少了沿程和田间的渗漏，对灌区植物生长及植被带来不利影响。为此，要高度重视水利工程建设的不利环境影响，依法加强相关规划和建设项目环境影响评价等工程建设前期工作，采取相应的生态环境保护措施，并根据生态环境对规划实施的响应及时优化调整实施方式，强化对工程规划、设计建设管理全过程的监管，最大程度地减免规划实施的不利环境影响。</w:t>
      </w:r>
    </w:p>
    <w:p w14:paraId="21540A10">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二、环境影响综合评价与对策措施</w:t>
      </w:r>
      <w:bookmarkEnd w:id="173"/>
    </w:p>
    <w:p w14:paraId="2CC5E00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规划的各类水利工程实施后，将具有显著的社会效益、经济效益和环境效益。但水库蓄水、移民安置、大量点线工程建设将对局部地区带来一定不利环境影响，加之全社会各类项目建设的累积影响，水利工程建设所引起的环境影响问题不容忽视。</w:t>
      </w:r>
    </w:p>
    <w:p w14:paraId="049CCC22">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坚持节约和绿色发展理念。加强用水总量控制，减少水资源过度消耗。水资源开发利用要高度重视对河流生态环境和地下水系统的保护，水资源配置要保障河流的基本生态环境用水要求，维持河道和地下水的合理水位。水资源利用要按照减量化、再利用、资源化的原则，加快建立全社会的水资源高效循环利用体系，提高水资源利用效率和效益，推进水资源可持续利用，努力形成节约水资源和保护水环境的产业结构、增长方式和消费模式，促进保护生态环境。</w:t>
      </w:r>
    </w:p>
    <w:p w14:paraId="65A386DC">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认真落实工程建设环境影响评价制度，严格执行“三同时”制度。高度重视水利工程建设的不利环境影响，依法加强相关规划环境影响评价，加强水利工程建设项目的水土保持及环境影响评价等前期工作，高度重视重要生态环境敏感保护目标的保护。强化对工程规划、设计、建设、管理的全过程监督，强化水土保持措施和生态环境保护措施，最大程度地减免规划实施的不利环境影响。</w:t>
      </w:r>
    </w:p>
    <w:p w14:paraId="6D6D376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妥善做好移民安置工作。坚持节约集约用地，切实做好工程征地补偿、搬迁安置和水库移民后期扶持工作，确保被征地居民生活水平逐步提高，保障其合法权益，维护社会稳定。以人为本，科学规划，编制切实可行的移民安置规划，妥善安置，保护环境。</w:t>
      </w:r>
    </w:p>
    <w:p w14:paraId="10D9C399">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严格保护土地资源和耕地资源。水利工程建设，尤其是水库工程建设将占用一定的土地资源，对日益稀缺的基本农田带来一定的不利影响。工程建设要严格贯彻执行《中华人民共和国森林法》、《中华人民共和国森林法实施条例》和《基本农田保护条例》等规定，严格占地审批制度，保护宝贵的土地、耕地、林地和森林资源，坚持节约集约用地，切实做好占地调整和补偿工作，采取有力措施减少基本农田损失造成的影响。</w:t>
      </w:r>
    </w:p>
    <w:p w14:paraId="388B895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加强规划实施的环境风险管理。制定突发性环境事件应急预案和风险应急管理措施。加强对水文、水资源、生态环境等敏感因素的监测与控制，加强对湿地生态系统产生不可逆转或毁灭性影响的生态风险评估，优化和调整实施计划和方案，把对生态环境的负面影响控制在最低程度。</w:t>
      </w:r>
    </w:p>
    <w:p w14:paraId="6E5B1629">
      <w:pPr>
        <w:rPr>
          <w:rFonts w:ascii="Times New Roman" w:hAnsi="Times New Roman"/>
        </w:rPr>
      </w:pPr>
    </w:p>
    <w:p w14:paraId="53C36502">
      <w:pPr>
        <w:rPr>
          <w:rFonts w:ascii="Times New Roman" w:hAnsi="Times New Roman"/>
        </w:rPr>
        <w:sectPr>
          <w:pgSz w:w="11906" w:h="16838"/>
          <w:pgMar w:top="1418" w:right="1418" w:bottom="1418" w:left="1418" w:header="851" w:footer="992" w:gutter="0"/>
          <w:cols w:space="720" w:num="1"/>
          <w:docGrid w:type="lines" w:linePitch="312" w:charSpace="0"/>
        </w:sectPr>
      </w:pPr>
    </w:p>
    <w:p w14:paraId="7A2B086A">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74" w:name="_Toc11672"/>
      <w:bookmarkStart w:id="175" w:name="_Toc92995455"/>
      <w:r>
        <w:rPr>
          <w:rFonts w:ascii="Times New Roman" w:hAnsi="Times New Roman" w:eastAsia="方正仿宋_GBK" w:cs="Times New Roman"/>
          <w:b/>
          <w:spacing w:val="6"/>
          <w:szCs w:val="36"/>
        </w:rPr>
        <w:t>第十一章 规划实施的保障措施</w:t>
      </w:r>
      <w:bookmarkEnd w:id="174"/>
      <w:bookmarkEnd w:id="175"/>
    </w:p>
    <w:p w14:paraId="75A8BDB5">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一、加强组织领导，落实目标责任</w:t>
      </w:r>
    </w:p>
    <w:p w14:paraId="31EE023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十四五期间，奉节水利做好“一盘棋”谋划，以整体思维、系统思维为中心，切实加强水利工作的组织领导，及时研究解决水安全保障工作中的突出问题。认真落实饮水安全保障、防汛抗旱、水资源管理、水库安全管理、水土保持行政首长负责制，建立和完善对相关部门、单位、乡镇（街道）水利工作年度目标考核制度。奉节县水利局要切实增强责任意识，认真履行职责，抓好水安全保障各项任务的实施工作，要从实际出发，积极寻求发展改革、财政、规划和自然资源等部门的支持，制定水安全保障具体方案和相关配套政策措施，狠抓落实，确保全县水安全系统保障。</w:t>
      </w:r>
    </w:p>
    <w:p w14:paraId="042E8B5A">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二、是多方筹措资金，加大政府投入，保障水利建设</w:t>
      </w:r>
    </w:p>
    <w:p w14:paraId="6A045C30">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抢抓国家加大水利投资、增加地方政府专项债券的战略窗口期，吃透政策精神，积极争取三峡后续资金、中央水利发展资金、市级专项资金等财政投入，探索更多资金筹措办法，保障水利建设资金需求。</w:t>
      </w:r>
    </w:p>
    <w:p w14:paraId="51A318A8">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要将水利作为公共财政投入的重点领域，确保财政性资金对水利的投入总量和增幅都有明显提高。坚持政府和市场两手发力，争取加大县级财政投入力度。在依法合规和防范风险的前提下，用足用好金融支持水利政策。鼓励和引导社会资本参与水利项目建设运营，形成多渠道水利投融资保障机制。逐步完善水利建设项目的补助政策，加强对水利投入政策落实情况的监督检查，进一步强化对水利资金使用的监督管理及绩效评价，确保水安全保障“十四五”规划投资落到实处、发挥效益。要充分利用财政贴息、中长期政策性贷款等优惠政策，大幅增加水利建设的信贷资金。积极吸引民营资本投入经营性水利项目，调动社会公众参与水利基础设施建设。</w:t>
      </w:r>
    </w:p>
    <w:p w14:paraId="4EBB3813">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三、是加强项目储备、强化执行力度，确保项目进度</w:t>
      </w:r>
    </w:p>
    <w:p w14:paraId="18ED986C">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遵循乡村振兴、长江经济带发展、“一区两群”区域协调发展等重大战略，按照“确有需要、生态安全、可以持续”原则，深挖全县水资源禀赋，谋划储备一批重点水利工程项目，形成“策划一批、储备一批、申报一批、建设一批”的良性滚动机制，为立项争资创造有利条件。</w:t>
      </w:r>
    </w:p>
    <w:p w14:paraId="57B2BD0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围绕水源工程三年行动计划，加快推进默玺湖水库（大型）、公板溪水库（中型）、双岔河水库（中型）以及一大批小型水库的前期工作，储备一批建设条件好、功能性强、效益明显的优质水源项目。通过制定项目前期工作各环节的进度目标，加强督促检查。切实加大规划执行力度，分解规划任务，加强检查监督，适时开展规划实施情况评估。建立水利工程建设项目库，落实前期工作责任制，制定前期工作指导性计划，加快项目前期工作，确保前期工作质量。建立发展改革、规划自然资源、生态环境、林业等部门协同工作机制，加快项目审批进度和协调解决征地移民等重大问题。</w:t>
      </w:r>
    </w:p>
    <w:p w14:paraId="3BD7D4CF">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四、调动公众参与，听取公众意见</w:t>
      </w:r>
    </w:p>
    <w:p w14:paraId="0FD3E97D">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深入开展县情水情教育，增强全县人民的水患意识、节水意识和水资源保护意识，广泛动员全社会力量参与到水利建设中来。健全水行政主管部门主导，公众参与、专家论证，社会各方有序参与的决策机制，推进规划实施过程中的公众监督和民主决策，广泛听取公众意见，充分反映公众意愿，引导公众积极地参与和支持水利规划实施，为规划实施营造良好的社会环境。</w:t>
      </w:r>
    </w:p>
    <w:p w14:paraId="40947F41">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五、强化队伍建设，提供人才保障</w:t>
      </w:r>
    </w:p>
    <w:p w14:paraId="092DF60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加强干部队伍建设，创新干部选拔和培养方式，推进竞争性选拔干部工作，加大干部双向选择和实践锻炼力度，增强干部队伍活力。全面提升全县水利系统干部职工队伍素质，大力引进、培养和用好水利管理人才、专业技术人才和高级技术人才，构建水利创新团队。着力完善人才评价、考核、激励机制，进一步营造有利于优秀人才脱颖而出的用人环境。加强对基层水利职工在职培训、继续教育，提高水利工作者业务素质和履职能力。</w:t>
      </w:r>
    </w:p>
    <w:p w14:paraId="08AC2D27">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六、营造良好氛围，形成工作合力</w:t>
      </w:r>
    </w:p>
    <w:p w14:paraId="4485CF74">
      <w:pPr>
        <w:spacing w:line="520" w:lineRule="exact"/>
        <w:ind w:firstLine="560" w:firstLineChars="200"/>
        <w:rPr>
          <w:rFonts w:ascii="Times New Roman" w:hAnsi="Times New Roman" w:eastAsia="楷体"/>
          <w:sz w:val="28"/>
          <w:szCs w:val="28"/>
        </w:rPr>
        <w:sectPr>
          <w:pgSz w:w="11906" w:h="16838"/>
          <w:pgMar w:top="1417" w:right="1417" w:bottom="1417" w:left="1417" w:header="851" w:footer="992" w:gutter="0"/>
          <w:cols w:space="720" w:num="1"/>
          <w:docGrid w:type="lines" w:linePitch="312" w:charSpace="0"/>
        </w:sectPr>
      </w:pPr>
      <w:r>
        <w:rPr>
          <w:rFonts w:ascii="Times New Roman" w:hAnsi="Times New Roman" w:eastAsia="楷体"/>
          <w:sz w:val="28"/>
          <w:szCs w:val="28"/>
        </w:rPr>
        <w:t>加大水利宣传力度，把水利纳入公益性宣传范围，纳入国民素质教育体系和中小学教育课程体系，纳入各类教育培训内容。大力弘扬水文化，提高全民水患意识、节水意识、水资源保护意识和灾害防御自救意识，在全社会形成节约用水的良好风尚。</w:t>
      </w:r>
    </w:p>
    <w:p w14:paraId="4EAFA1D8">
      <w:pPr>
        <w:pStyle w:val="51"/>
        <w:numPr>
          <w:ilvl w:val="0"/>
          <w:numId w:val="0"/>
        </w:numPr>
        <w:spacing w:before="468" w:beforeLines="150" w:after="468" w:afterLines="150" w:line="480" w:lineRule="auto"/>
        <w:jc w:val="center"/>
        <w:rPr>
          <w:rFonts w:ascii="Times New Roman" w:hAnsi="Times New Roman" w:eastAsia="方正仿宋_GBK" w:cs="Times New Roman"/>
          <w:b/>
          <w:spacing w:val="6"/>
          <w:szCs w:val="36"/>
        </w:rPr>
      </w:pPr>
      <w:bookmarkStart w:id="176" w:name="_Toc92995456"/>
      <w:bookmarkStart w:id="177" w:name="_Toc8149"/>
      <w:r>
        <w:rPr>
          <w:rFonts w:ascii="Times New Roman" w:hAnsi="Times New Roman" w:eastAsia="方正仿宋_GBK" w:cs="Times New Roman"/>
          <w:b/>
          <w:spacing w:val="6"/>
          <w:szCs w:val="36"/>
        </w:rPr>
        <w:t>第十二章 重要项目简介</w:t>
      </w:r>
      <w:bookmarkEnd w:id="176"/>
      <w:bookmarkEnd w:id="177"/>
    </w:p>
    <w:p w14:paraId="2208313A">
      <w:pPr>
        <w:pStyle w:val="4"/>
        <w:numPr>
          <w:ilvl w:val="0"/>
          <w:numId w:val="0"/>
        </w:numPr>
        <w:spacing w:before="0" w:after="0" w:line="360" w:lineRule="auto"/>
        <w:jc w:val="left"/>
        <w:rPr>
          <w:rFonts w:ascii="Times New Roman" w:hAnsi="Times New Roman" w:eastAsia="方正仿宋_GBK"/>
          <w:spacing w:val="6"/>
          <w:szCs w:val="32"/>
        </w:rPr>
      </w:pPr>
      <w:bookmarkStart w:id="178" w:name="_Toc92995457"/>
      <w:bookmarkStart w:id="179" w:name="_Toc23013"/>
      <w:r>
        <w:rPr>
          <w:rFonts w:ascii="Times New Roman" w:hAnsi="Times New Roman" w:eastAsia="方正仿宋_GBK"/>
          <w:spacing w:val="6"/>
          <w:szCs w:val="32"/>
        </w:rPr>
        <w:t>12.1 水源工程</w:t>
      </w:r>
      <w:bookmarkEnd w:id="178"/>
      <w:bookmarkEnd w:id="179"/>
    </w:p>
    <w:p w14:paraId="455392CF">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（1）天赐湖水库</w:t>
      </w:r>
    </w:p>
    <w:p w14:paraId="0CAE00D5">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天赐湖水库是一座具有农业灌溉、城乡供水及发电等综合效益的中型水库。水库坝址位于奉节县长安乡五坝村——撒谷溪上游茅草坝河段，坝址以上集雨面积34.3km</w:t>
      </w:r>
      <w:r>
        <w:rPr>
          <w:rFonts w:ascii="Times New Roman" w:hAnsi="Times New Roman" w:eastAsia="楷体"/>
          <w:sz w:val="28"/>
          <w:szCs w:val="28"/>
          <w:vertAlign w:val="superscript"/>
        </w:rPr>
        <w:t>2</w:t>
      </w:r>
      <w:r>
        <w:rPr>
          <w:rFonts w:ascii="Times New Roman" w:hAnsi="Times New Roman" w:eastAsia="楷体"/>
          <w:sz w:val="28"/>
          <w:szCs w:val="28"/>
        </w:rPr>
        <w:t>。项目已于2016年由重庆市水利局和重庆市发展计划委员会对其初设进行批复。水库正常蓄水位1725.00m，校核洪水位1725.64m，总库容1757.0万m</w:t>
      </w:r>
      <w:r>
        <w:rPr>
          <w:rFonts w:ascii="Times New Roman" w:hAnsi="Times New Roman" w:eastAsia="楷体"/>
          <w:sz w:val="28"/>
          <w:szCs w:val="28"/>
          <w:vertAlign w:val="superscript"/>
        </w:rPr>
        <w:t>3</w:t>
      </w:r>
      <w:r>
        <w:rPr>
          <w:rFonts w:ascii="Times New Roman" w:hAnsi="Times New Roman" w:eastAsia="楷体"/>
          <w:sz w:val="28"/>
          <w:szCs w:val="28"/>
        </w:rPr>
        <w:t>。灌溉面积为58106亩，其中新增灌面54185亩，改善灌面3921亩。天赐湖水库供水范围涉及的4个场镇城镇人口6.44万人和2.45万农村人口。水库建成后，多年平均可供水量2027.7万m</w:t>
      </w:r>
      <w:r>
        <w:rPr>
          <w:rFonts w:ascii="Times New Roman" w:hAnsi="Times New Roman" w:eastAsia="楷体"/>
          <w:sz w:val="28"/>
          <w:szCs w:val="28"/>
          <w:vertAlign w:val="superscript"/>
        </w:rPr>
        <w:t>3</w:t>
      </w:r>
      <w:r>
        <w:rPr>
          <w:rFonts w:ascii="Times New Roman" w:hAnsi="Times New Roman" w:eastAsia="楷体"/>
          <w:sz w:val="28"/>
          <w:szCs w:val="28"/>
        </w:rPr>
        <w:t>（灌溉1176.5万m</w:t>
      </w:r>
      <w:r>
        <w:rPr>
          <w:rFonts w:ascii="Times New Roman" w:hAnsi="Times New Roman" w:eastAsia="楷体"/>
          <w:sz w:val="28"/>
          <w:szCs w:val="28"/>
          <w:vertAlign w:val="superscript"/>
        </w:rPr>
        <w:t>3</w:t>
      </w:r>
      <w:r>
        <w:rPr>
          <w:rFonts w:ascii="Times New Roman" w:hAnsi="Times New Roman" w:eastAsia="楷体"/>
          <w:sz w:val="28"/>
          <w:szCs w:val="28"/>
        </w:rPr>
        <w:t>，场镇供水717.6万m</w:t>
      </w:r>
      <w:r>
        <w:rPr>
          <w:rFonts w:ascii="Times New Roman" w:hAnsi="Times New Roman" w:eastAsia="楷体"/>
          <w:sz w:val="28"/>
          <w:szCs w:val="28"/>
          <w:vertAlign w:val="superscript"/>
        </w:rPr>
        <w:t>3</w:t>
      </w:r>
      <w:r>
        <w:rPr>
          <w:rFonts w:ascii="Times New Roman" w:hAnsi="Times New Roman" w:eastAsia="楷体"/>
          <w:sz w:val="28"/>
          <w:szCs w:val="28"/>
        </w:rPr>
        <w:t>，农村人畜供水133.6万m</w:t>
      </w:r>
      <w:r>
        <w:rPr>
          <w:rFonts w:ascii="Times New Roman" w:hAnsi="Times New Roman" w:eastAsia="楷体"/>
          <w:sz w:val="28"/>
          <w:szCs w:val="28"/>
          <w:vertAlign w:val="superscript"/>
        </w:rPr>
        <w:t>3</w:t>
      </w:r>
      <w:r>
        <w:rPr>
          <w:rFonts w:ascii="Times New Roman" w:hAnsi="Times New Roman" w:eastAsia="楷体"/>
          <w:sz w:val="28"/>
          <w:szCs w:val="28"/>
        </w:rPr>
        <w:t>）。利用灌溉供水水量及余水水量布置有长安消能电站，装机容量11MW，多年平均发电量2736万kW·h，年均利用小时数2488h。</w:t>
      </w:r>
    </w:p>
    <w:p w14:paraId="5FE56DEE">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水库选定坝型为堆石混凝土重力坝。坝顶高程1727.00m，最低建基面高程1696.50m，最大坝高30.5m，最大坝底宽27.50m，坝轴线长114.0m，坝顶宽7.0m。灌溉与供水管道包括干管1条，支管4条，分支管2条，主要采用有压隧洞及压力管道输水，总长81.33km。长安消能电站在鹤峰支管不需要灌溉和供水的情况下，全负荷发电，发电引水流量2.2m</w:t>
      </w:r>
      <w:r>
        <w:rPr>
          <w:rFonts w:ascii="Times New Roman" w:hAnsi="Times New Roman" w:eastAsia="楷体"/>
          <w:sz w:val="28"/>
          <w:szCs w:val="28"/>
          <w:vertAlign w:val="superscript"/>
        </w:rPr>
        <w:t>3</w:t>
      </w:r>
      <w:r>
        <w:rPr>
          <w:rFonts w:ascii="Times New Roman" w:hAnsi="Times New Roman" w:eastAsia="楷体"/>
          <w:sz w:val="28"/>
          <w:szCs w:val="28"/>
        </w:rPr>
        <w:t>/s，利用水头669.85m。天赐湖水库工程共征收土地3545.84亩，直接影响人口搬迁352户1478人，其中农业人口1465人，非农业人口13人，建设征地及移民安置静态总投资为32401.28万元，工程静态总投资155574.79万元，工期为67个月。</w:t>
      </w:r>
    </w:p>
    <w:p w14:paraId="0184F9AB">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（2）野茶水库</w:t>
      </w:r>
    </w:p>
    <w:p w14:paraId="23D7151C">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野茶水库是一座具有农业灌溉、场镇及农村供水等综合利用功能的Ⅲ等中型水利工程。水库坝址位于奉节县甲高镇三湾村境内，长江右岸二级支流甲高河上游三湾村的沙坪附近，控制地表集雨面积20.96km</w:t>
      </w:r>
      <w:r>
        <w:rPr>
          <w:rFonts w:ascii="Times New Roman" w:hAnsi="Times New Roman" w:eastAsia="楷体"/>
          <w:sz w:val="28"/>
          <w:szCs w:val="28"/>
          <w:vertAlign w:val="superscript"/>
        </w:rPr>
        <w:t>2</w:t>
      </w:r>
      <w:r>
        <w:rPr>
          <w:rFonts w:ascii="Times New Roman" w:hAnsi="Times New Roman" w:eastAsia="楷体"/>
          <w:sz w:val="28"/>
          <w:szCs w:val="28"/>
        </w:rPr>
        <w:t>。工程可研已于2019年获重庆市水利局批复，初设于2020年11月20日获重庆市水利局批复。水库正常蓄水位704m，正常库容937.5万m³，校核洪水位705.65m，总库容1038.4万m</w:t>
      </w:r>
      <w:r>
        <w:rPr>
          <w:rFonts w:ascii="Times New Roman" w:hAnsi="Times New Roman" w:eastAsia="楷体"/>
          <w:sz w:val="28"/>
          <w:szCs w:val="28"/>
          <w:vertAlign w:val="superscript"/>
        </w:rPr>
        <w:t>3</w:t>
      </w:r>
      <w:r>
        <w:rPr>
          <w:rFonts w:ascii="Times New Roman" w:hAnsi="Times New Roman" w:eastAsia="楷体"/>
          <w:sz w:val="28"/>
          <w:szCs w:val="28"/>
        </w:rPr>
        <w:t>。灌溉面积为3.5万亩，供水人口7.1万人，多年平均可供水量1036万m</w:t>
      </w:r>
      <w:r>
        <w:rPr>
          <w:rFonts w:ascii="Times New Roman" w:hAnsi="Times New Roman" w:eastAsia="楷体"/>
          <w:sz w:val="28"/>
          <w:szCs w:val="28"/>
          <w:vertAlign w:val="superscript"/>
        </w:rPr>
        <w:t>3</w:t>
      </w:r>
      <w:r>
        <w:rPr>
          <w:rFonts w:ascii="Times New Roman" w:hAnsi="Times New Roman" w:eastAsia="楷体"/>
          <w:sz w:val="28"/>
          <w:szCs w:val="28"/>
        </w:rPr>
        <w:t>。</w:t>
      </w:r>
    </w:p>
    <w:p w14:paraId="3612C48F">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水库大坝采用混凝土面板堆石坝，最大坝高90m，拦河大坝级别为2级。借水坝引水流量为8m</w:t>
      </w:r>
      <w:r>
        <w:rPr>
          <w:rFonts w:ascii="Times New Roman" w:hAnsi="Times New Roman" w:eastAsia="楷体"/>
          <w:sz w:val="28"/>
          <w:szCs w:val="28"/>
          <w:vertAlign w:val="superscript"/>
        </w:rPr>
        <w:t>3</w:t>
      </w:r>
      <w:r>
        <w:rPr>
          <w:rFonts w:ascii="Times New Roman" w:hAnsi="Times New Roman" w:eastAsia="楷体"/>
          <w:sz w:val="28"/>
          <w:szCs w:val="28"/>
        </w:rPr>
        <w:t>/s，灌溉及供水工程由干渠、甲高支渠和安坪支渠组成。工程涉及搬迁人口61户200人，永久征地土地总面积1627.57亩，征地移民安置投资补偿共计18780.48万元，工程概算静态总投资103742万元，总工期37个月。</w:t>
      </w:r>
    </w:p>
    <w:p w14:paraId="177CE801">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（3）百岛湖水库</w:t>
      </w:r>
    </w:p>
    <w:p w14:paraId="77F89B08">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百岛湖水库工程是一座具有城乡供水、农业灌溉等综合效益的中型水利工程。水库位于重庆市奉节县梅溪河一级支流车家坝河中下游河段，坝址位于奉节县红土乡廖家咀处，坝址以上集雨面积为140km²。工程可研于2021年3月获重庆市发展和改革委员会批复。水库正常蓄水位628.00m，校核洪水位628.94m，总库容1092.0万m³。灌溉面积为3479亩，其中新增灌面3217亩，改善灌面262亩。与青莲溪、草坪河水库形成“双水三源”供水方式，作为奉节县城供水重要的补充水源，解决奉节县中心城区人口29万人的用水问题，同时满足红土乡、公平镇2个场镇规划年场镇人口3.85万人的用水需求。水库多年平均可供水量2027万m³（灌溉78.8万m³，县城供水量1425万m³，场镇供水224万m³，农村人畜供水10.4万m³，朱衣河补水量289万m³）。</w:t>
      </w:r>
    </w:p>
    <w:p w14:paraId="74DB6531">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工程挡水建筑物为沥青混凝土心墙石渣坝</w:t>
      </w:r>
      <w:r>
        <w:rPr>
          <w:rFonts w:hint="eastAsia" w:ascii="Times New Roman" w:hAnsi="Times New Roman" w:eastAsia="楷体"/>
          <w:sz w:val="28"/>
          <w:szCs w:val="28"/>
        </w:rPr>
        <w:t>，</w:t>
      </w:r>
      <w:r>
        <w:rPr>
          <w:rFonts w:ascii="Times New Roman" w:hAnsi="Times New Roman" w:eastAsia="楷体"/>
          <w:sz w:val="28"/>
          <w:szCs w:val="28"/>
        </w:rPr>
        <w:t>高为78.20m，按2级建筑物设计，坝轴线总长199m，正常蓄水位为628.00m，设计洪水位为628.00m，校核洪水位为628.94m，死水位为591.00m，坝顶高程629.20m，沥青砼心墙石渣坝心墙基座最低高程为551.00m，坝顶宽度10.0m，最大坝底宽度约为418m。百岛湖水库工程永久征地面积为872.31亩，直接搬迁人口49户172人，征地及移民安置静态总投资为23472.28万元，工程静态总投资119406.54万元，总工期为64个月。</w:t>
      </w:r>
    </w:p>
    <w:p w14:paraId="6BF2F5E9">
      <w:pPr>
        <w:pStyle w:val="4"/>
        <w:numPr>
          <w:ilvl w:val="0"/>
          <w:numId w:val="0"/>
        </w:numPr>
        <w:spacing w:before="0" w:after="0" w:line="360" w:lineRule="auto"/>
        <w:jc w:val="left"/>
        <w:rPr>
          <w:rFonts w:ascii="Times New Roman" w:hAnsi="Times New Roman" w:eastAsia="方正仿宋_GBK"/>
          <w:spacing w:val="6"/>
          <w:szCs w:val="32"/>
        </w:rPr>
      </w:pPr>
      <w:bookmarkStart w:id="180" w:name="_Toc92995458"/>
      <w:bookmarkStart w:id="181" w:name="_Toc21196"/>
      <w:r>
        <w:rPr>
          <w:rFonts w:ascii="Times New Roman" w:hAnsi="Times New Roman" w:eastAsia="方正仿宋_GBK"/>
          <w:spacing w:val="6"/>
          <w:szCs w:val="32"/>
        </w:rPr>
        <w:t>12.2 库岸综合治理工程</w:t>
      </w:r>
      <w:bookmarkEnd w:id="180"/>
      <w:bookmarkEnd w:id="181"/>
    </w:p>
    <w:p w14:paraId="01CB6756">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（1）奉节县长江南岸库岸修复综合治理工程（永乐镇陈家社区至白龙段）</w:t>
      </w:r>
    </w:p>
    <w:p w14:paraId="32527542">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本工程已于2020年获奉节县发展和改革委员会立项的批复。工程位于奉节县永乐镇，项目业主为重庆奉节路桥有限公司。工程主要内容为：道路工程路线全长11.1km，桥梁长2980m，库岸整治全长11210m，包括库岸整治、消落区治理、滑坡治理工程等附属工程。建设工期42个月，项目估算总投资150370.39万元，资金来源为申请三峡后续补助资金100000万元和财政配套资金。</w:t>
      </w:r>
    </w:p>
    <w:p w14:paraId="50120043">
      <w:pPr>
        <w:spacing w:line="520" w:lineRule="exact"/>
        <w:ind w:firstLine="562" w:firstLineChars="200"/>
        <w:rPr>
          <w:rFonts w:ascii="Times New Roman" w:hAnsi="Times New Roman" w:eastAsia="楷体"/>
          <w:b/>
          <w:bCs/>
          <w:sz w:val="28"/>
          <w:szCs w:val="28"/>
        </w:rPr>
      </w:pPr>
      <w:r>
        <w:rPr>
          <w:rFonts w:ascii="Times New Roman" w:hAnsi="Times New Roman" w:eastAsia="楷体"/>
          <w:b/>
          <w:bCs/>
          <w:sz w:val="28"/>
          <w:szCs w:val="28"/>
        </w:rPr>
        <w:t>（2）奉节县长江南岸库岸修复综合治理工程（长江二桥至永乐镇陈家社区段）</w:t>
      </w:r>
    </w:p>
    <w:p w14:paraId="51CA59D8">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本工程已于2020年获奉节县发展和改革委员会立项的批复。工程位于奉节县永乐镇，项目业主为重庆奉节路桥有限公司。工程主要内容为：道路工程路线全长4.9km，桥梁长1400m，库岸整治全长4820m，包括库岸整治、消落区治理、滑坡治理工程等附属工程。建设工期42个月，项目估算总投资67330.5万元，资金来源为申请三峡后续补助资金50000万元和财政配套资金。</w:t>
      </w:r>
    </w:p>
    <w:p w14:paraId="3EF79AE8">
      <w:pPr>
        <w:pStyle w:val="4"/>
        <w:numPr>
          <w:ilvl w:val="0"/>
          <w:numId w:val="0"/>
        </w:numPr>
        <w:spacing w:before="0" w:after="0" w:line="360" w:lineRule="auto"/>
        <w:jc w:val="left"/>
        <w:rPr>
          <w:rFonts w:ascii="Times New Roman" w:hAnsi="Times New Roman" w:eastAsia="方正仿宋_GBK"/>
          <w:spacing w:val="6"/>
          <w:szCs w:val="32"/>
        </w:rPr>
      </w:pPr>
      <w:bookmarkStart w:id="182" w:name="_Toc9852"/>
      <w:bookmarkStart w:id="183" w:name="_Toc92995459"/>
      <w:r>
        <w:rPr>
          <w:rFonts w:ascii="Times New Roman" w:hAnsi="Times New Roman" w:eastAsia="方正仿宋_GBK"/>
          <w:spacing w:val="6"/>
          <w:szCs w:val="32"/>
        </w:rPr>
        <w:t>12.3 监测设施提档升级</w:t>
      </w:r>
      <w:bookmarkEnd w:id="182"/>
      <w:bookmarkEnd w:id="183"/>
    </w:p>
    <w:p w14:paraId="4EC309A2">
      <w:pPr>
        <w:spacing w:line="520" w:lineRule="exact"/>
        <w:ind w:firstLine="562" w:firstLineChars="200"/>
        <w:rPr>
          <w:rFonts w:ascii="Times New Roman" w:hAnsi="Times New Roman" w:eastAsia="楷体"/>
          <w:sz w:val="28"/>
          <w:szCs w:val="28"/>
        </w:rPr>
      </w:pPr>
      <w:r>
        <w:rPr>
          <w:rFonts w:ascii="Times New Roman" w:hAnsi="Times New Roman" w:eastAsia="楷体"/>
          <w:b/>
          <w:bCs/>
          <w:sz w:val="28"/>
          <w:szCs w:val="28"/>
        </w:rPr>
        <w:t>奉节县水文站和水质监测设施提档升级工程</w:t>
      </w:r>
      <w:r>
        <w:rPr>
          <w:rFonts w:ascii="Times New Roman" w:hAnsi="Times New Roman" w:eastAsia="楷体"/>
          <w:sz w:val="28"/>
          <w:szCs w:val="28"/>
        </w:rPr>
        <w:t>已于2021年获奉节县发展和改革委员会立项的批复。其建设地址位于朱</w:t>
      </w:r>
      <w:r>
        <w:rPr>
          <w:rFonts w:hint="eastAsia" w:ascii="Times New Roman" w:hAnsi="Times New Roman" w:eastAsia="楷体"/>
          <w:sz w:val="28"/>
          <w:szCs w:val="28"/>
        </w:rPr>
        <w:t>衣</w:t>
      </w:r>
      <w:r>
        <w:rPr>
          <w:rFonts w:ascii="Times New Roman" w:hAnsi="Times New Roman" w:eastAsia="楷体"/>
          <w:sz w:val="28"/>
          <w:szCs w:val="28"/>
        </w:rPr>
        <w:t>镇、冯坪乡、甲高镇、红土乡、青龙镇、汾河镇、大树镇。建设规模及内容主要为：</w:t>
      </w:r>
    </w:p>
    <w:p w14:paraId="2438AEA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（1）水文站基础设施及环境改造工程：朱衣、冯坪、甲高、红土、青龙、汾河、大树等7个水文站测验河段基础设施、水位观测设施、流量测验设施、生产业务用房及附属设施等方面的改造；</w:t>
      </w:r>
    </w:p>
    <w:p w14:paraId="5772FA17">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2）水文站监测设备自动化升级改造：朱衣、冯坪、甲高、红土、青龙、汾河、大树等7个水文站缆道测流系统升级改造，布设7处阵列式雷达测流系统，改造7处自动水位计，新建7套视频监控系统，新建7套应急预警水位报警站，配备7套应急保障设备；</w:t>
      </w:r>
    </w:p>
    <w:p w14:paraId="7578CDD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（3）升级改造遥测水位站19个；</w:t>
      </w:r>
    </w:p>
    <w:p w14:paraId="188C42B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（4）升级改造遥测丽量站187个；</w:t>
      </w:r>
    </w:p>
    <w:p w14:paraId="67EEDB4B">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（5）升级改造水质监测实验室1个；</w:t>
      </w:r>
    </w:p>
    <w:p w14:paraId="2827C04A">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（6）新建1个水文水资源综合监控管理平台。</w:t>
      </w:r>
    </w:p>
    <w:p w14:paraId="0ADE14B6">
      <w:pPr>
        <w:spacing w:line="520" w:lineRule="exact"/>
        <w:ind w:firstLine="560" w:firstLineChars="200"/>
        <w:rPr>
          <w:rFonts w:ascii="Times New Roman" w:hAnsi="Times New Roman" w:eastAsia="楷体"/>
          <w:sz w:val="28"/>
          <w:szCs w:val="28"/>
        </w:rPr>
      </w:pPr>
      <w:r>
        <w:rPr>
          <w:rFonts w:ascii="Times New Roman" w:hAnsi="Times New Roman" w:eastAsia="楷体"/>
          <w:sz w:val="28"/>
          <w:szCs w:val="28"/>
        </w:rPr>
        <w:t>总投资及资金来源：项目估算总投资5000万元。资金来源为争取三峡后续项目专项资金。</w:t>
      </w:r>
    </w:p>
    <w:p w14:paraId="7A83C65A">
      <w:pPr>
        <w:spacing w:line="520" w:lineRule="exact"/>
        <w:ind w:firstLine="560" w:firstLineChars="200"/>
        <w:rPr>
          <w:rFonts w:ascii="Times New Roman" w:hAnsi="Times New Roman" w:eastAsia="楷体"/>
          <w:sz w:val="28"/>
          <w:szCs w:val="28"/>
        </w:rPr>
      </w:pPr>
    </w:p>
    <w:p w14:paraId="54D67867">
      <w:pPr>
        <w:spacing w:line="520" w:lineRule="exact"/>
        <w:ind w:firstLine="560" w:firstLineChars="200"/>
        <w:rPr>
          <w:rFonts w:ascii="Times New Roman" w:hAnsi="Times New Roman" w:eastAsia="楷体"/>
          <w:sz w:val="28"/>
          <w:szCs w:val="28"/>
        </w:rPr>
      </w:pP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5CDAEA9-AFBC-47F9-9BE1-2DD76DCECB87}"/>
  </w:font>
  <w:font w:name="黑体">
    <w:panose1 w:val="02010609060101010101"/>
    <w:charset w:val="86"/>
    <w:family w:val="auto"/>
    <w:pitch w:val="default"/>
    <w:sig w:usb0="800002BF" w:usb1="38CF7CFA" w:usb2="00000016" w:usb3="00000000" w:csb0="00040001" w:csb1="00000000"/>
    <w:embedRegular r:id="rId2" w:fontKey="{5773232E-7D8F-466B-B358-5F2E5DA4EDC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6DB128FC-CEF4-42EF-A73C-62E9F06ADD09}"/>
  </w:font>
  <w:font w:name="Arial Black">
    <w:panose1 w:val="020B0A04020102020204"/>
    <w:charset w:val="00"/>
    <w:family w:val="swiss"/>
    <w:pitch w:val="default"/>
    <w:sig w:usb0="00000287" w:usb1="00000000" w:usb2="00000000" w:usb3="00000000" w:csb0="2000009F" w:csb1="DFD70000"/>
  </w:font>
  <w:font w:name="方正小标宋简体">
    <w:panose1 w:val="02000000000000000000"/>
    <w:charset w:val="86"/>
    <w:family w:val="auto"/>
    <w:pitch w:val="default"/>
    <w:sig w:usb0="00000001" w:usb1="08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embedRegular r:id="rId4" w:fontKey="{8CC3CD58-8B6A-4D0C-858B-741946CC31E6}"/>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5" w:fontKey="{AEBAC0EB-4AE6-46B4-861B-14AC14634049}"/>
  </w:font>
  <w:font w:name="方正仿宋_GBK">
    <w:panose1 w:val="03000509000000000000"/>
    <w:charset w:val="86"/>
    <w:family w:val="script"/>
    <w:pitch w:val="default"/>
    <w:sig w:usb0="00000001" w:usb1="080E0000" w:usb2="00000000" w:usb3="00000000" w:csb0="00040000" w:csb1="00000000"/>
    <w:embedRegular r:id="rId6" w:fontKey="{873DAC4D-04BF-475C-AD6B-522947B0923D}"/>
  </w:font>
  <w:font w:name="方正小标宋_GBK">
    <w:panose1 w:val="03000509000000000000"/>
    <w:charset w:val="86"/>
    <w:family w:val="script"/>
    <w:pitch w:val="default"/>
    <w:sig w:usb0="00000001" w:usb1="080E0000" w:usb2="00000000" w:usb3="00000000" w:csb0="00040000" w:csb1="00000000"/>
    <w:embedRegular r:id="rId7" w:fontKey="{1FABD00D-5260-4142-98C4-87F901F8E6EB}"/>
  </w:font>
  <w:font w:name="方正楷体_GBK">
    <w:panose1 w:val="03000509000000000000"/>
    <w:charset w:val="86"/>
    <w:family w:val="script"/>
    <w:pitch w:val="default"/>
    <w:sig w:usb0="00000001" w:usb1="080E0000" w:usb2="00000000" w:usb3="00000000" w:csb0="00040000" w:csb1="00000000"/>
    <w:embedRegular r:id="rId8" w:fontKey="{63CCD66C-8E6D-4B2D-81DC-3D038D42D2E5}"/>
  </w:font>
  <w:font w:name="___WRD_EMBED_SUB_274">
    <w:altName w:val="宋体"/>
    <w:panose1 w:val="00000000000000000000"/>
    <w:charset w:val="86"/>
    <w:family w:val="script"/>
    <w:pitch w:val="default"/>
    <w:sig w:usb0="00000000" w:usb1="00000000" w:usb2="00000010" w:usb3="00000000" w:csb0="00040000" w:csb1="00000000"/>
    <w:embedRegular r:id="rId9" w:fontKey="{CE11BF2F-F31D-4B6E-8228-EFAB8DC77ECA}"/>
  </w:font>
  <w:font w:name="等线 Light">
    <w:altName w:val="宋体"/>
    <w:panose1 w:val="00000000000000000000"/>
    <w:charset w:val="86"/>
    <w:family w:val="auto"/>
    <w:pitch w:val="default"/>
    <w:sig w:usb0="00000000" w:usb1="00000000" w:usb2="00000016" w:usb3="00000000" w:csb0="0004000F" w:csb1="00000000"/>
    <w:embedRegular r:id="rId10" w:fontKey="{170EE314-E41A-486B-9940-0B420A23F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3727E">
    <w:pPr>
      <w:pStyle w:val="15"/>
      <w:pBdr>
        <w:top w:val="single" w:color="auto" w:sz="4" w:space="1"/>
      </w:pBdr>
      <w:ind w:right="357"/>
      <w:jc w:val="right"/>
      <w:rPr>
        <w:rFonts w:ascii="宋体" w:hAnsi="宋体"/>
      </w:rPr>
    </w:pPr>
    <w:r>
      <w:rPr>
        <w:rFonts w:hint="eastAsia" w:ascii="宋体" w:hAnsi="宋体"/>
      </w:rPr>
      <w:t>重庆市水利电力建筑勘测设计研究院</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029C99">
    <w:pPr>
      <w:pStyle w:val="15"/>
      <w:pBdr>
        <w:top w:val="single" w:color="auto" w:sz="4" w:space="1"/>
      </w:pBdr>
      <w:ind w:right="357"/>
      <w:jc w:val="right"/>
      <w:rPr>
        <w:rFonts w:ascii="宋体" w:hAnsi="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6205" cy="139700"/>
              <wp:effectExtent l="0" t="0" r="0" b="0"/>
              <wp:wrapNone/>
              <wp:docPr id="15" name="文本框 14"/>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txbx>
                      <w:txbxContent>
                        <w:p w14:paraId="273014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1pt;width:9.15pt;mso-position-horizontal:center;mso-position-horizontal-relative:margin;mso-wrap-style:none;z-index:251664384;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BeJKNIAAAADAQAADwAAAAAAAAABACAAAAAiAAAAZHJzL2Rvd25yZXYueG1s&#10;UEsBAhQAFAAAAAgAh07iQOLtntk3AgAAYwQAAA4AAAAAAAAAAQAgAAAAIQEAAGRycy9lMm9Eb2Mu&#10;eG1sUEsFBgAAAAAGAAYAWQEAAMoFAAAAAA==&#10;">
              <v:fill on="f" focussize="0,0"/>
              <v:stroke on="f" weight="0.5pt"/>
              <v:imagedata o:title=""/>
              <o:lock v:ext="edit" aspectratio="f"/>
              <v:textbox inset="0mm,0mm,0mm,0mm" style="mso-fit-shape-to-text:t;">
                <w:txbxContent>
                  <w:p w14:paraId="273014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34</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7D6AF">
    <w:pPr>
      <w:pStyle w:val="15"/>
      <w:pBdr>
        <w:top w:val="single" w:color="auto" w:sz="4" w:space="1"/>
      </w:pBdr>
      <w:ind w:right="357"/>
      <w:jc w:val="right"/>
      <w:rPr>
        <w:rFonts w:ascii="宋体" w:hAnsi="宋体"/>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296545" cy="248285"/>
              <wp:effectExtent l="0" t="0" r="0" b="0"/>
              <wp:wrapNone/>
              <wp:docPr id="16" name="文本框 4"/>
              <wp:cNvGraphicFramePr/>
              <a:graphic xmlns:a="http://schemas.openxmlformats.org/drawingml/2006/main">
                <a:graphicData uri="http://schemas.microsoft.com/office/word/2010/wordprocessingShape">
                  <wps:wsp>
                    <wps:cNvSpPr txBox="1"/>
                    <wps:spPr>
                      <a:xfrm>
                        <a:off x="0" y="0"/>
                        <a:ext cx="296545" cy="248285"/>
                      </a:xfrm>
                      <a:prstGeom prst="rect">
                        <a:avLst/>
                      </a:prstGeom>
                      <a:noFill/>
                      <a:ln w="6350">
                        <a:noFill/>
                      </a:ln>
                    </wps:spPr>
                    <wps:txbx>
                      <w:txbxContent>
                        <w:p w14:paraId="7031E773">
                          <w:r>
                            <w:fldChar w:fldCharType="begin"/>
                          </w:r>
                          <w:r>
                            <w:instrText xml:space="preserve"> PAGE   \* MERGEFORMAT </w:instrText>
                          </w:r>
                          <w:r>
                            <w:fldChar w:fldCharType="separate"/>
                          </w:r>
                          <w:r>
                            <w:rPr>
                              <w:lang w:val="zh-CN"/>
                            </w:rPr>
                            <w:t>40</w:t>
                          </w:r>
                          <w:r>
                            <w:rPr>
                              <w:lang w:val="zh-CN"/>
                            </w:rPr>
                            <w:fldChar w:fldCharType="end"/>
                          </w:r>
                        </w:p>
                      </w:txbxContent>
                    </wps:txbx>
                    <wps:bodyPr lIns="0" tIns="0" rIns="0" bIns="0" upright="1"/>
                  </wps:wsp>
                </a:graphicData>
              </a:graphic>
            </wp:anchor>
          </w:drawing>
        </mc:Choice>
        <mc:Fallback>
          <w:pict>
            <v:shape id="文本框 4" o:spid="_x0000_s1026" o:spt="202" type="#_x0000_t202" style="position:absolute;left:0pt;margin-top:0pt;height:19.55pt;width:23.35pt;mso-position-horizontal:center;mso-position-horizontal-relative:margin;z-index:251665408;mso-width-relative:page;mso-height-relative:page;" filled="f" stroked="f" coordsize="21600,21600" o:gfxdata="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PSoSN0wAAAAMBAAAPAAAAAAAAAAEAIAAAACIAAABkcnMvZG93bnJldi54bWxQ&#10;SwECFAAUAAAACACHTuJAx38X1sMBAAB7AwAADgAAAAAAAAABACAAAAAiAQAAZHJzL2Uyb0RvYy54&#10;bWxQSwUGAAAAAAYABgBZAQAAVwUAAAAA&#10;">
              <v:fill on="f" focussize="0,0"/>
              <v:stroke on="f" weight="0.5pt"/>
              <v:imagedata o:title=""/>
              <o:lock v:ext="edit" aspectratio="f"/>
              <v:textbox inset="0mm,0mm,0mm,0mm">
                <w:txbxContent>
                  <w:p w14:paraId="7031E773">
                    <w:r>
                      <w:fldChar w:fldCharType="begin"/>
                    </w:r>
                    <w:r>
                      <w:instrText xml:space="preserve"> PAGE   \* MERGEFORMAT </w:instrText>
                    </w:r>
                    <w:r>
                      <w:fldChar w:fldCharType="separate"/>
                    </w:r>
                    <w:r>
                      <w:rPr>
                        <w:lang w:val="zh-CN"/>
                      </w:rPr>
                      <w:t>40</w:t>
                    </w:r>
                    <w:r>
                      <w:rPr>
                        <w:lang w:val="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B6068">
    <w:pPr>
      <w:pStyle w:val="15"/>
      <w:pBdr>
        <w:top w:val="single" w:color="auto" w:sz="4" w:space="1"/>
      </w:pBdr>
      <w:ind w:right="357"/>
      <w:jc w:val="right"/>
      <w:rPr>
        <w:rFonts w:ascii="宋体" w:hAnsi="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0" b="0"/>
              <wp:wrapNone/>
              <wp:docPr id="14" name="文本框 5"/>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a:effectLst/>
                    </wps:spPr>
                    <wps:txbx>
                      <w:txbxContent>
                        <w:p w14:paraId="7E79B1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4BeJKNIAAAADAQAADwAAAAAAAAABACAAAAAiAAAAZHJzL2Rvd25yZXYueG1s&#10;UEsBAhQAFAAAAAgAh07iQKOK9SM3AgAAYgQAAA4AAAAAAAAAAQAgAAAAIQEAAGRycy9lMm9Eb2Mu&#10;eG1sUEsFBgAAAAAGAAYAWQEAAMoFAAAAAA==&#10;">
              <v:fill on="f" focussize="0,0"/>
              <v:stroke on="f" weight="0.5pt"/>
              <v:imagedata o:title=""/>
              <o:lock v:ext="edit" aspectratio="f"/>
              <v:textbox inset="0mm,0mm,0mm,0mm" style="mso-fit-shape-to-text:t;">
                <w:txbxContent>
                  <w:p w14:paraId="7E79B1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ABC2">
    <w:pPr>
      <w:pStyle w:val="15"/>
      <w:framePr w:wrap="around" w:vAnchor="text" w:hAnchor="margin" w:xAlign="center" w:y="1"/>
      <w:ind w:firstLine="360"/>
      <w:rPr>
        <w:rStyle w:val="31"/>
      </w:rPr>
    </w:pPr>
    <w:r>
      <w:fldChar w:fldCharType="begin"/>
    </w:r>
    <w:r>
      <w:rPr>
        <w:rStyle w:val="31"/>
      </w:rPr>
      <w:instrText xml:space="preserve">PAGE  </w:instrText>
    </w:r>
    <w:r>
      <w:fldChar w:fldCharType="end"/>
    </w:r>
  </w:p>
  <w:p w14:paraId="16566C8A">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263C9">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E02AA">
    <w:pPr>
      <w:pStyle w:val="15"/>
      <w:pBdr>
        <w:top w:val="single" w:color="auto" w:sz="4" w:space="1"/>
      </w:pBdr>
      <w:ind w:right="357"/>
      <w:jc w:val="right"/>
      <w:rPr>
        <w:rFonts w:ascii="宋体" w:hAnsi="宋体"/>
      </w:rPr>
    </w:pPr>
    <w:r>
      <w:rPr>
        <w:rFonts w:hint="eastAsia" w:ascii="宋体" w:hAnsi="宋体"/>
      </w:rPr>
      <w:t>重庆市水利电力建筑勘测设计研究院</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44C4D">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79F2">
    <w:pPr>
      <w:pStyle w:val="15"/>
      <w:pBdr>
        <w:top w:val="single" w:color="auto" w:sz="4" w:space="1"/>
      </w:pBdr>
      <w:ind w:right="357"/>
      <w:jc w:val="both"/>
      <w:rPr>
        <w:rFonts w:ascii="宋体" w:hAnsi="宋体"/>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0715C">
    <w:pPr>
      <w:pStyle w:val="15"/>
      <w:pBdr>
        <w:top w:val="single" w:color="auto" w:sz="4" w:space="1"/>
      </w:pBdr>
      <w:ind w:right="357"/>
      <w:jc w:val="right"/>
      <w:rPr>
        <w:rFonts w:ascii="宋体" w:hAnsi="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8420" cy="1397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a:effectLst/>
                    </wps:spPr>
                    <wps:txbx>
                      <w:txbxContent>
                        <w:p w14:paraId="60443C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pt;width:4.6pt;mso-position-horizontal:center;mso-position-horizontal-relative:margin;mso-wrap-style:none;z-index:251662336;mso-width-relative:page;mso-height-relative:page;" filled="f" stroked="f" coordsize="21600,21600" o:gfxdata="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9sZGvRAAAAAgEAAA8AAAAAAAAAAQAgAAAAIgAAAGRycy9kb3ducmV2LnhtbFBL&#10;AQIUABQAAAAIAIdO4kAQpUFPNgIAAGAEAAAOAAAAAAAAAAEAIAAAACABAABkcnMvZTJvRG9jLnht&#10;bFBLBQYAAAAABgAGAFkBAADIBQAAAAA=&#10;">
              <v:fill on="f" focussize="0,0"/>
              <v:stroke on="f" weight="0.5pt"/>
              <v:imagedata o:title=""/>
              <o:lock v:ext="edit" aspectratio="f"/>
              <v:textbox inset="0mm,0mm,0mm,0mm" style="mso-fit-shape-to-text:t;">
                <w:txbxContent>
                  <w:p w14:paraId="60443C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54EA2">
    <w:pPr>
      <w:pStyle w:val="15"/>
      <w:pBdr>
        <w:top w:val="single" w:color="auto" w:sz="4" w:space="1"/>
      </w:pBdr>
      <w:ind w:right="357"/>
      <w:jc w:val="right"/>
      <w:rPr>
        <w:rFonts w:ascii="宋体" w:hAnsi="宋体"/>
      </w:rPr>
    </w:pPr>
    <w:r>
      <w:rPr>
        <w:rFonts w:ascii="宋体" w:hAnsi="宋体"/>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29802">
    <w:pPr>
      <w:pStyle w:val="15"/>
      <w:pBdr>
        <w:top w:val="single" w:color="auto" w:sz="4" w:space="1"/>
      </w:pBdr>
      <w:ind w:right="357"/>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22</w:t>
    </w:r>
    <w:r>
      <w:rPr>
        <w:rFonts w:ascii="宋体" w:hAnsi="宋体"/>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7D50948D">
      <w:pPr>
        <w:pStyle w:val="20"/>
      </w:pPr>
      <w:r>
        <w:rPr>
          <w:rStyle w:val="35"/>
        </w:rPr>
        <w:footnoteRef/>
      </w:r>
      <w:r>
        <w:t xml:space="preserve"> </w:t>
      </w:r>
      <w:r>
        <w:rPr>
          <w:rFonts w:hint="eastAsia"/>
        </w:rPr>
        <w:t>“双水三源”，“双水”指的是奉节县城市供水形成</w:t>
      </w:r>
      <w:r>
        <w:rPr>
          <w:rFonts w:hint="eastAsia"/>
          <w:b/>
        </w:rPr>
        <w:t>水库水</w:t>
      </w:r>
      <w:r>
        <w:rPr>
          <w:rFonts w:hint="eastAsia"/>
        </w:rPr>
        <w:t>和</w:t>
      </w:r>
      <w:r>
        <w:rPr>
          <w:rFonts w:hint="eastAsia"/>
          <w:b/>
        </w:rPr>
        <w:t>长江水</w:t>
      </w:r>
      <w:r>
        <w:rPr>
          <w:rFonts w:hint="eastAsia"/>
        </w:rPr>
        <w:t>组合的常备水源体系，三源是未来形成由草坪河水库、青莲溪水库和百岛湖水库等3座中型水库形成的县城供水水源体系。</w:t>
      </w:r>
    </w:p>
  </w:footnote>
  <w:footnote w:id="1">
    <w:p w14:paraId="0BB446FA">
      <w:pPr>
        <w:pStyle w:val="20"/>
      </w:pPr>
      <w:r>
        <w:rPr>
          <w:rStyle w:val="35"/>
        </w:rPr>
        <w:footnoteRef/>
      </w:r>
      <w:r>
        <w:t xml:space="preserve"> </w:t>
      </w:r>
      <w:r>
        <w:rPr>
          <w:rFonts w:hint="eastAsia"/>
          <w:b/>
          <w:bCs/>
        </w:rPr>
        <w:t>“三张牌”是指：</w:t>
      </w:r>
      <w:r>
        <w:rPr>
          <w:b/>
          <w:bCs/>
          <w:color w:val="000000"/>
        </w:rPr>
        <w:t>一是亮</w:t>
      </w:r>
      <w:r>
        <w:rPr>
          <w:b/>
          <w:bCs/>
          <w:color w:val="000000"/>
          <w:lang w:val="zh-CN" w:bidi="zh-CN"/>
        </w:rPr>
        <w:t>“王</w:t>
      </w:r>
      <w:r>
        <w:rPr>
          <w:b/>
          <w:bCs/>
          <w:color w:val="000000"/>
        </w:rPr>
        <w:t>牌”</w:t>
      </w:r>
      <w:r>
        <w:rPr>
          <w:rFonts w:hint="eastAsia"/>
          <w:color w:val="000000"/>
        </w:rPr>
        <w:t>，建立健全县、乡（镇）、村三级河长组织 体系，由县委书记、县长担任县总河长，23名市管领导为县级 河长，166名乡镇（街道）班子成员和432名村主要负责人为分 级分段河长，实现县域212条河流、54座水库全覆盖。</w:t>
      </w:r>
      <w:r>
        <w:rPr>
          <w:b/>
          <w:bCs/>
          <w:color w:val="000000"/>
        </w:rPr>
        <w:t>二是揭</w:t>
      </w:r>
      <w:r>
        <w:rPr>
          <w:b/>
          <w:bCs/>
          <w:color w:val="000000"/>
          <w:lang w:val="zh-CN" w:bidi="zh-CN"/>
        </w:rPr>
        <w:t>“底</w:t>
      </w:r>
      <w:r>
        <w:rPr>
          <w:b/>
          <w:bCs/>
          <w:color w:val="000000"/>
        </w:rPr>
        <w:t>牌”</w:t>
      </w:r>
      <w:r>
        <w:rPr>
          <w:rFonts w:hint="eastAsia"/>
          <w:color w:val="000000"/>
        </w:rPr>
        <w:t>，</w:t>
      </w:r>
      <w:r>
        <w:rPr>
          <w:color w:val="000000"/>
        </w:rPr>
        <w:t>严守用水总量控制、用水效率控制、水功 能区限制纳污控制“三条红线”，建立规划水资源论证、计划用 水、取水许可等制度</w:t>
      </w:r>
      <w:r>
        <w:rPr>
          <w:rFonts w:hint="eastAsia"/>
          <w:color w:val="000000"/>
        </w:rPr>
        <w:t>。</w:t>
      </w:r>
      <w:r>
        <w:rPr>
          <w:b/>
          <w:bCs/>
          <w:color w:val="000000"/>
        </w:rPr>
        <w:t>三是铸“盾牌”</w:t>
      </w:r>
      <w:r>
        <w:rPr>
          <w:rFonts w:hint="eastAsia"/>
          <w:color w:val="000000"/>
        </w:rPr>
        <w:t>，</w:t>
      </w:r>
      <w:r>
        <w:rPr>
          <w:color w:val="000000"/>
        </w:rPr>
        <w:t>全面梳理掌握河库概况、水质现状，找准 问题</w:t>
      </w:r>
      <w:r>
        <w:rPr>
          <w:color w:val="000000"/>
          <w:lang w:val="zh-CN" w:bidi="zh-CN"/>
        </w:rPr>
        <w:t>“病</w:t>
      </w:r>
      <w:r>
        <w:rPr>
          <w:color w:val="000000"/>
        </w:rPr>
        <w:t>根”，精准建立</w:t>
      </w:r>
      <w:r>
        <w:rPr>
          <w:color w:val="000000"/>
          <w:lang w:val="zh-CN" w:bidi="zh-CN"/>
        </w:rPr>
        <w:t>“一河</w:t>
      </w:r>
      <w:r>
        <w:rPr>
          <w:color w:val="000000"/>
        </w:rPr>
        <w:t>一档”</w:t>
      </w:r>
      <w:r>
        <w:rPr>
          <w:rFonts w:hint="eastAsia"/>
          <w:color w:val="000000"/>
        </w:rPr>
        <w:t>。</w:t>
      </w:r>
    </w:p>
  </w:footnote>
  <w:footnote w:id="2">
    <w:p w14:paraId="075AB64D">
      <w:pPr>
        <w:pStyle w:val="20"/>
      </w:pPr>
      <w:r>
        <w:rPr>
          <w:rStyle w:val="35"/>
          <w:rFonts w:ascii="Times New Roman" w:hAnsi="Times New Roman"/>
        </w:rPr>
        <w:footnoteRef/>
      </w:r>
      <w:r>
        <w:t xml:space="preserve"> </w:t>
      </w:r>
      <w:r>
        <w:rPr>
          <w:rFonts w:hint="eastAsia"/>
        </w:rPr>
        <w:t>即聚焦重要战略性淡水资源库三峡水库为核心保护修复水生态，建设现代化水资源供给安全保障网和智慧水利网，建设百座以上战略性、支撑性、保障性重点水源工程，实施千条以上河流综合治理工程。</w:t>
      </w:r>
    </w:p>
  </w:footnote>
  <w:footnote w:id="3">
    <w:p w14:paraId="2162AD41">
      <w:pPr>
        <w:pStyle w:val="20"/>
      </w:pPr>
      <w:r>
        <w:rPr>
          <w:rStyle w:val="35"/>
          <w:rFonts w:ascii="Times New Roman" w:hAnsi="Times New Roman"/>
        </w:rPr>
        <w:footnoteRef/>
      </w:r>
      <w:r>
        <w:t xml:space="preserve"> </w:t>
      </w:r>
      <w:r>
        <w:rPr>
          <w:rFonts w:hint="eastAsia"/>
        </w:rPr>
        <w:t>一库：三峡水库最大淡水资源库；两网：现代化水资源供给安全保障网、智慧水利网；百川：实施长江干支流综合治理工程，建设河畅、水清、岸绿、景美、人和的幸福河。</w:t>
      </w:r>
    </w:p>
  </w:footnote>
  <w:footnote w:id="4">
    <w:p w14:paraId="4D98B715">
      <w:pPr>
        <w:pStyle w:val="20"/>
      </w:pPr>
      <w:r>
        <w:rPr>
          <w:rStyle w:val="35"/>
        </w:rPr>
        <w:footnoteRef/>
      </w:r>
      <w:r>
        <w:t xml:space="preserve"> </w:t>
      </w:r>
      <w:r>
        <w:rPr>
          <w:rFonts w:hint="eastAsia"/>
        </w:rPr>
        <w:t>三先三后，指</w:t>
      </w:r>
      <w:r>
        <w:rPr>
          <w:rFonts w:ascii="Arial" w:hAnsi="Arial" w:cs="Arial"/>
          <w:color w:val="333333"/>
          <w:shd w:val="clear" w:color="auto" w:fill="FFFFFF"/>
        </w:rPr>
        <w:t>先节水后调水、先治污后通水、先环保后用水</w:t>
      </w:r>
      <w:r>
        <w:rPr>
          <w:rFonts w:hint="eastAsia" w:ascii="Arial" w:hAnsi="Arial" w:cs="Arial"/>
          <w:color w:val="333333"/>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6886B">
    <w:pPr>
      <w:pStyle w:val="16"/>
      <w:pBdr>
        <w:bottom w:val="none" w:color="auto" w:sz="0" w:space="0"/>
      </w:pBdr>
      <w:jc w:val="both"/>
      <w:rPr>
        <w:rFonts w:ascii="宋体" w:hAnsi="宋体"/>
        <w:sz w:val="21"/>
        <w:szCs w:val="21"/>
      </w:rPr>
    </w:pPr>
    <w:r>
      <w:rPr>
        <w:rFonts w:hint="eastAsia" w:ascii="宋体" w:hAnsi="宋体"/>
        <w:sz w:val="21"/>
        <w:szCs w:val="21"/>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3EFF1">
    <w:pPr>
      <w:pStyle w:val="16"/>
      <w:pBdr>
        <w:bottom w:val="single" w:color="auto" w:sz="4" w:space="1"/>
      </w:pBdr>
    </w:pPr>
    <w:r>
      <w:rPr>
        <w:rFonts w:hint="eastAsia" w:ascii="仿宋" w:hAnsi="仿宋" w:eastAsia="仿宋" w:cs="仿宋"/>
        <w:sz w:val="21"/>
        <w:szCs w:val="21"/>
      </w:rPr>
      <w:t>奉节县水安全保障“十四五”规划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7649B">
    <w:pPr>
      <w:pStyle w:val="16"/>
      <w:pBdr>
        <w:bottom w:val="single" w:color="auto" w:sz="4" w:space="1"/>
      </w:pBdr>
    </w:pPr>
    <w:r>
      <w:rPr>
        <w:rFonts w:hint="eastAsia" w:ascii="仿宋" w:hAnsi="仿宋" w:eastAsia="仿宋" w:cs="仿宋"/>
        <w:sz w:val="21"/>
        <w:szCs w:val="21"/>
      </w:rPr>
      <w:t>奉节县水安全保障“十四五”规划</w:t>
    </w:r>
  </w:p>
  <w:p w14:paraId="6DD88CD8">
    <w:pPr>
      <w:pStyle w:val="1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C952E">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E69DA">
    <w:pPr>
      <w:pStyle w:val="16"/>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1C006">
    <w:pPr>
      <w:pStyle w:val="16"/>
    </w:pPr>
    <w:r>
      <w:rPr>
        <w:rFonts w:hint="eastAsia"/>
      </w:rPr>
      <w:t>奉节县水安全保障“十四五”规划</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80325">
    <w:pPr>
      <w:pStyle w:val="16"/>
    </w:pPr>
    <w:r>
      <w:rPr>
        <w:rFonts w:hint="eastAsia"/>
      </w:rPr>
      <w:t>奉节县水安全保障“十四五”规划</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2A96D">
    <w:pPr>
      <w:pStyle w:val="16"/>
    </w:pPr>
    <w:r>
      <w:rPr>
        <w:rFonts w:hint="eastAsia"/>
      </w:rPr>
      <w:t>奉节县水安全保障“十四五”规划</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44F60">
    <w:pPr>
      <w:pStyle w:val="16"/>
      <w:pBdr>
        <w:bottom w:val="single" w:color="auto" w:sz="4" w:space="1"/>
      </w:pBdr>
    </w:pPr>
    <w:r>
      <w:rPr>
        <w:rFonts w:hint="eastAsia" w:ascii="仿宋" w:hAnsi="仿宋" w:eastAsia="仿宋" w:cs="仿宋"/>
        <w:sz w:val="21"/>
        <w:szCs w:val="21"/>
      </w:rPr>
      <w:t>奉节县水安全保障“十四五”规划</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16091">
    <w:pPr>
      <w:pStyle w:val="16"/>
      <w:pBdr>
        <w:bottom w:val="single" w:color="auto" w:sz="4" w:space="1"/>
      </w:pBdr>
    </w:pPr>
    <w:r>
      <w:rPr>
        <w:rFonts w:hint="eastAsia" w:ascii="仿宋" w:hAnsi="仿宋" w:eastAsia="仿宋" w:cs="仿宋"/>
        <w:sz w:val="21"/>
        <w:szCs w:val="21"/>
      </w:rPr>
      <w:t>奉节县水安全保障“十四五”规划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DC3952"/>
    <w:multiLevelType w:val="multilevel"/>
    <w:tmpl w:val="28DC3952"/>
    <w:lvl w:ilvl="0" w:tentative="0">
      <w:start w:val="4"/>
      <w:numFmt w:val="decimal"/>
      <w:pStyle w:val="55"/>
      <w:isLgl/>
      <w:suff w:val="nothing"/>
      <w:lvlText w:val="%1"/>
      <w:lvlJc w:val="left"/>
      <w:pPr>
        <w:ind w:left="0" w:firstLine="0"/>
      </w:pPr>
      <w:rPr>
        <w:rFonts w:hint="default" w:ascii="Times New Roman" w:hAnsi="Times New Roman" w:eastAsia="宋体"/>
        <w:sz w:val="21"/>
      </w:rPr>
    </w:lvl>
    <w:lvl w:ilvl="1" w:tentative="0">
      <w:start w:val="1"/>
      <w:numFmt w:val="lowerLetter"/>
      <w:lvlText w:val="%2)"/>
      <w:lvlJc w:val="left"/>
      <w:pPr>
        <w:ind w:left="0" w:firstLine="0"/>
      </w:pPr>
      <w:rPr>
        <w:rFonts w:hint="eastAsia"/>
      </w:rPr>
    </w:lvl>
    <w:lvl w:ilvl="2" w:tentative="0">
      <w:start w:val="1"/>
      <w:numFmt w:val="lowerRoman"/>
      <w:lvlText w:val="%3)"/>
      <w:lvlJc w:val="lef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lef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left"/>
      <w:pPr>
        <w:ind w:left="0" w:firstLine="0"/>
      </w:pPr>
      <w:rPr>
        <w:rFonts w:hint="eastAsia"/>
      </w:rPr>
    </w:lvl>
  </w:abstractNum>
  <w:abstractNum w:abstractNumId="1">
    <w:nsid w:val="3E243A47"/>
    <w:multiLevelType w:val="multilevel"/>
    <w:tmpl w:val="3E243A47"/>
    <w:lvl w:ilvl="0" w:tentative="0">
      <w:start w:val="2"/>
      <w:numFmt w:val="chineseCountingThousand"/>
      <w:lvlText w:val="第%1章"/>
      <w:lvlJc w:val="center"/>
      <w:pPr>
        <w:tabs>
          <w:tab w:val="left" w:pos="1008"/>
        </w:tabs>
        <w:ind w:left="0" w:firstLine="288"/>
      </w:pPr>
      <w:rPr>
        <w:rFonts w:hint="eastAsia" w:ascii="黑体" w:eastAsia="黑体"/>
        <w:b w:val="0"/>
        <w:i w:val="0"/>
        <w:sz w:val="44"/>
      </w:rPr>
    </w:lvl>
    <w:lvl w:ilvl="1" w:tentative="0">
      <w:start w:val="1"/>
      <w:numFmt w:val="none"/>
      <w:pStyle w:val="4"/>
      <w:suff w:val="nothing"/>
      <w:lvlText w:val=""/>
      <w:lvlJc w:val="center"/>
      <w:pPr>
        <w:ind w:left="0" w:firstLine="288"/>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2">
    <w:nsid w:val="5BE54B50"/>
    <w:multiLevelType w:val="multilevel"/>
    <w:tmpl w:val="5BE54B50"/>
    <w:lvl w:ilvl="0" w:tentative="0">
      <w:start w:val="1"/>
      <w:numFmt w:val="decimal"/>
      <w:pStyle w:val="3"/>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1571"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5DE36098"/>
    <w:multiLevelType w:val="multilevel"/>
    <w:tmpl w:val="5DE36098"/>
    <w:lvl w:ilvl="0" w:tentative="0">
      <w:start w:val="1"/>
      <w:numFmt w:val="decimal"/>
      <w:isLg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57" w:hanging="57"/>
      </w:pPr>
      <w:rPr>
        <w:rFonts w:hint="default" w:ascii="宋体" w:hAnsi="宋体" w:eastAsia="宋体" w:cs="宋体"/>
      </w:rPr>
    </w:lvl>
    <w:lvl w:ilvl="3" w:tentative="0">
      <w:start w:val="1"/>
      <w:numFmt w:val="decimal"/>
      <w:pStyle w:val="6"/>
      <w:isLgl/>
      <w:suff w:val="space"/>
      <w:lvlText w:val="%1.%2.%3.%4"/>
      <w:lvlJc w:val="left"/>
      <w:pPr>
        <w:tabs>
          <w:tab w:val="left" w:pos="0"/>
        </w:tabs>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10"/>
    <w:footnote w:id="11"/>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4F8"/>
    <w:rsid w:val="000002CC"/>
    <w:rsid w:val="00000912"/>
    <w:rsid w:val="00001833"/>
    <w:rsid w:val="00001FD6"/>
    <w:rsid w:val="000033A0"/>
    <w:rsid w:val="000046FE"/>
    <w:rsid w:val="00004FB9"/>
    <w:rsid w:val="00006BBF"/>
    <w:rsid w:val="00010E2E"/>
    <w:rsid w:val="000200A2"/>
    <w:rsid w:val="00022552"/>
    <w:rsid w:val="00022D69"/>
    <w:rsid w:val="00024EFE"/>
    <w:rsid w:val="000252D1"/>
    <w:rsid w:val="000267C0"/>
    <w:rsid w:val="00027C17"/>
    <w:rsid w:val="0003158D"/>
    <w:rsid w:val="000342B0"/>
    <w:rsid w:val="00041786"/>
    <w:rsid w:val="00042694"/>
    <w:rsid w:val="00042B19"/>
    <w:rsid w:val="0004378B"/>
    <w:rsid w:val="00043E35"/>
    <w:rsid w:val="00050160"/>
    <w:rsid w:val="000515E1"/>
    <w:rsid w:val="00053011"/>
    <w:rsid w:val="00053035"/>
    <w:rsid w:val="00054C6D"/>
    <w:rsid w:val="00055996"/>
    <w:rsid w:val="00060DD4"/>
    <w:rsid w:val="00063CB6"/>
    <w:rsid w:val="00065AAC"/>
    <w:rsid w:val="00066EA9"/>
    <w:rsid w:val="00067CB2"/>
    <w:rsid w:val="00070336"/>
    <w:rsid w:val="00070932"/>
    <w:rsid w:val="0007491E"/>
    <w:rsid w:val="00080815"/>
    <w:rsid w:val="000918E7"/>
    <w:rsid w:val="000938F1"/>
    <w:rsid w:val="000945C5"/>
    <w:rsid w:val="000A0219"/>
    <w:rsid w:val="000A1174"/>
    <w:rsid w:val="000A1A6E"/>
    <w:rsid w:val="000A349B"/>
    <w:rsid w:val="000A3CFF"/>
    <w:rsid w:val="000A70B4"/>
    <w:rsid w:val="000B0937"/>
    <w:rsid w:val="000C0DBB"/>
    <w:rsid w:val="000C1F83"/>
    <w:rsid w:val="000C33F8"/>
    <w:rsid w:val="000C35AD"/>
    <w:rsid w:val="000C48AE"/>
    <w:rsid w:val="000C4998"/>
    <w:rsid w:val="000C5AFD"/>
    <w:rsid w:val="000C5EC5"/>
    <w:rsid w:val="000C610F"/>
    <w:rsid w:val="000D02A0"/>
    <w:rsid w:val="000D3A66"/>
    <w:rsid w:val="000D4143"/>
    <w:rsid w:val="000E1087"/>
    <w:rsid w:val="000E11B6"/>
    <w:rsid w:val="000E1D5B"/>
    <w:rsid w:val="000E6073"/>
    <w:rsid w:val="000E6862"/>
    <w:rsid w:val="000F1549"/>
    <w:rsid w:val="000F192F"/>
    <w:rsid w:val="000F23E5"/>
    <w:rsid w:val="000F2629"/>
    <w:rsid w:val="000F6EAD"/>
    <w:rsid w:val="0010194B"/>
    <w:rsid w:val="00101D34"/>
    <w:rsid w:val="00106344"/>
    <w:rsid w:val="00115EE0"/>
    <w:rsid w:val="00116088"/>
    <w:rsid w:val="0012095A"/>
    <w:rsid w:val="001220AD"/>
    <w:rsid w:val="00123157"/>
    <w:rsid w:val="00125368"/>
    <w:rsid w:val="00125B7F"/>
    <w:rsid w:val="001339D5"/>
    <w:rsid w:val="001442B0"/>
    <w:rsid w:val="00146E44"/>
    <w:rsid w:val="001470DF"/>
    <w:rsid w:val="0014780B"/>
    <w:rsid w:val="00150532"/>
    <w:rsid w:val="00150D08"/>
    <w:rsid w:val="00151426"/>
    <w:rsid w:val="00163712"/>
    <w:rsid w:val="001669EB"/>
    <w:rsid w:val="001700EE"/>
    <w:rsid w:val="00172F9B"/>
    <w:rsid w:val="00173921"/>
    <w:rsid w:val="001740D6"/>
    <w:rsid w:val="00175CF0"/>
    <w:rsid w:val="00176566"/>
    <w:rsid w:val="001770A5"/>
    <w:rsid w:val="00177CF1"/>
    <w:rsid w:val="001819F5"/>
    <w:rsid w:val="00182999"/>
    <w:rsid w:val="001838FF"/>
    <w:rsid w:val="001860F1"/>
    <w:rsid w:val="00191AAE"/>
    <w:rsid w:val="00193118"/>
    <w:rsid w:val="001949C8"/>
    <w:rsid w:val="0019550C"/>
    <w:rsid w:val="0019617D"/>
    <w:rsid w:val="001961F2"/>
    <w:rsid w:val="001972E5"/>
    <w:rsid w:val="001A22BA"/>
    <w:rsid w:val="001A47B1"/>
    <w:rsid w:val="001A7D2E"/>
    <w:rsid w:val="001B3937"/>
    <w:rsid w:val="001B646B"/>
    <w:rsid w:val="001C047E"/>
    <w:rsid w:val="001C6DB6"/>
    <w:rsid w:val="001C7A69"/>
    <w:rsid w:val="001D642A"/>
    <w:rsid w:val="001D6799"/>
    <w:rsid w:val="001D6DC1"/>
    <w:rsid w:val="001D6F89"/>
    <w:rsid w:val="001E2879"/>
    <w:rsid w:val="001E2A65"/>
    <w:rsid w:val="001E609E"/>
    <w:rsid w:val="001F0B3A"/>
    <w:rsid w:val="001F2A66"/>
    <w:rsid w:val="00203DA2"/>
    <w:rsid w:val="00204092"/>
    <w:rsid w:val="00206045"/>
    <w:rsid w:val="00207C08"/>
    <w:rsid w:val="0021070D"/>
    <w:rsid w:val="0021670F"/>
    <w:rsid w:val="00216AB5"/>
    <w:rsid w:val="00217DD0"/>
    <w:rsid w:val="00220B12"/>
    <w:rsid w:val="00225881"/>
    <w:rsid w:val="00226015"/>
    <w:rsid w:val="0022647F"/>
    <w:rsid w:val="002356BC"/>
    <w:rsid w:val="00240FE0"/>
    <w:rsid w:val="0024125A"/>
    <w:rsid w:val="00241271"/>
    <w:rsid w:val="0024432F"/>
    <w:rsid w:val="00250D57"/>
    <w:rsid w:val="00251777"/>
    <w:rsid w:val="0025416A"/>
    <w:rsid w:val="0027036E"/>
    <w:rsid w:val="002718CB"/>
    <w:rsid w:val="00272A0E"/>
    <w:rsid w:val="00273390"/>
    <w:rsid w:val="002819E8"/>
    <w:rsid w:val="002933F8"/>
    <w:rsid w:val="00295397"/>
    <w:rsid w:val="002A33F8"/>
    <w:rsid w:val="002B1CC3"/>
    <w:rsid w:val="002B34BC"/>
    <w:rsid w:val="002B3938"/>
    <w:rsid w:val="002B49CB"/>
    <w:rsid w:val="002B4E55"/>
    <w:rsid w:val="002B4FE2"/>
    <w:rsid w:val="002B59B0"/>
    <w:rsid w:val="002C111D"/>
    <w:rsid w:val="002D0BBF"/>
    <w:rsid w:val="002D483C"/>
    <w:rsid w:val="002E20B7"/>
    <w:rsid w:val="002E507C"/>
    <w:rsid w:val="002E5C13"/>
    <w:rsid w:val="002E7C8E"/>
    <w:rsid w:val="002F043B"/>
    <w:rsid w:val="002F1C7A"/>
    <w:rsid w:val="002F1E49"/>
    <w:rsid w:val="003016D9"/>
    <w:rsid w:val="00304A80"/>
    <w:rsid w:val="003105E1"/>
    <w:rsid w:val="00312E48"/>
    <w:rsid w:val="003132DE"/>
    <w:rsid w:val="00313C79"/>
    <w:rsid w:val="00317A6D"/>
    <w:rsid w:val="00317ECB"/>
    <w:rsid w:val="00320FC3"/>
    <w:rsid w:val="003335D3"/>
    <w:rsid w:val="003354F8"/>
    <w:rsid w:val="00335EE1"/>
    <w:rsid w:val="00337F3A"/>
    <w:rsid w:val="00340958"/>
    <w:rsid w:val="00342670"/>
    <w:rsid w:val="00344F13"/>
    <w:rsid w:val="00347662"/>
    <w:rsid w:val="0035004C"/>
    <w:rsid w:val="003500A8"/>
    <w:rsid w:val="003529B7"/>
    <w:rsid w:val="003531E9"/>
    <w:rsid w:val="00355F3C"/>
    <w:rsid w:val="00356077"/>
    <w:rsid w:val="00357D61"/>
    <w:rsid w:val="003603F2"/>
    <w:rsid w:val="00362DC6"/>
    <w:rsid w:val="003657BC"/>
    <w:rsid w:val="00375DAF"/>
    <w:rsid w:val="00376344"/>
    <w:rsid w:val="00377027"/>
    <w:rsid w:val="00386FF3"/>
    <w:rsid w:val="00390B59"/>
    <w:rsid w:val="0039168E"/>
    <w:rsid w:val="00392E06"/>
    <w:rsid w:val="003944EF"/>
    <w:rsid w:val="00396C54"/>
    <w:rsid w:val="003A09B2"/>
    <w:rsid w:val="003A14DB"/>
    <w:rsid w:val="003B3641"/>
    <w:rsid w:val="003B4FFD"/>
    <w:rsid w:val="003B66D0"/>
    <w:rsid w:val="003B7C4A"/>
    <w:rsid w:val="003C06CB"/>
    <w:rsid w:val="003C073E"/>
    <w:rsid w:val="003C1128"/>
    <w:rsid w:val="003C1450"/>
    <w:rsid w:val="003C250E"/>
    <w:rsid w:val="003D0A73"/>
    <w:rsid w:val="003D50E8"/>
    <w:rsid w:val="003E1220"/>
    <w:rsid w:val="003E44FC"/>
    <w:rsid w:val="003F32AD"/>
    <w:rsid w:val="0040184C"/>
    <w:rsid w:val="004034BE"/>
    <w:rsid w:val="00405A0A"/>
    <w:rsid w:val="0041333B"/>
    <w:rsid w:val="00420128"/>
    <w:rsid w:val="0042077B"/>
    <w:rsid w:val="004272C9"/>
    <w:rsid w:val="00427BB8"/>
    <w:rsid w:val="00430059"/>
    <w:rsid w:val="00434C2E"/>
    <w:rsid w:val="004430C6"/>
    <w:rsid w:val="004444C3"/>
    <w:rsid w:val="00447C8F"/>
    <w:rsid w:val="004510E7"/>
    <w:rsid w:val="004569CF"/>
    <w:rsid w:val="00456B29"/>
    <w:rsid w:val="00457E47"/>
    <w:rsid w:val="00463572"/>
    <w:rsid w:val="004643BA"/>
    <w:rsid w:val="004668D3"/>
    <w:rsid w:val="00467900"/>
    <w:rsid w:val="004735D8"/>
    <w:rsid w:val="00474C42"/>
    <w:rsid w:val="00476619"/>
    <w:rsid w:val="004815CA"/>
    <w:rsid w:val="004817FA"/>
    <w:rsid w:val="0048229A"/>
    <w:rsid w:val="00484708"/>
    <w:rsid w:val="00484C86"/>
    <w:rsid w:val="00491CAF"/>
    <w:rsid w:val="0049353F"/>
    <w:rsid w:val="00493ABD"/>
    <w:rsid w:val="00493BF3"/>
    <w:rsid w:val="00497C5F"/>
    <w:rsid w:val="004A0FE2"/>
    <w:rsid w:val="004A34D8"/>
    <w:rsid w:val="004A42E0"/>
    <w:rsid w:val="004A5E16"/>
    <w:rsid w:val="004A5EFC"/>
    <w:rsid w:val="004B26C7"/>
    <w:rsid w:val="004B43C7"/>
    <w:rsid w:val="004B7170"/>
    <w:rsid w:val="004B7A2D"/>
    <w:rsid w:val="004C0785"/>
    <w:rsid w:val="004C0E4C"/>
    <w:rsid w:val="004C1A20"/>
    <w:rsid w:val="004C4C43"/>
    <w:rsid w:val="004C7EEE"/>
    <w:rsid w:val="004D1132"/>
    <w:rsid w:val="004D2BA1"/>
    <w:rsid w:val="004D40E1"/>
    <w:rsid w:val="004D7D0A"/>
    <w:rsid w:val="004D7EB1"/>
    <w:rsid w:val="004E22BB"/>
    <w:rsid w:val="004E39AC"/>
    <w:rsid w:val="004E4C16"/>
    <w:rsid w:val="004E56F9"/>
    <w:rsid w:val="004E714F"/>
    <w:rsid w:val="004E7228"/>
    <w:rsid w:val="004F3056"/>
    <w:rsid w:val="004F7165"/>
    <w:rsid w:val="0050233D"/>
    <w:rsid w:val="00510EB0"/>
    <w:rsid w:val="00511655"/>
    <w:rsid w:val="005123BB"/>
    <w:rsid w:val="005150AC"/>
    <w:rsid w:val="00521DAF"/>
    <w:rsid w:val="00522695"/>
    <w:rsid w:val="00522F69"/>
    <w:rsid w:val="005232BF"/>
    <w:rsid w:val="00523452"/>
    <w:rsid w:val="0052381F"/>
    <w:rsid w:val="0052503D"/>
    <w:rsid w:val="00525D3B"/>
    <w:rsid w:val="005304D2"/>
    <w:rsid w:val="00535319"/>
    <w:rsid w:val="00536504"/>
    <w:rsid w:val="005405F2"/>
    <w:rsid w:val="00541218"/>
    <w:rsid w:val="00544BA9"/>
    <w:rsid w:val="00544C36"/>
    <w:rsid w:val="00553994"/>
    <w:rsid w:val="00564A40"/>
    <w:rsid w:val="00566814"/>
    <w:rsid w:val="00567FF4"/>
    <w:rsid w:val="00573ED2"/>
    <w:rsid w:val="005747D2"/>
    <w:rsid w:val="0059273B"/>
    <w:rsid w:val="005935F5"/>
    <w:rsid w:val="00593D0E"/>
    <w:rsid w:val="00593E00"/>
    <w:rsid w:val="00594524"/>
    <w:rsid w:val="0059713C"/>
    <w:rsid w:val="005A1594"/>
    <w:rsid w:val="005A2BD3"/>
    <w:rsid w:val="005A37B1"/>
    <w:rsid w:val="005A76E1"/>
    <w:rsid w:val="005B15ED"/>
    <w:rsid w:val="005B2FBE"/>
    <w:rsid w:val="005B3547"/>
    <w:rsid w:val="005C0014"/>
    <w:rsid w:val="005C3BD8"/>
    <w:rsid w:val="005D4A7B"/>
    <w:rsid w:val="005D7969"/>
    <w:rsid w:val="005E020D"/>
    <w:rsid w:val="005E2831"/>
    <w:rsid w:val="005E2A3E"/>
    <w:rsid w:val="005E3EF4"/>
    <w:rsid w:val="005E5105"/>
    <w:rsid w:val="005E533D"/>
    <w:rsid w:val="005F0EAC"/>
    <w:rsid w:val="005F740D"/>
    <w:rsid w:val="005F79CC"/>
    <w:rsid w:val="006036C5"/>
    <w:rsid w:val="00604189"/>
    <w:rsid w:val="006070BA"/>
    <w:rsid w:val="00607481"/>
    <w:rsid w:val="00611286"/>
    <w:rsid w:val="006118C0"/>
    <w:rsid w:val="00612300"/>
    <w:rsid w:val="006136FC"/>
    <w:rsid w:val="0061558D"/>
    <w:rsid w:val="00617C87"/>
    <w:rsid w:val="00624FE9"/>
    <w:rsid w:val="0062677D"/>
    <w:rsid w:val="006268DF"/>
    <w:rsid w:val="00630486"/>
    <w:rsid w:val="006328B3"/>
    <w:rsid w:val="0063442E"/>
    <w:rsid w:val="00635470"/>
    <w:rsid w:val="00635F8F"/>
    <w:rsid w:val="00642B6A"/>
    <w:rsid w:val="006447D4"/>
    <w:rsid w:val="006460CE"/>
    <w:rsid w:val="006509CB"/>
    <w:rsid w:val="006533FD"/>
    <w:rsid w:val="00654FCF"/>
    <w:rsid w:val="00656509"/>
    <w:rsid w:val="00656592"/>
    <w:rsid w:val="006625B9"/>
    <w:rsid w:val="00662A8A"/>
    <w:rsid w:val="00662B8F"/>
    <w:rsid w:val="0066454B"/>
    <w:rsid w:val="00664ACC"/>
    <w:rsid w:val="006704E8"/>
    <w:rsid w:val="00673A99"/>
    <w:rsid w:val="00680A88"/>
    <w:rsid w:val="006821E2"/>
    <w:rsid w:val="00685114"/>
    <w:rsid w:val="0069017E"/>
    <w:rsid w:val="0069228F"/>
    <w:rsid w:val="00693A88"/>
    <w:rsid w:val="0069403A"/>
    <w:rsid w:val="0069485E"/>
    <w:rsid w:val="006A2C08"/>
    <w:rsid w:val="006A3537"/>
    <w:rsid w:val="006A513B"/>
    <w:rsid w:val="006A7E85"/>
    <w:rsid w:val="006B3F25"/>
    <w:rsid w:val="006B5FE4"/>
    <w:rsid w:val="006C0802"/>
    <w:rsid w:val="006C12E9"/>
    <w:rsid w:val="006C1EFA"/>
    <w:rsid w:val="006C247B"/>
    <w:rsid w:val="006C38EF"/>
    <w:rsid w:val="006C7BA3"/>
    <w:rsid w:val="006D1F2F"/>
    <w:rsid w:val="006D6ABB"/>
    <w:rsid w:val="006E6900"/>
    <w:rsid w:val="006F3317"/>
    <w:rsid w:val="006F55C1"/>
    <w:rsid w:val="006F5A94"/>
    <w:rsid w:val="006F68E6"/>
    <w:rsid w:val="006F76B8"/>
    <w:rsid w:val="0070026E"/>
    <w:rsid w:val="007031C8"/>
    <w:rsid w:val="007100DF"/>
    <w:rsid w:val="0071137E"/>
    <w:rsid w:val="007115E9"/>
    <w:rsid w:val="00712BBC"/>
    <w:rsid w:val="00715CF0"/>
    <w:rsid w:val="00717383"/>
    <w:rsid w:val="0073189C"/>
    <w:rsid w:val="00735808"/>
    <w:rsid w:val="00737490"/>
    <w:rsid w:val="007411CD"/>
    <w:rsid w:val="0074729F"/>
    <w:rsid w:val="0075047F"/>
    <w:rsid w:val="007508A7"/>
    <w:rsid w:val="00757578"/>
    <w:rsid w:val="00757C2F"/>
    <w:rsid w:val="00760113"/>
    <w:rsid w:val="00760364"/>
    <w:rsid w:val="00760615"/>
    <w:rsid w:val="00761FC4"/>
    <w:rsid w:val="00765140"/>
    <w:rsid w:val="00765AEA"/>
    <w:rsid w:val="007730BA"/>
    <w:rsid w:val="00780C72"/>
    <w:rsid w:val="00784424"/>
    <w:rsid w:val="00791A54"/>
    <w:rsid w:val="00792C71"/>
    <w:rsid w:val="00793CC5"/>
    <w:rsid w:val="00794122"/>
    <w:rsid w:val="007943C2"/>
    <w:rsid w:val="007A04C0"/>
    <w:rsid w:val="007A0915"/>
    <w:rsid w:val="007A10D6"/>
    <w:rsid w:val="007A1B07"/>
    <w:rsid w:val="007A5F80"/>
    <w:rsid w:val="007B06A8"/>
    <w:rsid w:val="007B1F1C"/>
    <w:rsid w:val="007B2AB4"/>
    <w:rsid w:val="007B68DC"/>
    <w:rsid w:val="007B75CD"/>
    <w:rsid w:val="007C5ABD"/>
    <w:rsid w:val="007C66DB"/>
    <w:rsid w:val="007D18F4"/>
    <w:rsid w:val="007D23A8"/>
    <w:rsid w:val="007D73F5"/>
    <w:rsid w:val="007D75D5"/>
    <w:rsid w:val="007E40CA"/>
    <w:rsid w:val="007E4B6C"/>
    <w:rsid w:val="007E6C8F"/>
    <w:rsid w:val="007F0028"/>
    <w:rsid w:val="007F112A"/>
    <w:rsid w:val="007F3198"/>
    <w:rsid w:val="007F3236"/>
    <w:rsid w:val="007F5C2D"/>
    <w:rsid w:val="007F671C"/>
    <w:rsid w:val="007F6FF8"/>
    <w:rsid w:val="007F7D9D"/>
    <w:rsid w:val="0080229A"/>
    <w:rsid w:val="00802472"/>
    <w:rsid w:val="00802BD2"/>
    <w:rsid w:val="00811A2C"/>
    <w:rsid w:val="008130AF"/>
    <w:rsid w:val="008133D5"/>
    <w:rsid w:val="008143CA"/>
    <w:rsid w:val="00814D13"/>
    <w:rsid w:val="00817051"/>
    <w:rsid w:val="00820650"/>
    <w:rsid w:val="00820C54"/>
    <w:rsid w:val="00822425"/>
    <w:rsid w:val="00824CB1"/>
    <w:rsid w:val="00825E07"/>
    <w:rsid w:val="00825F19"/>
    <w:rsid w:val="00830EEF"/>
    <w:rsid w:val="00833BDA"/>
    <w:rsid w:val="0083717D"/>
    <w:rsid w:val="008455C8"/>
    <w:rsid w:val="00846C26"/>
    <w:rsid w:val="0085068F"/>
    <w:rsid w:val="0085072F"/>
    <w:rsid w:val="00851A59"/>
    <w:rsid w:val="00852F32"/>
    <w:rsid w:val="008538D5"/>
    <w:rsid w:val="00855804"/>
    <w:rsid w:val="00860865"/>
    <w:rsid w:val="00860935"/>
    <w:rsid w:val="00864B47"/>
    <w:rsid w:val="008656DA"/>
    <w:rsid w:val="00870EFE"/>
    <w:rsid w:val="008713A2"/>
    <w:rsid w:val="008741E3"/>
    <w:rsid w:val="00876AC0"/>
    <w:rsid w:val="00876CB2"/>
    <w:rsid w:val="0088077E"/>
    <w:rsid w:val="008850C9"/>
    <w:rsid w:val="008862E0"/>
    <w:rsid w:val="00890295"/>
    <w:rsid w:val="00894488"/>
    <w:rsid w:val="008949B1"/>
    <w:rsid w:val="00895454"/>
    <w:rsid w:val="00897DB7"/>
    <w:rsid w:val="008A66D2"/>
    <w:rsid w:val="008B259D"/>
    <w:rsid w:val="008B2C22"/>
    <w:rsid w:val="008B3898"/>
    <w:rsid w:val="008B3A2A"/>
    <w:rsid w:val="008B64BB"/>
    <w:rsid w:val="008C1B00"/>
    <w:rsid w:val="008C2EC4"/>
    <w:rsid w:val="008C35E8"/>
    <w:rsid w:val="008D002C"/>
    <w:rsid w:val="008D2767"/>
    <w:rsid w:val="008D3CA8"/>
    <w:rsid w:val="008D5E18"/>
    <w:rsid w:val="008D64C8"/>
    <w:rsid w:val="008D6845"/>
    <w:rsid w:val="008D7509"/>
    <w:rsid w:val="008E04F1"/>
    <w:rsid w:val="008E665C"/>
    <w:rsid w:val="008F2487"/>
    <w:rsid w:val="008F4C89"/>
    <w:rsid w:val="008F7CFB"/>
    <w:rsid w:val="00900A89"/>
    <w:rsid w:val="00902042"/>
    <w:rsid w:val="00905471"/>
    <w:rsid w:val="00905802"/>
    <w:rsid w:val="0090742E"/>
    <w:rsid w:val="00910BBF"/>
    <w:rsid w:val="00912888"/>
    <w:rsid w:val="0091424E"/>
    <w:rsid w:val="009203AE"/>
    <w:rsid w:val="00926584"/>
    <w:rsid w:val="00927765"/>
    <w:rsid w:val="0093187A"/>
    <w:rsid w:val="00934589"/>
    <w:rsid w:val="00934F8B"/>
    <w:rsid w:val="009419BA"/>
    <w:rsid w:val="00953CC2"/>
    <w:rsid w:val="0095556A"/>
    <w:rsid w:val="00956A50"/>
    <w:rsid w:val="009606CD"/>
    <w:rsid w:val="00961295"/>
    <w:rsid w:val="009615BB"/>
    <w:rsid w:val="0096505C"/>
    <w:rsid w:val="009658CF"/>
    <w:rsid w:val="0096719B"/>
    <w:rsid w:val="00967F10"/>
    <w:rsid w:val="00972188"/>
    <w:rsid w:val="00977F7F"/>
    <w:rsid w:val="00980DEA"/>
    <w:rsid w:val="00981A35"/>
    <w:rsid w:val="00983713"/>
    <w:rsid w:val="009841BA"/>
    <w:rsid w:val="009922FB"/>
    <w:rsid w:val="009928D9"/>
    <w:rsid w:val="009931D0"/>
    <w:rsid w:val="00993804"/>
    <w:rsid w:val="0099599C"/>
    <w:rsid w:val="009A5C82"/>
    <w:rsid w:val="009A6156"/>
    <w:rsid w:val="009B0C16"/>
    <w:rsid w:val="009B3A48"/>
    <w:rsid w:val="009B6FCE"/>
    <w:rsid w:val="009B7D98"/>
    <w:rsid w:val="009C13D6"/>
    <w:rsid w:val="009C321E"/>
    <w:rsid w:val="009C5AC9"/>
    <w:rsid w:val="009C62C9"/>
    <w:rsid w:val="009C6C1D"/>
    <w:rsid w:val="009C77E7"/>
    <w:rsid w:val="009D3251"/>
    <w:rsid w:val="009D59A8"/>
    <w:rsid w:val="009D77FE"/>
    <w:rsid w:val="009F2740"/>
    <w:rsid w:val="00A00720"/>
    <w:rsid w:val="00A02483"/>
    <w:rsid w:val="00A03436"/>
    <w:rsid w:val="00A03487"/>
    <w:rsid w:val="00A063E0"/>
    <w:rsid w:val="00A11C46"/>
    <w:rsid w:val="00A149BA"/>
    <w:rsid w:val="00A15C7A"/>
    <w:rsid w:val="00A21B10"/>
    <w:rsid w:val="00A2294E"/>
    <w:rsid w:val="00A23C74"/>
    <w:rsid w:val="00A27D4A"/>
    <w:rsid w:val="00A345FC"/>
    <w:rsid w:val="00A36BE9"/>
    <w:rsid w:val="00A372F3"/>
    <w:rsid w:val="00A374CA"/>
    <w:rsid w:val="00A4074B"/>
    <w:rsid w:val="00A5139A"/>
    <w:rsid w:val="00A535C7"/>
    <w:rsid w:val="00A542AC"/>
    <w:rsid w:val="00A567F8"/>
    <w:rsid w:val="00A56A62"/>
    <w:rsid w:val="00A63870"/>
    <w:rsid w:val="00A64EE7"/>
    <w:rsid w:val="00A77F78"/>
    <w:rsid w:val="00A83A5B"/>
    <w:rsid w:val="00A84941"/>
    <w:rsid w:val="00A84FDD"/>
    <w:rsid w:val="00A92A12"/>
    <w:rsid w:val="00A9330B"/>
    <w:rsid w:val="00A94B4B"/>
    <w:rsid w:val="00A95515"/>
    <w:rsid w:val="00AA42C5"/>
    <w:rsid w:val="00AA4300"/>
    <w:rsid w:val="00AA5FB0"/>
    <w:rsid w:val="00AA765C"/>
    <w:rsid w:val="00AA7E33"/>
    <w:rsid w:val="00AB6FDA"/>
    <w:rsid w:val="00AC0294"/>
    <w:rsid w:val="00AC5BD3"/>
    <w:rsid w:val="00AD01B8"/>
    <w:rsid w:val="00AD06C8"/>
    <w:rsid w:val="00AD4F47"/>
    <w:rsid w:val="00AD6C67"/>
    <w:rsid w:val="00AE1364"/>
    <w:rsid w:val="00AE512A"/>
    <w:rsid w:val="00AE5E00"/>
    <w:rsid w:val="00AF03AE"/>
    <w:rsid w:val="00AF2026"/>
    <w:rsid w:val="00AF2796"/>
    <w:rsid w:val="00AF52F6"/>
    <w:rsid w:val="00AF6E1A"/>
    <w:rsid w:val="00B009D9"/>
    <w:rsid w:val="00B009EB"/>
    <w:rsid w:val="00B01580"/>
    <w:rsid w:val="00B027CA"/>
    <w:rsid w:val="00B04D64"/>
    <w:rsid w:val="00B12873"/>
    <w:rsid w:val="00B12C02"/>
    <w:rsid w:val="00B240AD"/>
    <w:rsid w:val="00B316DC"/>
    <w:rsid w:val="00B37787"/>
    <w:rsid w:val="00B42AD8"/>
    <w:rsid w:val="00B44B73"/>
    <w:rsid w:val="00B45218"/>
    <w:rsid w:val="00B4552C"/>
    <w:rsid w:val="00B51B60"/>
    <w:rsid w:val="00B528FF"/>
    <w:rsid w:val="00B56926"/>
    <w:rsid w:val="00B57E19"/>
    <w:rsid w:val="00B65816"/>
    <w:rsid w:val="00B70B5C"/>
    <w:rsid w:val="00B71737"/>
    <w:rsid w:val="00B72320"/>
    <w:rsid w:val="00B72BB8"/>
    <w:rsid w:val="00B77DE3"/>
    <w:rsid w:val="00B81CBD"/>
    <w:rsid w:val="00B8213B"/>
    <w:rsid w:val="00B82961"/>
    <w:rsid w:val="00B83ABD"/>
    <w:rsid w:val="00B8510E"/>
    <w:rsid w:val="00B85C72"/>
    <w:rsid w:val="00B86A33"/>
    <w:rsid w:val="00B94A51"/>
    <w:rsid w:val="00B9773F"/>
    <w:rsid w:val="00BA02C6"/>
    <w:rsid w:val="00BA1714"/>
    <w:rsid w:val="00BA50F6"/>
    <w:rsid w:val="00BA564A"/>
    <w:rsid w:val="00BA5804"/>
    <w:rsid w:val="00BB1A9D"/>
    <w:rsid w:val="00BB21CE"/>
    <w:rsid w:val="00BB504E"/>
    <w:rsid w:val="00BB56F4"/>
    <w:rsid w:val="00BC0CDB"/>
    <w:rsid w:val="00BC2C5C"/>
    <w:rsid w:val="00BC4AF8"/>
    <w:rsid w:val="00BD20E6"/>
    <w:rsid w:val="00BD23B6"/>
    <w:rsid w:val="00BD4B07"/>
    <w:rsid w:val="00BD622E"/>
    <w:rsid w:val="00BE201B"/>
    <w:rsid w:val="00BE2151"/>
    <w:rsid w:val="00BF046D"/>
    <w:rsid w:val="00BF0CBC"/>
    <w:rsid w:val="00BF3C87"/>
    <w:rsid w:val="00BF75DC"/>
    <w:rsid w:val="00C01CB3"/>
    <w:rsid w:val="00C033F6"/>
    <w:rsid w:val="00C065B8"/>
    <w:rsid w:val="00C10763"/>
    <w:rsid w:val="00C12BEB"/>
    <w:rsid w:val="00C137B2"/>
    <w:rsid w:val="00C139BC"/>
    <w:rsid w:val="00C150AC"/>
    <w:rsid w:val="00C20A06"/>
    <w:rsid w:val="00C21987"/>
    <w:rsid w:val="00C22B3E"/>
    <w:rsid w:val="00C25E6B"/>
    <w:rsid w:val="00C31E11"/>
    <w:rsid w:val="00C3213A"/>
    <w:rsid w:val="00C32948"/>
    <w:rsid w:val="00C34E56"/>
    <w:rsid w:val="00C40C9C"/>
    <w:rsid w:val="00C4609E"/>
    <w:rsid w:val="00C46980"/>
    <w:rsid w:val="00C5137C"/>
    <w:rsid w:val="00C562A8"/>
    <w:rsid w:val="00C638CB"/>
    <w:rsid w:val="00C67677"/>
    <w:rsid w:val="00C71E6F"/>
    <w:rsid w:val="00C74026"/>
    <w:rsid w:val="00C76283"/>
    <w:rsid w:val="00C76365"/>
    <w:rsid w:val="00C7657D"/>
    <w:rsid w:val="00C8215B"/>
    <w:rsid w:val="00C83DFB"/>
    <w:rsid w:val="00C847B0"/>
    <w:rsid w:val="00C84EA5"/>
    <w:rsid w:val="00C912B3"/>
    <w:rsid w:val="00C951D9"/>
    <w:rsid w:val="00C9521F"/>
    <w:rsid w:val="00C95DEC"/>
    <w:rsid w:val="00CA071E"/>
    <w:rsid w:val="00CA0E5B"/>
    <w:rsid w:val="00CA2B8B"/>
    <w:rsid w:val="00CA76F4"/>
    <w:rsid w:val="00CB4C0E"/>
    <w:rsid w:val="00CB7F8B"/>
    <w:rsid w:val="00CC2786"/>
    <w:rsid w:val="00CC651D"/>
    <w:rsid w:val="00CC6FBD"/>
    <w:rsid w:val="00CC7750"/>
    <w:rsid w:val="00CD18A0"/>
    <w:rsid w:val="00CD36D5"/>
    <w:rsid w:val="00CD4516"/>
    <w:rsid w:val="00CD5154"/>
    <w:rsid w:val="00CD55EB"/>
    <w:rsid w:val="00CD5FEF"/>
    <w:rsid w:val="00CE30CF"/>
    <w:rsid w:val="00CE3422"/>
    <w:rsid w:val="00CE5522"/>
    <w:rsid w:val="00CE7FF8"/>
    <w:rsid w:val="00CF1331"/>
    <w:rsid w:val="00CF532A"/>
    <w:rsid w:val="00CF6D26"/>
    <w:rsid w:val="00D0098B"/>
    <w:rsid w:val="00D00EB3"/>
    <w:rsid w:val="00D013FE"/>
    <w:rsid w:val="00D02BEE"/>
    <w:rsid w:val="00D040DB"/>
    <w:rsid w:val="00D06255"/>
    <w:rsid w:val="00D066A1"/>
    <w:rsid w:val="00D07715"/>
    <w:rsid w:val="00D12A21"/>
    <w:rsid w:val="00D13409"/>
    <w:rsid w:val="00D1788E"/>
    <w:rsid w:val="00D22BF9"/>
    <w:rsid w:val="00D24343"/>
    <w:rsid w:val="00D31BF4"/>
    <w:rsid w:val="00D34813"/>
    <w:rsid w:val="00D35AB0"/>
    <w:rsid w:val="00D43919"/>
    <w:rsid w:val="00D44D83"/>
    <w:rsid w:val="00D44D90"/>
    <w:rsid w:val="00D450AC"/>
    <w:rsid w:val="00D4624B"/>
    <w:rsid w:val="00D47918"/>
    <w:rsid w:val="00D52CC8"/>
    <w:rsid w:val="00D537CE"/>
    <w:rsid w:val="00D55FCD"/>
    <w:rsid w:val="00D57D7C"/>
    <w:rsid w:val="00D6107C"/>
    <w:rsid w:val="00D611F7"/>
    <w:rsid w:val="00D6432B"/>
    <w:rsid w:val="00D645B5"/>
    <w:rsid w:val="00D65E8D"/>
    <w:rsid w:val="00D72E98"/>
    <w:rsid w:val="00D77763"/>
    <w:rsid w:val="00D7779D"/>
    <w:rsid w:val="00D8008D"/>
    <w:rsid w:val="00D81617"/>
    <w:rsid w:val="00D838C1"/>
    <w:rsid w:val="00D838FA"/>
    <w:rsid w:val="00D9438A"/>
    <w:rsid w:val="00D95341"/>
    <w:rsid w:val="00D973D9"/>
    <w:rsid w:val="00DB2DCB"/>
    <w:rsid w:val="00DB3C55"/>
    <w:rsid w:val="00DC02D1"/>
    <w:rsid w:val="00DC50A6"/>
    <w:rsid w:val="00DD02F0"/>
    <w:rsid w:val="00DD1EC8"/>
    <w:rsid w:val="00DD2410"/>
    <w:rsid w:val="00DD32ED"/>
    <w:rsid w:val="00DE5707"/>
    <w:rsid w:val="00DE757C"/>
    <w:rsid w:val="00DF1D91"/>
    <w:rsid w:val="00DF2A20"/>
    <w:rsid w:val="00DF6074"/>
    <w:rsid w:val="00DF7732"/>
    <w:rsid w:val="00DF7879"/>
    <w:rsid w:val="00DF7C44"/>
    <w:rsid w:val="00E10B59"/>
    <w:rsid w:val="00E1209C"/>
    <w:rsid w:val="00E12F7A"/>
    <w:rsid w:val="00E1304F"/>
    <w:rsid w:val="00E13223"/>
    <w:rsid w:val="00E14F2E"/>
    <w:rsid w:val="00E168D5"/>
    <w:rsid w:val="00E16F97"/>
    <w:rsid w:val="00E21434"/>
    <w:rsid w:val="00E23C10"/>
    <w:rsid w:val="00E25A1D"/>
    <w:rsid w:val="00E26536"/>
    <w:rsid w:val="00E30C2E"/>
    <w:rsid w:val="00E346FD"/>
    <w:rsid w:val="00E41843"/>
    <w:rsid w:val="00E45B96"/>
    <w:rsid w:val="00E5168E"/>
    <w:rsid w:val="00E55F42"/>
    <w:rsid w:val="00E57FEE"/>
    <w:rsid w:val="00E617A3"/>
    <w:rsid w:val="00E62FBF"/>
    <w:rsid w:val="00E64980"/>
    <w:rsid w:val="00E7065D"/>
    <w:rsid w:val="00E731B6"/>
    <w:rsid w:val="00E80B0F"/>
    <w:rsid w:val="00E82034"/>
    <w:rsid w:val="00E82FEF"/>
    <w:rsid w:val="00E841B1"/>
    <w:rsid w:val="00E8486C"/>
    <w:rsid w:val="00E84F1C"/>
    <w:rsid w:val="00E85591"/>
    <w:rsid w:val="00E87991"/>
    <w:rsid w:val="00E91E47"/>
    <w:rsid w:val="00E92431"/>
    <w:rsid w:val="00E9326B"/>
    <w:rsid w:val="00E93E74"/>
    <w:rsid w:val="00E94C31"/>
    <w:rsid w:val="00E97E10"/>
    <w:rsid w:val="00EA1288"/>
    <w:rsid w:val="00EA50F1"/>
    <w:rsid w:val="00EA58EC"/>
    <w:rsid w:val="00EA6C53"/>
    <w:rsid w:val="00EB01C3"/>
    <w:rsid w:val="00EB1588"/>
    <w:rsid w:val="00EC19C1"/>
    <w:rsid w:val="00EC1E8B"/>
    <w:rsid w:val="00EC27B3"/>
    <w:rsid w:val="00EC4464"/>
    <w:rsid w:val="00EC5FC7"/>
    <w:rsid w:val="00EC7606"/>
    <w:rsid w:val="00ED184B"/>
    <w:rsid w:val="00ED1C1A"/>
    <w:rsid w:val="00ED6377"/>
    <w:rsid w:val="00EE1B10"/>
    <w:rsid w:val="00EE2F33"/>
    <w:rsid w:val="00EE400B"/>
    <w:rsid w:val="00EE40C0"/>
    <w:rsid w:val="00EE6F54"/>
    <w:rsid w:val="00EF67BA"/>
    <w:rsid w:val="00F0072C"/>
    <w:rsid w:val="00F007AB"/>
    <w:rsid w:val="00F01526"/>
    <w:rsid w:val="00F038CF"/>
    <w:rsid w:val="00F05A99"/>
    <w:rsid w:val="00F07697"/>
    <w:rsid w:val="00F10158"/>
    <w:rsid w:val="00F136BD"/>
    <w:rsid w:val="00F153EC"/>
    <w:rsid w:val="00F16925"/>
    <w:rsid w:val="00F26F16"/>
    <w:rsid w:val="00F27D8A"/>
    <w:rsid w:val="00F34E98"/>
    <w:rsid w:val="00F35B5A"/>
    <w:rsid w:val="00F36C7C"/>
    <w:rsid w:val="00F37DF8"/>
    <w:rsid w:val="00F42AC5"/>
    <w:rsid w:val="00F43CE3"/>
    <w:rsid w:val="00F45492"/>
    <w:rsid w:val="00F4745C"/>
    <w:rsid w:val="00F54824"/>
    <w:rsid w:val="00F55C72"/>
    <w:rsid w:val="00F56F36"/>
    <w:rsid w:val="00F614E7"/>
    <w:rsid w:val="00F63E5B"/>
    <w:rsid w:val="00F65192"/>
    <w:rsid w:val="00F65A66"/>
    <w:rsid w:val="00F734E3"/>
    <w:rsid w:val="00F74343"/>
    <w:rsid w:val="00F807A8"/>
    <w:rsid w:val="00F817C8"/>
    <w:rsid w:val="00F875C3"/>
    <w:rsid w:val="00F91958"/>
    <w:rsid w:val="00F92012"/>
    <w:rsid w:val="00F92597"/>
    <w:rsid w:val="00F948EA"/>
    <w:rsid w:val="00F94C5F"/>
    <w:rsid w:val="00F967EE"/>
    <w:rsid w:val="00FA15C6"/>
    <w:rsid w:val="00FA5708"/>
    <w:rsid w:val="00FA69AC"/>
    <w:rsid w:val="00FB05F0"/>
    <w:rsid w:val="00FB0D37"/>
    <w:rsid w:val="00FB346E"/>
    <w:rsid w:val="00FD035A"/>
    <w:rsid w:val="00FD0BC7"/>
    <w:rsid w:val="00FD4790"/>
    <w:rsid w:val="00FD47A9"/>
    <w:rsid w:val="00FE02B3"/>
    <w:rsid w:val="00FE722F"/>
    <w:rsid w:val="00FF2C3E"/>
    <w:rsid w:val="00FF5944"/>
    <w:rsid w:val="00FF66D1"/>
    <w:rsid w:val="01015318"/>
    <w:rsid w:val="012E0151"/>
    <w:rsid w:val="01342058"/>
    <w:rsid w:val="01364E97"/>
    <w:rsid w:val="01392AD7"/>
    <w:rsid w:val="013C3C23"/>
    <w:rsid w:val="013F1EEF"/>
    <w:rsid w:val="014455F0"/>
    <w:rsid w:val="014C1858"/>
    <w:rsid w:val="014C2E15"/>
    <w:rsid w:val="0153118F"/>
    <w:rsid w:val="01531CBB"/>
    <w:rsid w:val="01550110"/>
    <w:rsid w:val="015655AA"/>
    <w:rsid w:val="015D4FB3"/>
    <w:rsid w:val="016218EA"/>
    <w:rsid w:val="01627873"/>
    <w:rsid w:val="016552FC"/>
    <w:rsid w:val="016E1DD8"/>
    <w:rsid w:val="0180605E"/>
    <w:rsid w:val="01872E1A"/>
    <w:rsid w:val="01925D11"/>
    <w:rsid w:val="01937802"/>
    <w:rsid w:val="019F49BB"/>
    <w:rsid w:val="01A2063A"/>
    <w:rsid w:val="01A61489"/>
    <w:rsid w:val="01A67680"/>
    <w:rsid w:val="01AE1195"/>
    <w:rsid w:val="01C745B1"/>
    <w:rsid w:val="01C83FD9"/>
    <w:rsid w:val="01C9056E"/>
    <w:rsid w:val="01D10403"/>
    <w:rsid w:val="01D70738"/>
    <w:rsid w:val="01D80E28"/>
    <w:rsid w:val="01E01AC5"/>
    <w:rsid w:val="01E414AB"/>
    <w:rsid w:val="01F07206"/>
    <w:rsid w:val="01F82E6E"/>
    <w:rsid w:val="01FD3425"/>
    <w:rsid w:val="020647A9"/>
    <w:rsid w:val="020874F6"/>
    <w:rsid w:val="020921CA"/>
    <w:rsid w:val="021A35EE"/>
    <w:rsid w:val="022A138C"/>
    <w:rsid w:val="022F3B2C"/>
    <w:rsid w:val="02362290"/>
    <w:rsid w:val="023A1953"/>
    <w:rsid w:val="02431ECD"/>
    <w:rsid w:val="02504CA0"/>
    <w:rsid w:val="02542CD4"/>
    <w:rsid w:val="02603590"/>
    <w:rsid w:val="02607043"/>
    <w:rsid w:val="02643DDD"/>
    <w:rsid w:val="026A2D92"/>
    <w:rsid w:val="026D4BEB"/>
    <w:rsid w:val="02717F74"/>
    <w:rsid w:val="02767AC8"/>
    <w:rsid w:val="02776C62"/>
    <w:rsid w:val="02816346"/>
    <w:rsid w:val="028664A6"/>
    <w:rsid w:val="028F13D4"/>
    <w:rsid w:val="02902D2C"/>
    <w:rsid w:val="02905901"/>
    <w:rsid w:val="0295658E"/>
    <w:rsid w:val="02A066C4"/>
    <w:rsid w:val="02AB4146"/>
    <w:rsid w:val="02AC1446"/>
    <w:rsid w:val="02AD6734"/>
    <w:rsid w:val="02B152F2"/>
    <w:rsid w:val="02B52948"/>
    <w:rsid w:val="02B85579"/>
    <w:rsid w:val="02BB769F"/>
    <w:rsid w:val="02BF2B9D"/>
    <w:rsid w:val="02C84F70"/>
    <w:rsid w:val="02C9798A"/>
    <w:rsid w:val="02CA2B6F"/>
    <w:rsid w:val="02D17713"/>
    <w:rsid w:val="02D9393E"/>
    <w:rsid w:val="02D97554"/>
    <w:rsid w:val="02DA1642"/>
    <w:rsid w:val="02DB6AFA"/>
    <w:rsid w:val="02E1062A"/>
    <w:rsid w:val="02E23A1A"/>
    <w:rsid w:val="02E55A07"/>
    <w:rsid w:val="02F10705"/>
    <w:rsid w:val="02F80F83"/>
    <w:rsid w:val="02FB56B6"/>
    <w:rsid w:val="02FE3ABE"/>
    <w:rsid w:val="02FF2AF0"/>
    <w:rsid w:val="030212BF"/>
    <w:rsid w:val="030C29AB"/>
    <w:rsid w:val="03140A2C"/>
    <w:rsid w:val="03175DDE"/>
    <w:rsid w:val="031B05F5"/>
    <w:rsid w:val="031D35BD"/>
    <w:rsid w:val="03205BAD"/>
    <w:rsid w:val="03227D8E"/>
    <w:rsid w:val="032D3473"/>
    <w:rsid w:val="03342B71"/>
    <w:rsid w:val="033D79FD"/>
    <w:rsid w:val="033F2E4E"/>
    <w:rsid w:val="033F7497"/>
    <w:rsid w:val="0340749A"/>
    <w:rsid w:val="035972C6"/>
    <w:rsid w:val="035C38BD"/>
    <w:rsid w:val="035F558A"/>
    <w:rsid w:val="03695A1C"/>
    <w:rsid w:val="03745863"/>
    <w:rsid w:val="037C0FF8"/>
    <w:rsid w:val="037D59AF"/>
    <w:rsid w:val="037E7783"/>
    <w:rsid w:val="03800419"/>
    <w:rsid w:val="038B062F"/>
    <w:rsid w:val="03925B99"/>
    <w:rsid w:val="039C61C5"/>
    <w:rsid w:val="039F27E9"/>
    <w:rsid w:val="03A348FE"/>
    <w:rsid w:val="03AA30A0"/>
    <w:rsid w:val="03AC2737"/>
    <w:rsid w:val="03AC6172"/>
    <w:rsid w:val="03C27914"/>
    <w:rsid w:val="03C54C24"/>
    <w:rsid w:val="03C57929"/>
    <w:rsid w:val="03CF2FF5"/>
    <w:rsid w:val="03DC6625"/>
    <w:rsid w:val="03EC5F7E"/>
    <w:rsid w:val="03F6723C"/>
    <w:rsid w:val="04007D63"/>
    <w:rsid w:val="0416586B"/>
    <w:rsid w:val="041E5883"/>
    <w:rsid w:val="042E71E3"/>
    <w:rsid w:val="0432408E"/>
    <w:rsid w:val="04337B41"/>
    <w:rsid w:val="043704D8"/>
    <w:rsid w:val="04384A69"/>
    <w:rsid w:val="043A64D8"/>
    <w:rsid w:val="04406BEA"/>
    <w:rsid w:val="04483BD9"/>
    <w:rsid w:val="044D1B00"/>
    <w:rsid w:val="045C506E"/>
    <w:rsid w:val="04603187"/>
    <w:rsid w:val="04610262"/>
    <w:rsid w:val="04636C34"/>
    <w:rsid w:val="046911C1"/>
    <w:rsid w:val="046A0AA4"/>
    <w:rsid w:val="046C01D9"/>
    <w:rsid w:val="046D46A8"/>
    <w:rsid w:val="04734E26"/>
    <w:rsid w:val="047C1AEB"/>
    <w:rsid w:val="048F0A70"/>
    <w:rsid w:val="048F0C1A"/>
    <w:rsid w:val="04A351E6"/>
    <w:rsid w:val="04A46FAC"/>
    <w:rsid w:val="04A9679B"/>
    <w:rsid w:val="04AE7D32"/>
    <w:rsid w:val="04AF6EC5"/>
    <w:rsid w:val="04B34D24"/>
    <w:rsid w:val="04B65518"/>
    <w:rsid w:val="04BE3826"/>
    <w:rsid w:val="04C32120"/>
    <w:rsid w:val="04C71FC8"/>
    <w:rsid w:val="04DD1AE6"/>
    <w:rsid w:val="04E30580"/>
    <w:rsid w:val="04E324FA"/>
    <w:rsid w:val="04E5301E"/>
    <w:rsid w:val="04E95EF8"/>
    <w:rsid w:val="04ED3026"/>
    <w:rsid w:val="04F0306E"/>
    <w:rsid w:val="04F47626"/>
    <w:rsid w:val="04F91642"/>
    <w:rsid w:val="04FE3B9B"/>
    <w:rsid w:val="050722F3"/>
    <w:rsid w:val="050F6C85"/>
    <w:rsid w:val="05104969"/>
    <w:rsid w:val="05127B67"/>
    <w:rsid w:val="051964F1"/>
    <w:rsid w:val="051C1368"/>
    <w:rsid w:val="05232625"/>
    <w:rsid w:val="053763DE"/>
    <w:rsid w:val="05443726"/>
    <w:rsid w:val="05456A5E"/>
    <w:rsid w:val="05542F58"/>
    <w:rsid w:val="0560634F"/>
    <w:rsid w:val="056D79E7"/>
    <w:rsid w:val="05795E11"/>
    <w:rsid w:val="05856E20"/>
    <w:rsid w:val="058657C7"/>
    <w:rsid w:val="058B2BDF"/>
    <w:rsid w:val="058F3090"/>
    <w:rsid w:val="05901FA9"/>
    <w:rsid w:val="059970D4"/>
    <w:rsid w:val="059A4F14"/>
    <w:rsid w:val="059E4508"/>
    <w:rsid w:val="05A22C6D"/>
    <w:rsid w:val="05AC2FBC"/>
    <w:rsid w:val="05B132D5"/>
    <w:rsid w:val="05B529E6"/>
    <w:rsid w:val="05C47A83"/>
    <w:rsid w:val="05D1646C"/>
    <w:rsid w:val="05D46056"/>
    <w:rsid w:val="05D81422"/>
    <w:rsid w:val="05DB1ABC"/>
    <w:rsid w:val="05E555BF"/>
    <w:rsid w:val="05E73B99"/>
    <w:rsid w:val="05F22200"/>
    <w:rsid w:val="05F24DCF"/>
    <w:rsid w:val="05F872CF"/>
    <w:rsid w:val="05FF3A87"/>
    <w:rsid w:val="0603348D"/>
    <w:rsid w:val="060705D6"/>
    <w:rsid w:val="061038D3"/>
    <w:rsid w:val="0613293D"/>
    <w:rsid w:val="06177A0A"/>
    <w:rsid w:val="06255372"/>
    <w:rsid w:val="0629173B"/>
    <w:rsid w:val="06296261"/>
    <w:rsid w:val="062B25BE"/>
    <w:rsid w:val="06362367"/>
    <w:rsid w:val="06477610"/>
    <w:rsid w:val="064D2043"/>
    <w:rsid w:val="06503CF5"/>
    <w:rsid w:val="06675CEB"/>
    <w:rsid w:val="066F688F"/>
    <w:rsid w:val="067112C7"/>
    <w:rsid w:val="067D689D"/>
    <w:rsid w:val="067E7C9B"/>
    <w:rsid w:val="067F0F7B"/>
    <w:rsid w:val="06802C09"/>
    <w:rsid w:val="068064AD"/>
    <w:rsid w:val="068147A2"/>
    <w:rsid w:val="068C4AE8"/>
    <w:rsid w:val="068F6313"/>
    <w:rsid w:val="0691786F"/>
    <w:rsid w:val="069E0E60"/>
    <w:rsid w:val="069E730A"/>
    <w:rsid w:val="06A1684B"/>
    <w:rsid w:val="06A179E7"/>
    <w:rsid w:val="06A44661"/>
    <w:rsid w:val="06AA3554"/>
    <w:rsid w:val="06AF2A2B"/>
    <w:rsid w:val="06B31CB2"/>
    <w:rsid w:val="06B35FFA"/>
    <w:rsid w:val="06B40140"/>
    <w:rsid w:val="06B435C2"/>
    <w:rsid w:val="06B57543"/>
    <w:rsid w:val="06B74BFA"/>
    <w:rsid w:val="06B83A26"/>
    <w:rsid w:val="06C11DB4"/>
    <w:rsid w:val="06C120E6"/>
    <w:rsid w:val="06C47F20"/>
    <w:rsid w:val="06C92EC7"/>
    <w:rsid w:val="06D000E7"/>
    <w:rsid w:val="06D45AA8"/>
    <w:rsid w:val="06D8413D"/>
    <w:rsid w:val="06DF1173"/>
    <w:rsid w:val="06E06104"/>
    <w:rsid w:val="06E31534"/>
    <w:rsid w:val="06E62783"/>
    <w:rsid w:val="06E674AB"/>
    <w:rsid w:val="06F07174"/>
    <w:rsid w:val="06F52D93"/>
    <w:rsid w:val="06FC24B3"/>
    <w:rsid w:val="07005D90"/>
    <w:rsid w:val="070402B6"/>
    <w:rsid w:val="070525C4"/>
    <w:rsid w:val="070C32F7"/>
    <w:rsid w:val="07145CAC"/>
    <w:rsid w:val="071821FE"/>
    <w:rsid w:val="071F36F1"/>
    <w:rsid w:val="07270FF5"/>
    <w:rsid w:val="07311C0A"/>
    <w:rsid w:val="0737268E"/>
    <w:rsid w:val="073D3A11"/>
    <w:rsid w:val="074B193A"/>
    <w:rsid w:val="074D73C1"/>
    <w:rsid w:val="07501D1F"/>
    <w:rsid w:val="075047EE"/>
    <w:rsid w:val="07515845"/>
    <w:rsid w:val="07576EFE"/>
    <w:rsid w:val="07590801"/>
    <w:rsid w:val="075E393A"/>
    <w:rsid w:val="07622C3B"/>
    <w:rsid w:val="0762524D"/>
    <w:rsid w:val="07625415"/>
    <w:rsid w:val="0772176D"/>
    <w:rsid w:val="0786475B"/>
    <w:rsid w:val="078E5149"/>
    <w:rsid w:val="07985EAA"/>
    <w:rsid w:val="079941BC"/>
    <w:rsid w:val="079F734C"/>
    <w:rsid w:val="07AA15C5"/>
    <w:rsid w:val="07BC11B4"/>
    <w:rsid w:val="07C936A9"/>
    <w:rsid w:val="07CC28BF"/>
    <w:rsid w:val="07CE409C"/>
    <w:rsid w:val="07CF419D"/>
    <w:rsid w:val="07E05147"/>
    <w:rsid w:val="07E3776A"/>
    <w:rsid w:val="07E66867"/>
    <w:rsid w:val="07EA1073"/>
    <w:rsid w:val="07EB4026"/>
    <w:rsid w:val="07EF4407"/>
    <w:rsid w:val="07F12F37"/>
    <w:rsid w:val="07F13305"/>
    <w:rsid w:val="07F528E3"/>
    <w:rsid w:val="07FA14A3"/>
    <w:rsid w:val="08006318"/>
    <w:rsid w:val="08055D95"/>
    <w:rsid w:val="080B53BB"/>
    <w:rsid w:val="080E25D6"/>
    <w:rsid w:val="0816188E"/>
    <w:rsid w:val="081C4690"/>
    <w:rsid w:val="081C584B"/>
    <w:rsid w:val="08331C6A"/>
    <w:rsid w:val="08337C74"/>
    <w:rsid w:val="083B03AF"/>
    <w:rsid w:val="083B671B"/>
    <w:rsid w:val="083F68E6"/>
    <w:rsid w:val="08456B96"/>
    <w:rsid w:val="084826E0"/>
    <w:rsid w:val="08483BE0"/>
    <w:rsid w:val="08525221"/>
    <w:rsid w:val="0856403B"/>
    <w:rsid w:val="085874EA"/>
    <w:rsid w:val="0859125B"/>
    <w:rsid w:val="085B0AA0"/>
    <w:rsid w:val="085B6E96"/>
    <w:rsid w:val="085D0D50"/>
    <w:rsid w:val="086B5B10"/>
    <w:rsid w:val="08743D3D"/>
    <w:rsid w:val="0876150B"/>
    <w:rsid w:val="087A1950"/>
    <w:rsid w:val="08814EBA"/>
    <w:rsid w:val="08856113"/>
    <w:rsid w:val="089B5DA3"/>
    <w:rsid w:val="08A7665F"/>
    <w:rsid w:val="08AB581E"/>
    <w:rsid w:val="08B23FB6"/>
    <w:rsid w:val="08B34E0D"/>
    <w:rsid w:val="08C35BAA"/>
    <w:rsid w:val="08C55578"/>
    <w:rsid w:val="08C62D0F"/>
    <w:rsid w:val="08D678EB"/>
    <w:rsid w:val="08DB3CDE"/>
    <w:rsid w:val="08DF00EE"/>
    <w:rsid w:val="08EA756C"/>
    <w:rsid w:val="08EC0563"/>
    <w:rsid w:val="08F17BAD"/>
    <w:rsid w:val="08FF01AA"/>
    <w:rsid w:val="0902745C"/>
    <w:rsid w:val="090921DA"/>
    <w:rsid w:val="090A73E9"/>
    <w:rsid w:val="091358B3"/>
    <w:rsid w:val="091C50E1"/>
    <w:rsid w:val="091F4747"/>
    <w:rsid w:val="0921183A"/>
    <w:rsid w:val="0923110B"/>
    <w:rsid w:val="092C7366"/>
    <w:rsid w:val="09303AE6"/>
    <w:rsid w:val="093717A3"/>
    <w:rsid w:val="093C42E8"/>
    <w:rsid w:val="094017EA"/>
    <w:rsid w:val="09470F0B"/>
    <w:rsid w:val="094D71E7"/>
    <w:rsid w:val="0956306C"/>
    <w:rsid w:val="09584F82"/>
    <w:rsid w:val="095C3196"/>
    <w:rsid w:val="095C4858"/>
    <w:rsid w:val="095D308C"/>
    <w:rsid w:val="09645F06"/>
    <w:rsid w:val="09672E42"/>
    <w:rsid w:val="098B6B05"/>
    <w:rsid w:val="0996515E"/>
    <w:rsid w:val="099F3B73"/>
    <w:rsid w:val="09A04FD7"/>
    <w:rsid w:val="09A81EED"/>
    <w:rsid w:val="09AB0E42"/>
    <w:rsid w:val="09B64018"/>
    <w:rsid w:val="09C17741"/>
    <w:rsid w:val="09C51403"/>
    <w:rsid w:val="09C648CD"/>
    <w:rsid w:val="09CE483C"/>
    <w:rsid w:val="09D113B2"/>
    <w:rsid w:val="09D62908"/>
    <w:rsid w:val="09D7184A"/>
    <w:rsid w:val="09DD4D49"/>
    <w:rsid w:val="09DE26A4"/>
    <w:rsid w:val="09E33639"/>
    <w:rsid w:val="09EF2BE4"/>
    <w:rsid w:val="09F0489D"/>
    <w:rsid w:val="09F819A0"/>
    <w:rsid w:val="09FE1754"/>
    <w:rsid w:val="0A047367"/>
    <w:rsid w:val="0A193198"/>
    <w:rsid w:val="0A230FE7"/>
    <w:rsid w:val="0A237B3D"/>
    <w:rsid w:val="0A4470C6"/>
    <w:rsid w:val="0A474DAE"/>
    <w:rsid w:val="0A475A1F"/>
    <w:rsid w:val="0A482DA9"/>
    <w:rsid w:val="0A4C4BF1"/>
    <w:rsid w:val="0A542B3B"/>
    <w:rsid w:val="0A57585F"/>
    <w:rsid w:val="0A5A03F9"/>
    <w:rsid w:val="0A5B586F"/>
    <w:rsid w:val="0A711499"/>
    <w:rsid w:val="0A7356C1"/>
    <w:rsid w:val="0A8274F5"/>
    <w:rsid w:val="0A8D3B60"/>
    <w:rsid w:val="0A967456"/>
    <w:rsid w:val="0AA54B51"/>
    <w:rsid w:val="0AA55E96"/>
    <w:rsid w:val="0AA94483"/>
    <w:rsid w:val="0AAB0FB8"/>
    <w:rsid w:val="0AAC3369"/>
    <w:rsid w:val="0AB24500"/>
    <w:rsid w:val="0AB80B81"/>
    <w:rsid w:val="0AC07BD2"/>
    <w:rsid w:val="0AC525F6"/>
    <w:rsid w:val="0AC53B41"/>
    <w:rsid w:val="0ACB7836"/>
    <w:rsid w:val="0ACE14EC"/>
    <w:rsid w:val="0AE03EC8"/>
    <w:rsid w:val="0AE5739C"/>
    <w:rsid w:val="0AE811DF"/>
    <w:rsid w:val="0AEB64BE"/>
    <w:rsid w:val="0AEF68A8"/>
    <w:rsid w:val="0B003840"/>
    <w:rsid w:val="0B050B48"/>
    <w:rsid w:val="0B083DD6"/>
    <w:rsid w:val="0B11087C"/>
    <w:rsid w:val="0B16089E"/>
    <w:rsid w:val="0B1C7716"/>
    <w:rsid w:val="0B1F3BCA"/>
    <w:rsid w:val="0B317D2B"/>
    <w:rsid w:val="0B39453A"/>
    <w:rsid w:val="0B425D60"/>
    <w:rsid w:val="0B4E1299"/>
    <w:rsid w:val="0B521896"/>
    <w:rsid w:val="0B572306"/>
    <w:rsid w:val="0B641E34"/>
    <w:rsid w:val="0B6705D9"/>
    <w:rsid w:val="0B6C01AC"/>
    <w:rsid w:val="0B6C7EC0"/>
    <w:rsid w:val="0B6D4787"/>
    <w:rsid w:val="0B721907"/>
    <w:rsid w:val="0B775D9F"/>
    <w:rsid w:val="0B83158B"/>
    <w:rsid w:val="0B8609F1"/>
    <w:rsid w:val="0B8C5C2F"/>
    <w:rsid w:val="0B952EF0"/>
    <w:rsid w:val="0B9961F2"/>
    <w:rsid w:val="0BA32699"/>
    <w:rsid w:val="0BB62D78"/>
    <w:rsid w:val="0BB70E8B"/>
    <w:rsid w:val="0BBA0181"/>
    <w:rsid w:val="0BBC3AC6"/>
    <w:rsid w:val="0BC13AC4"/>
    <w:rsid w:val="0BCC328E"/>
    <w:rsid w:val="0BD225A1"/>
    <w:rsid w:val="0BD31777"/>
    <w:rsid w:val="0BD558A0"/>
    <w:rsid w:val="0BE716EE"/>
    <w:rsid w:val="0BEB737F"/>
    <w:rsid w:val="0BEF2E32"/>
    <w:rsid w:val="0BF06B33"/>
    <w:rsid w:val="0BFE5DED"/>
    <w:rsid w:val="0C046FC3"/>
    <w:rsid w:val="0C10356C"/>
    <w:rsid w:val="0C1052CB"/>
    <w:rsid w:val="0C114BAF"/>
    <w:rsid w:val="0C1D4B4F"/>
    <w:rsid w:val="0C1D6185"/>
    <w:rsid w:val="0C1F595A"/>
    <w:rsid w:val="0C2A6B61"/>
    <w:rsid w:val="0C3276C3"/>
    <w:rsid w:val="0C3771F4"/>
    <w:rsid w:val="0C3A1D98"/>
    <w:rsid w:val="0C3C1E3F"/>
    <w:rsid w:val="0C3F457D"/>
    <w:rsid w:val="0C3F6BF5"/>
    <w:rsid w:val="0C427750"/>
    <w:rsid w:val="0C473144"/>
    <w:rsid w:val="0C4F52A6"/>
    <w:rsid w:val="0C5009AD"/>
    <w:rsid w:val="0C5430BB"/>
    <w:rsid w:val="0C587955"/>
    <w:rsid w:val="0C5A1C78"/>
    <w:rsid w:val="0C615967"/>
    <w:rsid w:val="0C6F0342"/>
    <w:rsid w:val="0C6F084F"/>
    <w:rsid w:val="0C6F7521"/>
    <w:rsid w:val="0C705CB7"/>
    <w:rsid w:val="0C7079F5"/>
    <w:rsid w:val="0C7452C5"/>
    <w:rsid w:val="0C79680E"/>
    <w:rsid w:val="0C7B1056"/>
    <w:rsid w:val="0C875A3E"/>
    <w:rsid w:val="0C8F1FFC"/>
    <w:rsid w:val="0C9467FD"/>
    <w:rsid w:val="0C9915BE"/>
    <w:rsid w:val="0C9F3AB8"/>
    <w:rsid w:val="0C9F714F"/>
    <w:rsid w:val="0CAD7F0B"/>
    <w:rsid w:val="0CB9784B"/>
    <w:rsid w:val="0CCD58AE"/>
    <w:rsid w:val="0CD50865"/>
    <w:rsid w:val="0CDB376D"/>
    <w:rsid w:val="0CE601EF"/>
    <w:rsid w:val="0CF11BD9"/>
    <w:rsid w:val="0CF868F0"/>
    <w:rsid w:val="0D0209C7"/>
    <w:rsid w:val="0D1B7F23"/>
    <w:rsid w:val="0D251ADB"/>
    <w:rsid w:val="0D286750"/>
    <w:rsid w:val="0D3847A0"/>
    <w:rsid w:val="0D447F14"/>
    <w:rsid w:val="0D4D6D68"/>
    <w:rsid w:val="0D58478B"/>
    <w:rsid w:val="0D5870A7"/>
    <w:rsid w:val="0D5B04CC"/>
    <w:rsid w:val="0D636419"/>
    <w:rsid w:val="0D642A3E"/>
    <w:rsid w:val="0D6E15BC"/>
    <w:rsid w:val="0D700619"/>
    <w:rsid w:val="0D754F74"/>
    <w:rsid w:val="0D7B6B38"/>
    <w:rsid w:val="0D825854"/>
    <w:rsid w:val="0D9B593A"/>
    <w:rsid w:val="0D9F4FBB"/>
    <w:rsid w:val="0DA23220"/>
    <w:rsid w:val="0DA449A8"/>
    <w:rsid w:val="0DB479DC"/>
    <w:rsid w:val="0DBD1D3D"/>
    <w:rsid w:val="0DC606A8"/>
    <w:rsid w:val="0DD04024"/>
    <w:rsid w:val="0DD20ECB"/>
    <w:rsid w:val="0DDA7CA7"/>
    <w:rsid w:val="0DE8694A"/>
    <w:rsid w:val="0DF02663"/>
    <w:rsid w:val="0DF406F0"/>
    <w:rsid w:val="0DF40C0B"/>
    <w:rsid w:val="0DF60135"/>
    <w:rsid w:val="0DFD4BFC"/>
    <w:rsid w:val="0E003E55"/>
    <w:rsid w:val="0E094EFB"/>
    <w:rsid w:val="0E113E8B"/>
    <w:rsid w:val="0E146708"/>
    <w:rsid w:val="0E174E51"/>
    <w:rsid w:val="0E256DF4"/>
    <w:rsid w:val="0E274C8C"/>
    <w:rsid w:val="0E286860"/>
    <w:rsid w:val="0E287424"/>
    <w:rsid w:val="0E2A4548"/>
    <w:rsid w:val="0E2B0262"/>
    <w:rsid w:val="0E365849"/>
    <w:rsid w:val="0E4A4B98"/>
    <w:rsid w:val="0E4C7248"/>
    <w:rsid w:val="0E4D4E9F"/>
    <w:rsid w:val="0E542CBB"/>
    <w:rsid w:val="0E6B4061"/>
    <w:rsid w:val="0E6F7FB1"/>
    <w:rsid w:val="0E725DE9"/>
    <w:rsid w:val="0E770E3B"/>
    <w:rsid w:val="0E7715FB"/>
    <w:rsid w:val="0E791845"/>
    <w:rsid w:val="0E821AB7"/>
    <w:rsid w:val="0E881B4A"/>
    <w:rsid w:val="0E92701D"/>
    <w:rsid w:val="0E956162"/>
    <w:rsid w:val="0E9F1EB1"/>
    <w:rsid w:val="0EA756A9"/>
    <w:rsid w:val="0EAA03EE"/>
    <w:rsid w:val="0EB8607A"/>
    <w:rsid w:val="0EBD5DAF"/>
    <w:rsid w:val="0ECA4E4A"/>
    <w:rsid w:val="0ECB0597"/>
    <w:rsid w:val="0ECF655D"/>
    <w:rsid w:val="0ED93E0C"/>
    <w:rsid w:val="0EE0773C"/>
    <w:rsid w:val="0EEA3F21"/>
    <w:rsid w:val="0EEF5C79"/>
    <w:rsid w:val="0EF164B1"/>
    <w:rsid w:val="0EFE171C"/>
    <w:rsid w:val="0F0E7453"/>
    <w:rsid w:val="0F1269EA"/>
    <w:rsid w:val="0F1A55E1"/>
    <w:rsid w:val="0F1A7916"/>
    <w:rsid w:val="0F1E74D8"/>
    <w:rsid w:val="0F227936"/>
    <w:rsid w:val="0F294F04"/>
    <w:rsid w:val="0F2B02BC"/>
    <w:rsid w:val="0F38731E"/>
    <w:rsid w:val="0F45764A"/>
    <w:rsid w:val="0F563291"/>
    <w:rsid w:val="0F57526D"/>
    <w:rsid w:val="0F583EE8"/>
    <w:rsid w:val="0F616AD7"/>
    <w:rsid w:val="0F6D6183"/>
    <w:rsid w:val="0F6F3612"/>
    <w:rsid w:val="0F810BEA"/>
    <w:rsid w:val="0FA44D60"/>
    <w:rsid w:val="0FA803FD"/>
    <w:rsid w:val="0FA80CC4"/>
    <w:rsid w:val="0FAC6D0E"/>
    <w:rsid w:val="0FBD09F4"/>
    <w:rsid w:val="0FBF4383"/>
    <w:rsid w:val="0FC67EA7"/>
    <w:rsid w:val="0FC86877"/>
    <w:rsid w:val="0FC90DFF"/>
    <w:rsid w:val="0FCE260B"/>
    <w:rsid w:val="0FD01E01"/>
    <w:rsid w:val="0FEB1417"/>
    <w:rsid w:val="0FF61CD9"/>
    <w:rsid w:val="0FFD1CAB"/>
    <w:rsid w:val="1001323F"/>
    <w:rsid w:val="10013375"/>
    <w:rsid w:val="10140C88"/>
    <w:rsid w:val="101B0511"/>
    <w:rsid w:val="1029329B"/>
    <w:rsid w:val="10374A86"/>
    <w:rsid w:val="10424BC0"/>
    <w:rsid w:val="10495AE3"/>
    <w:rsid w:val="104F6A4E"/>
    <w:rsid w:val="10500F44"/>
    <w:rsid w:val="10505133"/>
    <w:rsid w:val="10547B93"/>
    <w:rsid w:val="105C5A00"/>
    <w:rsid w:val="106867D5"/>
    <w:rsid w:val="106B6367"/>
    <w:rsid w:val="109356F8"/>
    <w:rsid w:val="109446EF"/>
    <w:rsid w:val="10950EC2"/>
    <w:rsid w:val="10953214"/>
    <w:rsid w:val="10960E3B"/>
    <w:rsid w:val="109A5A4D"/>
    <w:rsid w:val="109B337F"/>
    <w:rsid w:val="109D3DFA"/>
    <w:rsid w:val="10A02D0E"/>
    <w:rsid w:val="10A74CD4"/>
    <w:rsid w:val="10AC56E9"/>
    <w:rsid w:val="10C45845"/>
    <w:rsid w:val="10DE0E9C"/>
    <w:rsid w:val="10E544AD"/>
    <w:rsid w:val="10EB708C"/>
    <w:rsid w:val="10EF5F91"/>
    <w:rsid w:val="10F01D9B"/>
    <w:rsid w:val="10F84650"/>
    <w:rsid w:val="11041721"/>
    <w:rsid w:val="11074C83"/>
    <w:rsid w:val="11146EAF"/>
    <w:rsid w:val="111478B2"/>
    <w:rsid w:val="111A13C4"/>
    <w:rsid w:val="111A60BF"/>
    <w:rsid w:val="1122704F"/>
    <w:rsid w:val="112810BD"/>
    <w:rsid w:val="112D77B5"/>
    <w:rsid w:val="11377B13"/>
    <w:rsid w:val="11441AAA"/>
    <w:rsid w:val="1148745C"/>
    <w:rsid w:val="114C75F0"/>
    <w:rsid w:val="114E0308"/>
    <w:rsid w:val="115006FF"/>
    <w:rsid w:val="11502807"/>
    <w:rsid w:val="1152476F"/>
    <w:rsid w:val="1153571A"/>
    <w:rsid w:val="11774796"/>
    <w:rsid w:val="118A1AC4"/>
    <w:rsid w:val="118D56B8"/>
    <w:rsid w:val="11933050"/>
    <w:rsid w:val="119F5673"/>
    <w:rsid w:val="11A41AFE"/>
    <w:rsid w:val="11A459CD"/>
    <w:rsid w:val="11AD4BD4"/>
    <w:rsid w:val="11B231CF"/>
    <w:rsid w:val="11BA3F79"/>
    <w:rsid w:val="11C35363"/>
    <w:rsid w:val="11C87C0B"/>
    <w:rsid w:val="11CA2D58"/>
    <w:rsid w:val="11CD60E9"/>
    <w:rsid w:val="11D36228"/>
    <w:rsid w:val="11D70223"/>
    <w:rsid w:val="11DA38DF"/>
    <w:rsid w:val="11DE6C76"/>
    <w:rsid w:val="11EB7C45"/>
    <w:rsid w:val="11F5353D"/>
    <w:rsid w:val="11FC4621"/>
    <w:rsid w:val="11FD63A5"/>
    <w:rsid w:val="11FE3BB0"/>
    <w:rsid w:val="12010D60"/>
    <w:rsid w:val="12100777"/>
    <w:rsid w:val="12113264"/>
    <w:rsid w:val="12151241"/>
    <w:rsid w:val="121B4185"/>
    <w:rsid w:val="12280374"/>
    <w:rsid w:val="122A353D"/>
    <w:rsid w:val="12322948"/>
    <w:rsid w:val="123421DD"/>
    <w:rsid w:val="1235159F"/>
    <w:rsid w:val="12387784"/>
    <w:rsid w:val="12391762"/>
    <w:rsid w:val="123A6651"/>
    <w:rsid w:val="123A6CEB"/>
    <w:rsid w:val="124802A9"/>
    <w:rsid w:val="12547419"/>
    <w:rsid w:val="12597365"/>
    <w:rsid w:val="125E7024"/>
    <w:rsid w:val="12624AD4"/>
    <w:rsid w:val="12653560"/>
    <w:rsid w:val="126C4D27"/>
    <w:rsid w:val="12716D50"/>
    <w:rsid w:val="12816A3A"/>
    <w:rsid w:val="12896AD6"/>
    <w:rsid w:val="129156BE"/>
    <w:rsid w:val="1295074C"/>
    <w:rsid w:val="12AF76E5"/>
    <w:rsid w:val="12B04B79"/>
    <w:rsid w:val="12B21D70"/>
    <w:rsid w:val="12BA2CE5"/>
    <w:rsid w:val="12BA73E6"/>
    <w:rsid w:val="12BF4160"/>
    <w:rsid w:val="12CD17D5"/>
    <w:rsid w:val="12D424D2"/>
    <w:rsid w:val="12D839D9"/>
    <w:rsid w:val="12E34FED"/>
    <w:rsid w:val="12E82099"/>
    <w:rsid w:val="12FA2A62"/>
    <w:rsid w:val="12FB4284"/>
    <w:rsid w:val="12FB596E"/>
    <w:rsid w:val="130206B7"/>
    <w:rsid w:val="13070118"/>
    <w:rsid w:val="13097D75"/>
    <w:rsid w:val="13115F8C"/>
    <w:rsid w:val="13224A90"/>
    <w:rsid w:val="132479A5"/>
    <w:rsid w:val="132831EC"/>
    <w:rsid w:val="132D11FB"/>
    <w:rsid w:val="1335082F"/>
    <w:rsid w:val="133C4068"/>
    <w:rsid w:val="133E2973"/>
    <w:rsid w:val="134036AB"/>
    <w:rsid w:val="13422043"/>
    <w:rsid w:val="13445021"/>
    <w:rsid w:val="13473FF5"/>
    <w:rsid w:val="134B328B"/>
    <w:rsid w:val="1368294C"/>
    <w:rsid w:val="136A0EB5"/>
    <w:rsid w:val="137D489C"/>
    <w:rsid w:val="137E1BB7"/>
    <w:rsid w:val="1387455D"/>
    <w:rsid w:val="138B07A1"/>
    <w:rsid w:val="138D2889"/>
    <w:rsid w:val="13903ACD"/>
    <w:rsid w:val="13936C43"/>
    <w:rsid w:val="13971C21"/>
    <w:rsid w:val="1397590B"/>
    <w:rsid w:val="139B320E"/>
    <w:rsid w:val="139F0399"/>
    <w:rsid w:val="13A040C9"/>
    <w:rsid w:val="13A52272"/>
    <w:rsid w:val="13AF11B1"/>
    <w:rsid w:val="13B5636F"/>
    <w:rsid w:val="13BA38FD"/>
    <w:rsid w:val="13BB5557"/>
    <w:rsid w:val="13BC65A8"/>
    <w:rsid w:val="13C22F70"/>
    <w:rsid w:val="13CC2917"/>
    <w:rsid w:val="13D31C24"/>
    <w:rsid w:val="13D372A7"/>
    <w:rsid w:val="13D40C5E"/>
    <w:rsid w:val="13DA69C4"/>
    <w:rsid w:val="13DD285B"/>
    <w:rsid w:val="13E12C17"/>
    <w:rsid w:val="13E3286F"/>
    <w:rsid w:val="13E37BF2"/>
    <w:rsid w:val="13E40FA4"/>
    <w:rsid w:val="13E603D6"/>
    <w:rsid w:val="13EA786C"/>
    <w:rsid w:val="13F740D1"/>
    <w:rsid w:val="140D2CEC"/>
    <w:rsid w:val="1410785D"/>
    <w:rsid w:val="14121B96"/>
    <w:rsid w:val="141247CB"/>
    <w:rsid w:val="14182415"/>
    <w:rsid w:val="141A4827"/>
    <w:rsid w:val="141E6E4D"/>
    <w:rsid w:val="141F7506"/>
    <w:rsid w:val="14207094"/>
    <w:rsid w:val="142A332B"/>
    <w:rsid w:val="142A66E1"/>
    <w:rsid w:val="142B5592"/>
    <w:rsid w:val="14302CC4"/>
    <w:rsid w:val="143533CC"/>
    <w:rsid w:val="143B6F11"/>
    <w:rsid w:val="14425CB3"/>
    <w:rsid w:val="1463415F"/>
    <w:rsid w:val="14637E97"/>
    <w:rsid w:val="1469509C"/>
    <w:rsid w:val="14725FDF"/>
    <w:rsid w:val="14753A56"/>
    <w:rsid w:val="14802286"/>
    <w:rsid w:val="14841408"/>
    <w:rsid w:val="14891100"/>
    <w:rsid w:val="1489373A"/>
    <w:rsid w:val="148A69DD"/>
    <w:rsid w:val="14933C99"/>
    <w:rsid w:val="1498149C"/>
    <w:rsid w:val="14991632"/>
    <w:rsid w:val="149D7AD8"/>
    <w:rsid w:val="14A13D87"/>
    <w:rsid w:val="14AA1590"/>
    <w:rsid w:val="14AD583A"/>
    <w:rsid w:val="14AF6898"/>
    <w:rsid w:val="14B80157"/>
    <w:rsid w:val="14C63584"/>
    <w:rsid w:val="14CA2D94"/>
    <w:rsid w:val="14D20448"/>
    <w:rsid w:val="14D36212"/>
    <w:rsid w:val="14D64D7E"/>
    <w:rsid w:val="14D85E65"/>
    <w:rsid w:val="14DD0FA9"/>
    <w:rsid w:val="14DF3640"/>
    <w:rsid w:val="14E41F79"/>
    <w:rsid w:val="14ED619B"/>
    <w:rsid w:val="15004461"/>
    <w:rsid w:val="150101A0"/>
    <w:rsid w:val="15096710"/>
    <w:rsid w:val="150C753F"/>
    <w:rsid w:val="15125137"/>
    <w:rsid w:val="15150819"/>
    <w:rsid w:val="15151516"/>
    <w:rsid w:val="151C4D76"/>
    <w:rsid w:val="151F0105"/>
    <w:rsid w:val="15221EF5"/>
    <w:rsid w:val="152300FC"/>
    <w:rsid w:val="1526439D"/>
    <w:rsid w:val="15272F39"/>
    <w:rsid w:val="153428EB"/>
    <w:rsid w:val="153563B9"/>
    <w:rsid w:val="15357EEB"/>
    <w:rsid w:val="15360558"/>
    <w:rsid w:val="153C5B6F"/>
    <w:rsid w:val="15406DA8"/>
    <w:rsid w:val="15422052"/>
    <w:rsid w:val="15425E5A"/>
    <w:rsid w:val="15461083"/>
    <w:rsid w:val="154D1DE6"/>
    <w:rsid w:val="154F2403"/>
    <w:rsid w:val="15594E17"/>
    <w:rsid w:val="15694171"/>
    <w:rsid w:val="156D6537"/>
    <w:rsid w:val="15725941"/>
    <w:rsid w:val="158622BB"/>
    <w:rsid w:val="1586680C"/>
    <w:rsid w:val="15925F94"/>
    <w:rsid w:val="1594573F"/>
    <w:rsid w:val="15955C95"/>
    <w:rsid w:val="15A7313A"/>
    <w:rsid w:val="15C81FF5"/>
    <w:rsid w:val="15CD56EB"/>
    <w:rsid w:val="15D018B5"/>
    <w:rsid w:val="15D15EB3"/>
    <w:rsid w:val="15D9635F"/>
    <w:rsid w:val="15DB4165"/>
    <w:rsid w:val="15DE2C9C"/>
    <w:rsid w:val="15E66575"/>
    <w:rsid w:val="15EA5126"/>
    <w:rsid w:val="15F054A4"/>
    <w:rsid w:val="15F475A2"/>
    <w:rsid w:val="15F514C9"/>
    <w:rsid w:val="15F620F3"/>
    <w:rsid w:val="15FE6512"/>
    <w:rsid w:val="16033565"/>
    <w:rsid w:val="16075169"/>
    <w:rsid w:val="160813AE"/>
    <w:rsid w:val="16114FBD"/>
    <w:rsid w:val="16116040"/>
    <w:rsid w:val="161255FD"/>
    <w:rsid w:val="161E7174"/>
    <w:rsid w:val="1621131D"/>
    <w:rsid w:val="16246080"/>
    <w:rsid w:val="16264983"/>
    <w:rsid w:val="163414F3"/>
    <w:rsid w:val="16391877"/>
    <w:rsid w:val="163A1C3F"/>
    <w:rsid w:val="16443F08"/>
    <w:rsid w:val="164528E7"/>
    <w:rsid w:val="16471F1D"/>
    <w:rsid w:val="164E1AC8"/>
    <w:rsid w:val="164F7DB7"/>
    <w:rsid w:val="1650393D"/>
    <w:rsid w:val="165D6C0B"/>
    <w:rsid w:val="166403C6"/>
    <w:rsid w:val="168B085E"/>
    <w:rsid w:val="1695029C"/>
    <w:rsid w:val="16A26E0C"/>
    <w:rsid w:val="16AC4797"/>
    <w:rsid w:val="16B17BA4"/>
    <w:rsid w:val="16B65292"/>
    <w:rsid w:val="16BD2FA8"/>
    <w:rsid w:val="16BF2A79"/>
    <w:rsid w:val="16C06F8E"/>
    <w:rsid w:val="16D54972"/>
    <w:rsid w:val="16DD7A69"/>
    <w:rsid w:val="16DF3410"/>
    <w:rsid w:val="16EF6410"/>
    <w:rsid w:val="16F14035"/>
    <w:rsid w:val="16F75747"/>
    <w:rsid w:val="16FA1309"/>
    <w:rsid w:val="16FD578D"/>
    <w:rsid w:val="17063BFE"/>
    <w:rsid w:val="17067494"/>
    <w:rsid w:val="171E2366"/>
    <w:rsid w:val="172630B5"/>
    <w:rsid w:val="17341917"/>
    <w:rsid w:val="1735300B"/>
    <w:rsid w:val="17372A46"/>
    <w:rsid w:val="17382FB0"/>
    <w:rsid w:val="173C68EB"/>
    <w:rsid w:val="173D578B"/>
    <w:rsid w:val="174B278C"/>
    <w:rsid w:val="17563CB9"/>
    <w:rsid w:val="17606C80"/>
    <w:rsid w:val="177206D3"/>
    <w:rsid w:val="178163C5"/>
    <w:rsid w:val="178509E2"/>
    <w:rsid w:val="178D5601"/>
    <w:rsid w:val="17935D70"/>
    <w:rsid w:val="17960C65"/>
    <w:rsid w:val="17A20201"/>
    <w:rsid w:val="17A5280A"/>
    <w:rsid w:val="17A63A4F"/>
    <w:rsid w:val="17A8631F"/>
    <w:rsid w:val="17A94736"/>
    <w:rsid w:val="17AB222C"/>
    <w:rsid w:val="17AC70DE"/>
    <w:rsid w:val="17AD48D1"/>
    <w:rsid w:val="17AE3DC0"/>
    <w:rsid w:val="17B15D31"/>
    <w:rsid w:val="17BF2D61"/>
    <w:rsid w:val="17C01C6B"/>
    <w:rsid w:val="17C10001"/>
    <w:rsid w:val="17C8071C"/>
    <w:rsid w:val="17C83E45"/>
    <w:rsid w:val="17CD56D3"/>
    <w:rsid w:val="17E24822"/>
    <w:rsid w:val="17E5487C"/>
    <w:rsid w:val="17E60453"/>
    <w:rsid w:val="17EB06F7"/>
    <w:rsid w:val="17EC0979"/>
    <w:rsid w:val="17ED2AC7"/>
    <w:rsid w:val="17ED6545"/>
    <w:rsid w:val="17F105B9"/>
    <w:rsid w:val="17F82C67"/>
    <w:rsid w:val="17FB02A0"/>
    <w:rsid w:val="17FE45FD"/>
    <w:rsid w:val="18122654"/>
    <w:rsid w:val="181273FA"/>
    <w:rsid w:val="18135EA5"/>
    <w:rsid w:val="181F0987"/>
    <w:rsid w:val="1823455B"/>
    <w:rsid w:val="18265A43"/>
    <w:rsid w:val="18280533"/>
    <w:rsid w:val="18306412"/>
    <w:rsid w:val="1839434E"/>
    <w:rsid w:val="183A670F"/>
    <w:rsid w:val="18483D10"/>
    <w:rsid w:val="184C2190"/>
    <w:rsid w:val="1858384F"/>
    <w:rsid w:val="186533DF"/>
    <w:rsid w:val="18673FFB"/>
    <w:rsid w:val="1876359D"/>
    <w:rsid w:val="18831812"/>
    <w:rsid w:val="188E4BFF"/>
    <w:rsid w:val="189538AE"/>
    <w:rsid w:val="189C1254"/>
    <w:rsid w:val="18A505C8"/>
    <w:rsid w:val="18A8453D"/>
    <w:rsid w:val="18AB2BF2"/>
    <w:rsid w:val="18AF7D22"/>
    <w:rsid w:val="18B75370"/>
    <w:rsid w:val="18BC5AA7"/>
    <w:rsid w:val="18C77689"/>
    <w:rsid w:val="18C94BBA"/>
    <w:rsid w:val="18CD336A"/>
    <w:rsid w:val="18D77EA5"/>
    <w:rsid w:val="18DF535E"/>
    <w:rsid w:val="18E31B6B"/>
    <w:rsid w:val="18E72288"/>
    <w:rsid w:val="18E92FD5"/>
    <w:rsid w:val="18EA6612"/>
    <w:rsid w:val="18F47978"/>
    <w:rsid w:val="18F709BD"/>
    <w:rsid w:val="18FA2D60"/>
    <w:rsid w:val="18FF6E35"/>
    <w:rsid w:val="190318FE"/>
    <w:rsid w:val="190854AD"/>
    <w:rsid w:val="190A1D29"/>
    <w:rsid w:val="19136E73"/>
    <w:rsid w:val="19171813"/>
    <w:rsid w:val="192D5868"/>
    <w:rsid w:val="193A28B5"/>
    <w:rsid w:val="193C6125"/>
    <w:rsid w:val="193F2F97"/>
    <w:rsid w:val="19436285"/>
    <w:rsid w:val="194C08A6"/>
    <w:rsid w:val="19547203"/>
    <w:rsid w:val="195960AE"/>
    <w:rsid w:val="195C3716"/>
    <w:rsid w:val="195F69B0"/>
    <w:rsid w:val="196404F3"/>
    <w:rsid w:val="197074D6"/>
    <w:rsid w:val="19772F47"/>
    <w:rsid w:val="19933E43"/>
    <w:rsid w:val="199B4C33"/>
    <w:rsid w:val="199B6FF4"/>
    <w:rsid w:val="199B76EF"/>
    <w:rsid w:val="199B7722"/>
    <w:rsid w:val="19AB413D"/>
    <w:rsid w:val="19AC29AE"/>
    <w:rsid w:val="19B32CAB"/>
    <w:rsid w:val="19B9541A"/>
    <w:rsid w:val="19BB489B"/>
    <w:rsid w:val="19C9100E"/>
    <w:rsid w:val="19C91679"/>
    <w:rsid w:val="19D14931"/>
    <w:rsid w:val="19D26739"/>
    <w:rsid w:val="19D776D1"/>
    <w:rsid w:val="19E71897"/>
    <w:rsid w:val="19F33A02"/>
    <w:rsid w:val="19F4692A"/>
    <w:rsid w:val="19F57383"/>
    <w:rsid w:val="19F73F84"/>
    <w:rsid w:val="19FD548F"/>
    <w:rsid w:val="19FE0105"/>
    <w:rsid w:val="1A0432BD"/>
    <w:rsid w:val="1A0860F9"/>
    <w:rsid w:val="1A0A6F72"/>
    <w:rsid w:val="1A217F3A"/>
    <w:rsid w:val="1A251854"/>
    <w:rsid w:val="1A273510"/>
    <w:rsid w:val="1A2F31F2"/>
    <w:rsid w:val="1A3D36F2"/>
    <w:rsid w:val="1A41253E"/>
    <w:rsid w:val="1A44775D"/>
    <w:rsid w:val="1A4C250C"/>
    <w:rsid w:val="1A512E92"/>
    <w:rsid w:val="1A5517F8"/>
    <w:rsid w:val="1A5959DA"/>
    <w:rsid w:val="1A5C5913"/>
    <w:rsid w:val="1A5D5C09"/>
    <w:rsid w:val="1A5E4BD4"/>
    <w:rsid w:val="1A656CB0"/>
    <w:rsid w:val="1A6845FF"/>
    <w:rsid w:val="1A69683E"/>
    <w:rsid w:val="1A790AE3"/>
    <w:rsid w:val="1A7C2685"/>
    <w:rsid w:val="1A7D4B35"/>
    <w:rsid w:val="1A80191C"/>
    <w:rsid w:val="1A8470F0"/>
    <w:rsid w:val="1A871304"/>
    <w:rsid w:val="1A951B39"/>
    <w:rsid w:val="1A9E1BBB"/>
    <w:rsid w:val="1AA10BF5"/>
    <w:rsid w:val="1AA3335D"/>
    <w:rsid w:val="1AB006E9"/>
    <w:rsid w:val="1AB25A9B"/>
    <w:rsid w:val="1AB617DC"/>
    <w:rsid w:val="1AC533E0"/>
    <w:rsid w:val="1AD4103B"/>
    <w:rsid w:val="1AD93E74"/>
    <w:rsid w:val="1ADD3B9C"/>
    <w:rsid w:val="1ADE1A61"/>
    <w:rsid w:val="1AE04422"/>
    <w:rsid w:val="1AE56637"/>
    <w:rsid w:val="1AE8293F"/>
    <w:rsid w:val="1AF66B44"/>
    <w:rsid w:val="1AFE21F4"/>
    <w:rsid w:val="1AFF41E5"/>
    <w:rsid w:val="1B03693C"/>
    <w:rsid w:val="1B15160A"/>
    <w:rsid w:val="1B2E4163"/>
    <w:rsid w:val="1B2E64CC"/>
    <w:rsid w:val="1B365243"/>
    <w:rsid w:val="1B392C22"/>
    <w:rsid w:val="1B3A06E7"/>
    <w:rsid w:val="1B453CFC"/>
    <w:rsid w:val="1B4A550E"/>
    <w:rsid w:val="1B51338F"/>
    <w:rsid w:val="1B617FF0"/>
    <w:rsid w:val="1B621D0D"/>
    <w:rsid w:val="1B6914D9"/>
    <w:rsid w:val="1B6B31F8"/>
    <w:rsid w:val="1B6F3635"/>
    <w:rsid w:val="1B7E0FA5"/>
    <w:rsid w:val="1B8B3DD5"/>
    <w:rsid w:val="1B9108E9"/>
    <w:rsid w:val="1BA5390E"/>
    <w:rsid w:val="1BB67359"/>
    <w:rsid w:val="1BB706E3"/>
    <w:rsid w:val="1BBA044B"/>
    <w:rsid w:val="1BC11CBB"/>
    <w:rsid w:val="1BCA587B"/>
    <w:rsid w:val="1BCC4010"/>
    <w:rsid w:val="1BD160A4"/>
    <w:rsid w:val="1BD334D2"/>
    <w:rsid w:val="1BD43843"/>
    <w:rsid w:val="1BDB6AD9"/>
    <w:rsid w:val="1BF35565"/>
    <w:rsid w:val="1C0848A1"/>
    <w:rsid w:val="1C0C54CE"/>
    <w:rsid w:val="1C186195"/>
    <w:rsid w:val="1C1D288E"/>
    <w:rsid w:val="1C2140CD"/>
    <w:rsid w:val="1C326243"/>
    <w:rsid w:val="1C3523ED"/>
    <w:rsid w:val="1C384B90"/>
    <w:rsid w:val="1C4856B9"/>
    <w:rsid w:val="1C4949A1"/>
    <w:rsid w:val="1C501CB7"/>
    <w:rsid w:val="1C5054AE"/>
    <w:rsid w:val="1C560030"/>
    <w:rsid w:val="1C567D1D"/>
    <w:rsid w:val="1C696745"/>
    <w:rsid w:val="1C6A1B08"/>
    <w:rsid w:val="1C732C0B"/>
    <w:rsid w:val="1C7D2E9E"/>
    <w:rsid w:val="1C7D7F75"/>
    <w:rsid w:val="1C8C1404"/>
    <w:rsid w:val="1C97746A"/>
    <w:rsid w:val="1C9A7BD9"/>
    <w:rsid w:val="1CA11D18"/>
    <w:rsid w:val="1CA94C84"/>
    <w:rsid w:val="1CBA44F6"/>
    <w:rsid w:val="1CCE1595"/>
    <w:rsid w:val="1CDC5511"/>
    <w:rsid w:val="1CE06758"/>
    <w:rsid w:val="1CE80752"/>
    <w:rsid w:val="1CEA4B76"/>
    <w:rsid w:val="1CF23C4B"/>
    <w:rsid w:val="1CFD1B42"/>
    <w:rsid w:val="1CFF671F"/>
    <w:rsid w:val="1D01056D"/>
    <w:rsid w:val="1D0519F6"/>
    <w:rsid w:val="1D082FB1"/>
    <w:rsid w:val="1D1D4D95"/>
    <w:rsid w:val="1D1E3405"/>
    <w:rsid w:val="1D201826"/>
    <w:rsid w:val="1D2100CD"/>
    <w:rsid w:val="1D310285"/>
    <w:rsid w:val="1D31466B"/>
    <w:rsid w:val="1D342636"/>
    <w:rsid w:val="1D3A57E6"/>
    <w:rsid w:val="1D3D6266"/>
    <w:rsid w:val="1D3F0A20"/>
    <w:rsid w:val="1D43694E"/>
    <w:rsid w:val="1D456DEF"/>
    <w:rsid w:val="1D462DE9"/>
    <w:rsid w:val="1D467BD6"/>
    <w:rsid w:val="1D4D284E"/>
    <w:rsid w:val="1D4F7F06"/>
    <w:rsid w:val="1D513346"/>
    <w:rsid w:val="1D580361"/>
    <w:rsid w:val="1D643442"/>
    <w:rsid w:val="1D755723"/>
    <w:rsid w:val="1D780378"/>
    <w:rsid w:val="1D786B65"/>
    <w:rsid w:val="1D8452C6"/>
    <w:rsid w:val="1D8E7B56"/>
    <w:rsid w:val="1D9D6A2D"/>
    <w:rsid w:val="1DA14DE7"/>
    <w:rsid w:val="1DA5423F"/>
    <w:rsid w:val="1DAB4C1F"/>
    <w:rsid w:val="1DB756C7"/>
    <w:rsid w:val="1DB868FB"/>
    <w:rsid w:val="1DBE0C41"/>
    <w:rsid w:val="1DCB401C"/>
    <w:rsid w:val="1DCE4A9C"/>
    <w:rsid w:val="1DD63D38"/>
    <w:rsid w:val="1DD66741"/>
    <w:rsid w:val="1DDC06A1"/>
    <w:rsid w:val="1DEC42CC"/>
    <w:rsid w:val="1DED1B8E"/>
    <w:rsid w:val="1DF31B25"/>
    <w:rsid w:val="1DFD13BC"/>
    <w:rsid w:val="1E017AB5"/>
    <w:rsid w:val="1E033417"/>
    <w:rsid w:val="1E063438"/>
    <w:rsid w:val="1E075A15"/>
    <w:rsid w:val="1E0A177F"/>
    <w:rsid w:val="1E1704A8"/>
    <w:rsid w:val="1E1C65BF"/>
    <w:rsid w:val="1E202A9C"/>
    <w:rsid w:val="1E260ECF"/>
    <w:rsid w:val="1E315201"/>
    <w:rsid w:val="1E3231B5"/>
    <w:rsid w:val="1E3F1F59"/>
    <w:rsid w:val="1E4B2663"/>
    <w:rsid w:val="1E640B1D"/>
    <w:rsid w:val="1E6B637A"/>
    <w:rsid w:val="1E6E31A2"/>
    <w:rsid w:val="1E6F5CF9"/>
    <w:rsid w:val="1E735F99"/>
    <w:rsid w:val="1E756369"/>
    <w:rsid w:val="1E7B79F8"/>
    <w:rsid w:val="1E8B217E"/>
    <w:rsid w:val="1E8B6CB6"/>
    <w:rsid w:val="1E8D736D"/>
    <w:rsid w:val="1EA12A02"/>
    <w:rsid w:val="1EA821AD"/>
    <w:rsid w:val="1EAA17BB"/>
    <w:rsid w:val="1EB406FE"/>
    <w:rsid w:val="1EB5455F"/>
    <w:rsid w:val="1EC000DB"/>
    <w:rsid w:val="1EC35228"/>
    <w:rsid w:val="1ECC3836"/>
    <w:rsid w:val="1ED555B9"/>
    <w:rsid w:val="1ED74937"/>
    <w:rsid w:val="1ED90534"/>
    <w:rsid w:val="1EDE0488"/>
    <w:rsid w:val="1EE2751D"/>
    <w:rsid w:val="1F004BFC"/>
    <w:rsid w:val="1F012A6B"/>
    <w:rsid w:val="1F020E38"/>
    <w:rsid w:val="1F0724AF"/>
    <w:rsid w:val="1F114BFF"/>
    <w:rsid w:val="1F143F16"/>
    <w:rsid w:val="1F181C6E"/>
    <w:rsid w:val="1F383076"/>
    <w:rsid w:val="1F396E2C"/>
    <w:rsid w:val="1F42733C"/>
    <w:rsid w:val="1F490162"/>
    <w:rsid w:val="1F583960"/>
    <w:rsid w:val="1F5B0052"/>
    <w:rsid w:val="1F5F639F"/>
    <w:rsid w:val="1F62412E"/>
    <w:rsid w:val="1F6727D1"/>
    <w:rsid w:val="1F695033"/>
    <w:rsid w:val="1F6F283C"/>
    <w:rsid w:val="1F7211F9"/>
    <w:rsid w:val="1F797F98"/>
    <w:rsid w:val="1F80589E"/>
    <w:rsid w:val="1F807891"/>
    <w:rsid w:val="1F867BDC"/>
    <w:rsid w:val="1F89647C"/>
    <w:rsid w:val="1F8C6674"/>
    <w:rsid w:val="1F8F4239"/>
    <w:rsid w:val="1F9564D2"/>
    <w:rsid w:val="1F970DE1"/>
    <w:rsid w:val="1FB2122C"/>
    <w:rsid w:val="1FBC7E21"/>
    <w:rsid w:val="1FC42302"/>
    <w:rsid w:val="1FC55F01"/>
    <w:rsid w:val="1FC64B50"/>
    <w:rsid w:val="1FCA617A"/>
    <w:rsid w:val="1FCD7B7F"/>
    <w:rsid w:val="1FD50C23"/>
    <w:rsid w:val="1FD8190A"/>
    <w:rsid w:val="1FD870D2"/>
    <w:rsid w:val="1FDB658B"/>
    <w:rsid w:val="1FDC0913"/>
    <w:rsid w:val="1FE13151"/>
    <w:rsid w:val="1FE45E3F"/>
    <w:rsid w:val="1FEE1069"/>
    <w:rsid w:val="20071022"/>
    <w:rsid w:val="200C7A94"/>
    <w:rsid w:val="200E28D4"/>
    <w:rsid w:val="2014070E"/>
    <w:rsid w:val="20163161"/>
    <w:rsid w:val="202E799B"/>
    <w:rsid w:val="20323267"/>
    <w:rsid w:val="20473AF5"/>
    <w:rsid w:val="205961AD"/>
    <w:rsid w:val="20680AB2"/>
    <w:rsid w:val="2090563F"/>
    <w:rsid w:val="20A40713"/>
    <w:rsid w:val="20A55C18"/>
    <w:rsid w:val="20B03B75"/>
    <w:rsid w:val="20B4189E"/>
    <w:rsid w:val="20B573F3"/>
    <w:rsid w:val="20B61933"/>
    <w:rsid w:val="20B807B1"/>
    <w:rsid w:val="20B8240C"/>
    <w:rsid w:val="20B92339"/>
    <w:rsid w:val="20BF7510"/>
    <w:rsid w:val="20C050F5"/>
    <w:rsid w:val="20C1567A"/>
    <w:rsid w:val="20C4695E"/>
    <w:rsid w:val="20C65F0D"/>
    <w:rsid w:val="20D739EC"/>
    <w:rsid w:val="20DB17A9"/>
    <w:rsid w:val="20E60FBD"/>
    <w:rsid w:val="20E70979"/>
    <w:rsid w:val="20EB4735"/>
    <w:rsid w:val="20F60889"/>
    <w:rsid w:val="20F62465"/>
    <w:rsid w:val="20F66E83"/>
    <w:rsid w:val="20FE445D"/>
    <w:rsid w:val="21135125"/>
    <w:rsid w:val="21156553"/>
    <w:rsid w:val="21196F19"/>
    <w:rsid w:val="211C26A5"/>
    <w:rsid w:val="211E4966"/>
    <w:rsid w:val="212575E6"/>
    <w:rsid w:val="21284031"/>
    <w:rsid w:val="21331E6B"/>
    <w:rsid w:val="21367EB3"/>
    <w:rsid w:val="214224AD"/>
    <w:rsid w:val="21481021"/>
    <w:rsid w:val="214B2971"/>
    <w:rsid w:val="215559DE"/>
    <w:rsid w:val="216A7DBC"/>
    <w:rsid w:val="217B3431"/>
    <w:rsid w:val="217E06F2"/>
    <w:rsid w:val="21845CC9"/>
    <w:rsid w:val="218650AC"/>
    <w:rsid w:val="21AC749A"/>
    <w:rsid w:val="21B83436"/>
    <w:rsid w:val="21B91D92"/>
    <w:rsid w:val="21C20391"/>
    <w:rsid w:val="21C246E2"/>
    <w:rsid w:val="21C617D9"/>
    <w:rsid w:val="21D72C68"/>
    <w:rsid w:val="21D811E2"/>
    <w:rsid w:val="21E3655C"/>
    <w:rsid w:val="21E54A12"/>
    <w:rsid w:val="21F528AB"/>
    <w:rsid w:val="21F679A4"/>
    <w:rsid w:val="21FF3071"/>
    <w:rsid w:val="220569D1"/>
    <w:rsid w:val="220F0DD8"/>
    <w:rsid w:val="220F6769"/>
    <w:rsid w:val="2219115A"/>
    <w:rsid w:val="22200F50"/>
    <w:rsid w:val="22330E5D"/>
    <w:rsid w:val="22546729"/>
    <w:rsid w:val="22662AEB"/>
    <w:rsid w:val="22680A79"/>
    <w:rsid w:val="22713AE8"/>
    <w:rsid w:val="227301A8"/>
    <w:rsid w:val="2277099E"/>
    <w:rsid w:val="2279626E"/>
    <w:rsid w:val="22867C4E"/>
    <w:rsid w:val="228A3FB8"/>
    <w:rsid w:val="22A96863"/>
    <w:rsid w:val="22AE4E78"/>
    <w:rsid w:val="22B4181E"/>
    <w:rsid w:val="22BA5E06"/>
    <w:rsid w:val="22C21FE8"/>
    <w:rsid w:val="22C313E6"/>
    <w:rsid w:val="22CD0EA4"/>
    <w:rsid w:val="22DD7D14"/>
    <w:rsid w:val="22ED4607"/>
    <w:rsid w:val="22ED4C07"/>
    <w:rsid w:val="22ED5DE8"/>
    <w:rsid w:val="22F104D6"/>
    <w:rsid w:val="230641C8"/>
    <w:rsid w:val="2307724C"/>
    <w:rsid w:val="230B6B16"/>
    <w:rsid w:val="230C44BE"/>
    <w:rsid w:val="23125039"/>
    <w:rsid w:val="231A5E68"/>
    <w:rsid w:val="232B5D76"/>
    <w:rsid w:val="233827EB"/>
    <w:rsid w:val="233C0231"/>
    <w:rsid w:val="233D256E"/>
    <w:rsid w:val="23491A11"/>
    <w:rsid w:val="234E3210"/>
    <w:rsid w:val="23536B3E"/>
    <w:rsid w:val="23567C52"/>
    <w:rsid w:val="235F3673"/>
    <w:rsid w:val="23602D88"/>
    <w:rsid w:val="2368097C"/>
    <w:rsid w:val="23730981"/>
    <w:rsid w:val="237950EC"/>
    <w:rsid w:val="237B5C96"/>
    <w:rsid w:val="23861D44"/>
    <w:rsid w:val="238B7B1C"/>
    <w:rsid w:val="239604D0"/>
    <w:rsid w:val="239966D7"/>
    <w:rsid w:val="239F1955"/>
    <w:rsid w:val="23A66C25"/>
    <w:rsid w:val="23AC14BA"/>
    <w:rsid w:val="23AD48FB"/>
    <w:rsid w:val="23AF4959"/>
    <w:rsid w:val="23B87530"/>
    <w:rsid w:val="23CE4899"/>
    <w:rsid w:val="23D07943"/>
    <w:rsid w:val="23D949E4"/>
    <w:rsid w:val="23DB062D"/>
    <w:rsid w:val="23E27C44"/>
    <w:rsid w:val="23E47B0E"/>
    <w:rsid w:val="23E635AC"/>
    <w:rsid w:val="23E85264"/>
    <w:rsid w:val="23ED64E6"/>
    <w:rsid w:val="23ED7896"/>
    <w:rsid w:val="23EE10E6"/>
    <w:rsid w:val="23F010EB"/>
    <w:rsid w:val="23F53B17"/>
    <w:rsid w:val="23F65272"/>
    <w:rsid w:val="2409523E"/>
    <w:rsid w:val="240D7523"/>
    <w:rsid w:val="240F217C"/>
    <w:rsid w:val="24153FCD"/>
    <w:rsid w:val="24171046"/>
    <w:rsid w:val="2419076D"/>
    <w:rsid w:val="24286D65"/>
    <w:rsid w:val="242C1821"/>
    <w:rsid w:val="242D33B1"/>
    <w:rsid w:val="243147CF"/>
    <w:rsid w:val="24330635"/>
    <w:rsid w:val="24401954"/>
    <w:rsid w:val="24497939"/>
    <w:rsid w:val="244A21C1"/>
    <w:rsid w:val="244F3236"/>
    <w:rsid w:val="244F6E8C"/>
    <w:rsid w:val="24560297"/>
    <w:rsid w:val="245E54C5"/>
    <w:rsid w:val="24715751"/>
    <w:rsid w:val="24781553"/>
    <w:rsid w:val="2483395E"/>
    <w:rsid w:val="24852427"/>
    <w:rsid w:val="248E31A3"/>
    <w:rsid w:val="24963BFA"/>
    <w:rsid w:val="24A374A0"/>
    <w:rsid w:val="24B33802"/>
    <w:rsid w:val="24C57FB1"/>
    <w:rsid w:val="24C70A18"/>
    <w:rsid w:val="24CC270C"/>
    <w:rsid w:val="24D1756F"/>
    <w:rsid w:val="24D7576E"/>
    <w:rsid w:val="24E73702"/>
    <w:rsid w:val="24F12330"/>
    <w:rsid w:val="24F138F5"/>
    <w:rsid w:val="24F579CB"/>
    <w:rsid w:val="250337CD"/>
    <w:rsid w:val="251052CE"/>
    <w:rsid w:val="2513274A"/>
    <w:rsid w:val="25144352"/>
    <w:rsid w:val="25180C52"/>
    <w:rsid w:val="252522B9"/>
    <w:rsid w:val="252B48B0"/>
    <w:rsid w:val="252B5AD5"/>
    <w:rsid w:val="252D769C"/>
    <w:rsid w:val="25304673"/>
    <w:rsid w:val="25315016"/>
    <w:rsid w:val="25353D80"/>
    <w:rsid w:val="25375F35"/>
    <w:rsid w:val="25401936"/>
    <w:rsid w:val="255D0D88"/>
    <w:rsid w:val="25844D56"/>
    <w:rsid w:val="2588616E"/>
    <w:rsid w:val="259C2AB7"/>
    <w:rsid w:val="259E758F"/>
    <w:rsid w:val="25A731F0"/>
    <w:rsid w:val="25AC6469"/>
    <w:rsid w:val="25AD343F"/>
    <w:rsid w:val="25AD3628"/>
    <w:rsid w:val="25BD1AAF"/>
    <w:rsid w:val="25C16C20"/>
    <w:rsid w:val="25C35541"/>
    <w:rsid w:val="25CD7155"/>
    <w:rsid w:val="25D724C6"/>
    <w:rsid w:val="25D77A70"/>
    <w:rsid w:val="25E208D6"/>
    <w:rsid w:val="25E25CF0"/>
    <w:rsid w:val="25EB41C5"/>
    <w:rsid w:val="25ED1165"/>
    <w:rsid w:val="25ED1685"/>
    <w:rsid w:val="260662A7"/>
    <w:rsid w:val="26070C1D"/>
    <w:rsid w:val="26166097"/>
    <w:rsid w:val="2626708D"/>
    <w:rsid w:val="2628368C"/>
    <w:rsid w:val="262A7A19"/>
    <w:rsid w:val="263028B2"/>
    <w:rsid w:val="26324B41"/>
    <w:rsid w:val="263E1961"/>
    <w:rsid w:val="263E4628"/>
    <w:rsid w:val="26411881"/>
    <w:rsid w:val="26416ADA"/>
    <w:rsid w:val="265340C6"/>
    <w:rsid w:val="26547DA3"/>
    <w:rsid w:val="265A2475"/>
    <w:rsid w:val="2662731A"/>
    <w:rsid w:val="26787F37"/>
    <w:rsid w:val="26825F01"/>
    <w:rsid w:val="26845303"/>
    <w:rsid w:val="26854312"/>
    <w:rsid w:val="26A36AA3"/>
    <w:rsid w:val="26B943FE"/>
    <w:rsid w:val="26BC4141"/>
    <w:rsid w:val="26BF4394"/>
    <w:rsid w:val="26C22260"/>
    <w:rsid w:val="26C70760"/>
    <w:rsid w:val="26D54CDA"/>
    <w:rsid w:val="26D6611A"/>
    <w:rsid w:val="26D801AC"/>
    <w:rsid w:val="26DD5570"/>
    <w:rsid w:val="26E11586"/>
    <w:rsid w:val="26E2778E"/>
    <w:rsid w:val="26EE1B12"/>
    <w:rsid w:val="26FD44BC"/>
    <w:rsid w:val="26FE1D86"/>
    <w:rsid w:val="270F7449"/>
    <w:rsid w:val="27174D3F"/>
    <w:rsid w:val="27186654"/>
    <w:rsid w:val="271C773E"/>
    <w:rsid w:val="27227471"/>
    <w:rsid w:val="27235790"/>
    <w:rsid w:val="273270F5"/>
    <w:rsid w:val="27352484"/>
    <w:rsid w:val="273650B1"/>
    <w:rsid w:val="273725E2"/>
    <w:rsid w:val="274145D8"/>
    <w:rsid w:val="27420F0D"/>
    <w:rsid w:val="27425FEE"/>
    <w:rsid w:val="27447F45"/>
    <w:rsid w:val="27496066"/>
    <w:rsid w:val="274A3E6E"/>
    <w:rsid w:val="275017DF"/>
    <w:rsid w:val="27595954"/>
    <w:rsid w:val="275A6E76"/>
    <w:rsid w:val="276655FE"/>
    <w:rsid w:val="27685997"/>
    <w:rsid w:val="27686305"/>
    <w:rsid w:val="276A36B8"/>
    <w:rsid w:val="27791804"/>
    <w:rsid w:val="277F5121"/>
    <w:rsid w:val="278306B2"/>
    <w:rsid w:val="278818DD"/>
    <w:rsid w:val="27A74947"/>
    <w:rsid w:val="27BB0C86"/>
    <w:rsid w:val="27BC6EB6"/>
    <w:rsid w:val="27BE025E"/>
    <w:rsid w:val="27C0675B"/>
    <w:rsid w:val="27C3504E"/>
    <w:rsid w:val="27C447E0"/>
    <w:rsid w:val="27C813A7"/>
    <w:rsid w:val="27C848A8"/>
    <w:rsid w:val="27CE6697"/>
    <w:rsid w:val="27D905DF"/>
    <w:rsid w:val="27D91AD5"/>
    <w:rsid w:val="27DA60BC"/>
    <w:rsid w:val="27E543B2"/>
    <w:rsid w:val="27E702BB"/>
    <w:rsid w:val="27ED39FE"/>
    <w:rsid w:val="27F03873"/>
    <w:rsid w:val="27F06977"/>
    <w:rsid w:val="28004C76"/>
    <w:rsid w:val="280225DA"/>
    <w:rsid w:val="28063B89"/>
    <w:rsid w:val="2818466B"/>
    <w:rsid w:val="28243F6A"/>
    <w:rsid w:val="282A12A6"/>
    <w:rsid w:val="283A66BF"/>
    <w:rsid w:val="283D40DC"/>
    <w:rsid w:val="2845031D"/>
    <w:rsid w:val="28554FCD"/>
    <w:rsid w:val="2855779C"/>
    <w:rsid w:val="285869F1"/>
    <w:rsid w:val="28611025"/>
    <w:rsid w:val="28752DEF"/>
    <w:rsid w:val="28775576"/>
    <w:rsid w:val="287D10F4"/>
    <w:rsid w:val="287E4BBE"/>
    <w:rsid w:val="2882510D"/>
    <w:rsid w:val="288B6C13"/>
    <w:rsid w:val="28910F94"/>
    <w:rsid w:val="28957293"/>
    <w:rsid w:val="28994C5E"/>
    <w:rsid w:val="289E27F8"/>
    <w:rsid w:val="28B21136"/>
    <w:rsid w:val="28B727CA"/>
    <w:rsid w:val="28C05C41"/>
    <w:rsid w:val="28C23F8F"/>
    <w:rsid w:val="28C61144"/>
    <w:rsid w:val="28D34B23"/>
    <w:rsid w:val="28D65045"/>
    <w:rsid w:val="28DB626E"/>
    <w:rsid w:val="28FE5535"/>
    <w:rsid w:val="29125A5E"/>
    <w:rsid w:val="2915682A"/>
    <w:rsid w:val="291A14A9"/>
    <w:rsid w:val="2923587F"/>
    <w:rsid w:val="292B4C7B"/>
    <w:rsid w:val="292D57FA"/>
    <w:rsid w:val="2931619F"/>
    <w:rsid w:val="29404FAC"/>
    <w:rsid w:val="29427467"/>
    <w:rsid w:val="2949197E"/>
    <w:rsid w:val="29565944"/>
    <w:rsid w:val="295765D4"/>
    <w:rsid w:val="295A0C7D"/>
    <w:rsid w:val="295F6C68"/>
    <w:rsid w:val="296027CC"/>
    <w:rsid w:val="2969426B"/>
    <w:rsid w:val="29746655"/>
    <w:rsid w:val="29755344"/>
    <w:rsid w:val="29835A9F"/>
    <w:rsid w:val="298E490E"/>
    <w:rsid w:val="29A41D14"/>
    <w:rsid w:val="29A427A8"/>
    <w:rsid w:val="29AB554D"/>
    <w:rsid w:val="29AE66FB"/>
    <w:rsid w:val="29B90300"/>
    <w:rsid w:val="29BA4D39"/>
    <w:rsid w:val="29BB7806"/>
    <w:rsid w:val="29C077EA"/>
    <w:rsid w:val="29CD0E12"/>
    <w:rsid w:val="29CD431D"/>
    <w:rsid w:val="29CF7F6C"/>
    <w:rsid w:val="29D0599E"/>
    <w:rsid w:val="29D62A34"/>
    <w:rsid w:val="29E64D8D"/>
    <w:rsid w:val="29FA1043"/>
    <w:rsid w:val="2A064343"/>
    <w:rsid w:val="2A0C656E"/>
    <w:rsid w:val="2A1113B0"/>
    <w:rsid w:val="2A16235E"/>
    <w:rsid w:val="2A1877A7"/>
    <w:rsid w:val="2A1E5F1A"/>
    <w:rsid w:val="2A207D69"/>
    <w:rsid w:val="2A221F9F"/>
    <w:rsid w:val="2A23353C"/>
    <w:rsid w:val="2A27751D"/>
    <w:rsid w:val="2A2B5A6E"/>
    <w:rsid w:val="2A2C3868"/>
    <w:rsid w:val="2A3751E7"/>
    <w:rsid w:val="2A3F48AE"/>
    <w:rsid w:val="2A417D84"/>
    <w:rsid w:val="2A4B1781"/>
    <w:rsid w:val="2A5D3A7B"/>
    <w:rsid w:val="2A64433A"/>
    <w:rsid w:val="2A674554"/>
    <w:rsid w:val="2A6D4607"/>
    <w:rsid w:val="2A7A5A42"/>
    <w:rsid w:val="2A7B103E"/>
    <w:rsid w:val="2A875D4E"/>
    <w:rsid w:val="2A8D7104"/>
    <w:rsid w:val="2A9F5935"/>
    <w:rsid w:val="2AA654E6"/>
    <w:rsid w:val="2AB11A9C"/>
    <w:rsid w:val="2AB737DF"/>
    <w:rsid w:val="2AB81BBB"/>
    <w:rsid w:val="2ABB3E87"/>
    <w:rsid w:val="2AC340E8"/>
    <w:rsid w:val="2AC72642"/>
    <w:rsid w:val="2AC73D9A"/>
    <w:rsid w:val="2ACA094E"/>
    <w:rsid w:val="2ADA0257"/>
    <w:rsid w:val="2ADE0138"/>
    <w:rsid w:val="2AE3281E"/>
    <w:rsid w:val="2AE52C5B"/>
    <w:rsid w:val="2AE94AA5"/>
    <w:rsid w:val="2B0254AA"/>
    <w:rsid w:val="2B052A23"/>
    <w:rsid w:val="2B094BB8"/>
    <w:rsid w:val="2B0F3F5F"/>
    <w:rsid w:val="2B1505E6"/>
    <w:rsid w:val="2B1A4DD1"/>
    <w:rsid w:val="2B231F47"/>
    <w:rsid w:val="2B341B95"/>
    <w:rsid w:val="2B4277FE"/>
    <w:rsid w:val="2B4B0957"/>
    <w:rsid w:val="2B4C1F4B"/>
    <w:rsid w:val="2B4D519B"/>
    <w:rsid w:val="2B4E10AC"/>
    <w:rsid w:val="2B4E79A9"/>
    <w:rsid w:val="2B6847B1"/>
    <w:rsid w:val="2B6F14BE"/>
    <w:rsid w:val="2B736E43"/>
    <w:rsid w:val="2B7551CA"/>
    <w:rsid w:val="2B7629FB"/>
    <w:rsid w:val="2B871F0A"/>
    <w:rsid w:val="2BAC3FA8"/>
    <w:rsid w:val="2BAD5E17"/>
    <w:rsid w:val="2BBD7BB1"/>
    <w:rsid w:val="2BC174D2"/>
    <w:rsid w:val="2BC675C6"/>
    <w:rsid w:val="2BC85F00"/>
    <w:rsid w:val="2BCA16EB"/>
    <w:rsid w:val="2BD94842"/>
    <w:rsid w:val="2BDB6C07"/>
    <w:rsid w:val="2BE143D8"/>
    <w:rsid w:val="2BE25CF0"/>
    <w:rsid w:val="2BE3656E"/>
    <w:rsid w:val="2BE405AC"/>
    <w:rsid w:val="2BE50F57"/>
    <w:rsid w:val="2BEC3E49"/>
    <w:rsid w:val="2C1438CB"/>
    <w:rsid w:val="2C147ECE"/>
    <w:rsid w:val="2C174FCF"/>
    <w:rsid w:val="2C1C5A8F"/>
    <w:rsid w:val="2C232163"/>
    <w:rsid w:val="2C2B6E84"/>
    <w:rsid w:val="2C3B2DAC"/>
    <w:rsid w:val="2C422114"/>
    <w:rsid w:val="2C4345A2"/>
    <w:rsid w:val="2C4D438C"/>
    <w:rsid w:val="2C5210BE"/>
    <w:rsid w:val="2C5727F7"/>
    <w:rsid w:val="2C5B4D20"/>
    <w:rsid w:val="2C5C7C74"/>
    <w:rsid w:val="2C611DEB"/>
    <w:rsid w:val="2C6C591D"/>
    <w:rsid w:val="2C6E35DE"/>
    <w:rsid w:val="2C737923"/>
    <w:rsid w:val="2C7B6E19"/>
    <w:rsid w:val="2C7C523D"/>
    <w:rsid w:val="2C90750E"/>
    <w:rsid w:val="2C941572"/>
    <w:rsid w:val="2C9E1FE9"/>
    <w:rsid w:val="2CB47FB3"/>
    <w:rsid w:val="2CB52B70"/>
    <w:rsid w:val="2CBE0E10"/>
    <w:rsid w:val="2CC653A8"/>
    <w:rsid w:val="2CC67444"/>
    <w:rsid w:val="2CD47EEB"/>
    <w:rsid w:val="2CD5436A"/>
    <w:rsid w:val="2CE440C6"/>
    <w:rsid w:val="2CE64349"/>
    <w:rsid w:val="2CFC14BE"/>
    <w:rsid w:val="2CFC4E56"/>
    <w:rsid w:val="2D0026AD"/>
    <w:rsid w:val="2D016F62"/>
    <w:rsid w:val="2D021A49"/>
    <w:rsid w:val="2D037F19"/>
    <w:rsid w:val="2D111CA6"/>
    <w:rsid w:val="2D213AFF"/>
    <w:rsid w:val="2D277DB0"/>
    <w:rsid w:val="2D3B3092"/>
    <w:rsid w:val="2D457BFB"/>
    <w:rsid w:val="2D4C287A"/>
    <w:rsid w:val="2D4D32F1"/>
    <w:rsid w:val="2D62678E"/>
    <w:rsid w:val="2D683ED4"/>
    <w:rsid w:val="2D6C399E"/>
    <w:rsid w:val="2D750862"/>
    <w:rsid w:val="2D793C1C"/>
    <w:rsid w:val="2D7D4DF5"/>
    <w:rsid w:val="2D7D7F92"/>
    <w:rsid w:val="2D891AA7"/>
    <w:rsid w:val="2D8F5434"/>
    <w:rsid w:val="2D90199F"/>
    <w:rsid w:val="2D971D10"/>
    <w:rsid w:val="2D9A1680"/>
    <w:rsid w:val="2D9F7754"/>
    <w:rsid w:val="2DA543F3"/>
    <w:rsid w:val="2DAB649B"/>
    <w:rsid w:val="2DAE60DF"/>
    <w:rsid w:val="2DBE2B9B"/>
    <w:rsid w:val="2DBE3806"/>
    <w:rsid w:val="2DC373C5"/>
    <w:rsid w:val="2DC54DD1"/>
    <w:rsid w:val="2DC97A09"/>
    <w:rsid w:val="2DCC579E"/>
    <w:rsid w:val="2DD055FD"/>
    <w:rsid w:val="2DD93132"/>
    <w:rsid w:val="2DDA1718"/>
    <w:rsid w:val="2DDA1912"/>
    <w:rsid w:val="2DE22897"/>
    <w:rsid w:val="2DE269A5"/>
    <w:rsid w:val="2DE515D4"/>
    <w:rsid w:val="2DE72340"/>
    <w:rsid w:val="2DFF4F48"/>
    <w:rsid w:val="2E102F63"/>
    <w:rsid w:val="2E1671D6"/>
    <w:rsid w:val="2E1A140E"/>
    <w:rsid w:val="2E2347C3"/>
    <w:rsid w:val="2E2B0D29"/>
    <w:rsid w:val="2E2C56D0"/>
    <w:rsid w:val="2E3A6DE3"/>
    <w:rsid w:val="2E3A71EC"/>
    <w:rsid w:val="2E41776B"/>
    <w:rsid w:val="2E492F10"/>
    <w:rsid w:val="2E4C1230"/>
    <w:rsid w:val="2E4F4A1D"/>
    <w:rsid w:val="2E551C40"/>
    <w:rsid w:val="2E5A66B2"/>
    <w:rsid w:val="2E602636"/>
    <w:rsid w:val="2E804361"/>
    <w:rsid w:val="2E8548C8"/>
    <w:rsid w:val="2E9E0727"/>
    <w:rsid w:val="2E9E51F8"/>
    <w:rsid w:val="2EA03BF7"/>
    <w:rsid w:val="2EA80632"/>
    <w:rsid w:val="2EB61AAA"/>
    <w:rsid w:val="2EB90285"/>
    <w:rsid w:val="2EBE0C61"/>
    <w:rsid w:val="2EC4095D"/>
    <w:rsid w:val="2ED51006"/>
    <w:rsid w:val="2ED76526"/>
    <w:rsid w:val="2EDE0062"/>
    <w:rsid w:val="2EE1188F"/>
    <w:rsid w:val="2EE57A37"/>
    <w:rsid w:val="2EED705E"/>
    <w:rsid w:val="2EF62B36"/>
    <w:rsid w:val="2F041FB5"/>
    <w:rsid w:val="2F096978"/>
    <w:rsid w:val="2F0C6D93"/>
    <w:rsid w:val="2F0F3F6B"/>
    <w:rsid w:val="2F102417"/>
    <w:rsid w:val="2F171EBF"/>
    <w:rsid w:val="2F1E54A4"/>
    <w:rsid w:val="2F2C04DB"/>
    <w:rsid w:val="2F2F44BA"/>
    <w:rsid w:val="2F3106E2"/>
    <w:rsid w:val="2F325206"/>
    <w:rsid w:val="2F37758B"/>
    <w:rsid w:val="2F3B7363"/>
    <w:rsid w:val="2F444D60"/>
    <w:rsid w:val="2F475430"/>
    <w:rsid w:val="2F47561D"/>
    <w:rsid w:val="2F4953B5"/>
    <w:rsid w:val="2F4E692D"/>
    <w:rsid w:val="2F5E6BAD"/>
    <w:rsid w:val="2F605834"/>
    <w:rsid w:val="2F625925"/>
    <w:rsid w:val="2F6C4D5B"/>
    <w:rsid w:val="2F6E4808"/>
    <w:rsid w:val="2F6E6058"/>
    <w:rsid w:val="2F6F07F0"/>
    <w:rsid w:val="2F7E1BAF"/>
    <w:rsid w:val="2F7F6B85"/>
    <w:rsid w:val="2F8E27E7"/>
    <w:rsid w:val="2F915546"/>
    <w:rsid w:val="2F942533"/>
    <w:rsid w:val="2F966988"/>
    <w:rsid w:val="2F9933CC"/>
    <w:rsid w:val="2F9D6D49"/>
    <w:rsid w:val="2FA2454F"/>
    <w:rsid w:val="2FAB1ECE"/>
    <w:rsid w:val="2FAD5A20"/>
    <w:rsid w:val="2FAE3233"/>
    <w:rsid w:val="2FB85E75"/>
    <w:rsid w:val="2FB951F8"/>
    <w:rsid w:val="2FBA4E21"/>
    <w:rsid w:val="2FBF0C67"/>
    <w:rsid w:val="2FC10859"/>
    <w:rsid w:val="2FC42C62"/>
    <w:rsid w:val="2FC97D26"/>
    <w:rsid w:val="2FCB72F3"/>
    <w:rsid w:val="2FD07E8C"/>
    <w:rsid w:val="2FD876BB"/>
    <w:rsid w:val="2FE53695"/>
    <w:rsid w:val="2FEE169A"/>
    <w:rsid w:val="2FF26CF7"/>
    <w:rsid w:val="2FF35121"/>
    <w:rsid w:val="2FFE129B"/>
    <w:rsid w:val="2FFE1598"/>
    <w:rsid w:val="30016BAD"/>
    <w:rsid w:val="30064BE3"/>
    <w:rsid w:val="30076225"/>
    <w:rsid w:val="30081575"/>
    <w:rsid w:val="301F45E2"/>
    <w:rsid w:val="30290078"/>
    <w:rsid w:val="30347C53"/>
    <w:rsid w:val="30364A92"/>
    <w:rsid w:val="303A0547"/>
    <w:rsid w:val="303A45F4"/>
    <w:rsid w:val="304526DE"/>
    <w:rsid w:val="30546A49"/>
    <w:rsid w:val="305864A3"/>
    <w:rsid w:val="3068009D"/>
    <w:rsid w:val="30692E2B"/>
    <w:rsid w:val="306D1E2E"/>
    <w:rsid w:val="30734125"/>
    <w:rsid w:val="307A53D3"/>
    <w:rsid w:val="3087409D"/>
    <w:rsid w:val="30892C0C"/>
    <w:rsid w:val="30893FE6"/>
    <w:rsid w:val="308D6274"/>
    <w:rsid w:val="30986BDE"/>
    <w:rsid w:val="309F4DE7"/>
    <w:rsid w:val="30A23E59"/>
    <w:rsid w:val="30A41F78"/>
    <w:rsid w:val="30A7386D"/>
    <w:rsid w:val="30AA4438"/>
    <w:rsid w:val="30AB4DFD"/>
    <w:rsid w:val="30AC1F99"/>
    <w:rsid w:val="30AE69BA"/>
    <w:rsid w:val="30B33C0E"/>
    <w:rsid w:val="30C12BFE"/>
    <w:rsid w:val="30C94512"/>
    <w:rsid w:val="30D670F6"/>
    <w:rsid w:val="30DD435D"/>
    <w:rsid w:val="30E13DC2"/>
    <w:rsid w:val="30EF2A44"/>
    <w:rsid w:val="30EF47F5"/>
    <w:rsid w:val="30F207A4"/>
    <w:rsid w:val="30F35AB2"/>
    <w:rsid w:val="30F451FD"/>
    <w:rsid w:val="30F46155"/>
    <w:rsid w:val="30F864CC"/>
    <w:rsid w:val="31017F4B"/>
    <w:rsid w:val="310B23D8"/>
    <w:rsid w:val="310B6B2A"/>
    <w:rsid w:val="310D6C05"/>
    <w:rsid w:val="310F4E1C"/>
    <w:rsid w:val="3110190E"/>
    <w:rsid w:val="31166FBB"/>
    <w:rsid w:val="31217625"/>
    <w:rsid w:val="312C4EFA"/>
    <w:rsid w:val="3135268E"/>
    <w:rsid w:val="314454BF"/>
    <w:rsid w:val="31486B9A"/>
    <w:rsid w:val="3149659F"/>
    <w:rsid w:val="315014BE"/>
    <w:rsid w:val="31617A7F"/>
    <w:rsid w:val="31632CED"/>
    <w:rsid w:val="31643FC4"/>
    <w:rsid w:val="316A7D12"/>
    <w:rsid w:val="316B0BEA"/>
    <w:rsid w:val="316D7656"/>
    <w:rsid w:val="317C1B67"/>
    <w:rsid w:val="317C6A0A"/>
    <w:rsid w:val="31867B62"/>
    <w:rsid w:val="319101DC"/>
    <w:rsid w:val="31927112"/>
    <w:rsid w:val="319357E4"/>
    <w:rsid w:val="31A04E12"/>
    <w:rsid w:val="31A079DE"/>
    <w:rsid w:val="31A47412"/>
    <w:rsid w:val="31A84799"/>
    <w:rsid w:val="31AF4507"/>
    <w:rsid w:val="31B11FAF"/>
    <w:rsid w:val="31B12F0A"/>
    <w:rsid w:val="31B3106C"/>
    <w:rsid w:val="31B90B37"/>
    <w:rsid w:val="31B91333"/>
    <w:rsid w:val="31C408D2"/>
    <w:rsid w:val="31D76154"/>
    <w:rsid w:val="31D949AC"/>
    <w:rsid w:val="31DB32DA"/>
    <w:rsid w:val="31E65F4E"/>
    <w:rsid w:val="31E76DAF"/>
    <w:rsid w:val="31EB2EC8"/>
    <w:rsid w:val="31ED13CB"/>
    <w:rsid w:val="31F05CF2"/>
    <w:rsid w:val="31F85D8A"/>
    <w:rsid w:val="31FA0ACA"/>
    <w:rsid w:val="320E11B9"/>
    <w:rsid w:val="3215200A"/>
    <w:rsid w:val="32254101"/>
    <w:rsid w:val="323277D5"/>
    <w:rsid w:val="32346ABF"/>
    <w:rsid w:val="323515B7"/>
    <w:rsid w:val="323A1941"/>
    <w:rsid w:val="323F4DDC"/>
    <w:rsid w:val="323F7396"/>
    <w:rsid w:val="324247D8"/>
    <w:rsid w:val="3243331E"/>
    <w:rsid w:val="3248754B"/>
    <w:rsid w:val="324F634C"/>
    <w:rsid w:val="325F6221"/>
    <w:rsid w:val="32620DF2"/>
    <w:rsid w:val="3265471B"/>
    <w:rsid w:val="326E0139"/>
    <w:rsid w:val="3272232A"/>
    <w:rsid w:val="32722F3B"/>
    <w:rsid w:val="327730B0"/>
    <w:rsid w:val="327A2098"/>
    <w:rsid w:val="327A3A98"/>
    <w:rsid w:val="3280136F"/>
    <w:rsid w:val="32893B0A"/>
    <w:rsid w:val="32937772"/>
    <w:rsid w:val="329A30BB"/>
    <w:rsid w:val="329C7504"/>
    <w:rsid w:val="32A0350F"/>
    <w:rsid w:val="32A51BD9"/>
    <w:rsid w:val="32A867F7"/>
    <w:rsid w:val="32AC04CF"/>
    <w:rsid w:val="32AE2606"/>
    <w:rsid w:val="32B9148B"/>
    <w:rsid w:val="32BE0601"/>
    <w:rsid w:val="32BE7BDF"/>
    <w:rsid w:val="32BF1D7E"/>
    <w:rsid w:val="32CC21C5"/>
    <w:rsid w:val="32CF63BD"/>
    <w:rsid w:val="32D429C4"/>
    <w:rsid w:val="32D71757"/>
    <w:rsid w:val="32DF1A36"/>
    <w:rsid w:val="32E57D92"/>
    <w:rsid w:val="32E94DE3"/>
    <w:rsid w:val="32E9537E"/>
    <w:rsid w:val="32EB0E36"/>
    <w:rsid w:val="32EC4AE9"/>
    <w:rsid w:val="32F05726"/>
    <w:rsid w:val="32F1577A"/>
    <w:rsid w:val="32F5464A"/>
    <w:rsid w:val="32FB149F"/>
    <w:rsid w:val="33101793"/>
    <w:rsid w:val="33133E55"/>
    <w:rsid w:val="33136956"/>
    <w:rsid w:val="331A3650"/>
    <w:rsid w:val="33230B03"/>
    <w:rsid w:val="33276B22"/>
    <w:rsid w:val="332B6F06"/>
    <w:rsid w:val="33333A10"/>
    <w:rsid w:val="3335088D"/>
    <w:rsid w:val="333A33D1"/>
    <w:rsid w:val="33436631"/>
    <w:rsid w:val="33537CBC"/>
    <w:rsid w:val="33596A05"/>
    <w:rsid w:val="335D2F5F"/>
    <w:rsid w:val="336D1A89"/>
    <w:rsid w:val="336D76C6"/>
    <w:rsid w:val="336F5E82"/>
    <w:rsid w:val="33730DB1"/>
    <w:rsid w:val="33794500"/>
    <w:rsid w:val="337C7634"/>
    <w:rsid w:val="3389183E"/>
    <w:rsid w:val="338A6517"/>
    <w:rsid w:val="339B0843"/>
    <w:rsid w:val="339E7B96"/>
    <w:rsid w:val="33A16B41"/>
    <w:rsid w:val="33A77B55"/>
    <w:rsid w:val="33AB1DB7"/>
    <w:rsid w:val="33B965E9"/>
    <w:rsid w:val="33C50B22"/>
    <w:rsid w:val="33C724B8"/>
    <w:rsid w:val="33CD1481"/>
    <w:rsid w:val="33CF1A54"/>
    <w:rsid w:val="33D21206"/>
    <w:rsid w:val="33E370E5"/>
    <w:rsid w:val="33EB6C7F"/>
    <w:rsid w:val="33F91AB9"/>
    <w:rsid w:val="33FA25B9"/>
    <w:rsid w:val="34063892"/>
    <w:rsid w:val="341960B6"/>
    <w:rsid w:val="34230E6F"/>
    <w:rsid w:val="342737A3"/>
    <w:rsid w:val="342F7CFE"/>
    <w:rsid w:val="3430029D"/>
    <w:rsid w:val="34306680"/>
    <w:rsid w:val="343556CF"/>
    <w:rsid w:val="343E7BF7"/>
    <w:rsid w:val="34467ABD"/>
    <w:rsid w:val="344E1B6F"/>
    <w:rsid w:val="34575C83"/>
    <w:rsid w:val="345C6A9E"/>
    <w:rsid w:val="34630168"/>
    <w:rsid w:val="3472695B"/>
    <w:rsid w:val="348640C5"/>
    <w:rsid w:val="348C6B99"/>
    <w:rsid w:val="348E0C50"/>
    <w:rsid w:val="3490088E"/>
    <w:rsid w:val="34937E36"/>
    <w:rsid w:val="349F2F58"/>
    <w:rsid w:val="34B4251C"/>
    <w:rsid w:val="34BF7EAF"/>
    <w:rsid w:val="34C10565"/>
    <w:rsid w:val="34CC1F15"/>
    <w:rsid w:val="34D17995"/>
    <w:rsid w:val="34D32235"/>
    <w:rsid w:val="34F00FA1"/>
    <w:rsid w:val="34F83180"/>
    <w:rsid w:val="34FF7374"/>
    <w:rsid w:val="35001CE0"/>
    <w:rsid w:val="35001F44"/>
    <w:rsid w:val="3506670C"/>
    <w:rsid w:val="3511021B"/>
    <w:rsid w:val="35120E49"/>
    <w:rsid w:val="351C4B3C"/>
    <w:rsid w:val="35291FA9"/>
    <w:rsid w:val="353A4B49"/>
    <w:rsid w:val="353D1786"/>
    <w:rsid w:val="353D6588"/>
    <w:rsid w:val="353F4942"/>
    <w:rsid w:val="35445DDB"/>
    <w:rsid w:val="35471722"/>
    <w:rsid w:val="354A5565"/>
    <w:rsid w:val="35506282"/>
    <w:rsid w:val="35560350"/>
    <w:rsid w:val="3559524B"/>
    <w:rsid w:val="35667DEC"/>
    <w:rsid w:val="35700B83"/>
    <w:rsid w:val="35702B77"/>
    <w:rsid w:val="35714B97"/>
    <w:rsid w:val="35715B27"/>
    <w:rsid w:val="35887C8A"/>
    <w:rsid w:val="358D5732"/>
    <w:rsid w:val="358E0E0A"/>
    <w:rsid w:val="359062DE"/>
    <w:rsid w:val="359D4837"/>
    <w:rsid w:val="359E2159"/>
    <w:rsid w:val="35AB3770"/>
    <w:rsid w:val="35AC60A8"/>
    <w:rsid w:val="35B071EE"/>
    <w:rsid w:val="35B3245F"/>
    <w:rsid w:val="35BC59E5"/>
    <w:rsid w:val="35BD65DF"/>
    <w:rsid w:val="35BE7883"/>
    <w:rsid w:val="35CA3B5D"/>
    <w:rsid w:val="35DC1B88"/>
    <w:rsid w:val="35DD0F7B"/>
    <w:rsid w:val="35E24C48"/>
    <w:rsid w:val="35EB7FF0"/>
    <w:rsid w:val="35F73BB1"/>
    <w:rsid w:val="35FA3E02"/>
    <w:rsid w:val="360E43EE"/>
    <w:rsid w:val="36174E2B"/>
    <w:rsid w:val="3619199B"/>
    <w:rsid w:val="362257E1"/>
    <w:rsid w:val="362665F7"/>
    <w:rsid w:val="362A7B3B"/>
    <w:rsid w:val="362B6E5E"/>
    <w:rsid w:val="362C5988"/>
    <w:rsid w:val="36315933"/>
    <w:rsid w:val="36343D2C"/>
    <w:rsid w:val="36372FE7"/>
    <w:rsid w:val="363C2143"/>
    <w:rsid w:val="363F1066"/>
    <w:rsid w:val="363F246C"/>
    <w:rsid w:val="3641349A"/>
    <w:rsid w:val="36496057"/>
    <w:rsid w:val="364A658D"/>
    <w:rsid w:val="364C03D1"/>
    <w:rsid w:val="36547030"/>
    <w:rsid w:val="365D05DB"/>
    <w:rsid w:val="3664385C"/>
    <w:rsid w:val="366F392F"/>
    <w:rsid w:val="36716FC9"/>
    <w:rsid w:val="36784275"/>
    <w:rsid w:val="367B2ECD"/>
    <w:rsid w:val="36817CB8"/>
    <w:rsid w:val="368F55E9"/>
    <w:rsid w:val="3695045D"/>
    <w:rsid w:val="3697675B"/>
    <w:rsid w:val="369C70C6"/>
    <w:rsid w:val="369F01E0"/>
    <w:rsid w:val="369F1372"/>
    <w:rsid w:val="36A0722A"/>
    <w:rsid w:val="36A57DD9"/>
    <w:rsid w:val="36A77FCE"/>
    <w:rsid w:val="36AA1DF9"/>
    <w:rsid w:val="36AD4801"/>
    <w:rsid w:val="36BA3D19"/>
    <w:rsid w:val="36BD4ACB"/>
    <w:rsid w:val="36CC31AA"/>
    <w:rsid w:val="36DA01BB"/>
    <w:rsid w:val="36DF44C0"/>
    <w:rsid w:val="36E0033F"/>
    <w:rsid w:val="36E217D0"/>
    <w:rsid w:val="36F92B22"/>
    <w:rsid w:val="36FD3A74"/>
    <w:rsid w:val="37073352"/>
    <w:rsid w:val="370E6EDE"/>
    <w:rsid w:val="371464AC"/>
    <w:rsid w:val="3715346F"/>
    <w:rsid w:val="372E6714"/>
    <w:rsid w:val="372F32CE"/>
    <w:rsid w:val="37306289"/>
    <w:rsid w:val="373A2FC2"/>
    <w:rsid w:val="37441AAA"/>
    <w:rsid w:val="3748548C"/>
    <w:rsid w:val="374D4CEF"/>
    <w:rsid w:val="374F5678"/>
    <w:rsid w:val="3750152E"/>
    <w:rsid w:val="3759024D"/>
    <w:rsid w:val="375B6387"/>
    <w:rsid w:val="37630D6F"/>
    <w:rsid w:val="37640A2E"/>
    <w:rsid w:val="37712FB6"/>
    <w:rsid w:val="377C0F2B"/>
    <w:rsid w:val="37847E93"/>
    <w:rsid w:val="378C7018"/>
    <w:rsid w:val="378C78EE"/>
    <w:rsid w:val="378D4C85"/>
    <w:rsid w:val="37996405"/>
    <w:rsid w:val="37A319C3"/>
    <w:rsid w:val="37A44939"/>
    <w:rsid w:val="37A9195F"/>
    <w:rsid w:val="37A92E04"/>
    <w:rsid w:val="37AA09E8"/>
    <w:rsid w:val="37BB7F5D"/>
    <w:rsid w:val="37C338BD"/>
    <w:rsid w:val="37C36362"/>
    <w:rsid w:val="37D21F44"/>
    <w:rsid w:val="37D24762"/>
    <w:rsid w:val="37DA362C"/>
    <w:rsid w:val="37DB12AC"/>
    <w:rsid w:val="37E21868"/>
    <w:rsid w:val="37F75F3C"/>
    <w:rsid w:val="38100659"/>
    <w:rsid w:val="38135A43"/>
    <w:rsid w:val="38143035"/>
    <w:rsid w:val="382206FB"/>
    <w:rsid w:val="3824452F"/>
    <w:rsid w:val="382C4A6B"/>
    <w:rsid w:val="38305557"/>
    <w:rsid w:val="383610C1"/>
    <w:rsid w:val="38366112"/>
    <w:rsid w:val="38404B96"/>
    <w:rsid w:val="3848105F"/>
    <w:rsid w:val="38576591"/>
    <w:rsid w:val="385E0A94"/>
    <w:rsid w:val="385E65A2"/>
    <w:rsid w:val="38641A26"/>
    <w:rsid w:val="386D6296"/>
    <w:rsid w:val="386E2DAE"/>
    <w:rsid w:val="38701C02"/>
    <w:rsid w:val="38776BC4"/>
    <w:rsid w:val="387D72CF"/>
    <w:rsid w:val="38881817"/>
    <w:rsid w:val="388F1CB6"/>
    <w:rsid w:val="3890445B"/>
    <w:rsid w:val="3896258C"/>
    <w:rsid w:val="389D79DA"/>
    <w:rsid w:val="38AD0590"/>
    <w:rsid w:val="38B34AB8"/>
    <w:rsid w:val="38B92CC5"/>
    <w:rsid w:val="38C94FAE"/>
    <w:rsid w:val="38C962C5"/>
    <w:rsid w:val="38CD1317"/>
    <w:rsid w:val="38CF35B3"/>
    <w:rsid w:val="38D10D9B"/>
    <w:rsid w:val="38D5645B"/>
    <w:rsid w:val="38E6285C"/>
    <w:rsid w:val="38E9483B"/>
    <w:rsid w:val="38F26B50"/>
    <w:rsid w:val="38F93967"/>
    <w:rsid w:val="38FC391D"/>
    <w:rsid w:val="38FD6C96"/>
    <w:rsid w:val="390147DD"/>
    <w:rsid w:val="390260DE"/>
    <w:rsid w:val="39062644"/>
    <w:rsid w:val="390D38D6"/>
    <w:rsid w:val="3915490E"/>
    <w:rsid w:val="391679B1"/>
    <w:rsid w:val="391A7854"/>
    <w:rsid w:val="391E3F54"/>
    <w:rsid w:val="39204288"/>
    <w:rsid w:val="392D3B7F"/>
    <w:rsid w:val="393830FA"/>
    <w:rsid w:val="393833DE"/>
    <w:rsid w:val="394003B9"/>
    <w:rsid w:val="394E5345"/>
    <w:rsid w:val="394F32E1"/>
    <w:rsid w:val="395609F2"/>
    <w:rsid w:val="396757F2"/>
    <w:rsid w:val="396D30B5"/>
    <w:rsid w:val="39740E2C"/>
    <w:rsid w:val="397848ED"/>
    <w:rsid w:val="39885AF0"/>
    <w:rsid w:val="39885E93"/>
    <w:rsid w:val="39930AB5"/>
    <w:rsid w:val="39AF2D6C"/>
    <w:rsid w:val="39AF69A7"/>
    <w:rsid w:val="39B063CB"/>
    <w:rsid w:val="39B34D44"/>
    <w:rsid w:val="39B51DB7"/>
    <w:rsid w:val="39BC0E06"/>
    <w:rsid w:val="39BC0FA1"/>
    <w:rsid w:val="39BC4C66"/>
    <w:rsid w:val="39BF22DC"/>
    <w:rsid w:val="39C3672B"/>
    <w:rsid w:val="39CA5CAA"/>
    <w:rsid w:val="39CB357D"/>
    <w:rsid w:val="39D456E5"/>
    <w:rsid w:val="39D70756"/>
    <w:rsid w:val="39E7098F"/>
    <w:rsid w:val="39ED2791"/>
    <w:rsid w:val="39F72B6C"/>
    <w:rsid w:val="39FC31D5"/>
    <w:rsid w:val="3A066689"/>
    <w:rsid w:val="3A112F16"/>
    <w:rsid w:val="3A134801"/>
    <w:rsid w:val="3A150217"/>
    <w:rsid w:val="3A18667F"/>
    <w:rsid w:val="3A1F15C6"/>
    <w:rsid w:val="3A283332"/>
    <w:rsid w:val="3A345252"/>
    <w:rsid w:val="3A4B1430"/>
    <w:rsid w:val="3A4B5EF7"/>
    <w:rsid w:val="3A615851"/>
    <w:rsid w:val="3A6827C4"/>
    <w:rsid w:val="3A6D458A"/>
    <w:rsid w:val="3A6E04A7"/>
    <w:rsid w:val="3A8850FA"/>
    <w:rsid w:val="3A9459E4"/>
    <w:rsid w:val="3A9647CF"/>
    <w:rsid w:val="3A994BE0"/>
    <w:rsid w:val="3AA26D2B"/>
    <w:rsid w:val="3AB10219"/>
    <w:rsid w:val="3AB2023E"/>
    <w:rsid w:val="3AB51DE8"/>
    <w:rsid w:val="3ABA00E8"/>
    <w:rsid w:val="3ABD0F4D"/>
    <w:rsid w:val="3AD804EF"/>
    <w:rsid w:val="3AD831EC"/>
    <w:rsid w:val="3ADC6026"/>
    <w:rsid w:val="3ADD74C5"/>
    <w:rsid w:val="3ADE5033"/>
    <w:rsid w:val="3AE05C75"/>
    <w:rsid w:val="3AE50C89"/>
    <w:rsid w:val="3AE6528A"/>
    <w:rsid w:val="3AF27B1D"/>
    <w:rsid w:val="3AF32EC7"/>
    <w:rsid w:val="3AF5419C"/>
    <w:rsid w:val="3AFD41ED"/>
    <w:rsid w:val="3AFE05FA"/>
    <w:rsid w:val="3B0449A7"/>
    <w:rsid w:val="3B077EBD"/>
    <w:rsid w:val="3B0906E8"/>
    <w:rsid w:val="3B0E2E41"/>
    <w:rsid w:val="3B164C84"/>
    <w:rsid w:val="3B1842B9"/>
    <w:rsid w:val="3B1F6E25"/>
    <w:rsid w:val="3B37719C"/>
    <w:rsid w:val="3B3F1EE5"/>
    <w:rsid w:val="3B406E27"/>
    <w:rsid w:val="3B4D324D"/>
    <w:rsid w:val="3B564D48"/>
    <w:rsid w:val="3B5737D8"/>
    <w:rsid w:val="3B584922"/>
    <w:rsid w:val="3B5E55E3"/>
    <w:rsid w:val="3B5F5192"/>
    <w:rsid w:val="3B640B20"/>
    <w:rsid w:val="3B6806E0"/>
    <w:rsid w:val="3B681834"/>
    <w:rsid w:val="3B6A0EF4"/>
    <w:rsid w:val="3B7047FD"/>
    <w:rsid w:val="3B732B05"/>
    <w:rsid w:val="3B774787"/>
    <w:rsid w:val="3B7878FD"/>
    <w:rsid w:val="3B7E12C4"/>
    <w:rsid w:val="3B7F2571"/>
    <w:rsid w:val="3B860900"/>
    <w:rsid w:val="3B8D5741"/>
    <w:rsid w:val="3B8E4191"/>
    <w:rsid w:val="3B963961"/>
    <w:rsid w:val="3B970630"/>
    <w:rsid w:val="3B9E3202"/>
    <w:rsid w:val="3BA0035B"/>
    <w:rsid w:val="3BA34FD1"/>
    <w:rsid w:val="3BAD63E7"/>
    <w:rsid w:val="3BAF7695"/>
    <w:rsid w:val="3BBE1E51"/>
    <w:rsid w:val="3BCC32B4"/>
    <w:rsid w:val="3BD145E3"/>
    <w:rsid w:val="3BD36717"/>
    <w:rsid w:val="3BE77A6A"/>
    <w:rsid w:val="3BF24F9D"/>
    <w:rsid w:val="3BF3592C"/>
    <w:rsid w:val="3BF377C6"/>
    <w:rsid w:val="3C084DC9"/>
    <w:rsid w:val="3C161B79"/>
    <w:rsid w:val="3C220487"/>
    <w:rsid w:val="3C2E7140"/>
    <w:rsid w:val="3C3735B2"/>
    <w:rsid w:val="3C3F2D1D"/>
    <w:rsid w:val="3C403538"/>
    <w:rsid w:val="3C4138C0"/>
    <w:rsid w:val="3C49330E"/>
    <w:rsid w:val="3C533FC5"/>
    <w:rsid w:val="3C595391"/>
    <w:rsid w:val="3C6670D4"/>
    <w:rsid w:val="3C6B21C5"/>
    <w:rsid w:val="3C6E15F6"/>
    <w:rsid w:val="3C7C1E48"/>
    <w:rsid w:val="3C7C53DB"/>
    <w:rsid w:val="3C8637F9"/>
    <w:rsid w:val="3C8869A6"/>
    <w:rsid w:val="3C92106E"/>
    <w:rsid w:val="3C963EAE"/>
    <w:rsid w:val="3C9845E6"/>
    <w:rsid w:val="3C9C7698"/>
    <w:rsid w:val="3C9E0363"/>
    <w:rsid w:val="3CA03497"/>
    <w:rsid w:val="3CA20D5D"/>
    <w:rsid w:val="3CA85C14"/>
    <w:rsid w:val="3CAF04A5"/>
    <w:rsid w:val="3CAF0DC5"/>
    <w:rsid w:val="3CBA6D46"/>
    <w:rsid w:val="3CCD3AEF"/>
    <w:rsid w:val="3CCD74B4"/>
    <w:rsid w:val="3CE070F2"/>
    <w:rsid w:val="3CE7067E"/>
    <w:rsid w:val="3CE72E9D"/>
    <w:rsid w:val="3CE82DC6"/>
    <w:rsid w:val="3CEB67FB"/>
    <w:rsid w:val="3CEE650A"/>
    <w:rsid w:val="3CF73D47"/>
    <w:rsid w:val="3D00155F"/>
    <w:rsid w:val="3D036FFB"/>
    <w:rsid w:val="3D0B5547"/>
    <w:rsid w:val="3D0D4148"/>
    <w:rsid w:val="3D0E02D9"/>
    <w:rsid w:val="3D1321B9"/>
    <w:rsid w:val="3D251027"/>
    <w:rsid w:val="3D3078E7"/>
    <w:rsid w:val="3D3311D0"/>
    <w:rsid w:val="3D461EA0"/>
    <w:rsid w:val="3D4F55DB"/>
    <w:rsid w:val="3D535DC2"/>
    <w:rsid w:val="3D5769E0"/>
    <w:rsid w:val="3D580B2F"/>
    <w:rsid w:val="3D5F7E7D"/>
    <w:rsid w:val="3D692095"/>
    <w:rsid w:val="3D6A0E88"/>
    <w:rsid w:val="3D72764B"/>
    <w:rsid w:val="3D7C6A4F"/>
    <w:rsid w:val="3D817810"/>
    <w:rsid w:val="3D85084E"/>
    <w:rsid w:val="3D855B66"/>
    <w:rsid w:val="3D87306D"/>
    <w:rsid w:val="3D897BF9"/>
    <w:rsid w:val="3D983346"/>
    <w:rsid w:val="3D9D10F1"/>
    <w:rsid w:val="3DA111E2"/>
    <w:rsid w:val="3DA15BC0"/>
    <w:rsid w:val="3DA31136"/>
    <w:rsid w:val="3DA5407C"/>
    <w:rsid w:val="3DA9783F"/>
    <w:rsid w:val="3DAB601B"/>
    <w:rsid w:val="3DB272DE"/>
    <w:rsid w:val="3DB529B7"/>
    <w:rsid w:val="3DC556A1"/>
    <w:rsid w:val="3DCF20E9"/>
    <w:rsid w:val="3DD100B6"/>
    <w:rsid w:val="3DD97917"/>
    <w:rsid w:val="3DDF4456"/>
    <w:rsid w:val="3DE07F77"/>
    <w:rsid w:val="3DE4519D"/>
    <w:rsid w:val="3DE70882"/>
    <w:rsid w:val="3DEE6F1E"/>
    <w:rsid w:val="3DF07CEA"/>
    <w:rsid w:val="3DF94B21"/>
    <w:rsid w:val="3DF9627A"/>
    <w:rsid w:val="3E067F04"/>
    <w:rsid w:val="3E0D2606"/>
    <w:rsid w:val="3E0D6922"/>
    <w:rsid w:val="3E114B99"/>
    <w:rsid w:val="3E132E4B"/>
    <w:rsid w:val="3E19621C"/>
    <w:rsid w:val="3E220349"/>
    <w:rsid w:val="3E2778A7"/>
    <w:rsid w:val="3E290A8C"/>
    <w:rsid w:val="3E2B0009"/>
    <w:rsid w:val="3E2C1846"/>
    <w:rsid w:val="3E365545"/>
    <w:rsid w:val="3E3D3208"/>
    <w:rsid w:val="3E4F5F5D"/>
    <w:rsid w:val="3E5056C5"/>
    <w:rsid w:val="3E544685"/>
    <w:rsid w:val="3E5E1CE5"/>
    <w:rsid w:val="3E6B658D"/>
    <w:rsid w:val="3E6E5B77"/>
    <w:rsid w:val="3E7A3A52"/>
    <w:rsid w:val="3E90170B"/>
    <w:rsid w:val="3E9A34B8"/>
    <w:rsid w:val="3E9D5F5C"/>
    <w:rsid w:val="3EA272AE"/>
    <w:rsid w:val="3EA5031D"/>
    <w:rsid w:val="3EAF2E5F"/>
    <w:rsid w:val="3EBD3FD7"/>
    <w:rsid w:val="3EBE2961"/>
    <w:rsid w:val="3EBF5FDC"/>
    <w:rsid w:val="3ECE45B3"/>
    <w:rsid w:val="3ECF0DD7"/>
    <w:rsid w:val="3ECF246D"/>
    <w:rsid w:val="3ED906D1"/>
    <w:rsid w:val="3EDC0871"/>
    <w:rsid w:val="3EDD08A9"/>
    <w:rsid w:val="3EEA3D64"/>
    <w:rsid w:val="3EF06658"/>
    <w:rsid w:val="3EFF33D0"/>
    <w:rsid w:val="3F002744"/>
    <w:rsid w:val="3F055C43"/>
    <w:rsid w:val="3F067775"/>
    <w:rsid w:val="3F0962B6"/>
    <w:rsid w:val="3F1A294C"/>
    <w:rsid w:val="3F2375AD"/>
    <w:rsid w:val="3F241DA5"/>
    <w:rsid w:val="3F2977A3"/>
    <w:rsid w:val="3F341115"/>
    <w:rsid w:val="3F392560"/>
    <w:rsid w:val="3F3E72C6"/>
    <w:rsid w:val="3F466309"/>
    <w:rsid w:val="3F467D47"/>
    <w:rsid w:val="3F5801E3"/>
    <w:rsid w:val="3F5C7B73"/>
    <w:rsid w:val="3F671EBF"/>
    <w:rsid w:val="3F6740FA"/>
    <w:rsid w:val="3F6B2538"/>
    <w:rsid w:val="3F6E5AB4"/>
    <w:rsid w:val="3F6F352C"/>
    <w:rsid w:val="3F713B16"/>
    <w:rsid w:val="3F716F27"/>
    <w:rsid w:val="3F7A6ED6"/>
    <w:rsid w:val="3F8702F8"/>
    <w:rsid w:val="3F8D54F7"/>
    <w:rsid w:val="3F93512E"/>
    <w:rsid w:val="3F9F621C"/>
    <w:rsid w:val="3FAA702C"/>
    <w:rsid w:val="3FAF1CF7"/>
    <w:rsid w:val="3FB135A0"/>
    <w:rsid w:val="3FB57FF9"/>
    <w:rsid w:val="3FC24465"/>
    <w:rsid w:val="3FC91F2F"/>
    <w:rsid w:val="3FCF6414"/>
    <w:rsid w:val="3FE21587"/>
    <w:rsid w:val="3FE87B60"/>
    <w:rsid w:val="3FE9327A"/>
    <w:rsid w:val="3FEA445D"/>
    <w:rsid w:val="3FEB7D75"/>
    <w:rsid w:val="3FFB1D3F"/>
    <w:rsid w:val="400017A7"/>
    <w:rsid w:val="40071065"/>
    <w:rsid w:val="40091A61"/>
    <w:rsid w:val="400E4CF5"/>
    <w:rsid w:val="400E5775"/>
    <w:rsid w:val="40107588"/>
    <w:rsid w:val="401129E8"/>
    <w:rsid w:val="40144725"/>
    <w:rsid w:val="40250EA7"/>
    <w:rsid w:val="402D1C75"/>
    <w:rsid w:val="40322636"/>
    <w:rsid w:val="403D4A3B"/>
    <w:rsid w:val="404142C8"/>
    <w:rsid w:val="40490B7F"/>
    <w:rsid w:val="404E7B52"/>
    <w:rsid w:val="40535E6E"/>
    <w:rsid w:val="4059234E"/>
    <w:rsid w:val="4059428C"/>
    <w:rsid w:val="405B6404"/>
    <w:rsid w:val="40655F6A"/>
    <w:rsid w:val="40683163"/>
    <w:rsid w:val="40695943"/>
    <w:rsid w:val="406A02D0"/>
    <w:rsid w:val="407059A6"/>
    <w:rsid w:val="40755F11"/>
    <w:rsid w:val="407E76C3"/>
    <w:rsid w:val="408515C3"/>
    <w:rsid w:val="408B34A2"/>
    <w:rsid w:val="40984C71"/>
    <w:rsid w:val="409A25DA"/>
    <w:rsid w:val="40A61783"/>
    <w:rsid w:val="40AC1354"/>
    <w:rsid w:val="40AC76FF"/>
    <w:rsid w:val="40B02772"/>
    <w:rsid w:val="40D22AC8"/>
    <w:rsid w:val="40D87EC6"/>
    <w:rsid w:val="40E811D7"/>
    <w:rsid w:val="40EE290A"/>
    <w:rsid w:val="40F33BDF"/>
    <w:rsid w:val="40F50874"/>
    <w:rsid w:val="40FA6169"/>
    <w:rsid w:val="41027E46"/>
    <w:rsid w:val="410D59B0"/>
    <w:rsid w:val="4117055A"/>
    <w:rsid w:val="411C23AD"/>
    <w:rsid w:val="41225B79"/>
    <w:rsid w:val="412655E8"/>
    <w:rsid w:val="414D1ED4"/>
    <w:rsid w:val="415879F9"/>
    <w:rsid w:val="4160710C"/>
    <w:rsid w:val="416507E7"/>
    <w:rsid w:val="417828FC"/>
    <w:rsid w:val="418B2971"/>
    <w:rsid w:val="419461C5"/>
    <w:rsid w:val="419F0D0A"/>
    <w:rsid w:val="41A368AC"/>
    <w:rsid w:val="41A7165D"/>
    <w:rsid w:val="41AA029C"/>
    <w:rsid w:val="41AA3C79"/>
    <w:rsid w:val="41AD7E12"/>
    <w:rsid w:val="41BA1B2F"/>
    <w:rsid w:val="41BA5D5F"/>
    <w:rsid w:val="41C02E27"/>
    <w:rsid w:val="41C268A5"/>
    <w:rsid w:val="41C35679"/>
    <w:rsid w:val="41C835E8"/>
    <w:rsid w:val="41C87E9E"/>
    <w:rsid w:val="41CA074D"/>
    <w:rsid w:val="41CA2A19"/>
    <w:rsid w:val="41CB1BC8"/>
    <w:rsid w:val="41DB4F1C"/>
    <w:rsid w:val="41E0560C"/>
    <w:rsid w:val="41E269A0"/>
    <w:rsid w:val="41EF3219"/>
    <w:rsid w:val="421D6DC9"/>
    <w:rsid w:val="42351E55"/>
    <w:rsid w:val="423B125A"/>
    <w:rsid w:val="424F4403"/>
    <w:rsid w:val="425127FD"/>
    <w:rsid w:val="42512DB7"/>
    <w:rsid w:val="425226BE"/>
    <w:rsid w:val="42527DD9"/>
    <w:rsid w:val="425360F1"/>
    <w:rsid w:val="4261529D"/>
    <w:rsid w:val="42620FD2"/>
    <w:rsid w:val="42642D4C"/>
    <w:rsid w:val="426F0E0F"/>
    <w:rsid w:val="42777FB0"/>
    <w:rsid w:val="428A545F"/>
    <w:rsid w:val="429214DA"/>
    <w:rsid w:val="429E547C"/>
    <w:rsid w:val="429F48FD"/>
    <w:rsid w:val="42A82E77"/>
    <w:rsid w:val="42B32A74"/>
    <w:rsid w:val="42BF5BD5"/>
    <w:rsid w:val="42CB448D"/>
    <w:rsid w:val="42CB6DE8"/>
    <w:rsid w:val="42D610C1"/>
    <w:rsid w:val="42DA70B6"/>
    <w:rsid w:val="42FF667E"/>
    <w:rsid w:val="43032817"/>
    <w:rsid w:val="43033215"/>
    <w:rsid w:val="430333B7"/>
    <w:rsid w:val="4306292E"/>
    <w:rsid w:val="430C6E34"/>
    <w:rsid w:val="430E6E67"/>
    <w:rsid w:val="43171C72"/>
    <w:rsid w:val="431C56C9"/>
    <w:rsid w:val="43230082"/>
    <w:rsid w:val="43247181"/>
    <w:rsid w:val="4326304C"/>
    <w:rsid w:val="432A707D"/>
    <w:rsid w:val="432B2CEE"/>
    <w:rsid w:val="43340991"/>
    <w:rsid w:val="43390874"/>
    <w:rsid w:val="433A58F5"/>
    <w:rsid w:val="433C7141"/>
    <w:rsid w:val="433D539C"/>
    <w:rsid w:val="4341790B"/>
    <w:rsid w:val="43417EBE"/>
    <w:rsid w:val="43424CC6"/>
    <w:rsid w:val="43430BE2"/>
    <w:rsid w:val="435947AE"/>
    <w:rsid w:val="43625225"/>
    <w:rsid w:val="43690E17"/>
    <w:rsid w:val="436A0894"/>
    <w:rsid w:val="436A7015"/>
    <w:rsid w:val="436C0F68"/>
    <w:rsid w:val="437619F6"/>
    <w:rsid w:val="437A420A"/>
    <w:rsid w:val="439E150B"/>
    <w:rsid w:val="43A95E3D"/>
    <w:rsid w:val="43B5141B"/>
    <w:rsid w:val="43C039F1"/>
    <w:rsid w:val="43C30A38"/>
    <w:rsid w:val="43C43079"/>
    <w:rsid w:val="43CA51A1"/>
    <w:rsid w:val="43CD39FB"/>
    <w:rsid w:val="43E119B1"/>
    <w:rsid w:val="43E22742"/>
    <w:rsid w:val="43E93954"/>
    <w:rsid w:val="43ED0801"/>
    <w:rsid w:val="43F04919"/>
    <w:rsid w:val="43F21B30"/>
    <w:rsid w:val="43F229C7"/>
    <w:rsid w:val="43F85D0D"/>
    <w:rsid w:val="43FA3918"/>
    <w:rsid w:val="43FE6D8D"/>
    <w:rsid w:val="44045F83"/>
    <w:rsid w:val="44070E4A"/>
    <w:rsid w:val="440E4228"/>
    <w:rsid w:val="44101E60"/>
    <w:rsid w:val="44126861"/>
    <w:rsid w:val="44152D57"/>
    <w:rsid w:val="441661B2"/>
    <w:rsid w:val="441A592A"/>
    <w:rsid w:val="443B2805"/>
    <w:rsid w:val="4448268D"/>
    <w:rsid w:val="444B7576"/>
    <w:rsid w:val="445E2B80"/>
    <w:rsid w:val="446D313A"/>
    <w:rsid w:val="446E39A7"/>
    <w:rsid w:val="44707798"/>
    <w:rsid w:val="447D3816"/>
    <w:rsid w:val="44907F74"/>
    <w:rsid w:val="4493501F"/>
    <w:rsid w:val="449E3243"/>
    <w:rsid w:val="44A10C67"/>
    <w:rsid w:val="44A15904"/>
    <w:rsid w:val="44A92B73"/>
    <w:rsid w:val="44B41A0B"/>
    <w:rsid w:val="44B5672F"/>
    <w:rsid w:val="44B56764"/>
    <w:rsid w:val="44B641E6"/>
    <w:rsid w:val="44BA24AF"/>
    <w:rsid w:val="44BC0390"/>
    <w:rsid w:val="44C24B6A"/>
    <w:rsid w:val="44CA6E63"/>
    <w:rsid w:val="44D168B7"/>
    <w:rsid w:val="44D22FCE"/>
    <w:rsid w:val="44D314AC"/>
    <w:rsid w:val="44D51BD8"/>
    <w:rsid w:val="44D75147"/>
    <w:rsid w:val="44E1589B"/>
    <w:rsid w:val="44E3746F"/>
    <w:rsid w:val="44EA1A58"/>
    <w:rsid w:val="45060499"/>
    <w:rsid w:val="450B2EA2"/>
    <w:rsid w:val="451B002B"/>
    <w:rsid w:val="451D3372"/>
    <w:rsid w:val="45235EA8"/>
    <w:rsid w:val="45247D98"/>
    <w:rsid w:val="452D0CE4"/>
    <w:rsid w:val="452E6576"/>
    <w:rsid w:val="453F34FB"/>
    <w:rsid w:val="454016CB"/>
    <w:rsid w:val="45424787"/>
    <w:rsid w:val="454C4DFE"/>
    <w:rsid w:val="454F2AC6"/>
    <w:rsid w:val="455178F5"/>
    <w:rsid w:val="4553743B"/>
    <w:rsid w:val="455908CC"/>
    <w:rsid w:val="455B248C"/>
    <w:rsid w:val="456A550A"/>
    <w:rsid w:val="45750985"/>
    <w:rsid w:val="45777E99"/>
    <w:rsid w:val="45790267"/>
    <w:rsid w:val="4584764C"/>
    <w:rsid w:val="459071CD"/>
    <w:rsid w:val="45930E23"/>
    <w:rsid w:val="459B711B"/>
    <w:rsid w:val="459D7260"/>
    <w:rsid w:val="45A76F7C"/>
    <w:rsid w:val="45C02575"/>
    <w:rsid w:val="45C35F56"/>
    <w:rsid w:val="45C759FC"/>
    <w:rsid w:val="45CC3139"/>
    <w:rsid w:val="45DF53E1"/>
    <w:rsid w:val="45F1014A"/>
    <w:rsid w:val="45F54D9E"/>
    <w:rsid w:val="46063801"/>
    <w:rsid w:val="460C0BB3"/>
    <w:rsid w:val="46124C7D"/>
    <w:rsid w:val="461C1BE2"/>
    <w:rsid w:val="461E45F3"/>
    <w:rsid w:val="462814E5"/>
    <w:rsid w:val="46454E2C"/>
    <w:rsid w:val="46502C70"/>
    <w:rsid w:val="4651274E"/>
    <w:rsid w:val="465950AB"/>
    <w:rsid w:val="465A1A1C"/>
    <w:rsid w:val="465B3A03"/>
    <w:rsid w:val="465C0217"/>
    <w:rsid w:val="465E77AD"/>
    <w:rsid w:val="4668674D"/>
    <w:rsid w:val="466F4020"/>
    <w:rsid w:val="466F5876"/>
    <w:rsid w:val="46752CFD"/>
    <w:rsid w:val="46783938"/>
    <w:rsid w:val="468D636B"/>
    <w:rsid w:val="469549BE"/>
    <w:rsid w:val="46990649"/>
    <w:rsid w:val="469D2CDA"/>
    <w:rsid w:val="46B2229D"/>
    <w:rsid w:val="46B41657"/>
    <w:rsid w:val="46BC0A3A"/>
    <w:rsid w:val="46BE4C89"/>
    <w:rsid w:val="46D56AC3"/>
    <w:rsid w:val="46D61570"/>
    <w:rsid w:val="46ED03AB"/>
    <w:rsid w:val="46ED08D5"/>
    <w:rsid w:val="46F07CC0"/>
    <w:rsid w:val="46F50DD4"/>
    <w:rsid w:val="470574E9"/>
    <w:rsid w:val="470903AC"/>
    <w:rsid w:val="472F0C97"/>
    <w:rsid w:val="47347960"/>
    <w:rsid w:val="47393775"/>
    <w:rsid w:val="473C676A"/>
    <w:rsid w:val="474F5EF2"/>
    <w:rsid w:val="47514F6B"/>
    <w:rsid w:val="47523E3D"/>
    <w:rsid w:val="475E46EE"/>
    <w:rsid w:val="476514C0"/>
    <w:rsid w:val="47683497"/>
    <w:rsid w:val="47686861"/>
    <w:rsid w:val="47747CA8"/>
    <w:rsid w:val="478512DB"/>
    <w:rsid w:val="478965F0"/>
    <w:rsid w:val="478D20AE"/>
    <w:rsid w:val="47963B13"/>
    <w:rsid w:val="47A71E86"/>
    <w:rsid w:val="47A85D2E"/>
    <w:rsid w:val="47A97791"/>
    <w:rsid w:val="47AE3FFE"/>
    <w:rsid w:val="47B07376"/>
    <w:rsid w:val="47B94B4F"/>
    <w:rsid w:val="47C974E5"/>
    <w:rsid w:val="47CE76C2"/>
    <w:rsid w:val="47D228F9"/>
    <w:rsid w:val="47E174DD"/>
    <w:rsid w:val="47E22A34"/>
    <w:rsid w:val="47ED241A"/>
    <w:rsid w:val="4808744C"/>
    <w:rsid w:val="48134018"/>
    <w:rsid w:val="4820455C"/>
    <w:rsid w:val="48220277"/>
    <w:rsid w:val="48231E14"/>
    <w:rsid w:val="482D74A2"/>
    <w:rsid w:val="482F0E90"/>
    <w:rsid w:val="483A3732"/>
    <w:rsid w:val="483F6AA6"/>
    <w:rsid w:val="484054A7"/>
    <w:rsid w:val="484512A3"/>
    <w:rsid w:val="48464310"/>
    <w:rsid w:val="484A6721"/>
    <w:rsid w:val="484E3A7A"/>
    <w:rsid w:val="485D293E"/>
    <w:rsid w:val="48670993"/>
    <w:rsid w:val="48684DD9"/>
    <w:rsid w:val="486B7984"/>
    <w:rsid w:val="486F1B73"/>
    <w:rsid w:val="4874667D"/>
    <w:rsid w:val="48853469"/>
    <w:rsid w:val="489025AE"/>
    <w:rsid w:val="489061CF"/>
    <w:rsid w:val="48961D3A"/>
    <w:rsid w:val="489E4399"/>
    <w:rsid w:val="48A01E79"/>
    <w:rsid w:val="48AB6375"/>
    <w:rsid w:val="48B45955"/>
    <w:rsid w:val="48BB2FA7"/>
    <w:rsid w:val="48C06D94"/>
    <w:rsid w:val="48C12D9B"/>
    <w:rsid w:val="48D36F8B"/>
    <w:rsid w:val="48D42D99"/>
    <w:rsid w:val="48D44F9C"/>
    <w:rsid w:val="48D51ACF"/>
    <w:rsid w:val="48D934F4"/>
    <w:rsid w:val="48E5489A"/>
    <w:rsid w:val="48E7500A"/>
    <w:rsid w:val="48EE5B5C"/>
    <w:rsid w:val="48F845D1"/>
    <w:rsid w:val="48F87B83"/>
    <w:rsid w:val="48FA2E86"/>
    <w:rsid w:val="48FE2804"/>
    <w:rsid w:val="4903505A"/>
    <w:rsid w:val="4905685E"/>
    <w:rsid w:val="490E1D51"/>
    <w:rsid w:val="490F13CB"/>
    <w:rsid w:val="490F2915"/>
    <w:rsid w:val="49181063"/>
    <w:rsid w:val="491D26CC"/>
    <w:rsid w:val="4922706C"/>
    <w:rsid w:val="49242479"/>
    <w:rsid w:val="49286D92"/>
    <w:rsid w:val="49366102"/>
    <w:rsid w:val="494E0DA0"/>
    <w:rsid w:val="49546298"/>
    <w:rsid w:val="495A1BDA"/>
    <w:rsid w:val="495B7664"/>
    <w:rsid w:val="4964153C"/>
    <w:rsid w:val="4964213B"/>
    <w:rsid w:val="4965365C"/>
    <w:rsid w:val="496558C0"/>
    <w:rsid w:val="496757B6"/>
    <w:rsid w:val="496850D1"/>
    <w:rsid w:val="496858D1"/>
    <w:rsid w:val="496E485E"/>
    <w:rsid w:val="496E78CA"/>
    <w:rsid w:val="497549A9"/>
    <w:rsid w:val="49760B11"/>
    <w:rsid w:val="497B03F3"/>
    <w:rsid w:val="497E67CE"/>
    <w:rsid w:val="4984430E"/>
    <w:rsid w:val="498443AB"/>
    <w:rsid w:val="49881638"/>
    <w:rsid w:val="49906509"/>
    <w:rsid w:val="499612B6"/>
    <w:rsid w:val="49A27EB0"/>
    <w:rsid w:val="49A37B80"/>
    <w:rsid w:val="49A53015"/>
    <w:rsid w:val="49AC119D"/>
    <w:rsid w:val="49B10A4D"/>
    <w:rsid w:val="49BA4AA5"/>
    <w:rsid w:val="49C26C5D"/>
    <w:rsid w:val="49C54407"/>
    <w:rsid w:val="49C7048F"/>
    <w:rsid w:val="49D032F7"/>
    <w:rsid w:val="49D34483"/>
    <w:rsid w:val="49D56946"/>
    <w:rsid w:val="49DB3542"/>
    <w:rsid w:val="49DD5529"/>
    <w:rsid w:val="49DD7AFF"/>
    <w:rsid w:val="49E56E11"/>
    <w:rsid w:val="49E81A18"/>
    <w:rsid w:val="49E8760C"/>
    <w:rsid w:val="4A007976"/>
    <w:rsid w:val="4A113345"/>
    <w:rsid w:val="4A144268"/>
    <w:rsid w:val="4A1A2B66"/>
    <w:rsid w:val="4A1B2104"/>
    <w:rsid w:val="4A2D409A"/>
    <w:rsid w:val="4A385CA8"/>
    <w:rsid w:val="4A3C0717"/>
    <w:rsid w:val="4A3C430F"/>
    <w:rsid w:val="4A3F2375"/>
    <w:rsid w:val="4A4635FB"/>
    <w:rsid w:val="4A505658"/>
    <w:rsid w:val="4A51006E"/>
    <w:rsid w:val="4A545081"/>
    <w:rsid w:val="4A5564A2"/>
    <w:rsid w:val="4A5F23A9"/>
    <w:rsid w:val="4A626809"/>
    <w:rsid w:val="4A633708"/>
    <w:rsid w:val="4A64778B"/>
    <w:rsid w:val="4A6C6172"/>
    <w:rsid w:val="4A7E2413"/>
    <w:rsid w:val="4A7F2A8F"/>
    <w:rsid w:val="4A7F2D06"/>
    <w:rsid w:val="4A846AB5"/>
    <w:rsid w:val="4A890339"/>
    <w:rsid w:val="4A8C23C9"/>
    <w:rsid w:val="4AA21AA5"/>
    <w:rsid w:val="4AA56D62"/>
    <w:rsid w:val="4AA9077B"/>
    <w:rsid w:val="4AB467DE"/>
    <w:rsid w:val="4ABD44E4"/>
    <w:rsid w:val="4ABF085E"/>
    <w:rsid w:val="4ACB46AE"/>
    <w:rsid w:val="4AD45BBB"/>
    <w:rsid w:val="4AD65BE2"/>
    <w:rsid w:val="4ADE4268"/>
    <w:rsid w:val="4AE4204A"/>
    <w:rsid w:val="4AE62AB5"/>
    <w:rsid w:val="4AF22B2C"/>
    <w:rsid w:val="4AF8633C"/>
    <w:rsid w:val="4AFA31B2"/>
    <w:rsid w:val="4AFF0390"/>
    <w:rsid w:val="4B036FFA"/>
    <w:rsid w:val="4B0723AE"/>
    <w:rsid w:val="4B0E66ED"/>
    <w:rsid w:val="4B1C1CAA"/>
    <w:rsid w:val="4B1C3282"/>
    <w:rsid w:val="4B234B96"/>
    <w:rsid w:val="4B283247"/>
    <w:rsid w:val="4B2F4EE2"/>
    <w:rsid w:val="4B3A6AF9"/>
    <w:rsid w:val="4B422DA1"/>
    <w:rsid w:val="4B4578D1"/>
    <w:rsid w:val="4B496B0D"/>
    <w:rsid w:val="4B4D1363"/>
    <w:rsid w:val="4B5A75CF"/>
    <w:rsid w:val="4B6365E6"/>
    <w:rsid w:val="4B6730D2"/>
    <w:rsid w:val="4B683805"/>
    <w:rsid w:val="4B705D30"/>
    <w:rsid w:val="4B745285"/>
    <w:rsid w:val="4B756EFC"/>
    <w:rsid w:val="4B787B27"/>
    <w:rsid w:val="4B7A1E94"/>
    <w:rsid w:val="4B8A24E8"/>
    <w:rsid w:val="4B910569"/>
    <w:rsid w:val="4BA47231"/>
    <w:rsid w:val="4BA505B1"/>
    <w:rsid w:val="4BA6693E"/>
    <w:rsid w:val="4BB243EF"/>
    <w:rsid w:val="4BBB6904"/>
    <w:rsid w:val="4BBE2A1A"/>
    <w:rsid w:val="4BC01F42"/>
    <w:rsid w:val="4BC74E98"/>
    <w:rsid w:val="4BD926E4"/>
    <w:rsid w:val="4BDF2887"/>
    <w:rsid w:val="4BDF7940"/>
    <w:rsid w:val="4BE427D2"/>
    <w:rsid w:val="4BE75C01"/>
    <w:rsid w:val="4BF30950"/>
    <w:rsid w:val="4C0463DC"/>
    <w:rsid w:val="4C0E25DC"/>
    <w:rsid w:val="4C1427D0"/>
    <w:rsid w:val="4C166A92"/>
    <w:rsid w:val="4C341154"/>
    <w:rsid w:val="4C41748C"/>
    <w:rsid w:val="4C420306"/>
    <w:rsid w:val="4C4527FE"/>
    <w:rsid w:val="4C4D7870"/>
    <w:rsid w:val="4C4F4B2D"/>
    <w:rsid w:val="4C4F5212"/>
    <w:rsid w:val="4C537477"/>
    <w:rsid w:val="4C5D6C02"/>
    <w:rsid w:val="4C674A14"/>
    <w:rsid w:val="4C6B2550"/>
    <w:rsid w:val="4C745ED6"/>
    <w:rsid w:val="4C7F6BE7"/>
    <w:rsid w:val="4C8B1978"/>
    <w:rsid w:val="4C8F2D51"/>
    <w:rsid w:val="4C9341B2"/>
    <w:rsid w:val="4C9A416C"/>
    <w:rsid w:val="4C9F7BB6"/>
    <w:rsid w:val="4CB16988"/>
    <w:rsid w:val="4CCC276B"/>
    <w:rsid w:val="4CD24809"/>
    <w:rsid w:val="4CDC11D9"/>
    <w:rsid w:val="4CF211A4"/>
    <w:rsid w:val="4CF25C3E"/>
    <w:rsid w:val="4CFA3175"/>
    <w:rsid w:val="4CFB03F9"/>
    <w:rsid w:val="4CFF636F"/>
    <w:rsid w:val="4D0D057A"/>
    <w:rsid w:val="4D1A2842"/>
    <w:rsid w:val="4D244A69"/>
    <w:rsid w:val="4D2727A8"/>
    <w:rsid w:val="4D3A711D"/>
    <w:rsid w:val="4D3C44F1"/>
    <w:rsid w:val="4D4240FE"/>
    <w:rsid w:val="4D430684"/>
    <w:rsid w:val="4D4844E9"/>
    <w:rsid w:val="4D545682"/>
    <w:rsid w:val="4D565834"/>
    <w:rsid w:val="4D5D10D1"/>
    <w:rsid w:val="4D625CC6"/>
    <w:rsid w:val="4D6564DE"/>
    <w:rsid w:val="4D6B2420"/>
    <w:rsid w:val="4D7879D7"/>
    <w:rsid w:val="4D8E5F52"/>
    <w:rsid w:val="4D9070AC"/>
    <w:rsid w:val="4D912AD8"/>
    <w:rsid w:val="4D945464"/>
    <w:rsid w:val="4D960A9E"/>
    <w:rsid w:val="4DA32C94"/>
    <w:rsid w:val="4DAF20F0"/>
    <w:rsid w:val="4DB16A50"/>
    <w:rsid w:val="4DB36FCC"/>
    <w:rsid w:val="4DB73C51"/>
    <w:rsid w:val="4DC05668"/>
    <w:rsid w:val="4DC3468A"/>
    <w:rsid w:val="4DC46141"/>
    <w:rsid w:val="4DC653AF"/>
    <w:rsid w:val="4DC832BD"/>
    <w:rsid w:val="4DD443B8"/>
    <w:rsid w:val="4DE76C3E"/>
    <w:rsid w:val="4DEA4621"/>
    <w:rsid w:val="4DF16CAD"/>
    <w:rsid w:val="4E082793"/>
    <w:rsid w:val="4E0C2254"/>
    <w:rsid w:val="4E135F48"/>
    <w:rsid w:val="4E187E54"/>
    <w:rsid w:val="4E1C58F6"/>
    <w:rsid w:val="4E211188"/>
    <w:rsid w:val="4E291D68"/>
    <w:rsid w:val="4E3B0034"/>
    <w:rsid w:val="4E3C1A9D"/>
    <w:rsid w:val="4E411886"/>
    <w:rsid w:val="4E4B7A0F"/>
    <w:rsid w:val="4E52159E"/>
    <w:rsid w:val="4E5B16FE"/>
    <w:rsid w:val="4E610E0F"/>
    <w:rsid w:val="4E6A60D0"/>
    <w:rsid w:val="4E87309E"/>
    <w:rsid w:val="4E983A73"/>
    <w:rsid w:val="4EA94351"/>
    <w:rsid w:val="4EAB768A"/>
    <w:rsid w:val="4EB5015E"/>
    <w:rsid w:val="4EBB05DD"/>
    <w:rsid w:val="4EC74873"/>
    <w:rsid w:val="4ECC1545"/>
    <w:rsid w:val="4ED511B6"/>
    <w:rsid w:val="4ED6077A"/>
    <w:rsid w:val="4ED83024"/>
    <w:rsid w:val="4ED925EF"/>
    <w:rsid w:val="4EDF605F"/>
    <w:rsid w:val="4EE91BE9"/>
    <w:rsid w:val="4EE94331"/>
    <w:rsid w:val="4EF331CD"/>
    <w:rsid w:val="4EF41C9A"/>
    <w:rsid w:val="4F03755F"/>
    <w:rsid w:val="4F132634"/>
    <w:rsid w:val="4F17491F"/>
    <w:rsid w:val="4F1A5F19"/>
    <w:rsid w:val="4F1B5827"/>
    <w:rsid w:val="4F244D31"/>
    <w:rsid w:val="4F261D33"/>
    <w:rsid w:val="4F3B61D2"/>
    <w:rsid w:val="4F4402E2"/>
    <w:rsid w:val="4F4A586A"/>
    <w:rsid w:val="4F4E7069"/>
    <w:rsid w:val="4F51161A"/>
    <w:rsid w:val="4F80291F"/>
    <w:rsid w:val="4F802C72"/>
    <w:rsid w:val="4F8838EA"/>
    <w:rsid w:val="4F8A3C91"/>
    <w:rsid w:val="4F8B71FF"/>
    <w:rsid w:val="4F921A58"/>
    <w:rsid w:val="4F976ED3"/>
    <w:rsid w:val="4F9A425A"/>
    <w:rsid w:val="4F9B573C"/>
    <w:rsid w:val="4FAC7F15"/>
    <w:rsid w:val="4FB25AA7"/>
    <w:rsid w:val="4FB803DA"/>
    <w:rsid w:val="4FBD54CE"/>
    <w:rsid w:val="4FC2434A"/>
    <w:rsid w:val="4FDA4ACB"/>
    <w:rsid w:val="4FDA5758"/>
    <w:rsid w:val="4FDA7EDC"/>
    <w:rsid w:val="4FDB0AA9"/>
    <w:rsid w:val="4FE10265"/>
    <w:rsid w:val="4FEE56E8"/>
    <w:rsid w:val="4FEF6D5C"/>
    <w:rsid w:val="4FF271DB"/>
    <w:rsid w:val="4FFC46BF"/>
    <w:rsid w:val="50073B7A"/>
    <w:rsid w:val="500770EC"/>
    <w:rsid w:val="501735CC"/>
    <w:rsid w:val="501F3CDE"/>
    <w:rsid w:val="502152EF"/>
    <w:rsid w:val="502D00E2"/>
    <w:rsid w:val="50316F39"/>
    <w:rsid w:val="503543B5"/>
    <w:rsid w:val="503933E1"/>
    <w:rsid w:val="50474956"/>
    <w:rsid w:val="504B77CF"/>
    <w:rsid w:val="5052468A"/>
    <w:rsid w:val="50531B7F"/>
    <w:rsid w:val="5053536D"/>
    <w:rsid w:val="505B22B5"/>
    <w:rsid w:val="505B3D7F"/>
    <w:rsid w:val="505C3D66"/>
    <w:rsid w:val="505E7AF3"/>
    <w:rsid w:val="50623006"/>
    <w:rsid w:val="50744A23"/>
    <w:rsid w:val="507A3B51"/>
    <w:rsid w:val="507A3F7D"/>
    <w:rsid w:val="507D1F65"/>
    <w:rsid w:val="50805F3E"/>
    <w:rsid w:val="508D41A0"/>
    <w:rsid w:val="50957AA3"/>
    <w:rsid w:val="509B5B70"/>
    <w:rsid w:val="50A50D8F"/>
    <w:rsid w:val="50AB264C"/>
    <w:rsid w:val="50B03889"/>
    <w:rsid w:val="50B045A0"/>
    <w:rsid w:val="50B1416B"/>
    <w:rsid w:val="50BC2275"/>
    <w:rsid w:val="50BE0E11"/>
    <w:rsid w:val="50C7146B"/>
    <w:rsid w:val="50CA54D9"/>
    <w:rsid w:val="50D30057"/>
    <w:rsid w:val="50D47350"/>
    <w:rsid w:val="50D91C91"/>
    <w:rsid w:val="50DF69B8"/>
    <w:rsid w:val="50EB2BFD"/>
    <w:rsid w:val="50F642F5"/>
    <w:rsid w:val="50F800A3"/>
    <w:rsid w:val="50FB5595"/>
    <w:rsid w:val="50FD3621"/>
    <w:rsid w:val="510876CC"/>
    <w:rsid w:val="510B7846"/>
    <w:rsid w:val="510E4DDE"/>
    <w:rsid w:val="511A1569"/>
    <w:rsid w:val="512074A5"/>
    <w:rsid w:val="51252DFF"/>
    <w:rsid w:val="512F4195"/>
    <w:rsid w:val="51317B35"/>
    <w:rsid w:val="51333330"/>
    <w:rsid w:val="513443B6"/>
    <w:rsid w:val="513465B9"/>
    <w:rsid w:val="51471FAF"/>
    <w:rsid w:val="51543AD2"/>
    <w:rsid w:val="51580883"/>
    <w:rsid w:val="516069EB"/>
    <w:rsid w:val="516D0CB0"/>
    <w:rsid w:val="5172114A"/>
    <w:rsid w:val="51742347"/>
    <w:rsid w:val="51750517"/>
    <w:rsid w:val="51780B1F"/>
    <w:rsid w:val="51797328"/>
    <w:rsid w:val="517B6B05"/>
    <w:rsid w:val="518013A9"/>
    <w:rsid w:val="518757D0"/>
    <w:rsid w:val="518A3933"/>
    <w:rsid w:val="518B09E6"/>
    <w:rsid w:val="5190361A"/>
    <w:rsid w:val="51932C69"/>
    <w:rsid w:val="519B79FE"/>
    <w:rsid w:val="51A55966"/>
    <w:rsid w:val="51A72CF2"/>
    <w:rsid w:val="51B43C52"/>
    <w:rsid w:val="51B75448"/>
    <w:rsid w:val="51B91607"/>
    <w:rsid w:val="51C6090B"/>
    <w:rsid w:val="51D02868"/>
    <w:rsid w:val="51EA5EC7"/>
    <w:rsid w:val="51EC7EC0"/>
    <w:rsid w:val="52126B72"/>
    <w:rsid w:val="521426FF"/>
    <w:rsid w:val="521D1AEC"/>
    <w:rsid w:val="521E45CF"/>
    <w:rsid w:val="522713F3"/>
    <w:rsid w:val="52296FAE"/>
    <w:rsid w:val="52354499"/>
    <w:rsid w:val="523B52D6"/>
    <w:rsid w:val="523C190C"/>
    <w:rsid w:val="5244424A"/>
    <w:rsid w:val="525339C6"/>
    <w:rsid w:val="52536E74"/>
    <w:rsid w:val="526D4CBE"/>
    <w:rsid w:val="52831C6B"/>
    <w:rsid w:val="52914A3B"/>
    <w:rsid w:val="52917015"/>
    <w:rsid w:val="5292797F"/>
    <w:rsid w:val="5299437F"/>
    <w:rsid w:val="529A217C"/>
    <w:rsid w:val="529D5043"/>
    <w:rsid w:val="52AE0A91"/>
    <w:rsid w:val="52B414E6"/>
    <w:rsid w:val="52BE02B3"/>
    <w:rsid w:val="52C07C4E"/>
    <w:rsid w:val="52C26B48"/>
    <w:rsid w:val="52CA33EB"/>
    <w:rsid w:val="52D11B37"/>
    <w:rsid w:val="52D12D80"/>
    <w:rsid w:val="52DC4DA2"/>
    <w:rsid w:val="52E106B9"/>
    <w:rsid w:val="52E376B9"/>
    <w:rsid w:val="52E402E7"/>
    <w:rsid w:val="52E84E0F"/>
    <w:rsid w:val="52EE32E5"/>
    <w:rsid w:val="52EF5072"/>
    <w:rsid w:val="52F01392"/>
    <w:rsid w:val="52F7669C"/>
    <w:rsid w:val="52FA4929"/>
    <w:rsid w:val="53013264"/>
    <w:rsid w:val="5301688C"/>
    <w:rsid w:val="530829DD"/>
    <w:rsid w:val="53173670"/>
    <w:rsid w:val="531F0A33"/>
    <w:rsid w:val="53246601"/>
    <w:rsid w:val="532A4E49"/>
    <w:rsid w:val="5340717C"/>
    <w:rsid w:val="53441F48"/>
    <w:rsid w:val="534E1BC0"/>
    <w:rsid w:val="534E43D2"/>
    <w:rsid w:val="535109BC"/>
    <w:rsid w:val="53586068"/>
    <w:rsid w:val="53602B53"/>
    <w:rsid w:val="53697A60"/>
    <w:rsid w:val="536C6588"/>
    <w:rsid w:val="53734D7C"/>
    <w:rsid w:val="53787A5A"/>
    <w:rsid w:val="53927266"/>
    <w:rsid w:val="5393318C"/>
    <w:rsid w:val="539638BF"/>
    <w:rsid w:val="53994F14"/>
    <w:rsid w:val="539C60D2"/>
    <w:rsid w:val="53A403FF"/>
    <w:rsid w:val="53A4371B"/>
    <w:rsid w:val="53B640F7"/>
    <w:rsid w:val="53C101A1"/>
    <w:rsid w:val="53C55924"/>
    <w:rsid w:val="53CA72B3"/>
    <w:rsid w:val="53D363B9"/>
    <w:rsid w:val="53D86E04"/>
    <w:rsid w:val="53DF18B3"/>
    <w:rsid w:val="53E521C6"/>
    <w:rsid w:val="53E97679"/>
    <w:rsid w:val="53EA2F86"/>
    <w:rsid w:val="53F11795"/>
    <w:rsid w:val="53FF77B9"/>
    <w:rsid w:val="540045D7"/>
    <w:rsid w:val="54075497"/>
    <w:rsid w:val="540F2A62"/>
    <w:rsid w:val="541003AB"/>
    <w:rsid w:val="541509D8"/>
    <w:rsid w:val="541A3930"/>
    <w:rsid w:val="54271A02"/>
    <w:rsid w:val="5427331F"/>
    <w:rsid w:val="54325F2F"/>
    <w:rsid w:val="543C01D7"/>
    <w:rsid w:val="54413F40"/>
    <w:rsid w:val="544A3DB3"/>
    <w:rsid w:val="544E44E5"/>
    <w:rsid w:val="54501407"/>
    <w:rsid w:val="545674EB"/>
    <w:rsid w:val="54591AA5"/>
    <w:rsid w:val="54603D22"/>
    <w:rsid w:val="546E5213"/>
    <w:rsid w:val="547B04A1"/>
    <w:rsid w:val="547C1A13"/>
    <w:rsid w:val="547D21CB"/>
    <w:rsid w:val="547F4D21"/>
    <w:rsid w:val="54820C9A"/>
    <w:rsid w:val="548C6169"/>
    <w:rsid w:val="5498773B"/>
    <w:rsid w:val="549E573D"/>
    <w:rsid w:val="54A14786"/>
    <w:rsid w:val="54A15038"/>
    <w:rsid w:val="54A22656"/>
    <w:rsid w:val="54AB6BEA"/>
    <w:rsid w:val="54AF473E"/>
    <w:rsid w:val="54AF5E9D"/>
    <w:rsid w:val="54C06892"/>
    <w:rsid w:val="54C25D55"/>
    <w:rsid w:val="54CB639A"/>
    <w:rsid w:val="54DA410C"/>
    <w:rsid w:val="54DE1168"/>
    <w:rsid w:val="54E51765"/>
    <w:rsid w:val="54E93A37"/>
    <w:rsid w:val="54ED0A5D"/>
    <w:rsid w:val="54F112EB"/>
    <w:rsid w:val="54F5485B"/>
    <w:rsid w:val="54FB4BCF"/>
    <w:rsid w:val="55052117"/>
    <w:rsid w:val="550717E8"/>
    <w:rsid w:val="550D033E"/>
    <w:rsid w:val="55147B83"/>
    <w:rsid w:val="551529B9"/>
    <w:rsid w:val="55156193"/>
    <w:rsid w:val="55206E8B"/>
    <w:rsid w:val="55235FFC"/>
    <w:rsid w:val="552812D8"/>
    <w:rsid w:val="5530012B"/>
    <w:rsid w:val="55364F0A"/>
    <w:rsid w:val="55507CC2"/>
    <w:rsid w:val="555E4A5A"/>
    <w:rsid w:val="555F71D2"/>
    <w:rsid w:val="5563297F"/>
    <w:rsid w:val="5566089F"/>
    <w:rsid w:val="55681D4D"/>
    <w:rsid w:val="556A7EDB"/>
    <w:rsid w:val="55770908"/>
    <w:rsid w:val="557E5D50"/>
    <w:rsid w:val="5596021D"/>
    <w:rsid w:val="559A7D39"/>
    <w:rsid w:val="559F7BA6"/>
    <w:rsid w:val="55A27752"/>
    <w:rsid w:val="55A471DB"/>
    <w:rsid w:val="55A836DC"/>
    <w:rsid w:val="55AA2602"/>
    <w:rsid w:val="55AE46FD"/>
    <w:rsid w:val="55B76AA2"/>
    <w:rsid w:val="55BB5F89"/>
    <w:rsid w:val="55CA6A02"/>
    <w:rsid w:val="55CC05AF"/>
    <w:rsid w:val="55CE7269"/>
    <w:rsid w:val="55D425AE"/>
    <w:rsid w:val="55D42D58"/>
    <w:rsid w:val="55D75377"/>
    <w:rsid w:val="55D83C8F"/>
    <w:rsid w:val="55D97FA8"/>
    <w:rsid w:val="55DA16A0"/>
    <w:rsid w:val="55DC63A1"/>
    <w:rsid w:val="55E10F4B"/>
    <w:rsid w:val="55E303B4"/>
    <w:rsid w:val="55EC2F9C"/>
    <w:rsid w:val="55EE5246"/>
    <w:rsid w:val="55F06CB6"/>
    <w:rsid w:val="56000396"/>
    <w:rsid w:val="56047AAB"/>
    <w:rsid w:val="560E6920"/>
    <w:rsid w:val="561A2EED"/>
    <w:rsid w:val="561F14E5"/>
    <w:rsid w:val="56283526"/>
    <w:rsid w:val="563312DD"/>
    <w:rsid w:val="5638075F"/>
    <w:rsid w:val="56395B94"/>
    <w:rsid w:val="564717C6"/>
    <w:rsid w:val="56512FF3"/>
    <w:rsid w:val="565501FA"/>
    <w:rsid w:val="56553CEA"/>
    <w:rsid w:val="566A7A45"/>
    <w:rsid w:val="566B714A"/>
    <w:rsid w:val="567479C9"/>
    <w:rsid w:val="56857F1A"/>
    <w:rsid w:val="56863A87"/>
    <w:rsid w:val="56875890"/>
    <w:rsid w:val="5689155F"/>
    <w:rsid w:val="568F062B"/>
    <w:rsid w:val="56931278"/>
    <w:rsid w:val="569431CE"/>
    <w:rsid w:val="569D707D"/>
    <w:rsid w:val="56A83928"/>
    <w:rsid w:val="56AF38EC"/>
    <w:rsid w:val="56B20472"/>
    <w:rsid w:val="56C740BA"/>
    <w:rsid w:val="56C87056"/>
    <w:rsid w:val="56D31D6E"/>
    <w:rsid w:val="56D801C2"/>
    <w:rsid w:val="56E95239"/>
    <w:rsid w:val="56EB1713"/>
    <w:rsid w:val="56ED4A72"/>
    <w:rsid w:val="56FE6D37"/>
    <w:rsid w:val="56FF3518"/>
    <w:rsid w:val="570138C9"/>
    <w:rsid w:val="570222FA"/>
    <w:rsid w:val="57054455"/>
    <w:rsid w:val="57074225"/>
    <w:rsid w:val="570A1355"/>
    <w:rsid w:val="57107B10"/>
    <w:rsid w:val="5714710B"/>
    <w:rsid w:val="571F3EA1"/>
    <w:rsid w:val="57246432"/>
    <w:rsid w:val="57256FC8"/>
    <w:rsid w:val="57296A89"/>
    <w:rsid w:val="57325886"/>
    <w:rsid w:val="57362416"/>
    <w:rsid w:val="573E1F5B"/>
    <w:rsid w:val="57400EFF"/>
    <w:rsid w:val="5748145A"/>
    <w:rsid w:val="57487D7B"/>
    <w:rsid w:val="574A259D"/>
    <w:rsid w:val="57781252"/>
    <w:rsid w:val="578421DA"/>
    <w:rsid w:val="57846750"/>
    <w:rsid w:val="57852955"/>
    <w:rsid w:val="578D7046"/>
    <w:rsid w:val="57952DD8"/>
    <w:rsid w:val="579B37C7"/>
    <w:rsid w:val="57A474F7"/>
    <w:rsid w:val="57BD3DE8"/>
    <w:rsid w:val="57BE67A1"/>
    <w:rsid w:val="57C36E41"/>
    <w:rsid w:val="57CA284B"/>
    <w:rsid w:val="57CD783D"/>
    <w:rsid w:val="57CF64EE"/>
    <w:rsid w:val="57D57E38"/>
    <w:rsid w:val="57DF5BDE"/>
    <w:rsid w:val="57E0530C"/>
    <w:rsid w:val="57E956BD"/>
    <w:rsid w:val="57EF14B6"/>
    <w:rsid w:val="580B0EF2"/>
    <w:rsid w:val="580C3E92"/>
    <w:rsid w:val="580F7807"/>
    <w:rsid w:val="581D7EBF"/>
    <w:rsid w:val="581F1DB0"/>
    <w:rsid w:val="581F3748"/>
    <w:rsid w:val="58222C16"/>
    <w:rsid w:val="582410C2"/>
    <w:rsid w:val="58271947"/>
    <w:rsid w:val="58373CEA"/>
    <w:rsid w:val="58480F05"/>
    <w:rsid w:val="584B0BC0"/>
    <w:rsid w:val="5856673C"/>
    <w:rsid w:val="585D2A67"/>
    <w:rsid w:val="58626016"/>
    <w:rsid w:val="586B7D8E"/>
    <w:rsid w:val="587369C7"/>
    <w:rsid w:val="58783FD4"/>
    <w:rsid w:val="587D410A"/>
    <w:rsid w:val="58802B17"/>
    <w:rsid w:val="58813A6D"/>
    <w:rsid w:val="588D7D01"/>
    <w:rsid w:val="588E088D"/>
    <w:rsid w:val="589D3791"/>
    <w:rsid w:val="58B211EE"/>
    <w:rsid w:val="58B6741C"/>
    <w:rsid w:val="58BE49C9"/>
    <w:rsid w:val="58C00E4C"/>
    <w:rsid w:val="58CE578F"/>
    <w:rsid w:val="58CE6A03"/>
    <w:rsid w:val="58D12A83"/>
    <w:rsid w:val="58D266E9"/>
    <w:rsid w:val="58D9522D"/>
    <w:rsid w:val="58DD3CBA"/>
    <w:rsid w:val="58E15149"/>
    <w:rsid w:val="58F4625B"/>
    <w:rsid w:val="58F70DD8"/>
    <w:rsid w:val="590158C5"/>
    <w:rsid w:val="59044A80"/>
    <w:rsid w:val="59087758"/>
    <w:rsid w:val="590923D1"/>
    <w:rsid w:val="59133C5C"/>
    <w:rsid w:val="59180478"/>
    <w:rsid w:val="5918630D"/>
    <w:rsid w:val="591D0487"/>
    <w:rsid w:val="59200784"/>
    <w:rsid w:val="59281283"/>
    <w:rsid w:val="59380315"/>
    <w:rsid w:val="593B0268"/>
    <w:rsid w:val="593B2DBF"/>
    <w:rsid w:val="59422409"/>
    <w:rsid w:val="59472C1A"/>
    <w:rsid w:val="594A0A59"/>
    <w:rsid w:val="59563E62"/>
    <w:rsid w:val="595C314E"/>
    <w:rsid w:val="596279A4"/>
    <w:rsid w:val="596D1D9A"/>
    <w:rsid w:val="597A6803"/>
    <w:rsid w:val="597B1353"/>
    <w:rsid w:val="597C79E7"/>
    <w:rsid w:val="597D65F7"/>
    <w:rsid w:val="598C6025"/>
    <w:rsid w:val="598C6300"/>
    <w:rsid w:val="59947630"/>
    <w:rsid w:val="599C2BE4"/>
    <w:rsid w:val="599F467C"/>
    <w:rsid w:val="59AB5BC5"/>
    <w:rsid w:val="59C11500"/>
    <w:rsid w:val="59CD5F66"/>
    <w:rsid w:val="59F93BC6"/>
    <w:rsid w:val="59FE1431"/>
    <w:rsid w:val="5A1E1E87"/>
    <w:rsid w:val="5A227FE6"/>
    <w:rsid w:val="5A243873"/>
    <w:rsid w:val="5A3C1E9E"/>
    <w:rsid w:val="5A424AEA"/>
    <w:rsid w:val="5A4815D5"/>
    <w:rsid w:val="5A4D6E30"/>
    <w:rsid w:val="5A587536"/>
    <w:rsid w:val="5A5C65A8"/>
    <w:rsid w:val="5A5C6725"/>
    <w:rsid w:val="5A5F44FE"/>
    <w:rsid w:val="5A617446"/>
    <w:rsid w:val="5A62791E"/>
    <w:rsid w:val="5A6362E7"/>
    <w:rsid w:val="5A6626D7"/>
    <w:rsid w:val="5A671163"/>
    <w:rsid w:val="5A6E6AB0"/>
    <w:rsid w:val="5A6E6BE0"/>
    <w:rsid w:val="5A745245"/>
    <w:rsid w:val="5A79579B"/>
    <w:rsid w:val="5A805825"/>
    <w:rsid w:val="5A836F66"/>
    <w:rsid w:val="5A894807"/>
    <w:rsid w:val="5A896AFF"/>
    <w:rsid w:val="5A920893"/>
    <w:rsid w:val="5AA02525"/>
    <w:rsid w:val="5AA223EB"/>
    <w:rsid w:val="5AA4170C"/>
    <w:rsid w:val="5AA42DA1"/>
    <w:rsid w:val="5AAA4994"/>
    <w:rsid w:val="5AB229DC"/>
    <w:rsid w:val="5AB96520"/>
    <w:rsid w:val="5ABE6BFC"/>
    <w:rsid w:val="5AC05758"/>
    <w:rsid w:val="5AC40ABC"/>
    <w:rsid w:val="5AE51F2C"/>
    <w:rsid w:val="5AE72765"/>
    <w:rsid w:val="5AEB5E24"/>
    <w:rsid w:val="5AF25908"/>
    <w:rsid w:val="5AFB55CA"/>
    <w:rsid w:val="5B0809E8"/>
    <w:rsid w:val="5B0A127C"/>
    <w:rsid w:val="5B1713B8"/>
    <w:rsid w:val="5B1F28A7"/>
    <w:rsid w:val="5B1F325C"/>
    <w:rsid w:val="5B272DEB"/>
    <w:rsid w:val="5B2B2114"/>
    <w:rsid w:val="5B325CBC"/>
    <w:rsid w:val="5B34790D"/>
    <w:rsid w:val="5B3C5C3D"/>
    <w:rsid w:val="5B3E2B30"/>
    <w:rsid w:val="5B422CE7"/>
    <w:rsid w:val="5B466DBB"/>
    <w:rsid w:val="5B5406DF"/>
    <w:rsid w:val="5B5F2F8F"/>
    <w:rsid w:val="5B6637ED"/>
    <w:rsid w:val="5B6A1D3C"/>
    <w:rsid w:val="5B714F43"/>
    <w:rsid w:val="5B7530A0"/>
    <w:rsid w:val="5B7C5363"/>
    <w:rsid w:val="5B81225F"/>
    <w:rsid w:val="5B853CE8"/>
    <w:rsid w:val="5B863280"/>
    <w:rsid w:val="5B8F3835"/>
    <w:rsid w:val="5B962235"/>
    <w:rsid w:val="5B9724BB"/>
    <w:rsid w:val="5BA95CAA"/>
    <w:rsid w:val="5BAC6C0A"/>
    <w:rsid w:val="5BB25EF6"/>
    <w:rsid w:val="5BB55CB4"/>
    <w:rsid w:val="5BBF0B04"/>
    <w:rsid w:val="5BC904C0"/>
    <w:rsid w:val="5BCB268A"/>
    <w:rsid w:val="5BCB28EF"/>
    <w:rsid w:val="5BCB6FB1"/>
    <w:rsid w:val="5BCE2B70"/>
    <w:rsid w:val="5BEC4A30"/>
    <w:rsid w:val="5BF20683"/>
    <w:rsid w:val="5BF4572B"/>
    <w:rsid w:val="5BFB7DDD"/>
    <w:rsid w:val="5BFE5B45"/>
    <w:rsid w:val="5C03394B"/>
    <w:rsid w:val="5C0B0301"/>
    <w:rsid w:val="5C105C43"/>
    <w:rsid w:val="5C1F4BD4"/>
    <w:rsid w:val="5C2101E7"/>
    <w:rsid w:val="5C2B759B"/>
    <w:rsid w:val="5C347E0B"/>
    <w:rsid w:val="5C357C56"/>
    <w:rsid w:val="5C3D1157"/>
    <w:rsid w:val="5C6710F6"/>
    <w:rsid w:val="5C753ACE"/>
    <w:rsid w:val="5C8368A8"/>
    <w:rsid w:val="5C8B05BE"/>
    <w:rsid w:val="5C8E56B7"/>
    <w:rsid w:val="5C973F66"/>
    <w:rsid w:val="5CA90FEF"/>
    <w:rsid w:val="5CAB7B31"/>
    <w:rsid w:val="5CAF79CB"/>
    <w:rsid w:val="5CB12FD7"/>
    <w:rsid w:val="5CB714BE"/>
    <w:rsid w:val="5CBD48A1"/>
    <w:rsid w:val="5CC2139A"/>
    <w:rsid w:val="5CC61B2C"/>
    <w:rsid w:val="5CCF3F60"/>
    <w:rsid w:val="5CDF1453"/>
    <w:rsid w:val="5CE00A0B"/>
    <w:rsid w:val="5CE168F8"/>
    <w:rsid w:val="5CE554A1"/>
    <w:rsid w:val="5CE616B8"/>
    <w:rsid w:val="5CE712B8"/>
    <w:rsid w:val="5CF75BA3"/>
    <w:rsid w:val="5D0108F6"/>
    <w:rsid w:val="5D146012"/>
    <w:rsid w:val="5D190EFF"/>
    <w:rsid w:val="5D193EDD"/>
    <w:rsid w:val="5D1F61DE"/>
    <w:rsid w:val="5D252E1F"/>
    <w:rsid w:val="5D280DB6"/>
    <w:rsid w:val="5D2825DE"/>
    <w:rsid w:val="5D2A0E39"/>
    <w:rsid w:val="5D315E7A"/>
    <w:rsid w:val="5D4D3D12"/>
    <w:rsid w:val="5D527180"/>
    <w:rsid w:val="5D582F2D"/>
    <w:rsid w:val="5D62190D"/>
    <w:rsid w:val="5D642111"/>
    <w:rsid w:val="5D6D0A3A"/>
    <w:rsid w:val="5D6F0D1A"/>
    <w:rsid w:val="5D714B9B"/>
    <w:rsid w:val="5D7D1347"/>
    <w:rsid w:val="5D7F7900"/>
    <w:rsid w:val="5D820C7A"/>
    <w:rsid w:val="5D836BA5"/>
    <w:rsid w:val="5D857A72"/>
    <w:rsid w:val="5D8930ED"/>
    <w:rsid w:val="5D8B470F"/>
    <w:rsid w:val="5D8E23A7"/>
    <w:rsid w:val="5D8F6D0F"/>
    <w:rsid w:val="5DA13A34"/>
    <w:rsid w:val="5DA60329"/>
    <w:rsid w:val="5DA64EA6"/>
    <w:rsid w:val="5DA76EC6"/>
    <w:rsid w:val="5DB20E17"/>
    <w:rsid w:val="5DBA443A"/>
    <w:rsid w:val="5DC5374C"/>
    <w:rsid w:val="5DC64C54"/>
    <w:rsid w:val="5DCE0E80"/>
    <w:rsid w:val="5DCE4284"/>
    <w:rsid w:val="5DD0013C"/>
    <w:rsid w:val="5DDB0780"/>
    <w:rsid w:val="5DE12819"/>
    <w:rsid w:val="5DE655B4"/>
    <w:rsid w:val="5DFD7562"/>
    <w:rsid w:val="5E001B2A"/>
    <w:rsid w:val="5E0871B7"/>
    <w:rsid w:val="5E0944A1"/>
    <w:rsid w:val="5E0B6DBE"/>
    <w:rsid w:val="5E0C4CE4"/>
    <w:rsid w:val="5E16062B"/>
    <w:rsid w:val="5E1755D8"/>
    <w:rsid w:val="5E214BE2"/>
    <w:rsid w:val="5E295FD5"/>
    <w:rsid w:val="5E2E661F"/>
    <w:rsid w:val="5E31716B"/>
    <w:rsid w:val="5E352235"/>
    <w:rsid w:val="5E406625"/>
    <w:rsid w:val="5E46325C"/>
    <w:rsid w:val="5E4A0CAD"/>
    <w:rsid w:val="5E4A117F"/>
    <w:rsid w:val="5E5C296A"/>
    <w:rsid w:val="5E605FDF"/>
    <w:rsid w:val="5E6638D0"/>
    <w:rsid w:val="5E666D9A"/>
    <w:rsid w:val="5E693A4B"/>
    <w:rsid w:val="5E7045F8"/>
    <w:rsid w:val="5E710E1C"/>
    <w:rsid w:val="5E74174C"/>
    <w:rsid w:val="5E7607F8"/>
    <w:rsid w:val="5E7944ED"/>
    <w:rsid w:val="5E812565"/>
    <w:rsid w:val="5E840494"/>
    <w:rsid w:val="5E846AEC"/>
    <w:rsid w:val="5E916734"/>
    <w:rsid w:val="5EA748FC"/>
    <w:rsid w:val="5EA87A95"/>
    <w:rsid w:val="5EAE24FB"/>
    <w:rsid w:val="5EB828C8"/>
    <w:rsid w:val="5EC4092B"/>
    <w:rsid w:val="5EC82A8F"/>
    <w:rsid w:val="5ECD1BCC"/>
    <w:rsid w:val="5ED12679"/>
    <w:rsid w:val="5ED162FE"/>
    <w:rsid w:val="5ED732E4"/>
    <w:rsid w:val="5ED9741D"/>
    <w:rsid w:val="5EDB7132"/>
    <w:rsid w:val="5EDE25E9"/>
    <w:rsid w:val="5EE835D7"/>
    <w:rsid w:val="5EEC00C9"/>
    <w:rsid w:val="5EF04C82"/>
    <w:rsid w:val="5EF122FC"/>
    <w:rsid w:val="5EF1493E"/>
    <w:rsid w:val="5EF514A2"/>
    <w:rsid w:val="5EFA1A06"/>
    <w:rsid w:val="5F0401B2"/>
    <w:rsid w:val="5F09721D"/>
    <w:rsid w:val="5F132118"/>
    <w:rsid w:val="5F3267A2"/>
    <w:rsid w:val="5F326EA2"/>
    <w:rsid w:val="5F3312BC"/>
    <w:rsid w:val="5F353B44"/>
    <w:rsid w:val="5F3C1950"/>
    <w:rsid w:val="5F447C63"/>
    <w:rsid w:val="5F4F003E"/>
    <w:rsid w:val="5F5370D8"/>
    <w:rsid w:val="5F5A740E"/>
    <w:rsid w:val="5F636C89"/>
    <w:rsid w:val="5F653256"/>
    <w:rsid w:val="5F654A40"/>
    <w:rsid w:val="5F672CA1"/>
    <w:rsid w:val="5F713B05"/>
    <w:rsid w:val="5F7A273C"/>
    <w:rsid w:val="5F7D5C25"/>
    <w:rsid w:val="5F7F6963"/>
    <w:rsid w:val="5F85701A"/>
    <w:rsid w:val="5F8C4659"/>
    <w:rsid w:val="5F905FB6"/>
    <w:rsid w:val="5F951C42"/>
    <w:rsid w:val="5F9C3F21"/>
    <w:rsid w:val="5F9E757C"/>
    <w:rsid w:val="5F9F0103"/>
    <w:rsid w:val="5FA14694"/>
    <w:rsid w:val="5FAC36EE"/>
    <w:rsid w:val="5FC4396F"/>
    <w:rsid w:val="5FC6629D"/>
    <w:rsid w:val="5FCE19BD"/>
    <w:rsid w:val="5FD21E2D"/>
    <w:rsid w:val="5FD41CC6"/>
    <w:rsid w:val="5FD7459C"/>
    <w:rsid w:val="5FFA75B6"/>
    <w:rsid w:val="60036532"/>
    <w:rsid w:val="60042F08"/>
    <w:rsid w:val="60061EF7"/>
    <w:rsid w:val="600E7997"/>
    <w:rsid w:val="60130B3F"/>
    <w:rsid w:val="601E0B75"/>
    <w:rsid w:val="601E5B2B"/>
    <w:rsid w:val="601F5C63"/>
    <w:rsid w:val="6034140D"/>
    <w:rsid w:val="60475959"/>
    <w:rsid w:val="60477ED3"/>
    <w:rsid w:val="60503468"/>
    <w:rsid w:val="60506686"/>
    <w:rsid w:val="60511C6C"/>
    <w:rsid w:val="605124BF"/>
    <w:rsid w:val="606200EE"/>
    <w:rsid w:val="60641C49"/>
    <w:rsid w:val="60682B89"/>
    <w:rsid w:val="606C2791"/>
    <w:rsid w:val="606F401A"/>
    <w:rsid w:val="60705016"/>
    <w:rsid w:val="60705229"/>
    <w:rsid w:val="60741D99"/>
    <w:rsid w:val="6079519C"/>
    <w:rsid w:val="607B3E55"/>
    <w:rsid w:val="608041B9"/>
    <w:rsid w:val="60861E62"/>
    <w:rsid w:val="608A5413"/>
    <w:rsid w:val="608F71E8"/>
    <w:rsid w:val="60A95748"/>
    <w:rsid w:val="60AA059D"/>
    <w:rsid w:val="60BB0705"/>
    <w:rsid w:val="60C92946"/>
    <w:rsid w:val="60D631BA"/>
    <w:rsid w:val="60D81F27"/>
    <w:rsid w:val="60DC1D86"/>
    <w:rsid w:val="60E4012F"/>
    <w:rsid w:val="60E428CA"/>
    <w:rsid w:val="60E5007D"/>
    <w:rsid w:val="60F1770B"/>
    <w:rsid w:val="60F752C7"/>
    <w:rsid w:val="60FD3E70"/>
    <w:rsid w:val="610163EB"/>
    <w:rsid w:val="61093B35"/>
    <w:rsid w:val="61106555"/>
    <w:rsid w:val="61133187"/>
    <w:rsid w:val="611A4028"/>
    <w:rsid w:val="611C4D37"/>
    <w:rsid w:val="611F0E87"/>
    <w:rsid w:val="611F20EE"/>
    <w:rsid w:val="61214F13"/>
    <w:rsid w:val="61234230"/>
    <w:rsid w:val="61250DD7"/>
    <w:rsid w:val="61267CF0"/>
    <w:rsid w:val="612E33D1"/>
    <w:rsid w:val="61360C6B"/>
    <w:rsid w:val="614069CE"/>
    <w:rsid w:val="6143181C"/>
    <w:rsid w:val="61487DFD"/>
    <w:rsid w:val="61495740"/>
    <w:rsid w:val="614C04B6"/>
    <w:rsid w:val="614C3656"/>
    <w:rsid w:val="61594A1D"/>
    <w:rsid w:val="6166498A"/>
    <w:rsid w:val="616A12BA"/>
    <w:rsid w:val="616A50F2"/>
    <w:rsid w:val="616B02A1"/>
    <w:rsid w:val="616C5430"/>
    <w:rsid w:val="617337D1"/>
    <w:rsid w:val="617350C6"/>
    <w:rsid w:val="6175099A"/>
    <w:rsid w:val="617F3ACB"/>
    <w:rsid w:val="618418E7"/>
    <w:rsid w:val="618600D1"/>
    <w:rsid w:val="61894CFB"/>
    <w:rsid w:val="618A3A26"/>
    <w:rsid w:val="618D1110"/>
    <w:rsid w:val="619E2BB0"/>
    <w:rsid w:val="61A658F0"/>
    <w:rsid w:val="61B810B7"/>
    <w:rsid w:val="61B86DBD"/>
    <w:rsid w:val="61BD7778"/>
    <w:rsid w:val="61BF3BE4"/>
    <w:rsid w:val="61C37965"/>
    <w:rsid w:val="61CC131E"/>
    <w:rsid w:val="61D1471B"/>
    <w:rsid w:val="61D263FA"/>
    <w:rsid w:val="61E5487D"/>
    <w:rsid w:val="61E81ACD"/>
    <w:rsid w:val="61E931F4"/>
    <w:rsid w:val="61F34BF1"/>
    <w:rsid w:val="61FA3444"/>
    <w:rsid w:val="61FA622B"/>
    <w:rsid w:val="61FC2F67"/>
    <w:rsid w:val="61FE179C"/>
    <w:rsid w:val="61FF4B77"/>
    <w:rsid w:val="61FF4F2A"/>
    <w:rsid w:val="62001A2C"/>
    <w:rsid w:val="62025E96"/>
    <w:rsid w:val="620503BC"/>
    <w:rsid w:val="620603F1"/>
    <w:rsid w:val="620E6BC0"/>
    <w:rsid w:val="621503A3"/>
    <w:rsid w:val="62162E93"/>
    <w:rsid w:val="62173022"/>
    <w:rsid w:val="621A0187"/>
    <w:rsid w:val="621E752E"/>
    <w:rsid w:val="62201659"/>
    <w:rsid w:val="622338AD"/>
    <w:rsid w:val="623445E3"/>
    <w:rsid w:val="623B710F"/>
    <w:rsid w:val="624012D9"/>
    <w:rsid w:val="624C4B97"/>
    <w:rsid w:val="624E28E7"/>
    <w:rsid w:val="624F4A75"/>
    <w:rsid w:val="626A375A"/>
    <w:rsid w:val="6276686F"/>
    <w:rsid w:val="627D47FB"/>
    <w:rsid w:val="6280292E"/>
    <w:rsid w:val="628C4041"/>
    <w:rsid w:val="628C5E49"/>
    <w:rsid w:val="629929F0"/>
    <w:rsid w:val="629C25FF"/>
    <w:rsid w:val="629C743A"/>
    <w:rsid w:val="62A24726"/>
    <w:rsid w:val="62AA5588"/>
    <w:rsid w:val="62B70485"/>
    <w:rsid w:val="62BD171F"/>
    <w:rsid w:val="62CE5968"/>
    <w:rsid w:val="62DB33C2"/>
    <w:rsid w:val="62DD1AD3"/>
    <w:rsid w:val="62E26F44"/>
    <w:rsid w:val="62EE4885"/>
    <w:rsid w:val="62F160BA"/>
    <w:rsid w:val="62FC0A74"/>
    <w:rsid w:val="630D76E9"/>
    <w:rsid w:val="631017E1"/>
    <w:rsid w:val="63120AC3"/>
    <w:rsid w:val="63153E6B"/>
    <w:rsid w:val="631B3C1A"/>
    <w:rsid w:val="63203D04"/>
    <w:rsid w:val="63214173"/>
    <w:rsid w:val="63270143"/>
    <w:rsid w:val="633B528C"/>
    <w:rsid w:val="633E6798"/>
    <w:rsid w:val="633F7FA6"/>
    <w:rsid w:val="63426A4A"/>
    <w:rsid w:val="634B1081"/>
    <w:rsid w:val="634B1A2C"/>
    <w:rsid w:val="635408C2"/>
    <w:rsid w:val="63582475"/>
    <w:rsid w:val="635C6FCF"/>
    <w:rsid w:val="636A330A"/>
    <w:rsid w:val="63741A73"/>
    <w:rsid w:val="637570BB"/>
    <w:rsid w:val="63774433"/>
    <w:rsid w:val="637F45C7"/>
    <w:rsid w:val="638022C2"/>
    <w:rsid w:val="638C5BFD"/>
    <w:rsid w:val="63940758"/>
    <w:rsid w:val="63A235B5"/>
    <w:rsid w:val="63A4358E"/>
    <w:rsid w:val="63A4680C"/>
    <w:rsid w:val="63A52E68"/>
    <w:rsid w:val="63A762CD"/>
    <w:rsid w:val="63B90791"/>
    <w:rsid w:val="63C2496A"/>
    <w:rsid w:val="63C27D39"/>
    <w:rsid w:val="63C708FD"/>
    <w:rsid w:val="63CA1A13"/>
    <w:rsid w:val="63DA7B86"/>
    <w:rsid w:val="63E77990"/>
    <w:rsid w:val="63F418BB"/>
    <w:rsid w:val="63FD609B"/>
    <w:rsid w:val="640E6268"/>
    <w:rsid w:val="64102C15"/>
    <w:rsid w:val="641A3031"/>
    <w:rsid w:val="641E3D91"/>
    <w:rsid w:val="64271007"/>
    <w:rsid w:val="642D24FA"/>
    <w:rsid w:val="642E0375"/>
    <w:rsid w:val="643D1583"/>
    <w:rsid w:val="644A1DE4"/>
    <w:rsid w:val="644D45B7"/>
    <w:rsid w:val="64513A41"/>
    <w:rsid w:val="64571961"/>
    <w:rsid w:val="645850E7"/>
    <w:rsid w:val="645E099A"/>
    <w:rsid w:val="64607E03"/>
    <w:rsid w:val="646410AC"/>
    <w:rsid w:val="646A668C"/>
    <w:rsid w:val="646C11FC"/>
    <w:rsid w:val="646C42D8"/>
    <w:rsid w:val="647151AC"/>
    <w:rsid w:val="64773EF1"/>
    <w:rsid w:val="647A73E4"/>
    <w:rsid w:val="647E0857"/>
    <w:rsid w:val="648C3431"/>
    <w:rsid w:val="649D70C8"/>
    <w:rsid w:val="649E1617"/>
    <w:rsid w:val="64A2057A"/>
    <w:rsid w:val="64A403D6"/>
    <w:rsid w:val="64A96D4F"/>
    <w:rsid w:val="64AD7BD8"/>
    <w:rsid w:val="64BE6958"/>
    <w:rsid w:val="64D33AA8"/>
    <w:rsid w:val="64DA2A15"/>
    <w:rsid w:val="64DE0631"/>
    <w:rsid w:val="64DE7CEE"/>
    <w:rsid w:val="64E6525A"/>
    <w:rsid w:val="64E87568"/>
    <w:rsid w:val="64E87E62"/>
    <w:rsid w:val="64E92459"/>
    <w:rsid w:val="64EF49C1"/>
    <w:rsid w:val="64F15052"/>
    <w:rsid w:val="64F809B9"/>
    <w:rsid w:val="64F84138"/>
    <w:rsid w:val="650B51EE"/>
    <w:rsid w:val="650E4B8F"/>
    <w:rsid w:val="651E3E12"/>
    <w:rsid w:val="65361030"/>
    <w:rsid w:val="6536112F"/>
    <w:rsid w:val="6538581E"/>
    <w:rsid w:val="653F540C"/>
    <w:rsid w:val="65415D84"/>
    <w:rsid w:val="65427B72"/>
    <w:rsid w:val="654F01AC"/>
    <w:rsid w:val="655073CF"/>
    <w:rsid w:val="655A7B14"/>
    <w:rsid w:val="655B1E36"/>
    <w:rsid w:val="65653553"/>
    <w:rsid w:val="65670ADF"/>
    <w:rsid w:val="656E2F60"/>
    <w:rsid w:val="65845FF9"/>
    <w:rsid w:val="658E7182"/>
    <w:rsid w:val="65962332"/>
    <w:rsid w:val="659C2C2C"/>
    <w:rsid w:val="659F06EF"/>
    <w:rsid w:val="65A224A6"/>
    <w:rsid w:val="65A37415"/>
    <w:rsid w:val="65A72929"/>
    <w:rsid w:val="65A72970"/>
    <w:rsid w:val="65A76AF4"/>
    <w:rsid w:val="65A7776E"/>
    <w:rsid w:val="65AD1A85"/>
    <w:rsid w:val="65AE0607"/>
    <w:rsid w:val="65B746BA"/>
    <w:rsid w:val="65CD190E"/>
    <w:rsid w:val="65E00672"/>
    <w:rsid w:val="65F521A1"/>
    <w:rsid w:val="66024F5D"/>
    <w:rsid w:val="660A168C"/>
    <w:rsid w:val="660F0603"/>
    <w:rsid w:val="66127999"/>
    <w:rsid w:val="661357C3"/>
    <w:rsid w:val="661D61FD"/>
    <w:rsid w:val="662042BF"/>
    <w:rsid w:val="662266E5"/>
    <w:rsid w:val="662417A9"/>
    <w:rsid w:val="66292C66"/>
    <w:rsid w:val="662A7CB4"/>
    <w:rsid w:val="662B1757"/>
    <w:rsid w:val="66323A67"/>
    <w:rsid w:val="6639302A"/>
    <w:rsid w:val="66405476"/>
    <w:rsid w:val="665165C7"/>
    <w:rsid w:val="6656794F"/>
    <w:rsid w:val="665B5256"/>
    <w:rsid w:val="6660067B"/>
    <w:rsid w:val="66623D53"/>
    <w:rsid w:val="66626C83"/>
    <w:rsid w:val="66632008"/>
    <w:rsid w:val="66724797"/>
    <w:rsid w:val="66755BC5"/>
    <w:rsid w:val="6683459D"/>
    <w:rsid w:val="66920C2F"/>
    <w:rsid w:val="669B224E"/>
    <w:rsid w:val="669C6A7A"/>
    <w:rsid w:val="66A3514D"/>
    <w:rsid w:val="66CB33AF"/>
    <w:rsid w:val="66D0713E"/>
    <w:rsid w:val="66D40E27"/>
    <w:rsid w:val="66E32082"/>
    <w:rsid w:val="66E970F4"/>
    <w:rsid w:val="66F2409F"/>
    <w:rsid w:val="66FB6984"/>
    <w:rsid w:val="670739E8"/>
    <w:rsid w:val="67085407"/>
    <w:rsid w:val="671554EF"/>
    <w:rsid w:val="671618F9"/>
    <w:rsid w:val="67171F4B"/>
    <w:rsid w:val="672D63E1"/>
    <w:rsid w:val="672F01C8"/>
    <w:rsid w:val="673018C4"/>
    <w:rsid w:val="6736144E"/>
    <w:rsid w:val="6748124B"/>
    <w:rsid w:val="674E5BB0"/>
    <w:rsid w:val="6759152B"/>
    <w:rsid w:val="67593685"/>
    <w:rsid w:val="67595AC1"/>
    <w:rsid w:val="675B04EC"/>
    <w:rsid w:val="6760541D"/>
    <w:rsid w:val="6763028C"/>
    <w:rsid w:val="676F306B"/>
    <w:rsid w:val="677B730A"/>
    <w:rsid w:val="677C5F27"/>
    <w:rsid w:val="678858AD"/>
    <w:rsid w:val="67886FBE"/>
    <w:rsid w:val="679155DE"/>
    <w:rsid w:val="67A30B9A"/>
    <w:rsid w:val="67A74099"/>
    <w:rsid w:val="67B53FC6"/>
    <w:rsid w:val="67B5516B"/>
    <w:rsid w:val="67BF4F59"/>
    <w:rsid w:val="67C14C0F"/>
    <w:rsid w:val="67CD7650"/>
    <w:rsid w:val="67D37DC5"/>
    <w:rsid w:val="67D75C61"/>
    <w:rsid w:val="67DE2AEC"/>
    <w:rsid w:val="67E13EA2"/>
    <w:rsid w:val="67E87181"/>
    <w:rsid w:val="67EF0714"/>
    <w:rsid w:val="67F0161F"/>
    <w:rsid w:val="67F90B9F"/>
    <w:rsid w:val="67FE08C5"/>
    <w:rsid w:val="68031463"/>
    <w:rsid w:val="680D5949"/>
    <w:rsid w:val="68200963"/>
    <w:rsid w:val="6824356D"/>
    <w:rsid w:val="682A0B27"/>
    <w:rsid w:val="682D6EF8"/>
    <w:rsid w:val="683636B9"/>
    <w:rsid w:val="683816B2"/>
    <w:rsid w:val="683A6C89"/>
    <w:rsid w:val="685A64A8"/>
    <w:rsid w:val="685F2AB8"/>
    <w:rsid w:val="686443C7"/>
    <w:rsid w:val="6864739C"/>
    <w:rsid w:val="6866496B"/>
    <w:rsid w:val="686A0E6B"/>
    <w:rsid w:val="686A2990"/>
    <w:rsid w:val="68740838"/>
    <w:rsid w:val="687761D1"/>
    <w:rsid w:val="687B57FC"/>
    <w:rsid w:val="687B69A0"/>
    <w:rsid w:val="688F4292"/>
    <w:rsid w:val="68956F31"/>
    <w:rsid w:val="689D75A4"/>
    <w:rsid w:val="68A16668"/>
    <w:rsid w:val="68A30E87"/>
    <w:rsid w:val="68A417DA"/>
    <w:rsid w:val="68A63E12"/>
    <w:rsid w:val="68A77F86"/>
    <w:rsid w:val="68B265F1"/>
    <w:rsid w:val="68B67148"/>
    <w:rsid w:val="68CD7EA8"/>
    <w:rsid w:val="68D17983"/>
    <w:rsid w:val="68D7651B"/>
    <w:rsid w:val="68D870CA"/>
    <w:rsid w:val="68E71685"/>
    <w:rsid w:val="68F06346"/>
    <w:rsid w:val="68F36733"/>
    <w:rsid w:val="69002DA8"/>
    <w:rsid w:val="69031147"/>
    <w:rsid w:val="6903653E"/>
    <w:rsid w:val="690E39B8"/>
    <w:rsid w:val="690F6227"/>
    <w:rsid w:val="691D431D"/>
    <w:rsid w:val="692D07CA"/>
    <w:rsid w:val="69311C99"/>
    <w:rsid w:val="69312490"/>
    <w:rsid w:val="69602DE7"/>
    <w:rsid w:val="696748F0"/>
    <w:rsid w:val="69687749"/>
    <w:rsid w:val="696B6456"/>
    <w:rsid w:val="69746873"/>
    <w:rsid w:val="69762D61"/>
    <w:rsid w:val="6979588B"/>
    <w:rsid w:val="697C426F"/>
    <w:rsid w:val="69806F30"/>
    <w:rsid w:val="69857829"/>
    <w:rsid w:val="6988033E"/>
    <w:rsid w:val="699551BC"/>
    <w:rsid w:val="69980584"/>
    <w:rsid w:val="699E15C9"/>
    <w:rsid w:val="69A16D24"/>
    <w:rsid w:val="69A24859"/>
    <w:rsid w:val="69AB40E1"/>
    <w:rsid w:val="69B64A92"/>
    <w:rsid w:val="69C60EBD"/>
    <w:rsid w:val="69CA00E2"/>
    <w:rsid w:val="69CD0E77"/>
    <w:rsid w:val="69CF1E32"/>
    <w:rsid w:val="69D750F2"/>
    <w:rsid w:val="69EA5546"/>
    <w:rsid w:val="69EB1274"/>
    <w:rsid w:val="69F402BB"/>
    <w:rsid w:val="6A0179A3"/>
    <w:rsid w:val="6A0C5E9E"/>
    <w:rsid w:val="6A0D47AB"/>
    <w:rsid w:val="6A141476"/>
    <w:rsid w:val="6A1525A3"/>
    <w:rsid w:val="6A1F1E2F"/>
    <w:rsid w:val="6A2969DF"/>
    <w:rsid w:val="6A2F6EB9"/>
    <w:rsid w:val="6A3817F3"/>
    <w:rsid w:val="6A383DDF"/>
    <w:rsid w:val="6A400A75"/>
    <w:rsid w:val="6A40362C"/>
    <w:rsid w:val="6A432BCF"/>
    <w:rsid w:val="6A4C2BDA"/>
    <w:rsid w:val="6A4E3954"/>
    <w:rsid w:val="6A6F6A6F"/>
    <w:rsid w:val="6A760E82"/>
    <w:rsid w:val="6A7D7A5B"/>
    <w:rsid w:val="6A8C106D"/>
    <w:rsid w:val="6A904820"/>
    <w:rsid w:val="6A996709"/>
    <w:rsid w:val="6AA04A0C"/>
    <w:rsid w:val="6AA11964"/>
    <w:rsid w:val="6AA45293"/>
    <w:rsid w:val="6AA456EC"/>
    <w:rsid w:val="6AB22C59"/>
    <w:rsid w:val="6AB8444C"/>
    <w:rsid w:val="6ABA57DF"/>
    <w:rsid w:val="6ABC74FC"/>
    <w:rsid w:val="6AC16112"/>
    <w:rsid w:val="6ACF2490"/>
    <w:rsid w:val="6AD66B35"/>
    <w:rsid w:val="6AF52E51"/>
    <w:rsid w:val="6AF84E3B"/>
    <w:rsid w:val="6B027EF6"/>
    <w:rsid w:val="6B116356"/>
    <w:rsid w:val="6B121472"/>
    <w:rsid w:val="6B124AB4"/>
    <w:rsid w:val="6B12630E"/>
    <w:rsid w:val="6B1366FD"/>
    <w:rsid w:val="6B146DEC"/>
    <w:rsid w:val="6B217C5D"/>
    <w:rsid w:val="6B247778"/>
    <w:rsid w:val="6B2775A9"/>
    <w:rsid w:val="6B2777D9"/>
    <w:rsid w:val="6B2C5B7C"/>
    <w:rsid w:val="6B30317C"/>
    <w:rsid w:val="6B303348"/>
    <w:rsid w:val="6B325A9B"/>
    <w:rsid w:val="6B351D12"/>
    <w:rsid w:val="6B45054A"/>
    <w:rsid w:val="6B455DD0"/>
    <w:rsid w:val="6B52618C"/>
    <w:rsid w:val="6B592D1D"/>
    <w:rsid w:val="6B695B84"/>
    <w:rsid w:val="6B701A02"/>
    <w:rsid w:val="6B885E99"/>
    <w:rsid w:val="6B922448"/>
    <w:rsid w:val="6B956D46"/>
    <w:rsid w:val="6B995C87"/>
    <w:rsid w:val="6BA80538"/>
    <w:rsid w:val="6BA95E90"/>
    <w:rsid w:val="6BA96D92"/>
    <w:rsid w:val="6BB115E9"/>
    <w:rsid w:val="6BC06D03"/>
    <w:rsid w:val="6BC43919"/>
    <w:rsid w:val="6BC90522"/>
    <w:rsid w:val="6BD63354"/>
    <w:rsid w:val="6BDA3592"/>
    <w:rsid w:val="6BDC2CD3"/>
    <w:rsid w:val="6BF55385"/>
    <w:rsid w:val="6C042957"/>
    <w:rsid w:val="6C05742D"/>
    <w:rsid w:val="6C0C1E42"/>
    <w:rsid w:val="6C14088F"/>
    <w:rsid w:val="6C160E66"/>
    <w:rsid w:val="6C1C2960"/>
    <w:rsid w:val="6C2817E6"/>
    <w:rsid w:val="6C293D23"/>
    <w:rsid w:val="6C2B727D"/>
    <w:rsid w:val="6C3B1E7D"/>
    <w:rsid w:val="6C4034A0"/>
    <w:rsid w:val="6C4434E8"/>
    <w:rsid w:val="6C475911"/>
    <w:rsid w:val="6C477E3E"/>
    <w:rsid w:val="6C49416A"/>
    <w:rsid w:val="6C7604C3"/>
    <w:rsid w:val="6C8037B1"/>
    <w:rsid w:val="6C806F48"/>
    <w:rsid w:val="6C85715D"/>
    <w:rsid w:val="6C8960C7"/>
    <w:rsid w:val="6C8C5F9D"/>
    <w:rsid w:val="6C925884"/>
    <w:rsid w:val="6C925A36"/>
    <w:rsid w:val="6C932C2B"/>
    <w:rsid w:val="6C9918BA"/>
    <w:rsid w:val="6C9B66A9"/>
    <w:rsid w:val="6C9E3E1C"/>
    <w:rsid w:val="6C9F7FF6"/>
    <w:rsid w:val="6CA02364"/>
    <w:rsid w:val="6CA15931"/>
    <w:rsid w:val="6CB63ECD"/>
    <w:rsid w:val="6CC05AE7"/>
    <w:rsid w:val="6CCF0FC5"/>
    <w:rsid w:val="6CD02987"/>
    <w:rsid w:val="6CD265E3"/>
    <w:rsid w:val="6CD56A36"/>
    <w:rsid w:val="6CDD1D7D"/>
    <w:rsid w:val="6CDE2110"/>
    <w:rsid w:val="6CDE43B8"/>
    <w:rsid w:val="6CDF4E02"/>
    <w:rsid w:val="6CDF79DC"/>
    <w:rsid w:val="6CE015F9"/>
    <w:rsid w:val="6CEB346B"/>
    <w:rsid w:val="6CF9606E"/>
    <w:rsid w:val="6CF97002"/>
    <w:rsid w:val="6CFB33B8"/>
    <w:rsid w:val="6D01142B"/>
    <w:rsid w:val="6D0264B3"/>
    <w:rsid w:val="6D083659"/>
    <w:rsid w:val="6D084E02"/>
    <w:rsid w:val="6D2D02EA"/>
    <w:rsid w:val="6D406B9A"/>
    <w:rsid w:val="6D42539E"/>
    <w:rsid w:val="6D4516FC"/>
    <w:rsid w:val="6D4859D4"/>
    <w:rsid w:val="6D4C0CF1"/>
    <w:rsid w:val="6D51666C"/>
    <w:rsid w:val="6D5509C3"/>
    <w:rsid w:val="6D5E3C70"/>
    <w:rsid w:val="6D686250"/>
    <w:rsid w:val="6D694E29"/>
    <w:rsid w:val="6D6C3548"/>
    <w:rsid w:val="6D7345D9"/>
    <w:rsid w:val="6D787FD0"/>
    <w:rsid w:val="6D7A2662"/>
    <w:rsid w:val="6D7B11CF"/>
    <w:rsid w:val="6D7C6529"/>
    <w:rsid w:val="6D90104C"/>
    <w:rsid w:val="6DAD082F"/>
    <w:rsid w:val="6DB53C38"/>
    <w:rsid w:val="6DB85619"/>
    <w:rsid w:val="6DBB6D4A"/>
    <w:rsid w:val="6DC256FF"/>
    <w:rsid w:val="6DD458D2"/>
    <w:rsid w:val="6DD64502"/>
    <w:rsid w:val="6DD6571E"/>
    <w:rsid w:val="6DDA48AF"/>
    <w:rsid w:val="6DE64E7B"/>
    <w:rsid w:val="6DE82314"/>
    <w:rsid w:val="6E0F362E"/>
    <w:rsid w:val="6E157789"/>
    <w:rsid w:val="6E166DCB"/>
    <w:rsid w:val="6E1F08B0"/>
    <w:rsid w:val="6E315CE0"/>
    <w:rsid w:val="6E3C2569"/>
    <w:rsid w:val="6E490AE4"/>
    <w:rsid w:val="6E4F4638"/>
    <w:rsid w:val="6E582560"/>
    <w:rsid w:val="6E594294"/>
    <w:rsid w:val="6E610A94"/>
    <w:rsid w:val="6E64172A"/>
    <w:rsid w:val="6E681966"/>
    <w:rsid w:val="6E7404B3"/>
    <w:rsid w:val="6E7B0340"/>
    <w:rsid w:val="6E8D467C"/>
    <w:rsid w:val="6E9A284B"/>
    <w:rsid w:val="6E9D70F2"/>
    <w:rsid w:val="6EB23B3A"/>
    <w:rsid w:val="6EB245A9"/>
    <w:rsid w:val="6EB9593A"/>
    <w:rsid w:val="6EC9498B"/>
    <w:rsid w:val="6ECC0432"/>
    <w:rsid w:val="6ED3717A"/>
    <w:rsid w:val="6ED5333F"/>
    <w:rsid w:val="6ED86226"/>
    <w:rsid w:val="6EE11D33"/>
    <w:rsid w:val="6EF6005F"/>
    <w:rsid w:val="6EF639FA"/>
    <w:rsid w:val="6EFA7D09"/>
    <w:rsid w:val="6F093773"/>
    <w:rsid w:val="6F135F5A"/>
    <w:rsid w:val="6F143BC1"/>
    <w:rsid w:val="6F1C524A"/>
    <w:rsid w:val="6F1C645D"/>
    <w:rsid w:val="6F1D744C"/>
    <w:rsid w:val="6F267448"/>
    <w:rsid w:val="6F30279F"/>
    <w:rsid w:val="6F383382"/>
    <w:rsid w:val="6F402DC9"/>
    <w:rsid w:val="6F411D43"/>
    <w:rsid w:val="6F4239CC"/>
    <w:rsid w:val="6F4636F9"/>
    <w:rsid w:val="6F4935A6"/>
    <w:rsid w:val="6F4A4E95"/>
    <w:rsid w:val="6F57682B"/>
    <w:rsid w:val="6F6E63B9"/>
    <w:rsid w:val="6F7477F4"/>
    <w:rsid w:val="6F780B62"/>
    <w:rsid w:val="6F8579C6"/>
    <w:rsid w:val="6F862269"/>
    <w:rsid w:val="6F880D73"/>
    <w:rsid w:val="6F8D093B"/>
    <w:rsid w:val="6F901E26"/>
    <w:rsid w:val="6F90326A"/>
    <w:rsid w:val="6F965ED0"/>
    <w:rsid w:val="6F991A44"/>
    <w:rsid w:val="6F9B1CEF"/>
    <w:rsid w:val="6FA11578"/>
    <w:rsid w:val="6FA86860"/>
    <w:rsid w:val="6FB16983"/>
    <w:rsid w:val="6FB955E4"/>
    <w:rsid w:val="6FBA66B9"/>
    <w:rsid w:val="6FC10892"/>
    <w:rsid w:val="6FC22752"/>
    <w:rsid w:val="6FD20A4C"/>
    <w:rsid w:val="6FE76875"/>
    <w:rsid w:val="6FEB6337"/>
    <w:rsid w:val="6FF14346"/>
    <w:rsid w:val="6FF760C1"/>
    <w:rsid w:val="6FF8256B"/>
    <w:rsid w:val="70037D19"/>
    <w:rsid w:val="70113629"/>
    <w:rsid w:val="701C5DC5"/>
    <w:rsid w:val="701F5A99"/>
    <w:rsid w:val="702714D4"/>
    <w:rsid w:val="702F1797"/>
    <w:rsid w:val="7035690C"/>
    <w:rsid w:val="703B6F30"/>
    <w:rsid w:val="703F73BB"/>
    <w:rsid w:val="70413335"/>
    <w:rsid w:val="70426176"/>
    <w:rsid w:val="704667CA"/>
    <w:rsid w:val="705844B1"/>
    <w:rsid w:val="70585A2A"/>
    <w:rsid w:val="705A2AF7"/>
    <w:rsid w:val="70661ACA"/>
    <w:rsid w:val="706F4C86"/>
    <w:rsid w:val="706F76A2"/>
    <w:rsid w:val="70755AC1"/>
    <w:rsid w:val="70783799"/>
    <w:rsid w:val="707F3065"/>
    <w:rsid w:val="70821EC0"/>
    <w:rsid w:val="708418C4"/>
    <w:rsid w:val="708C0C63"/>
    <w:rsid w:val="708D768E"/>
    <w:rsid w:val="709727B8"/>
    <w:rsid w:val="70A2487E"/>
    <w:rsid w:val="70B417D9"/>
    <w:rsid w:val="70BA64FA"/>
    <w:rsid w:val="70BA6FDF"/>
    <w:rsid w:val="70C16626"/>
    <w:rsid w:val="70C61478"/>
    <w:rsid w:val="70C95640"/>
    <w:rsid w:val="70CC16A2"/>
    <w:rsid w:val="70CD2811"/>
    <w:rsid w:val="70D2786A"/>
    <w:rsid w:val="70D42114"/>
    <w:rsid w:val="70D45183"/>
    <w:rsid w:val="70D8020B"/>
    <w:rsid w:val="70DC385E"/>
    <w:rsid w:val="70DE3A9E"/>
    <w:rsid w:val="70E825BD"/>
    <w:rsid w:val="70EE78E1"/>
    <w:rsid w:val="70F727D3"/>
    <w:rsid w:val="70F74F1F"/>
    <w:rsid w:val="71056F79"/>
    <w:rsid w:val="71061099"/>
    <w:rsid w:val="712D7CE9"/>
    <w:rsid w:val="71354439"/>
    <w:rsid w:val="713A0FFC"/>
    <w:rsid w:val="713B047B"/>
    <w:rsid w:val="71490458"/>
    <w:rsid w:val="714A34C3"/>
    <w:rsid w:val="71550B84"/>
    <w:rsid w:val="7157566C"/>
    <w:rsid w:val="71650DC1"/>
    <w:rsid w:val="7170559F"/>
    <w:rsid w:val="71750CDD"/>
    <w:rsid w:val="717D0237"/>
    <w:rsid w:val="718139C4"/>
    <w:rsid w:val="71891B44"/>
    <w:rsid w:val="718B7610"/>
    <w:rsid w:val="71902764"/>
    <w:rsid w:val="719037D5"/>
    <w:rsid w:val="71951708"/>
    <w:rsid w:val="71960A11"/>
    <w:rsid w:val="71974BD1"/>
    <w:rsid w:val="71980D1C"/>
    <w:rsid w:val="719B62CA"/>
    <w:rsid w:val="71A04AD6"/>
    <w:rsid w:val="71A11EBF"/>
    <w:rsid w:val="71A31244"/>
    <w:rsid w:val="71AA1876"/>
    <w:rsid w:val="71AB452B"/>
    <w:rsid w:val="71AE0A98"/>
    <w:rsid w:val="71B56C70"/>
    <w:rsid w:val="71B66380"/>
    <w:rsid w:val="71BC0C41"/>
    <w:rsid w:val="71CB42D1"/>
    <w:rsid w:val="71D10B76"/>
    <w:rsid w:val="71D20378"/>
    <w:rsid w:val="71DF2E4F"/>
    <w:rsid w:val="71E12163"/>
    <w:rsid w:val="720544F2"/>
    <w:rsid w:val="72076177"/>
    <w:rsid w:val="72094658"/>
    <w:rsid w:val="72266F77"/>
    <w:rsid w:val="7227535F"/>
    <w:rsid w:val="72355556"/>
    <w:rsid w:val="72404736"/>
    <w:rsid w:val="724164A1"/>
    <w:rsid w:val="72462A4F"/>
    <w:rsid w:val="724C4D3E"/>
    <w:rsid w:val="72552EDB"/>
    <w:rsid w:val="725D47A7"/>
    <w:rsid w:val="72690697"/>
    <w:rsid w:val="72722101"/>
    <w:rsid w:val="72733D90"/>
    <w:rsid w:val="72736B4D"/>
    <w:rsid w:val="72886D4C"/>
    <w:rsid w:val="729B40D3"/>
    <w:rsid w:val="72A54BEE"/>
    <w:rsid w:val="72A572A9"/>
    <w:rsid w:val="72AF3A60"/>
    <w:rsid w:val="72B0729F"/>
    <w:rsid w:val="72B1012F"/>
    <w:rsid w:val="72B7163E"/>
    <w:rsid w:val="72BA2D04"/>
    <w:rsid w:val="72C117BC"/>
    <w:rsid w:val="72C36885"/>
    <w:rsid w:val="72C5364D"/>
    <w:rsid w:val="72D15C7C"/>
    <w:rsid w:val="72D23BF9"/>
    <w:rsid w:val="72DB3C79"/>
    <w:rsid w:val="72E6417F"/>
    <w:rsid w:val="72E660D4"/>
    <w:rsid w:val="72EC5F7C"/>
    <w:rsid w:val="72F04297"/>
    <w:rsid w:val="72FD5039"/>
    <w:rsid w:val="73046250"/>
    <w:rsid w:val="73122452"/>
    <w:rsid w:val="73126591"/>
    <w:rsid w:val="73130313"/>
    <w:rsid w:val="731A458A"/>
    <w:rsid w:val="73202D5A"/>
    <w:rsid w:val="73210A75"/>
    <w:rsid w:val="73262BC0"/>
    <w:rsid w:val="732D36CA"/>
    <w:rsid w:val="7337271C"/>
    <w:rsid w:val="733A3244"/>
    <w:rsid w:val="733F066B"/>
    <w:rsid w:val="73464754"/>
    <w:rsid w:val="734A3CEF"/>
    <w:rsid w:val="734C376B"/>
    <w:rsid w:val="735E22F0"/>
    <w:rsid w:val="7369528D"/>
    <w:rsid w:val="736C4276"/>
    <w:rsid w:val="736C67D4"/>
    <w:rsid w:val="736D04C4"/>
    <w:rsid w:val="73736E89"/>
    <w:rsid w:val="73743BB3"/>
    <w:rsid w:val="737506AE"/>
    <w:rsid w:val="737934B1"/>
    <w:rsid w:val="7379385A"/>
    <w:rsid w:val="737C244B"/>
    <w:rsid w:val="73926F71"/>
    <w:rsid w:val="739971D3"/>
    <w:rsid w:val="73A6059E"/>
    <w:rsid w:val="73AC30C8"/>
    <w:rsid w:val="73AD62C7"/>
    <w:rsid w:val="73B75EAD"/>
    <w:rsid w:val="73BB4946"/>
    <w:rsid w:val="73C07D54"/>
    <w:rsid w:val="73C47CCF"/>
    <w:rsid w:val="73C57F4B"/>
    <w:rsid w:val="73CA08E4"/>
    <w:rsid w:val="73CA496C"/>
    <w:rsid w:val="73D27669"/>
    <w:rsid w:val="73D421DD"/>
    <w:rsid w:val="73E15CFB"/>
    <w:rsid w:val="73E92EF0"/>
    <w:rsid w:val="73EA6FB9"/>
    <w:rsid w:val="73F76C39"/>
    <w:rsid w:val="73FB72A9"/>
    <w:rsid w:val="73FC6069"/>
    <w:rsid w:val="74005EED"/>
    <w:rsid w:val="74026276"/>
    <w:rsid w:val="741A0BBA"/>
    <w:rsid w:val="741B5392"/>
    <w:rsid w:val="74306166"/>
    <w:rsid w:val="74317D64"/>
    <w:rsid w:val="74335D75"/>
    <w:rsid w:val="74393E15"/>
    <w:rsid w:val="74417023"/>
    <w:rsid w:val="744629FE"/>
    <w:rsid w:val="744869ED"/>
    <w:rsid w:val="745145F6"/>
    <w:rsid w:val="74563FD4"/>
    <w:rsid w:val="74592C5E"/>
    <w:rsid w:val="745D5478"/>
    <w:rsid w:val="745E5253"/>
    <w:rsid w:val="74603541"/>
    <w:rsid w:val="746318D4"/>
    <w:rsid w:val="74710E50"/>
    <w:rsid w:val="74855C04"/>
    <w:rsid w:val="74AC1BF6"/>
    <w:rsid w:val="74AE12B7"/>
    <w:rsid w:val="74B51FEB"/>
    <w:rsid w:val="74B542E6"/>
    <w:rsid w:val="74B95984"/>
    <w:rsid w:val="74BA5FCF"/>
    <w:rsid w:val="74C47F52"/>
    <w:rsid w:val="74CF364B"/>
    <w:rsid w:val="74E31ADD"/>
    <w:rsid w:val="74E4297A"/>
    <w:rsid w:val="74E47175"/>
    <w:rsid w:val="74E80989"/>
    <w:rsid w:val="74F2290B"/>
    <w:rsid w:val="74F229CB"/>
    <w:rsid w:val="74F545DD"/>
    <w:rsid w:val="74F74136"/>
    <w:rsid w:val="74F808FE"/>
    <w:rsid w:val="74FA190E"/>
    <w:rsid w:val="74FD706D"/>
    <w:rsid w:val="75005C32"/>
    <w:rsid w:val="7502730F"/>
    <w:rsid w:val="750A4E7B"/>
    <w:rsid w:val="75144AD5"/>
    <w:rsid w:val="751C0752"/>
    <w:rsid w:val="751E0075"/>
    <w:rsid w:val="75246873"/>
    <w:rsid w:val="75260705"/>
    <w:rsid w:val="752629C7"/>
    <w:rsid w:val="7527584F"/>
    <w:rsid w:val="75316A53"/>
    <w:rsid w:val="753D27FB"/>
    <w:rsid w:val="755429E2"/>
    <w:rsid w:val="755713DC"/>
    <w:rsid w:val="755C32DA"/>
    <w:rsid w:val="756F05B1"/>
    <w:rsid w:val="756F49FA"/>
    <w:rsid w:val="757544D6"/>
    <w:rsid w:val="75832D9E"/>
    <w:rsid w:val="7589257A"/>
    <w:rsid w:val="75913F5B"/>
    <w:rsid w:val="75A04007"/>
    <w:rsid w:val="75A04861"/>
    <w:rsid w:val="75A3247F"/>
    <w:rsid w:val="75AC4C6E"/>
    <w:rsid w:val="75AF06FA"/>
    <w:rsid w:val="75B3259C"/>
    <w:rsid w:val="75C14915"/>
    <w:rsid w:val="75CB73A1"/>
    <w:rsid w:val="75CD462C"/>
    <w:rsid w:val="75D223C0"/>
    <w:rsid w:val="75D35B8C"/>
    <w:rsid w:val="75E31924"/>
    <w:rsid w:val="75EC39C8"/>
    <w:rsid w:val="75EF0EBF"/>
    <w:rsid w:val="75F83FB1"/>
    <w:rsid w:val="75FD42D2"/>
    <w:rsid w:val="760B5CFB"/>
    <w:rsid w:val="76124ADD"/>
    <w:rsid w:val="761929C2"/>
    <w:rsid w:val="762153B9"/>
    <w:rsid w:val="76280653"/>
    <w:rsid w:val="76295122"/>
    <w:rsid w:val="762B027D"/>
    <w:rsid w:val="762C1E03"/>
    <w:rsid w:val="762C79C4"/>
    <w:rsid w:val="7632588F"/>
    <w:rsid w:val="763A07E7"/>
    <w:rsid w:val="763D069A"/>
    <w:rsid w:val="76480BEF"/>
    <w:rsid w:val="765A6972"/>
    <w:rsid w:val="765B7DD3"/>
    <w:rsid w:val="765D428E"/>
    <w:rsid w:val="76610D8D"/>
    <w:rsid w:val="766564FE"/>
    <w:rsid w:val="76661363"/>
    <w:rsid w:val="766B3B7E"/>
    <w:rsid w:val="766E3EB1"/>
    <w:rsid w:val="76725B6A"/>
    <w:rsid w:val="76811E99"/>
    <w:rsid w:val="769B4697"/>
    <w:rsid w:val="76A627E5"/>
    <w:rsid w:val="76A92184"/>
    <w:rsid w:val="76AF631D"/>
    <w:rsid w:val="76B67A8C"/>
    <w:rsid w:val="76BE0A64"/>
    <w:rsid w:val="76C12238"/>
    <w:rsid w:val="76CC5D4F"/>
    <w:rsid w:val="76D27A0C"/>
    <w:rsid w:val="76DA65BA"/>
    <w:rsid w:val="76E0408A"/>
    <w:rsid w:val="76E64396"/>
    <w:rsid w:val="76E90357"/>
    <w:rsid w:val="76F47848"/>
    <w:rsid w:val="76F54BE3"/>
    <w:rsid w:val="76FD65BD"/>
    <w:rsid w:val="770066E7"/>
    <w:rsid w:val="77026FF4"/>
    <w:rsid w:val="77041F6B"/>
    <w:rsid w:val="77096276"/>
    <w:rsid w:val="770A1F88"/>
    <w:rsid w:val="770D440B"/>
    <w:rsid w:val="7716027A"/>
    <w:rsid w:val="771D208E"/>
    <w:rsid w:val="77214AFF"/>
    <w:rsid w:val="772819B5"/>
    <w:rsid w:val="77300F43"/>
    <w:rsid w:val="77323267"/>
    <w:rsid w:val="77440035"/>
    <w:rsid w:val="775457B6"/>
    <w:rsid w:val="775E71AC"/>
    <w:rsid w:val="7761194D"/>
    <w:rsid w:val="776148F1"/>
    <w:rsid w:val="7763347D"/>
    <w:rsid w:val="77693C2B"/>
    <w:rsid w:val="776D490E"/>
    <w:rsid w:val="77737072"/>
    <w:rsid w:val="778115F5"/>
    <w:rsid w:val="77817602"/>
    <w:rsid w:val="7783110A"/>
    <w:rsid w:val="778531C9"/>
    <w:rsid w:val="77857FDB"/>
    <w:rsid w:val="77876D0E"/>
    <w:rsid w:val="778D2512"/>
    <w:rsid w:val="779E0B73"/>
    <w:rsid w:val="77A662A4"/>
    <w:rsid w:val="77B5534F"/>
    <w:rsid w:val="77BF22C5"/>
    <w:rsid w:val="77C036EC"/>
    <w:rsid w:val="77C74A30"/>
    <w:rsid w:val="77CA73B9"/>
    <w:rsid w:val="77D11631"/>
    <w:rsid w:val="77D1483A"/>
    <w:rsid w:val="77D4337A"/>
    <w:rsid w:val="77D46C97"/>
    <w:rsid w:val="77D6687B"/>
    <w:rsid w:val="77DE5914"/>
    <w:rsid w:val="77DE7A7E"/>
    <w:rsid w:val="77E74E66"/>
    <w:rsid w:val="77E93C53"/>
    <w:rsid w:val="77EA1F73"/>
    <w:rsid w:val="77F1195F"/>
    <w:rsid w:val="77F46DFC"/>
    <w:rsid w:val="77FD014A"/>
    <w:rsid w:val="780456DB"/>
    <w:rsid w:val="78051709"/>
    <w:rsid w:val="78146519"/>
    <w:rsid w:val="78150C3C"/>
    <w:rsid w:val="781654D5"/>
    <w:rsid w:val="78245A00"/>
    <w:rsid w:val="782D6BCC"/>
    <w:rsid w:val="7831619C"/>
    <w:rsid w:val="7834111E"/>
    <w:rsid w:val="783714BB"/>
    <w:rsid w:val="783D499A"/>
    <w:rsid w:val="7840316E"/>
    <w:rsid w:val="784139E9"/>
    <w:rsid w:val="78472EF4"/>
    <w:rsid w:val="784A7BCC"/>
    <w:rsid w:val="784B5D3C"/>
    <w:rsid w:val="787245A0"/>
    <w:rsid w:val="787F1873"/>
    <w:rsid w:val="78820CAF"/>
    <w:rsid w:val="78842B5E"/>
    <w:rsid w:val="789C5CD6"/>
    <w:rsid w:val="789E4BA4"/>
    <w:rsid w:val="78A1332D"/>
    <w:rsid w:val="78A40B97"/>
    <w:rsid w:val="78A67B0A"/>
    <w:rsid w:val="78B60141"/>
    <w:rsid w:val="78C03BF9"/>
    <w:rsid w:val="78C83262"/>
    <w:rsid w:val="78D01542"/>
    <w:rsid w:val="78D63FA2"/>
    <w:rsid w:val="78E46E2F"/>
    <w:rsid w:val="78F06032"/>
    <w:rsid w:val="78F61249"/>
    <w:rsid w:val="78F85A34"/>
    <w:rsid w:val="78FB0C0D"/>
    <w:rsid w:val="79021876"/>
    <w:rsid w:val="79037392"/>
    <w:rsid w:val="79080BE0"/>
    <w:rsid w:val="79106A4B"/>
    <w:rsid w:val="791C47C2"/>
    <w:rsid w:val="792A3391"/>
    <w:rsid w:val="792B564A"/>
    <w:rsid w:val="792F0E60"/>
    <w:rsid w:val="79327685"/>
    <w:rsid w:val="793A52E3"/>
    <w:rsid w:val="793F0064"/>
    <w:rsid w:val="7945394F"/>
    <w:rsid w:val="794B62C2"/>
    <w:rsid w:val="794C34C0"/>
    <w:rsid w:val="79510E2B"/>
    <w:rsid w:val="796A31CF"/>
    <w:rsid w:val="796A3D87"/>
    <w:rsid w:val="796A5385"/>
    <w:rsid w:val="796D3E9B"/>
    <w:rsid w:val="796F08E8"/>
    <w:rsid w:val="79723547"/>
    <w:rsid w:val="797B2C49"/>
    <w:rsid w:val="7988214F"/>
    <w:rsid w:val="798E5367"/>
    <w:rsid w:val="79947F09"/>
    <w:rsid w:val="799E4524"/>
    <w:rsid w:val="79A25FFA"/>
    <w:rsid w:val="79B06672"/>
    <w:rsid w:val="79B427E1"/>
    <w:rsid w:val="79BE56F9"/>
    <w:rsid w:val="79C03633"/>
    <w:rsid w:val="79C13251"/>
    <w:rsid w:val="79C43444"/>
    <w:rsid w:val="79D37F15"/>
    <w:rsid w:val="79E120D5"/>
    <w:rsid w:val="79EB4925"/>
    <w:rsid w:val="79F55968"/>
    <w:rsid w:val="79F8132A"/>
    <w:rsid w:val="79F85242"/>
    <w:rsid w:val="79FA79A7"/>
    <w:rsid w:val="7A0168D9"/>
    <w:rsid w:val="7A024C6A"/>
    <w:rsid w:val="7A096AF9"/>
    <w:rsid w:val="7A0D0209"/>
    <w:rsid w:val="7A0F27C1"/>
    <w:rsid w:val="7A1832DE"/>
    <w:rsid w:val="7A271E50"/>
    <w:rsid w:val="7A30306B"/>
    <w:rsid w:val="7A372DA0"/>
    <w:rsid w:val="7A3A2BBB"/>
    <w:rsid w:val="7A3D226D"/>
    <w:rsid w:val="7A3D2975"/>
    <w:rsid w:val="7A400E74"/>
    <w:rsid w:val="7A4051BE"/>
    <w:rsid w:val="7A452BD9"/>
    <w:rsid w:val="7A47736C"/>
    <w:rsid w:val="7A5E35B4"/>
    <w:rsid w:val="7A646916"/>
    <w:rsid w:val="7A6E50AC"/>
    <w:rsid w:val="7A720F9B"/>
    <w:rsid w:val="7A793085"/>
    <w:rsid w:val="7A8B0702"/>
    <w:rsid w:val="7A9B7067"/>
    <w:rsid w:val="7A9E1294"/>
    <w:rsid w:val="7AB601D2"/>
    <w:rsid w:val="7AB65526"/>
    <w:rsid w:val="7ACC5F1B"/>
    <w:rsid w:val="7ACE6F76"/>
    <w:rsid w:val="7AD72BFE"/>
    <w:rsid w:val="7ADA0136"/>
    <w:rsid w:val="7ADE4D08"/>
    <w:rsid w:val="7AE14292"/>
    <w:rsid w:val="7AE164D3"/>
    <w:rsid w:val="7AEA7885"/>
    <w:rsid w:val="7AF63472"/>
    <w:rsid w:val="7AFD4526"/>
    <w:rsid w:val="7B010C38"/>
    <w:rsid w:val="7B1777B3"/>
    <w:rsid w:val="7B1C6004"/>
    <w:rsid w:val="7B24186F"/>
    <w:rsid w:val="7B2802A9"/>
    <w:rsid w:val="7B2E14BA"/>
    <w:rsid w:val="7B3720A3"/>
    <w:rsid w:val="7B5079F6"/>
    <w:rsid w:val="7B572A7F"/>
    <w:rsid w:val="7B57386C"/>
    <w:rsid w:val="7B5D75DD"/>
    <w:rsid w:val="7B6006B5"/>
    <w:rsid w:val="7B6D299A"/>
    <w:rsid w:val="7B714941"/>
    <w:rsid w:val="7B7B56AA"/>
    <w:rsid w:val="7B8754D8"/>
    <w:rsid w:val="7B883A7B"/>
    <w:rsid w:val="7B8B43B4"/>
    <w:rsid w:val="7B8C184B"/>
    <w:rsid w:val="7B91703B"/>
    <w:rsid w:val="7B936084"/>
    <w:rsid w:val="7B9C0D8D"/>
    <w:rsid w:val="7BBA2019"/>
    <w:rsid w:val="7BCA1008"/>
    <w:rsid w:val="7BCE33AA"/>
    <w:rsid w:val="7BDA5EF3"/>
    <w:rsid w:val="7BE20E35"/>
    <w:rsid w:val="7BE61FF8"/>
    <w:rsid w:val="7BEC2FE0"/>
    <w:rsid w:val="7BEE455E"/>
    <w:rsid w:val="7C071BB2"/>
    <w:rsid w:val="7C0762DA"/>
    <w:rsid w:val="7C105FDD"/>
    <w:rsid w:val="7C1119C7"/>
    <w:rsid w:val="7C1733CE"/>
    <w:rsid w:val="7C1E4BDC"/>
    <w:rsid w:val="7C1E67DF"/>
    <w:rsid w:val="7C250007"/>
    <w:rsid w:val="7C2971DE"/>
    <w:rsid w:val="7C2B5687"/>
    <w:rsid w:val="7C306AFE"/>
    <w:rsid w:val="7C47538C"/>
    <w:rsid w:val="7C4B7D83"/>
    <w:rsid w:val="7C4D27D8"/>
    <w:rsid w:val="7C4D6D34"/>
    <w:rsid w:val="7C536455"/>
    <w:rsid w:val="7C6274F6"/>
    <w:rsid w:val="7C64210E"/>
    <w:rsid w:val="7C6E477E"/>
    <w:rsid w:val="7C7F762F"/>
    <w:rsid w:val="7C7F7CBF"/>
    <w:rsid w:val="7C8045CD"/>
    <w:rsid w:val="7C84072A"/>
    <w:rsid w:val="7C877A05"/>
    <w:rsid w:val="7C95593E"/>
    <w:rsid w:val="7C9B0DD4"/>
    <w:rsid w:val="7C9D1719"/>
    <w:rsid w:val="7C9E047C"/>
    <w:rsid w:val="7C9E741F"/>
    <w:rsid w:val="7CAA0030"/>
    <w:rsid w:val="7CAE5A2B"/>
    <w:rsid w:val="7CC07EC2"/>
    <w:rsid w:val="7CC77AAB"/>
    <w:rsid w:val="7CD70C0F"/>
    <w:rsid w:val="7CD831A7"/>
    <w:rsid w:val="7CE01D76"/>
    <w:rsid w:val="7CE95769"/>
    <w:rsid w:val="7CF537AE"/>
    <w:rsid w:val="7D096FE6"/>
    <w:rsid w:val="7D0A09B3"/>
    <w:rsid w:val="7D1138E5"/>
    <w:rsid w:val="7D1E0068"/>
    <w:rsid w:val="7D222E3A"/>
    <w:rsid w:val="7D244C95"/>
    <w:rsid w:val="7D2F77CA"/>
    <w:rsid w:val="7D395271"/>
    <w:rsid w:val="7D3D37A6"/>
    <w:rsid w:val="7D4305FB"/>
    <w:rsid w:val="7D4A0713"/>
    <w:rsid w:val="7D515D25"/>
    <w:rsid w:val="7D523DED"/>
    <w:rsid w:val="7D53207C"/>
    <w:rsid w:val="7D534467"/>
    <w:rsid w:val="7D560BA4"/>
    <w:rsid w:val="7D571EAF"/>
    <w:rsid w:val="7D5B0FE6"/>
    <w:rsid w:val="7D5C6FC2"/>
    <w:rsid w:val="7D640FD6"/>
    <w:rsid w:val="7D6873D5"/>
    <w:rsid w:val="7D693EB9"/>
    <w:rsid w:val="7D70165A"/>
    <w:rsid w:val="7D7B3F34"/>
    <w:rsid w:val="7D80154F"/>
    <w:rsid w:val="7D840C39"/>
    <w:rsid w:val="7D863902"/>
    <w:rsid w:val="7D8F4AB1"/>
    <w:rsid w:val="7D9B2B56"/>
    <w:rsid w:val="7D9E7619"/>
    <w:rsid w:val="7DA53049"/>
    <w:rsid w:val="7DA839AD"/>
    <w:rsid w:val="7DAB7CE2"/>
    <w:rsid w:val="7DAD7964"/>
    <w:rsid w:val="7DAF0E62"/>
    <w:rsid w:val="7DB3044F"/>
    <w:rsid w:val="7DB63032"/>
    <w:rsid w:val="7DBA7E6B"/>
    <w:rsid w:val="7DCF532D"/>
    <w:rsid w:val="7DD07484"/>
    <w:rsid w:val="7DDA5E8B"/>
    <w:rsid w:val="7DDC3397"/>
    <w:rsid w:val="7DE556A5"/>
    <w:rsid w:val="7DFB434C"/>
    <w:rsid w:val="7DFD6F4C"/>
    <w:rsid w:val="7E032C6F"/>
    <w:rsid w:val="7E122A7E"/>
    <w:rsid w:val="7E1652B5"/>
    <w:rsid w:val="7E2757FE"/>
    <w:rsid w:val="7E2B78E8"/>
    <w:rsid w:val="7E3A3FEE"/>
    <w:rsid w:val="7E3C43E7"/>
    <w:rsid w:val="7E4C6AF9"/>
    <w:rsid w:val="7E540513"/>
    <w:rsid w:val="7E607D10"/>
    <w:rsid w:val="7E6172EF"/>
    <w:rsid w:val="7E630107"/>
    <w:rsid w:val="7E667120"/>
    <w:rsid w:val="7E6B2044"/>
    <w:rsid w:val="7E74256E"/>
    <w:rsid w:val="7E74436F"/>
    <w:rsid w:val="7E757601"/>
    <w:rsid w:val="7E8606FF"/>
    <w:rsid w:val="7E8D2BA2"/>
    <w:rsid w:val="7E8E68C1"/>
    <w:rsid w:val="7E932583"/>
    <w:rsid w:val="7E936581"/>
    <w:rsid w:val="7E96597A"/>
    <w:rsid w:val="7EA22240"/>
    <w:rsid w:val="7ED00118"/>
    <w:rsid w:val="7ED71606"/>
    <w:rsid w:val="7ED75003"/>
    <w:rsid w:val="7ED9044B"/>
    <w:rsid w:val="7EDB0996"/>
    <w:rsid w:val="7EDB4F18"/>
    <w:rsid w:val="7EE07CBA"/>
    <w:rsid w:val="7EE63236"/>
    <w:rsid w:val="7EE70ACA"/>
    <w:rsid w:val="7EE82DBB"/>
    <w:rsid w:val="7EEE1953"/>
    <w:rsid w:val="7EFA5A0F"/>
    <w:rsid w:val="7EFC752A"/>
    <w:rsid w:val="7EFC7B72"/>
    <w:rsid w:val="7EFD0275"/>
    <w:rsid w:val="7EFD1B27"/>
    <w:rsid w:val="7F282327"/>
    <w:rsid w:val="7F284E3A"/>
    <w:rsid w:val="7F314BD3"/>
    <w:rsid w:val="7F35077F"/>
    <w:rsid w:val="7F355604"/>
    <w:rsid w:val="7F381849"/>
    <w:rsid w:val="7F3F667C"/>
    <w:rsid w:val="7F3F71BD"/>
    <w:rsid w:val="7F431175"/>
    <w:rsid w:val="7F442B70"/>
    <w:rsid w:val="7F4F5558"/>
    <w:rsid w:val="7F5228F4"/>
    <w:rsid w:val="7F565EC1"/>
    <w:rsid w:val="7F5959CE"/>
    <w:rsid w:val="7F5F50B1"/>
    <w:rsid w:val="7F93090F"/>
    <w:rsid w:val="7F9B4791"/>
    <w:rsid w:val="7FA42068"/>
    <w:rsid w:val="7FB561C9"/>
    <w:rsid w:val="7FB921D8"/>
    <w:rsid w:val="7FC4060E"/>
    <w:rsid w:val="7FC96214"/>
    <w:rsid w:val="7FCE06D7"/>
    <w:rsid w:val="7FCF76C6"/>
    <w:rsid w:val="7FD6012B"/>
    <w:rsid w:val="7FE839F4"/>
    <w:rsid w:val="7FF61D9F"/>
    <w:rsid w:val="7FFC1990"/>
    <w:rsid w:val="7FFE3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36"/>
    <w:qFormat/>
    <w:uiPriority w:val="9"/>
    <w:pPr>
      <w:numPr>
        <w:ilvl w:val="0"/>
        <w:numId w:val="1"/>
      </w:numPr>
      <w:spacing w:before="104" w:after="104" w:line="0" w:lineRule="atLeast"/>
      <w:jc w:val="center"/>
      <w:textAlignment w:val="bottom"/>
      <w:outlineLvl w:val="0"/>
    </w:pPr>
    <w:rPr>
      <w:rFonts w:ascii="Arial Black" w:hAnsi="Arial Black" w:eastAsia="方正小标宋简体"/>
      <w:kern w:val="0"/>
      <w:sz w:val="36"/>
      <w:szCs w:val="20"/>
    </w:rPr>
  </w:style>
  <w:style w:type="paragraph" w:styleId="4">
    <w:name w:val="heading 2"/>
    <w:basedOn w:val="1"/>
    <w:next w:val="1"/>
    <w:link w:val="37"/>
    <w:qFormat/>
    <w:uiPriority w:val="9"/>
    <w:pPr>
      <w:keepNext/>
      <w:keepLines/>
      <w:numPr>
        <w:ilvl w:val="1"/>
        <w:numId w:val="2"/>
      </w:numPr>
      <w:tabs>
        <w:tab w:val="left" w:pos="1008"/>
      </w:tabs>
      <w:spacing w:before="260" w:after="260" w:line="416" w:lineRule="auto"/>
      <w:outlineLvl w:val="1"/>
    </w:pPr>
    <w:rPr>
      <w:rFonts w:ascii="Arial" w:hAnsi="Arial" w:eastAsia="黑体"/>
      <w:b/>
      <w:sz w:val="32"/>
      <w:szCs w:val="20"/>
    </w:rPr>
  </w:style>
  <w:style w:type="paragraph" w:styleId="5">
    <w:name w:val="heading 3"/>
    <w:basedOn w:val="1"/>
    <w:next w:val="1"/>
    <w:link w:val="38"/>
    <w:qFormat/>
    <w:uiPriority w:val="9"/>
    <w:pPr>
      <w:keepNext/>
      <w:keepLines/>
      <w:spacing w:before="260" w:after="260" w:line="416" w:lineRule="auto"/>
      <w:outlineLvl w:val="2"/>
    </w:pPr>
    <w:rPr>
      <w:b/>
      <w:bCs/>
      <w:sz w:val="32"/>
      <w:szCs w:val="32"/>
    </w:rPr>
  </w:style>
  <w:style w:type="paragraph" w:styleId="6">
    <w:name w:val="heading 4"/>
    <w:basedOn w:val="1"/>
    <w:next w:val="1"/>
    <w:link w:val="39"/>
    <w:qFormat/>
    <w:uiPriority w:val="9"/>
    <w:pPr>
      <w:keepNext/>
      <w:keepLines/>
      <w:numPr>
        <w:ilvl w:val="3"/>
        <w:numId w:val="3"/>
      </w:numPr>
      <w:ind w:firstLine="0"/>
      <w:outlineLvl w:val="3"/>
    </w:pPr>
    <w:rPr>
      <w:rFonts w:ascii="Arial" w:hAnsi="Arial"/>
      <w:b/>
      <w:sz w:val="28"/>
    </w:rPr>
  </w:style>
  <w:style w:type="paragraph" w:styleId="7">
    <w:name w:val="heading 5"/>
    <w:next w:val="1"/>
    <w:qFormat/>
    <w:uiPriority w:val="9"/>
    <w:pPr>
      <w:keepNext/>
      <w:keepLines/>
      <w:widowControl w:val="0"/>
      <w:spacing w:before="280" w:after="290" w:line="376" w:lineRule="auto"/>
      <w:jc w:val="both"/>
      <w:outlineLvl w:val="4"/>
    </w:pPr>
    <w:rPr>
      <w:rFonts w:ascii="Calibri" w:hAnsi="Calibri" w:eastAsia="宋体" w:cs="Times New Roman"/>
      <w:b/>
      <w:bCs/>
      <w:kern w:val="2"/>
      <w:sz w:val="28"/>
      <w:szCs w:val="28"/>
      <w:lang w:val="en-US" w:eastAsia="zh-CN" w:bidi="ar-SA"/>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8">
    <w:name w:val="Document Map"/>
    <w:basedOn w:val="1"/>
    <w:link w:val="40"/>
    <w:unhideWhenUsed/>
    <w:qFormat/>
    <w:uiPriority w:val="99"/>
    <w:rPr>
      <w:rFonts w:ascii="宋体"/>
      <w:sz w:val="18"/>
      <w:szCs w:val="18"/>
    </w:rPr>
  </w:style>
  <w:style w:type="paragraph" w:styleId="9">
    <w:name w:val="annotation text"/>
    <w:basedOn w:val="1"/>
    <w:link w:val="41"/>
    <w:unhideWhenUsed/>
    <w:qFormat/>
    <w:uiPriority w:val="99"/>
    <w:pPr>
      <w:jc w:val="left"/>
    </w:pPr>
  </w:style>
  <w:style w:type="paragraph" w:styleId="10">
    <w:name w:val="Body Text"/>
    <w:basedOn w:val="1"/>
    <w:qFormat/>
    <w:uiPriority w:val="99"/>
    <w:pPr>
      <w:spacing w:after="120"/>
    </w:pPr>
  </w:style>
  <w:style w:type="paragraph" w:styleId="11">
    <w:name w:val="Body Text Indent"/>
    <w:basedOn w:val="1"/>
    <w:unhideWhenUsed/>
    <w:qFormat/>
    <w:uiPriority w:val="99"/>
    <w:pPr>
      <w:spacing w:after="120"/>
      <w:ind w:left="420" w:leftChars="200"/>
    </w:pPr>
  </w:style>
  <w:style w:type="paragraph" w:styleId="12">
    <w:name w:val="toc 3"/>
    <w:basedOn w:val="1"/>
    <w:next w:val="1"/>
    <w:unhideWhenUsed/>
    <w:qFormat/>
    <w:uiPriority w:val="39"/>
    <w:pPr>
      <w:ind w:left="840" w:leftChars="400"/>
    </w:pPr>
  </w:style>
  <w:style w:type="paragraph" w:styleId="13">
    <w:name w:val="endnote text"/>
    <w:basedOn w:val="1"/>
    <w:link w:val="42"/>
    <w:unhideWhenUsed/>
    <w:qFormat/>
    <w:uiPriority w:val="99"/>
    <w:pPr>
      <w:snapToGrid w:val="0"/>
      <w:jc w:val="left"/>
    </w:pPr>
  </w:style>
  <w:style w:type="paragraph" w:styleId="14">
    <w:name w:val="Balloon Text"/>
    <w:basedOn w:val="1"/>
    <w:link w:val="43"/>
    <w:unhideWhenUsed/>
    <w:qFormat/>
    <w:uiPriority w:val="99"/>
    <w:rPr>
      <w:sz w:val="18"/>
      <w:szCs w:val="18"/>
    </w:rPr>
  </w:style>
  <w:style w:type="paragraph" w:styleId="15">
    <w:name w:val="footer"/>
    <w:basedOn w:val="1"/>
    <w:link w:val="44"/>
    <w:unhideWhenUsed/>
    <w:qFormat/>
    <w:uiPriority w:val="99"/>
    <w:pPr>
      <w:tabs>
        <w:tab w:val="center" w:pos="4153"/>
        <w:tab w:val="right" w:pos="8306"/>
      </w:tabs>
      <w:snapToGrid w:val="0"/>
      <w:jc w:val="left"/>
    </w:pPr>
    <w:rPr>
      <w:sz w:val="18"/>
      <w:szCs w:val="18"/>
    </w:rPr>
  </w:style>
  <w:style w:type="paragraph" w:styleId="16">
    <w:name w:val="header"/>
    <w:basedOn w:val="1"/>
    <w:next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8"/>
    <w:next w:val="1"/>
    <w:unhideWhenUsed/>
    <w:qFormat/>
    <w:uiPriority w:val="39"/>
    <w:pPr>
      <w:spacing w:line="440" w:lineRule="exact"/>
      <w:ind w:firstLine="0" w:firstLineChars="0"/>
    </w:pPr>
    <w:rPr>
      <w:rFonts w:ascii="Times New Roman" w:hAnsi="Times New Roman" w:eastAsia="楷体"/>
      <w:b/>
      <w:sz w:val="28"/>
    </w:rPr>
  </w:style>
  <w:style w:type="paragraph" w:customStyle="1" w:styleId="18">
    <w:name w:val="标书正文"/>
    <w:basedOn w:val="1"/>
    <w:qFormat/>
    <w:uiPriority w:val="0"/>
    <w:pPr>
      <w:spacing w:line="500" w:lineRule="exact"/>
      <w:ind w:firstLine="200" w:firstLineChars="200"/>
    </w:pPr>
    <w:rPr>
      <w:snapToGrid w:val="0"/>
      <w:sz w:val="24"/>
      <w:szCs w:val="24"/>
    </w:rPr>
  </w:style>
  <w:style w:type="paragraph" w:styleId="19">
    <w:name w:val="Subtitle"/>
    <w:basedOn w:val="6"/>
    <w:next w:val="1"/>
    <w:link w:val="46"/>
    <w:qFormat/>
    <w:uiPriority w:val="11"/>
    <w:pPr>
      <w:numPr>
        <w:ilvl w:val="1"/>
        <w:numId w:val="0"/>
      </w:numPr>
      <w:tabs>
        <w:tab w:val="clear" w:pos="0"/>
      </w:tabs>
      <w:spacing w:line="500" w:lineRule="exact"/>
      <w:ind w:firstLine="200" w:firstLineChars="200"/>
      <w:jc w:val="left"/>
    </w:pPr>
    <w:rPr>
      <w:rFonts w:ascii="Times New Roman" w:hAnsi="Times New Roman"/>
      <w:b w:val="0"/>
      <w:iCs/>
      <w:spacing w:val="15"/>
      <w:kern w:val="0"/>
      <w:sz w:val="24"/>
    </w:rPr>
  </w:style>
  <w:style w:type="paragraph" w:styleId="20">
    <w:name w:val="footnote text"/>
    <w:basedOn w:val="1"/>
    <w:link w:val="47"/>
    <w:unhideWhenUsed/>
    <w:qFormat/>
    <w:uiPriority w:val="99"/>
    <w:pPr>
      <w:snapToGrid w:val="0"/>
      <w:jc w:val="left"/>
    </w:pPr>
    <w:rPr>
      <w:sz w:val="18"/>
      <w:szCs w:val="18"/>
    </w:rPr>
  </w:style>
  <w:style w:type="paragraph" w:styleId="21">
    <w:name w:val="Body Text Indent 3"/>
    <w:basedOn w:val="1"/>
    <w:next w:val="1"/>
    <w:unhideWhenUsed/>
    <w:qFormat/>
    <w:uiPriority w:val="99"/>
    <w:pPr>
      <w:spacing w:after="120"/>
      <w:ind w:left="420" w:leftChars="200"/>
    </w:pPr>
    <w:rPr>
      <w:sz w:val="16"/>
      <w:szCs w:val="16"/>
    </w:rPr>
  </w:style>
  <w:style w:type="paragraph" w:styleId="22">
    <w:name w:val="toc 2"/>
    <w:basedOn w:val="1"/>
    <w:next w:val="1"/>
    <w:unhideWhenUsed/>
    <w:qFormat/>
    <w:uiPriority w:val="39"/>
    <w:pPr>
      <w:spacing w:line="440" w:lineRule="exact"/>
      <w:ind w:left="200" w:leftChars="200"/>
    </w:pPr>
    <w:rPr>
      <w:rFonts w:ascii="Times New Roman" w:hAnsi="Times New Roman" w:eastAsia="楷体"/>
      <w:sz w:val="24"/>
    </w:rPr>
  </w:style>
  <w:style w:type="paragraph" w:styleId="23">
    <w:name w:val="Normal (Web)"/>
    <w:basedOn w:val="1"/>
    <w:unhideWhenUsed/>
    <w:qFormat/>
    <w:uiPriority w:val="99"/>
    <w:pPr>
      <w:spacing w:beforeAutospacing="1" w:afterAutospacing="1"/>
      <w:jc w:val="left"/>
    </w:pPr>
    <w:rPr>
      <w:kern w:val="0"/>
      <w:sz w:val="24"/>
    </w:rPr>
  </w:style>
  <w:style w:type="paragraph" w:styleId="24">
    <w:name w:val="Title"/>
    <w:basedOn w:val="5"/>
    <w:next w:val="1"/>
    <w:link w:val="48"/>
    <w:qFormat/>
    <w:uiPriority w:val="10"/>
    <w:pPr>
      <w:spacing w:before="0" w:after="0" w:line="520" w:lineRule="exact"/>
      <w:contextualSpacing/>
      <w:jc w:val="left"/>
    </w:pPr>
    <w:rPr>
      <w:rFonts w:ascii="Times New Roman" w:hAnsi="Times New Roman"/>
      <w:bCs w:val="0"/>
      <w:spacing w:val="-10"/>
      <w:kern w:val="28"/>
      <w:sz w:val="28"/>
      <w:szCs w:val="56"/>
    </w:rPr>
  </w:style>
  <w:style w:type="paragraph" w:styleId="25">
    <w:name w:val="annotation subject"/>
    <w:basedOn w:val="9"/>
    <w:next w:val="9"/>
    <w:link w:val="49"/>
    <w:unhideWhenUsed/>
    <w:qFormat/>
    <w:uiPriority w:val="99"/>
    <w:rPr>
      <w:b/>
      <w:bCs/>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endnote reference"/>
    <w:basedOn w:val="28"/>
    <w:unhideWhenUsed/>
    <w:qFormat/>
    <w:uiPriority w:val="99"/>
    <w:rPr>
      <w:vertAlign w:val="superscript"/>
    </w:rPr>
  </w:style>
  <w:style w:type="character" w:styleId="31">
    <w:name w:val="page number"/>
    <w:qFormat/>
    <w:uiPriority w:val="0"/>
  </w:style>
  <w:style w:type="character" w:styleId="32">
    <w:name w:val="FollowedHyperlink"/>
    <w:basedOn w:val="28"/>
    <w:unhideWhenUsed/>
    <w:qFormat/>
    <w:uiPriority w:val="99"/>
    <w:rPr>
      <w:color w:val="954F72"/>
      <w:u w:val="single"/>
    </w:rPr>
  </w:style>
  <w:style w:type="character" w:styleId="33">
    <w:name w:val="Hyperlink"/>
    <w:basedOn w:val="28"/>
    <w:unhideWhenUsed/>
    <w:qFormat/>
    <w:uiPriority w:val="99"/>
    <w:rPr>
      <w:color w:val="0563C1"/>
      <w:u w:val="single"/>
    </w:rPr>
  </w:style>
  <w:style w:type="character" w:styleId="34">
    <w:name w:val="annotation reference"/>
    <w:basedOn w:val="28"/>
    <w:unhideWhenUsed/>
    <w:qFormat/>
    <w:uiPriority w:val="99"/>
    <w:rPr>
      <w:sz w:val="21"/>
      <w:szCs w:val="21"/>
    </w:rPr>
  </w:style>
  <w:style w:type="character" w:styleId="35">
    <w:name w:val="footnote reference"/>
    <w:basedOn w:val="28"/>
    <w:unhideWhenUsed/>
    <w:qFormat/>
    <w:uiPriority w:val="99"/>
    <w:rPr>
      <w:vertAlign w:val="superscript"/>
    </w:rPr>
  </w:style>
  <w:style w:type="character" w:customStyle="1" w:styleId="36">
    <w:name w:val="标题 1 Char"/>
    <w:basedOn w:val="28"/>
    <w:link w:val="3"/>
    <w:qFormat/>
    <w:uiPriority w:val="9"/>
    <w:rPr>
      <w:rFonts w:ascii="Arial Black" w:hAnsi="Arial Black" w:eastAsia="方正小标宋简体"/>
      <w:sz w:val="36"/>
    </w:rPr>
  </w:style>
  <w:style w:type="character" w:customStyle="1" w:styleId="37">
    <w:name w:val="标题 2 Char"/>
    <w:basedOn w:val="28"/>
    <w:link w:val="4"/>
    <w:qFormat/>
    <w:uiPriority w:val="9"/>
    <w:rPr>
      <w:rFonts w:ascii="Arial" w:hAnsi="Arial" w:eastAsia="黑体"/>
      <w:b/>
      <w:kern w:val="2"/>
      <w:sz w:val="32"/>
    </w:rPr>
  </w:style>
  <w:style w:type="character" w:customStyle="1" w:styleId="38">
    <w:name w:val="标题 3 Char"/>
    <w:basedOn w:val="28"/>
    <w:link w:val="5"/>
    <w:qFormat/>
    <w:uiPriority w:val="9"/>
    <w:rPr>
      <w:b/>
      <w:bCs/>
      <w:kern w:val="2"/>
      <w:sz w:val="32"/>
      <w:szCs w:val="32"/>
    </w:rPr>
  </w:style>
  <w:style w:type="character" w:customStyle="1" w:styleId="39">
    <w:name w:val="标题 4 Char"/>
    <w:basedOn w:val="28"/>
    <w:link w:val="6"/>
    <w:qFormat/>
    <w:uiPriority w:val="9"/>
    <w:rPr>
      <w:rFonts w:ascii="Arial" w:hAnsi="Arial"/>
      <w:b/>
      <w:kern w:val="2"/>
      <w:sz w:val="28"/>
      <w:szCs w:val="22"/>
    </w:rPr>
  </w:style>
  <w:style w:type="character" w:customStyle="1" w:styleId="40">
    <w:name w:val="文档结构图 Char"/>
    <w:basedOn w:val="28"/>
    <w:link w:val="8"/>
    <w:semiHidden/>
    <w:qFormat/>
    <w:uiPriority w:val="99"/>
    <w:rPr>
      <w:rFonts w:ascii="宋体" w:hAnsi="Calibri" w:cs="Times New Roman"/>
      <w:kern w:val="2"/>
      <w:sz w:val="18"/>
      <w:szCs w:val="18"/>
    </w:rPr>
  </w:style>
  <w:style w:type="character" w:customStyle="1" w:styleId="41">
    <w:name w:val="批注文字 Char"/>
    <w:basedOn w:val="28"/>
    <w:link w:val="9"/>
    <w:semiHidden/>
    <w:qFormat/>
    <w:uiPriority w:val="99"/>
    <w:rPr>
      <w:kern w:val="2"/>
      <w:sz w:val="21"/>
      <w:szCs w:val="22"/>
    </w:rPr>
  </w:style>
  <w:style w:type="character" w:customStyle="1" w:styleId="42">
    <w:name w:val="尾注文本 Char"/>
    <w:basedOn w:val="28"/>
    <w:link w:val="13"/>
    <w:semiHidden/>
    <w:qFormat/>
    <w:uiPriority w:val="99"/>
    <w:rPr>
      <w:rFonts w:ascii="Calibri" w:hAnsi="Calibri" w:eastAsia="宋体" w:cs="Times New Roman"/>
      <w:kern w:val="2"/>
      <w:sz w:val="21"/>
      <w:szCs w:val="22"/>
    </w:rPr>
  </w:style>
  <w:style w:type="character" w:customStyle="1" w:styleId="43">
    <w:name w:val="批注框文本 Char"/>
    <w:basedOn w:val="28"/>
    <w:link w:val="14"/>
    <w:semiHidden/>
    <w:qFormat/>
    <w:uiPriority w:val="99"/>
    <w:rPr>
      <w:kern w:val="2"/>
      <w:sz w:val="18"/>
      <w:szCs w:val="18"/>
    </w:rPr>
  </w:style>
  <w:style w:type="character" w:customStyle="1" w:styleId="44">
    <w:name w:val="页脚 Char"/>
    <w:basedOn w:val="28"/>
    <w:link w:val="15"/>
    <w:qFormat/>
    <w:uiPriority w:val="99"/>
    <w:rPr>
      <w:kern w:val="2"/>
      <w:sz w:val="18"/>
      <w:szCs w:val="18"/>
    </w:rPr>
  </w:style>
  <w:style w:type="character" w:customStyle="1" w:styleId="45">
    <w:name w:val="页眉 Char"/>
    <w:basedOn w:val="28"/>
    <w:link w:val="16"/>
    <w:qFormat/>
    <w:uiPriority w:val="0"/>
    <w:rPr>
      <w:rFonts w:hint="default" w:ascii="Calibri" w:hAnsi="Calibri" w:eastAsia="宋体" w:cs="Times New Roman"/>
      <w:kern w:val="2"/>
      <w:sz w:val="18"/>
      <w:szCs w:val="18"/>
    </w:rPr>
  </w:style>
  <w:style w:type="character" w:customStyle="1" w:styleId="46">
    <w:name w:val="副标题 Char"/>
    <w:basedOn w:val="28"/>
    <w:link w:val="19"/>
    <w:qFormat/>
    <w:uiPriority w:val="11"/>
    <w:rPr>
      <w:rFonts w:ascii="Times New Roman" w:hAnsi="Times New Roman" w:eastAsia="宋体" w:cs="Times New Roman"/>
      <w:iCs/>
      <w:spacing w:val="15"/>
      <w:sz w:val="24"/>
      <w:szCs w:val="22"/>
    </w:rPr>
  </w:style>
  <w:style w:type="character" w:customStyle="1" w:styleId="47">
    <w:name w:val="脚注文本 Char"/>
    <w:basedOn w:val="28"/>
    <w:link w:val="20"/>
    <w:semiHidden/>
    <w:qFormat/>
    <w:uiPriority w:val="99"/>
    <w:rPr>
      <w:rFonts w:ascii="Calibri" w:hAnsi="Calibri" w:eastAsia="宋体" w:cs="Times New Roman"/>
      <w:kern w:val="2"/>
      <w:sz w:val="18"/>
      <w:szCs w:val="18"/>
    </w:rPr>
  </w:style>
  <w:style w:type="character" w:customStyle="1" w:styleId="48">
    <w:name w:val="标题 Char"/>
    <w:basedOn w:val="28"/>
    <w:link w:val="24"/>
    <w:qFormat/>
    <w:uiPriority w:val="10"/>
    <w:rPr>
      <w:rFonts w:ascii="Times New Roman" w:hAnsi="Times New Roman" w:eastAsia="宋体" w:cs="Times New Roman"/>
      <w:b/>
      <w:spacing w:val="-10"/>
      <w:kern w:val="28"/>
      <w:sz w:val="28"/>
      <w:szCs w:val="56"/>
    </w:rPr>
  </w:style>
  <w:style w:type="character" w:customStyle="1" w:styleId="49">
    <w:name w:val="批注主题 Char"/>
    <w:basedOn w:val="41"/>
    <w:link w:val="25"/>
    <w:semiHidden/>
    <w:qFormat/>
    <w:uiPriority w:val="99"/>
    <w:rPr>
      <w:b/>
      <w:bCs/>
      <w:kern w:val="2"/>
      <w:sz w:val="21"/>
      <w:szCs w:val="22"/>
    </w:rPr>
  </w:style>
  <w:style w:type="paragraph" w:customStyle="1" w:styleId="50">
    <w:name w:val="标准文本（水投）"/>
    <w:basedOn w:val="1"/>
    <w:qFormat/>
    <w:uiPriority w:val="0"/>
    <w:pPr>
      <w:spacing w:line="594" w:lineRule="exact"/>
      <w:ind w:firstLine="883" w:firstLineChars="200"/>
    </w:pPr>
    <w:rPr>
      <w:sz w:val="32"/>
    </w:rPr>
  </w:style>
  <w:style w:type="paragraph" w:customStyle="1" w:styleId="51">
    <w:name w:val="样式 标题 1标题 1hy + 段前: 0.5 行 段后: 0.5 行"/>
    <w:basedOn w:val="3"/>
    <w:qFormat/>
    <w:uiPriority w:val="0"/>
    <w:pPr>
      <w:spacing w:before="240" w:after="240"/>
      <w:jc w:val="left"/>
    </w:pPr>
    <w:rPr>
      <w:rFonts w:ascii="Arial" w:hAnsi="Arial" w:cs="宋体"/>
    </w:rPr>
  </w:style>
  <w:style w:type="paragraph" w:customStyle="1" w:styleId="52">
    <w:name w:val="列表段落1"/>
    <w:basedOn w:val="1"/>
    <w:qFormat/>
    <w:uiPriority w:val="99"/>
    <w:pPr>
      <w:ind w:firstLine="420" w:firstLineChars="200"/>
    </w:pPr>
  </w:style>
  <w:style w:type="character" w:customStyle="1" w:styleId="53">
    <w:name w:val="页眉 字符"/>
    <w:basedOn w:val="28"/>
    <w:qFormat/>
    <w:uiPriority w:val="99"/>
    <w:rPr>
      <w:kern w:val="2"/>
      <w:sz w:val="18"/>
      <w:szCs w:val="18"/>
    </w:rPr>
  </w:style>
  <w:style w:type="table" w:customStyle="1" w:styleId="54">
    <w:name w:val="粗边框"/>
    <w:basedOn w:val="26"/>
    <w:qFormat/>
    <w:uiPriority w:val="99"/>
    <w:pPr>
      <w:widowControl w:val="0"/>
      <w:spacing w:line="280" w:lineRule="exact"/>
      <w:jc w:val="center"/>
    </w:pPr>
    <w:rPr>
      <w:sz w:val="21"/>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55">
    <w:name w:val="页眉页脚"/>
    <w:basedOn w:val="1"/>
    <w:next w:val="1"/>
    <w:qFormat/>
    <w:uiPriority w:val="0"/>
    <w:pPr>
      <w:numPr>
        <w:ilvl w:val="0"/>
        <w:numId w:val="4"/>
      </w:numPr>
      <w:spacing w:line="500" w:lineRule="exact"/>
      <w:jc w:val="left"/>
    </w:pPr>
    <w:rPr>
      <w:rFonts w:ascii="Times New Roman" w:hAnsi="Times New Roman"/>
      <w:kern w:val="0"/>
      <w:sz w:val="18"/>
    </w:rPr>
  </w:style>
  <w:style w:type="table" w:customStyle="1" w:styleId="56">
    <w:name w:val="模板"/>
    <w:basedOn w:val="26"/>
    <w:qFormat/>
    <w:uiPriority w:val="99"/>
    <w:pPr>
      <w:spacing w:line="0" w:lineRule="atLeast"/>
      <w:jc w:val="center"/>
    </w:pPr>
    <w:rPr>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57">
    <w:name w:val="msonormal"/>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4"/>
      <w:szCs w:val="24"/>
    </w:rPr>
  </w:style>
  <w:style w:type="paragraph" w:customStyle="1" w:styleId="59">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b/>
      <w:bCs/>
      <w:color w:val="000000"/>
      <w:kern w:val="0"/>
      <w:sz w:val="24"/>
      <w:szCs w:val="24"/>
    </w:rPr>
  </w:style>
  <w:style w:type="paragraph" w:customStyle="1" w:styleId="6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4"/>
      <w:szCs w:val="24"/>
    </w:rPr>
  </w:style>
  <w:style w:type="paragraph" w:customStyle="1" w:styleId="61">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olor w:val="000000"/>
      <w:kern w:val="0"/>
      <w:sz w:val="24"/>
      <w:szCs w:val="24"/>
    </w:rPr>
  </w:style>
  <w:style w:type="paragraph" w:customStyle="1" w:styleId="6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4"/>
      <w:szCs w:val="24"/>
    </w:rPr>
  </w:style>
  <w:style w:type="paragraph" w:customStyle="1" w:styleId="63">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b/>
      <w:bCs/>
      <w:color w:val="000000"/>
      <w:kern w:val="0"/>
      <w:sz w:val="24"/>
      <w:szCs w:val="24"/>
    </w:rPr>
  </w:style>
  <w:style w:type="paragraph" w:customStyle="1" w:styleId="64">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color w:val="000000"/>
      <w:kern w:val="0"/>
      <w:sz w:val="24"/>
      <w:szCs w:val="24"/>
    </w:rPr>
  </w:style>
  <w:style w:type="paragraph" w:customStyle="1" w:styleId="6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b/>
      <w:bCs/>
      <w:color w:val="000000"/>
      <w:kern w:val="0"/>
      <w:sz w:val="24"/>
      <w:szCs w:val="24"/>
    </w:rPr>
  </w:style>
  <w:style w:type="paragraph" w:customStyle="1" w:styleId="66">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b/>
      <w:bCs/>
      <w:color w:val="000000"/>
      <w:kern w:val="0"/>
      <w:sz w:val="24"/>
      <w:szCs w:val="24"/>
    </w:rPr>
  </w:style>
  <w:style w:type="paragraph" w:customStyle="1" w:styleId="6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24"/>
      <w:szCs w:val="24"/>
    </w:rPr>
  </w:style>
  <w:style w:type="paragraph" w:customStyle="1" w:styleId="6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olor w:val="000000"/>
      <w:kern w:val="0"/>
      <w:sz w:val="24"/>
      <w:szCs w:val="24"/>
    </w:rPr>
  </w:style>
  <w:style w:type="paragraph" w:customStyle="1" w:styleId="69">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olor w:val="000000"/>
      <w:kern w:val="0"/>
      <w:sz w:val="24"/>
      <w:szCs w:val="24"/>
    </w:rPr>
  </w:style>
  <w:style w:type="paragraph" w:customStyle="1" w:styleId="70">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b/>
      <w:bCs/>
      <w:color w:val="000000"/>
      <w:kern w:val="0"/>
      <w:sz w:val="24"/>
      <w:szCs w:val="24"/>
    </w:rPr>
  </w:style>
  <w:style w:type="paragraph" w:customStyle="1" w:styleId="71">
    <w:name w:val="xl78"/>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2">
    <w:name w:val="xl79"/>
    <w:basedOn w:val="1"/>
    <w:qFormat/>
    <w:uiPriority w:val="0"/>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3">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75">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Times New Roman"/>
      <w:kern w:val="0"/>
      <w:sz w:val="24"/>
      <w:szCs w:val="24"/>
    </w:rPr>
  </w:style>
  <w:style w:type="paragraph" w:customStyle="1" w:styleId="7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18"/>
      <w:szCs w:val="18"/>
    </w:rPr>
  </w:style>
  <w:style w:type="paragraph" w:customStyle="1" w:styleId="7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kern w:val="0"/>
      <w:sz w:val="24"/>
      <w:szCs w:val="24"/>
    </w:rPr>
  </w:style>
  <w:style w:type="paragraph" w:customStyle="1" w:styleId="7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Times New Roman"/>
      <w:kern w:val="0"/>
      <w:sz w:val="24"/>
      <w:szCs w:val="24"/>
    </w:rPr>
  </w:style>
  <w:style w:type="paragraph" w:customStyle="1" w:styleId="79">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80">
    <w:name w:val="表格文字"/>
    <w:basedOn w:val="1"/>
    <w:link w:val="81"/>
    <w:qFormat/>
    <w:uiPriority w:val="0"/>
    <w:pPr>
      <w:spacing w:line="0" w:lineRule="atLeast"/>
      <w:jc w:val="center"/>
    </w:pPr>
    <w:rPr>
      <w:rFonts w:ascii="Times New Roman" w:hAnsi="Times New Roman"/>
      <w:bCs/>
      <w:kern w:val="0"/>
      <w:sz w:val="22"/>
    </w:rPr>
  </w:style>
  <w:style w:type="character" w:customStyle="1" w:styleId="81">
    <w:name w:val="表格文字 字符"/>
    <w:link w:val="80"/>
    <w:qFormat/>
    <w:uiPriority w:val="0"/>
    <w:rPr>
      <w:rFonts w:cs="Times New Roman"/>
      <w:bCs/>
      <w:sz w:val="22"/>
      <w:szCs w:val="22"/>
    </w:rPr>
  </w:style>
  <w:style w:type="paragraph" w:customStyle="1" w:styleId="82">
    <w:name w:val="图标题"/>
    <w:basedOn w:val="1"/>
    <w:qFormat/>
    <w:uiPriority w:val="0"/>
    <w:pPr>
      <w:jc w:val="center"/>
    </w:pPr>
    <w:rPr>
      <w:rFonts w:ascii="黑体" w:hAnsi="黑体" w:eastAsia="黑体"/>
      <w:sz w:val="24"/>
      <w:szCs w:val="24"/>
    </w:rPr>
  </w:style>
  <w:style w:type="paragraph" w:customStyle="1" w:styleId="83">
    <w:name w:val="_Style 2"/>
    <w:basedOn w:val="3"/>
    <w:next w:val="1"/>
    <w:qFormat/>
    <w:uiPriority w:val="39"/>
    <w:pPr>
      <w:keepNext/>
      <w:keepLines/>
      <w:widowControl/>
      <w:spacing w:before="480" w:line="276" w:lineRule="auto"/>
      <w:jc w:val="left"/>
      <w:outlineLvl w:val="9"/>
    </w:pPr>
    <w:rPr>
      <w:rFonts w:ascii="Cambria" w:hAnsi="Cambria"/>
      <w:bCs/>
      <w:color w:val="365F91"/>
      <w:sz w:val="28"/>
      <w:szCs w:val="28"/>
      <w:lang w:val="zh-CN"/>
    </w:rPr>
  </w:style>
  <w:style w:type="paragraph" w:customStyle="1" w:styleId="84">
    <w:name w:val="样式 (中文) 仿宋_GB2312 黑色 首行缩进:  2 字符"/>
    <w:basedOn w:val="1"/>
    <w:qFormat/>
    <w:uiPriority w:val="0"/>
    <w:rPr>
      <w:rFonts w:ascii="仿宋_GB2312" w:eastAsia="仿宋_GB2312"/>
      <w:szCs w:val="20"/>
    </w:rPr>
  </w:style>
  <w:style w:type="paragraph" w:customStyle="1" w:styleId="85">
    <w:name w:val="样式 首行缩进:  2 字符 行距: 固定值 26 磅"/>
    <w:basedOn w:val="1"/>
    <w:qFormat/>
    <w:uiPriority w:val="0"/>
    <w:rPr>
      <w:rFonts w:cs="宋体"/>
      <w:szCs w:val="20"/>
    </w:rPr>
  </w:style>
  <w:style w:type="paragraph" w:customStyle="1" w:styleId="86">
    <w:name w:val="列出段落1"/>
    <w:basedOn w:val="1"/>
    <w:qFormat/>
    <w:uiPriority w:val="99"/>
    <w:pPr>
      <w:ind w:firstLine="420" w:firstLineChars="200"/>
    </w:pPr>
  </w:style>
  <w:style w:type="character" w:customStyle="1" w:styleId="87">
    <w:name w:val="font11"/>
    <w:basedOn w:val="28"/>
    <w:qFormat/>
    <w:uiPriority w:val="0"/>
    <w:rPr>
      <w:rFonts w:hint="eastAsia" w:ascii="宋体" w:hAnsi="宋体" w:eastAsia="宋体" w:cs="宋体"/>
      <w:color w:val="000000"/>
      <w:sz w:val="22"/>
      <w:szCs w:val="22"/>
      <w:u w:val="none"/>
    </w:rPr>
  </w:style>
  <w:style w:type="character" w:customStyle="1" w:styleId="88">
    <w:name w:val="font01"/>
    <w:basedOn w:val="28"/>
    <w:qFormat/>
    <w:uiPriority w:val="0"/>
    <w:rPr>
      <w:rFonts w:hint="eastAsia" w:ascii="宋体" w:hAnsi="宋体" w:eastAsia="宋体" w:cs="宋体"/>
      <w:color w:val="000000"/>
      <w:sz w:val="22"/>
      <w:szCs w:val="22"/>
      <w:u w:val="none"/>
      <w:vertAlign w:val="superscript"/>
    </w:rPr>
  </w:style>
  <w:style w:type="paragraph" w:customStyle="1" w:styleId="89">
    <w:name w:val="列表段落2"/>
    <w:basedOn w:val="1"/>
    <w:qFormat/>
    <w:uiPriority w:val="99"/>
    <w:pPr>
      <w:ind w:firstLine="420" w:firstLineChars="200"/>
    </w:pPr>
  </w:style>
  <w:style w:type="paragraph" w:styleId="90">
    <w:name w:val="List Paragraph"/>
    <w:basedOn w:val="1"/>
    <w:qFormat/>
    <w:uiPriority w:val="34"/>
    <w:pPr>
      <w:ind w:firstLine="420" w:firstLineChars="200"/>
    </w:pPr>
  </w:style>
  <w:style w:type="table" w:customStyle="1" w:styleId="91">
    <w:name w:val="粗边框1"/>
    <w:basedOn w:val="26"/>
    <w:qFormat/>
    <w:uiPriority w:val="99"/>
    <w:pPr>
      <w:widowControl w:val="0"/>
      <w:spacing w:line="280" w:lineRule="exact"/>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92">
    <w:name w:val="模板1"/>
    <w:basedOn w:val="26"/>
    <w:qFormat/>
    <w:uiPriority w:val="99"/>
    <w:pPr>
      <w:spacing w:line="0" w:lineRule="atLeast"/>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93">
    <w:name w:val="粗边框2"/>
    <w:basedOn w:val="26"/>
    <w:qFormat/>
    <w:uiPriority w:val="99"/>
    <w:pPr>
      <w:widowControl w:val="0"/>
      <w:spacing w:line="280" w:lineRule="exact"/>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94">
    <w:name w:val="模板2"/>
    <w:basedOn w:val="26"/>
    <w:qFormat/>
    <w:uiPriority w:val="99"/>
    <w:pPr>
      <w:spacing w:line="0" w:lineRule="atLeast"/>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95">
    <w:name w:val="修订1"/>
    <w:semiHidden/>
    <w:qFormat/>
    <w:uiPriority w:val="99"/>
    <w:rPr>
      <w:rFonts w:ascii="Calibri" w:hAnsi="Calibri" w:eastAsia="宋体" w:cs="Times New Roman"/>
      <w:kern w:val="2"/>
      <w:sz w:val="21"/>
      <w:szCs w:val="22"/>
      <w:lang w:val="en-US" w:eastAsia="zh-CN" w:bidi="ar-SA"/>
    </w:rPr>
  </w:style>
  <w:style w:type="paragraph" w:customStyle="1" w:styleId="96">
    <w:name w:val="Body text|1"/>
    <w:basedOn w:val="1"/>
    <w:qFormat/>
    <w:uiPriority w:val="0"/>
    <w:pPr>
      <w:spacing w:line="408" w:lineRule="auto"/>
      <w:ind w:firstLine="400"/>
      <w:jc w:val="left"/>
    </w:pPr>
    <w:rPr>
      <w:rFonts w:hint="eastAsia" w:ascii="宋体" w:hAnsi="宋体"/>
      <w:kern w:val="0"/>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4.xml"/><Relationship Id="rId6" Type="http://schemas.openxmlformats.org/officeDocument/2006/relationships/header" Target="header3.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chart" Target="charts/chart4.xml"/><Relationship Id="rId5" Type="http://schemas.openxmlformats.org/officeDocument/2006/relationships/header" Target="header2.xml"/><Relationship Id="rId49" Type="http://schemas.openxmlformats.org/officeDocument/2006/relationships/image" Target="media/image5.png"/><Relationship Id="rId48" Type="http://schemas.microsoft.com/office/2007/relationships/diagramDrawing" Target="diagrams/drawing3.xml"/><Relationship Id="rId47" Type="http://schemas.openxmlformats.org/officeDocument/2006/relationships/diagramColors" Target="diagrams/colors3.xml"/><Relationship Id="rId46" Type="http://schemas.openxmlformats.org/officeDocument/2006/relationships/diagramQuickStyle" Target="diagrams/quickStyle3.xml"/><Relationship Id="rId45" Type="http://schemas.openxmlformats.org/officeDocument/2006/relationships/diagramLayout" Target="diagrams/layout3.xml"/><Relationship Id="rId44" Type="http://schemas.openxmlformats.org/officeDocument/2006/relationships/diagramData" Target="diagrams/data3.xml"/><Relationship Id="rId43" Type="http://schemas.microsoft.com/office/2007/relationships/diagramDrawing" Target="diagrams/drawing2.xml"/><Relationship Id="rId42" Type="http://schemas.openxmlformats.org/officeDocument/2006/relationships/diagramColors" Target="diagrams/colors2.xml"/><Relationship Id="rId41" Type="http://schemas.openxmlformats.org/officeDocument/2006/relationships/diagramQuickStyle" Target="diagrams/quickStyle2.xml"/><Relationship Id="rId40" Type="http://schemas.openxmlformats.org/officeDocument/2006/relationships/diagramLayout" Target="diagrams/layout2.xml"/><Relationship Id="rId4" Type="http://schemas.openxmlformats.org/officeDocument/2006/relationships/header" Target="header1.xml"/><Relationship Id="rId39" Type="http://schemas.openxmlformats.org/officeDocument/2006/relationships/diagramData" Target="diagrams/data2.xml"/><Relationship Id="rId38" Type="http://schemas.microsoft.com/office/2007/relationships/diagramDrawing" Target="diagrams/drawing1.xml"/><Relationship Id="rId37" Type="http://schemas.openxmlformats.org/officeDocument/2006/relationships/diagramColors" Target="diagrams/colors1.xml"/><Relationship Id="rId36" Type="http://schemas.openxmlformats.org/officeDocument/2006/relationships/diagramQuickStyle" Target="diagrams/quickStyle1.xml"/><Relationship Id="rId35" Type="http://schemas.openxmlformats.org/officeDocument/2006/relationships/diagramLayout" Target="diagrams/layout1.xml"/><Relationship Id="rId34" Type="http://schemas.openxmlformats.org/officeDocument/2006/relationships/diagramData" Target="diagrams/data1.xml"/><Relationship Id="rId33" Type="http://schemas.openxmlformats.org/officeDocument/2006/relationships/chart" Target="charts/chart3.xml"/><Relationship Id="rId32" Type="http://schemas.openxmlformats.org/officeDocument/2006/relationships/chart" Target="charts/chart2.xml"/><Relationship Id="rId31" Type="http://schemas.openxmlformats.org/officeDocument/2006/relationships/chart" Target="charts/chart1.xml"/><Relationship Id="rId30" Type="http://schemas.openxmlformats.org/officeDocument/2006/relationships/image" Target="media/image4.jpe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2.xml"/><Relationship Id="rId24" Type="http://schemas.openxmlformats.org/officeDocument/2006/relationships/header" Target="header10.xml"/><Relationship Id="rId23" Type="http://schemas.openxmlformats.org/officeDocument/2006/relationships/footer" Target="footer11.xml"/><Relationship Id="rId22" Type="http://schemas.openxmlformats.org/officeDocument/2006/relationships/header" Target="header9.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9.xml"/><Relationship Id="rId17" Type="http://schemas.openxmlformats.org/officeDocument/2006/relationships/header" Target="header6.xml"/><Relationship Id="rId16" Type="http://schemas.openxmlformats.org/officeDocument/2006/relationships/footer" Target="footer8.xml"/><Relationship Id="rId15" Type="http://schemas.openxmlformats.org/officeDocument/2006/relationships/header" Target="header5.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37325;&#24198;&#24066;\&#21306;&#21439;\&#22857;&#33410;\2020\&#21313;&#22235;&#20116;&#27700;&#23433;&#20840;&#20445;&#38556;\&#2104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37325;&#24198;&#24066;\&#21306;&#21439;\&#22857;&#33410;\2020\&#21313;&#22235;&#20116;&#27700;&#23433;&#20840;&#20445;&#38556;\&#21046;&#349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37325;&#24198;&#24066;\&#21306;&#21439;\&#22857;&#33410;\2020\&#21313;&#22235;&#20116;&#27700;&#23433;&#20840;&#20445;&#38556;\202202&#21313;&#19971;&#31295;\&#38468;&#34920;-&#22857;&#33410;&#21313;&#22235;&#20116;&#39033;&#30446;&#28165;&#21333;&#27719;&#24635;&#31532;&#21313;&#19971;&#29256;&#23450;&#3129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rgbClr val="404040">
                    <a:lumMod val="75000"/>
                    <a:lumOff val="25000"/>
                  </a:srgbClr>
                </a:solidFill>
                <a:latin typeface="+mn-lt"/>
                <a:ea typeface="+mn-ea"/>
                <a:cs typeface="+mn-cs"/>
              </a:defRPr>
            </a:pPr>
            <a:r>
              <a:rPr lang="zh-CN" altLang="en-US" sz="1000"/>
              <a:t>奉节县“十三五”时期水利投资情况</a:t>
            </a:r>
            <a:endParaRPr lang="zh-CN" altLang="en-US" sz="1000"/>
          </a:p>
        </c:rich>
      </c:tx>
      <c:layout>
        <c:manualLayout>
          <c:xMode val="edge"/>
          <c:yMode val="edge"/>
          <c:x val="0.34424882629108"/>
          <c:y val="0.0237793011973501"/>
        </c:manualLayout>
      </c:layout>
      <c:overlay val="0"/>
      <c:spPr>
        <a:noFill/>
        <a:ln>
          <a:noFill/>
        </a:ln>
        <a:effectLst/>
      </c:spPr>
    </c:title>
    <c:autoTitleDeleted val="0"/>
    <c:view3D>
      <c:rotX val="30"/>
      <c:rotY val="0"/>
      <c:depthPercent val="100"/>
      <c:rAngAx val="0"/>
      <c:perspective val="30"/>
    </c:view3D>
    <c:floor>
      <c:thickness val="0"/>
      <c:spPr>
        <a:noFill/>
        <a:effectLst/>
      </c:spPr>
    </c:floor>
    <c:sideWall>
      <c:thickness val="0"/>
      <c:spPr>
        <a:noFill/>
        <a:effectLst/>
      </c:spPr>
    </c:sideWall>
    <c:backWall>
      <c:thickness val="0"/>
      <c:spPr>
        <a:noFill/>
        <a:effectLst/>
      </c:spPr>
    </c:backWall>
    <c:plotArea>
      <c:layout>
        <c:manualLayout>
          <c:layoutTarget val="inner"/>
          <c:xMode val="edge"/>
          <c:yMode val="edge"/>
          <c:x val="0.14906103286385"/>
          <c:y val="0.29463030643801"/>
          <c:w val="0.773004694835681"/>
          <c:h val="0.696935619904414"/>
        </c:manualLayout>
      </c:layout>
      <c:pie3DChart>
        <c:varyColors val="1"/>
        <c:ser>
          <c:idx val="0"/>
          <c:order val="0"/>
          <c:spPr>
            <a:scene3d>
              <a:camera prst="orthographicFront"/>
              <a:lightRig rig="threePt" dir="t"/>
            </a:scene3d>
            <a:sp3d contourW="9525"/>
          </c:spPr>
          <c:explosion val="0"/>
          <c:dPt>
            <c:idx val="0"/>
            <c:bubble3D val="0"/>
            <c:spPr>
              <a:solidFill>
                <a:srgbClr val="4F81BD"/>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1"/>
            <c:bubble3D val="0"/>
            <c:spPr>
              <a:solidFill>
                <a:srgbClr val="C0504D"/>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2"/>
            <c:bubble3D val="0"/>
            <c:spPr>
              <a:solidFill>
                <a:srgbClr val="9BBB59"/>
              </a:solidFill>
              <a:ln>
                <a:noFill/>
              </a:ln>
              <a:effectLst>
                <a:outerShdw blurRad="254000" sx="102000" sy="102000" algn="ctr" rotWithShape="0">
                  <a:prstClr val="black">
                    <a:alpha val="20000"/>
                  </a:prstClr>
                </a:outerShdw>
              </a:effectLst>
              <a:scene3d>
                <a:camera prst="orthographicFront"/>
                <a:lightRig rig="threePt" dir="t"/>
              </a:scene3d>
              <a:sp3d contourW="9525"/>
            </c:spPr>
          </c:dPt>
          <c:dPt>
            <c:idx val="3"/>
            <c:bubble3D val="0"/>
            <c:spPr>
              <a:solidFill>
                <a:srgbClr val="8064A2"/>
              </a:solidFill>
              <a:ln>
                <a:noFill/>
              </a:ln>
              <a:effectLst>
                <a:outerShdw blurRad="254000" sx="102000" sy="102000" algn="ctr" rotWithShape="0">
                  <a:prstClr val="black">
                    <a:alpha val="20000"/>
                  </a:prstClr>
                </a:outerShdw>
              </a:effectLst>
              <a:scene3d>
                <a:camera prst="orthographicFront"/>
                <a:lightRig rig="threePt" dir="t"/>
              </a:scene3d>
              <a:sp3d contourW="9525"/>
            </c:spPr>
          </c:dPt>
          <c:dLbls>
            <c:spPr>
              <a:pattFill prst="pct75">
                <a:fgClr>
                  <a:srgbClr val="404040">
                    <a:lumMod val="75000"/>
                    <a:lumOff val="25000"/>
                  </a:srgbClr>
                </a:fgClr>
                <a:bgClr>
                  <a:srgbClr val="595959">
                    <a:lumMod val="65000"/>
                    <a:lumOff val="35000"/>
                  </a:srgb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rgbClr val="FFFFFF"/>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808080">
                          <a:lumMod val="50000"/>
                          <a:lumOff val="50000"/>
                        </a:srgbClr>
                      </a:solidFill>
                      <a:prstDash val="solid"/>
                      <a:round/>
                    </a:ln>
                    <a:effectLst/>
                  </c:spPr>
                </c15:leaderLines>
              </c:ext>
            </c:extLst>
          </c:dLbls>
          <c:cat>
            <c:strRef>
              <c:f>[工作簿1]Sheet1!$A$3:$A$6</c:f>
              <c:strCache>
                <c:ptCount val="4"/>
                <c:pt idx="0">
                  <c:v>水库工程</c:v>
                </c:pt>
                <c:pt idx="1">
                  <c:v>中小流域治理</c:v>
                </c:pt>
                <c:pt idx="2">
                  <c:v>水利扶贫投资</c:v>
                </c:pt>
                <c:pt idx="3">
                  <c:v>其他投资</c:v>
                </c:pt>
              </c:strCache>
            </c:strRef>
          </c:cat>
          <c:val>
            <c:numRef>
              <c:f>[工作簿1]Sheet1!$B$3:$B$6</c:f>
              <c:numCache>
                <c:formatCode>General</c:formatCode>
                <c:ptCount val="4"/>
                <c:pt idx="0">
                  <c:v>8.79</c:v>
                </c:pt>
                <c:pt idx="1">
                  <c:v>2.23</c:v>
                </c:pt>
                <c:pt idx="2">
                  <c:v>3</c:v>
                </c:pt>
                <c:pt idx="3">
                  <c:v>5</c:v>
                </c:pt>
              </c:numCache>
            </c:numRef>
          </c:val>
        </c:ser>
        <c:dLbls>
          <c:showLegendKey val="0"/>
          <c:showVal val="0"/>
          <c:showCatName val="0"/>
          <c:showSerName val="0"/>
          <c:showPercent val="1"/>
          <c:showBubbleSize val="0"/>
        </c:dLbls>
      </c:pie3DChart>
      <c:spPr>
        <a:noFill/>
        <a:ln>
          <a:noFill/>
        </a:ln>
        <a:effectLst/>
      </c:spPr>
    </c:plotArea>
    <c:legend>
      <c:legendPos val="r"/>
      <c:layout/>
      <c:overlay val="0"/>
      <c:spPr>
        <a:solidFill>
          <a:srgbClr val="F2F2F2">
            <a:lumMod val="95000"/>
            <a:alpha val="39000"/>
          </a:srgbClr>
        </a:solidFill>
        <a:ln>
          <a:noFill/>
        </a:ln>
        <a:effectLst/>
      </c:spPr>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mn-lt"/>
              <a:ea typeface="+mn-ea"/>
              <a:cs typeface="+mn-cs"/>
            </a:defRPr>
          </a:pPr>
        </a:p>
      </c:txPr>
    </c:legend>
    <c:plotVisOnly val="1"/>
    <c:dispBlanksAs val="zero"/>
    <c:showDLblsOverMax val="0"/>
    <c:extLst>
      <c:ext uri="{0b15fc19-7d7d-44ad-8c2d-2c3a37ce22c3}">
        <chartProps xmlns="https://web.wps.cn/et/2018/main" chartId="{7cb42a94-720e-43e6-ad16-a45c99efa649}"/>
      </c:ext>
    </c:extLst>
  </c:chart>
  <c:spPr>
    <a:gradFill flip="none" rotWithShape="1">
      <a:gsLst>
        <a:gs pos="0">
          <a:srgbClr val="FFFFFF"/>
        </a:gs>
        <a:gs pos="39000">
          <a:srgbClr val="FFFFFF"/>
        </a:gs>
        <a:gs pos="100000">
          <a:srgbClr val="BFBFBF">
            <a:lumMod val="75000"/>
          </a:srgbClr>
        </a:gs>
      </a:gsLst>
      <a:path path="circle">
        <a:fillToRect l="50000" t="-80000" r="50000" b="180000"/>
      </a:path>
    </a:gradFill>
    <a:ln w="9525" cap="flat" cmpd="sng" algn="ctr">
      <a:solidFill>
        <a:srgbClr val="BFBFBF">
          <a:lumMod val="25000"/>
          <a:lumOff val="7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rgbClr val="595959">
                    <a:lumMod val="65000"/>
                    <a:lumOff val="35000"/>
                  </a:srgbClr>
                </a:solidFill>
                <a:latin typeface="宋体" panose="02010600030101010101" charset="-122"/>
                <a:ea typeface="宋体" panose="02010600030101010101" charset="-122"/>
                <a:cs typeface="+mn-cs"/>
              </a:defRPr>
            </a:pPr>
            <a:r>
              <a:rPr lang="zh-CN" altLang="en-US" sz="1100"/>
              <a:t>图</a:t>
            </a:r>
            <a:r>
              <a:rPr lang="en-US" altLang="zh-CN" sz="1100"/>
              <a:t>1.2-2 </a:t>
            </a:r>
            <a:r>
              <a:rPr lang="zh-CN" sz="1100"/>
              <a:t>奉节县“十三五”期间农村安全饮水工程分类</a:t>
            </a:r>
            <a:r>
              <a:rPr lang="zh-CN" altLang="en-US" sz="1100"/>
              <a:t>柱状图</a:t>
            </a:r>
            <a:endParaRPr lang="zh-CN" sz="1100"/>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Pt>
            <c:idx val="0"/>
            <c:invertIfNegative val="0"/>
            <c:bubble3D val="0"/>
            <c:spPr>
              <a:solidFill>
                <a:srgbClr val="C0504D"/>
              </a:solidFill>
              <a:ln>
                <a:noFill/>
              </a:ln>
              <a:effectLst/>
            </c:spPr>
          </c:dPt>
          <c:dPt>
            <c:idx val="1"/>
            <c:invertIfNegative val="0"/>
            <c:bubble3D val="0"/>
            <c:spPr>
              <a:solidFill>
                <a:srgbClr val="F79646"/>
              </a:solidFill>
              <a:ln>
                <a:noFill/>
              </a:ln>
              <a:effectLst/>
            </c:spPr>
          </c:dPt>
          <c:dPt>
            <c:idx val="2"/>
            <c:invertIfNegative val="0"/>
            <c:bubble3D val="0"/>
            <c:spPr>
              <a:solidFill>
                <a:srgbClr val="77933C">
                  <a:lumMod val="75000"/>
                </a:srgb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宋体" panose="02010600030101010101" charset="-122"/>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城乡供水!$C$2:$E$2</c:f>
              <c:strCache>
                <c:ptCount val="3"/>
                <c:pt idx="0">
                  <c:v>农村安全饮水工程总量</c:v>
                </c:pt>
                <c:pt idx="1">
                  <c:v>集中式供水工程数量</c:v>
                </c:pt>
                <c:pt idx="2">
                  <c:v>分散式供水工程数量</c:v>
                </c:pt>
              </c:strCache>
            </c:strRef>
          </c:cat>
          <c:val>
            <c:numRef>
              <c:f>城乡供水!$C$3:$E$3</c:f>
              <c:numCache>
                <c:formatCode>General</c:formatCode>
                <c:ptCount val="3"/>
                <c:pt idx="0">
                  <c:v>5465</c:v>
                </c:pt>
                <c:pt idx="1">
                  <c:v>2075</c:v>
                </c:pt>
                <c:pt idx="2">
                  <c:v>3390</c:v>
                </c:pt>
              </c:numCache>
            </c:numRef>
          </c:val>
        </c:ser>
        <c:dLbls>
          <c:showLegendKey val="0"/>
          <c:showVal val="1"/>
          <c:showCatName val="0"/>
          <c:showSerName val="0"/>
          <c:showPercent val="0"/>
          <c:showBubbleSize val="0"/>
        </c:dLbls>
        <c:gapWidth val="219"/>
        <c:overlap val="-27"/>
        <c:axId val="153203456"/>
        <c:axId val="153211648"/>
      </c:barChart>
      <c:catAx>
        <c:axId val="153203456"/>
        <c:scaling>
          <c:orientation val="minMax"/>
        </c:scaling>
        <c:delete val="0"/>
        <c:axPos val="b"/>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p>
        </c:txPr>
        <c:crossAx val="153211648"/>
        <c:crosses val="autoZero"/>
        <c:auto val="1"/>
        <c:lblAlgn val="ctr"/>
        <c:lblOffset val="100"/>
        <c:noMultiLvlLbl val="0"/>
      </c:catAx>
      <c:valAx>
        <c:axId val="153211648"/>
        <c:scaling>
          <c:orientation val="minMax"/>
        </c:scaling>
        <c:delete val="0"/>
        <c:axPos val="l"/>
        <c:majorGridlines>
          <c:spPr>
            <a:ln w="9525" cap="flat" cmpd="sng" algn="ctr">
              <a:solidFill>
                <a:srgbClr val="D9D9D9">
                  <a:lumMod val="15000"/>
                  <a:lumOff val="85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r>
                  <a:rPr lang="zh-CN" altLang="en-US"/>
                  <a:t>数量（处）</a:t>
                </a:r>
                <a:endParaRPr lang="zh-CN" altLang="en-US"/>
              </a:p>
            </c:rich>
          </c:tx>
          <c:layout/>
          <c:overlay val="0"/>
          <c:spPr>
            <a:noFill/>
            <a:ln>
              <a:noFill/>
            </a:ln>
            <a:effectLst/>
          </c:sp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p>
        </c:txPr>
        <c:crossAx val="153203456"/>
        <c:crosses val="autoZero"/>
        <c:crossBetween val="between"/>
      </c:valAx>
      <c:spPr>
        <a:noFill/>
        <a:ln>
          <a:noFill/>
        </a:ln>
        <a:effectLst/>
      </c:spPr>
    </c:plotArea>
    <c:plotVisOnly val="1"/>
    <c:dispBlanksAs val="gap"/>
    <c:showDLblsOverMax val="0"/>
    <c:extLst>
      <c:ext uri="{0b15fc19-7d7d-44ad-8c2d-2c3a37ce22c3}">
        <chartProps xmlns="https://web.wps.cn/et/2018/main" chartId="{55aab819-b846-4fca-b32b-96d1023a1f50}"/>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latin typeface="宋体" panose="02010600030101010101" charset="-122"/>
          <a:ea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100" b="0" i="0" u="none" strike="noStrike" kern="1200" spc="0" baseline="0">
                <a:solidFill>
                  <a:srgbClr val="595959">
                    <a:lumMod val="65000"/>
                    <a:lumOff val="35000"/>
                  </a:srgbClr>
                </a:solidFill>
                <a:latin typeface="宋体" panose="02010600030101010101" charset="-122"/>
                <a:ea typeface="宋体" panose="02010600030101010101" charset="-122"/>
                <a:cs typeface="+mn-cs"/>
              </a:defRPr>
            </a:pPr>
            <a:r>
              <a:rPr lang="zh-CN" altLang="en-US" sz="1100"/>
              <a:t>图</a:t>
            </a:r>
            <a:r>
              <a:rPr lang="en-US" altLang="zh-CN" sz="1100"/>
              <a:t>1.2-3 </a:t>
            </a:r>
            <a:r>
              <a:rPr lang="zh-CN" sz="1100"/>
              <a:t>奉节县“十三五”期间农村安全饮水工程</a:t>
            </a:r>
            <a:r>
              <a:rPr lang="zh-CN" altLang="en-US" sz="1100"/>
              <a:t>受益</a:t>
            </a:r>
            <a:r>
              <a:rPr lang="zh-CN" sz="1100"/>
              <a:t>人口</a:t>
            </a:r>
            <a:r>
              <a:rPr lang="zh-CN" altLang="en-US" sz="1100"/>
              <a:t>分类柱状</a:t>
            </a:r>
            <a:r>
              <a:rPr lang="zh-CN" sz="1100"/>
              <a:t>图</a:t>
            </a:r>
            <a:endParaRPr lang="en-US" sz="1100"/>
          </a:p>
        </c:rich>
      </c:tx>
      <c:layout/>
      <c:overlay val="0"/>
      <c:spPr>
        <a:noFill/>
        <a:ln>
          <a:noFill/>
        </a:ln>
        <a:effectLst/>
      </c:spPr>
    </c:title>
    <c:autoTitleDeleted val="0"/>
    <c:plotArea>
      <c:layout/>
      <c:barChart>
        <c:barDir val="col"/>
        <c:grouping val="clustered"/>
        <c:varyColors val="0"/>
        <c:ser>
          <c:idx val="0"/>
          <c:order val="0"/>
          <c:spPr>
            <a:solidFill>
              <a:srgbClr val="4F81BD"/>
            </a:solidFill>
            <a:ln>
              <a:noFill/>
            </a:ln>
            <a:effectLst/>
          </c:spPr>
          <c:invertIfNegative val="0"/>
          <c:dPt>
            <c:idx val="0"/>
            <c:invertIfNegative val="0"/>
            <c:bubble3D val="0"/>
            <c:spPr>
              <a:solidFill>
                <a:srgbClr val="C0504D"/>
              </a:solidFill>
              <a:ln>
                <a:noFill/>
              </a:ln>
              <a:effectLst/>
            </c:spPr>
          </c:dPt>
          <c:dPt>
            <c:idx val="1"/>
            <c:invertIfNegative val="0"/>
            <c:bubble3D val="0"/>
            <c:spPr>
              <a:solidFill>
                <a:srgbClr val="F79646"/>
              </a:solidFill>
              <a:ln>
                <a:noFill/>
              </a:ln>
              <a:effectLst/>
            </c:spPr>
          </c:dPt>
          <c:dPt>
            <c:idx val="2"/>
            <c:invertIfNegative val="0"/>
            <c:bubble3D val="0"/>
            <c:spPr>
              <a:solidFill>
                <a:srgbClr val="9BBB59"/>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宋体" panose="02010600030101010101" charset="-122"/>
                    <a:ea typeface="宋体" panose="02010600030101010101" charset="-122"/>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cat>
            <c:strRef>
              <c:f>城乡供水!$G$2:$I$2</c:f>
              <c:strCache>
                <c:ptCount val="3"/>
                <c:pt idx="0">
                  <c:v>收益人口</c:v>
                </c:pt>
                <c:pt idx="1">
                  <c:v>集中供水人口</c:v>
                </c:pt>
                <c:pt idx="2">
                  <c:v>分散供水人口</c:v>
                </c:pt>
              </c:strCache>
            </c:strRef>
          </c:cat>
          <c:val>
            <c:numRef>
              <c:f>城乡供水!$G$3:$I$3</c:f>
              <c:numCache>
                <c:formatCode>0.00</c:formatCode>
                <c:ptCount val="3"/>
                <c:pt idx="0">
                  <c:v>68.1497</c:v>
                </c:pt>
                <c:pt idx="1">
                  <c:v>61.80496293</c:v>
                </c:pt>
                <c:pt idx="2">
                  <c:v>6.34473706999999</c:v>
                </c:pt>
              </c:numCache>
            </c:numRef>
          </c:val>
        </c:ser>
        <c:dLbls>
          <c:showLegendKey val="0"/>
          <c:showVal val="1"/>
          <c:showCatName val="0"/>
          <c:showSerName val="0"/>
          <c:showPercent val="0"/>
          <c:showBubbleSize val="0"/>
        </c:dLbls>
        <c:gapWidth val="219"/>
        <c:overlap val="-27"/>
        <c:axId val="149032960"/>
        <c:axId val="149041152"/>
      </c:barChart>
      <c:catAx>
        <c:axId val="149032960"/>
        <c:scaling>
          <c:orientation val="minMax"/>
        </c:scaling>
        <c:delete val="0"/>
        <c:axPos val="b"/>
        <c:majorGridlines>
          <c:spPr>
            <a:ln w="9525" cap="flat" cmpd="sng" algn="ctr">
              <a:solidFill>
                <a:srgbClr val="D9D9D9">
                  <a:lumMod val="15000"/>
                  <a:lumOff val="85000"/>
                </a:srgbClr>
              </a:solidFill>
              <a:prstDash val="solid"/>
              <a:round/>
            </a:ln>
            <a:effectLst/>
          </c:spPr>
        </c:majorGridlines>
        <c:numFmt formatCode="General" sourceLinked="1"/>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p>
        </c:txPr>
        <c:crossAx val="149041152"/>
        <c:crosses val="autoZero"/>
        <c:auto val="1"/>
        <c:lblAlgn val="ctr"/>
        <c:lblOffset val="100"/>
        <c:noMultiLvlLbl val="0"/>
      </c:catAx>
      <c:valAx>
        <c:axId val="149041152"/>
        <c:scaling>
          <c:orientation val="minMax"/>
        </c:scaling>
        <c:delete val="0"/>
        <c:axPos val="l"/>
        <c:majorGridlines>
          <c:spPr>
            <a:ln w="9525" cap="flat" cmpd="sng" algn="ctr">
              <a:solidFill>
                <a:srgbClr val="D9D9D9">
                  <a:lumMod val="15000"/>
                  <a:lumOff val="85000"/>
                </a:srgbClr>
              </a:solidFill>
              <a:prstDash val="solid"/>
              <a:round/>
            </a:ln>
            <a:effectLst/>
          </c:spPr>
        </c:majorGridlines>
        <c:title>
          <c:tx>
            <c:rich>
              <a:bodyPr rot="-5400000" spcFirstLastPara="1" vertOverflow="ellipsis" vert="horz" wrap="square" anchor="ctr" anchorCtr="1"/>
              <a:lstStyle/>
              <a:p>
                <a:pPr>
                  <a:defRPr lang="zh-CN" sz="10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r>
                  <a:rPr lang="zh-CN"/>
                  <a:t>人口（万人）</a:t>
                </a:r>
                <a:endParaRPr lang="zh-CN"/>
              </a:p>
            </c:rich>
          </c:tx>
          <c:layout/>
          <c:overlay val="0"/>
          <c:spPr>
            <a:noFill/>
            <a:ln>
              <a:noFill/>
            </a:ln>
            <a:effectLst/>
          </c:spPr>
        </c:title>
        <c:numFmt formatCode="0.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rgbClr val="595959">
                    <a:lumMod val="65000"/>
                    <a:lumOff val="35000"/>
                  </a:srgbClr>
                </a:solidFill>
                <a:latin typeface="宋体" panose="02010600030101010101" charset="-122"/>
                <a:ea typeface="宋体" panose="02010600030101010101" charset="-122"/>
                <a:cs typeface="+mn-cs"/>
              </a:defRPr>
            </a:pPr>
          </a:p>
        </c:txPr>
        <c:crossAx val="149032960"/>
        <c:crosses val="autoZero"/>
        <c:crossBetween val="between"/>
      </c:valAx>
      <c:spPr>
        <a:noFill/>
        <a:ln>
          <a:noFill/>
        </a:ln>
        <a:effectLst/>
      </c:spPr>
    </c:plotArea>
    <c:plotVisOnly val="1"/>
    <c:dispBlanksAs val="gap"/>
    <c:showDLblsOverMax val="0"/>
    <c:extLst>
      <c:ext uri="{0b15fc19-7d7d-44ad-8c2d-2c3a37ce22c3}">
        <chartProps xmlns="https://web.wps.cn/et/2018/main" chartId="{d21997e0-f53d-4fc3-a5e8-b09c86cb4dff}"/>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latin typeface="宋体" panose="02010600030101010101" charset="-122"/>
          <a:ea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宋体" panose="02010600030101010101" charset="-122"/>
                <a:ea typeface="宋体" panose="02010600030101010101" charset="-122"/>
                <a:cs typeface="+mn-cs"/>
              </a:defRPr>
            </a:pPr>
            <a:r>
              <a:rPr lang="zh-CN"/>
              <a:t>水利投资资金组成</a:t>
            </a:r>
            <a:endParaRPr lang="zh-CN"/>
          </a:p>
        </c:rich>
      </c:tx>
      <c:layout/>
      <c:overlay val="0"/>
      <c:spPr>
        <a:noFill/>
        <a:ln>
          <a:noFill/>
        </a:ln>
        <a:effectLst/>
      </c:spPr>
    </c:title>
    <c:autoTitleDeleted val="0"/>
    <c:view3D>
      <c:rotX val="30"/>
      <c:rotY val="0"/>
      <c:depthPercent val="100"/>
      <c:rAngAx val="0"/>
      <c:perspective val="30"/>
    </c:view3D>
    <c:floor>
      <c:thickness val="0"/>
      <c:spPr>
        <a:noFill/>
        <a:ln>
          <a:noFill/>
        </a:ln>
        <a:effectLst/>
      </c:spPr>
    </c:floor>
    <c:sideWall>
      <c:thickness val="0"/>
      <c:spPr>
        <a:noFill/>
        <a:ln>
          <a:noFill/>
        </a:ln>
        <a:effectLst/>
      </c:spPr>
    </c:sideWall>
    <c:backWall>
      <c:thickness val="0"/>
      <c:spPr>
        <a:noFill/>
        <a:ln>
          <a:noFill/>
        </a:ln>
        <a:effectLst/>
      </c:spPr>
    </c:backWall>
    <c:plotArea>
      <c:layout/>
      <c:pie3DChart>
        <c:varyColors val="1"/>
        <c:ser>
          <c:idx val="0"/>
          <c:order val="0"/>
          <c:explosion val="0"/>
          <c:dPt>
            <c:idx val="0"/>
            <c:bubble3D val="0"/>
            <c:spPr>
              <a:solidFill>
                <a:schemeClr val="accent1"/>
              </a:solidFill>
              <a:ln w="25400">
                <a:solidFill>
                  <a:schemeClr val="lt1"/>
                </a:solidFill>
              </a:ln>
              <a:effectLst/>
              <a:scene3d>
                <a:camera prst="orthographicFront"/>
                <a:lightRig rig="threePt" dir="t"/>
              </a:scene3d>
              <a:sp3d contourW="25400">
                <a:contourClr>
                  <a:schemeClr val="lt1"/>
                </a:contourClr>
              </a:sp3d>
            </c:spPr>
          </c:dPt>
          <c:dPt>
            <c:idx val="1"/>
            <c:bubble3D val="0"/>
            <c:spPr>
              <a:solidFill>
                <a:schemeClr val="accent2"/>
              </a:solidFill>
              <a:ln w="25400">
                <a:solidFill>
                  <a:schemeClr val="lt1"/>
                </a:solidFill>
              </a:ln>
              <a:effectLst/>
              <a:scene3d>
                <a:camera prst="orthographicFront"/>
                <a:lightRig rig="threePt" dir="t"/>
              </a:scene3d>
              <a:sp3d contourW="25400">
                <a:contourClr>
                  <a:schemeClr val="lt1"/>
                </a:contourClr>
              </a:sp3d>
            </c:spPr>
          </c:dPt>
          <c:dPt>
            <c:idx val="2"/>
            <c:bubble3D val="0"/>
            <c:spPr>
              <a:solidFill>
                <a:schemeClr val="accent3"/>
              </a:solidFill>
              <a:ln w="25400">
                <a:solidFill>
                  <a:schemeClr val="lt1"/>
                </a:solidFill>
              </a:ln>
              <a:effectLst/>
              <a:scene3d>
                <a:camera prst="orthographicFront"/>
                <a:lightRig rig="threePt" dir="t"/>
              </a:scene3d>
              <a:sp3d contourW="25400">
                <a:contourClr>
                  <a:schemeClr val="lt1"/>
                </a:contourClr>
              </a:sp3d>
            </c:spPr>
          </c:dPt>
          <c:dPt>
            <c:idx val="3"/>
            <c:bubble3D val="0"/>
            <c:spPr>
              <a:solidFill>
                <a:schemeClr val="accent4"/>
              </a:solidFill>
              <a:ln w="25400">
                <a:solidFill>
                  <a:schemeClr val="lt1"/>
                </a:solidFill>
              </a:ln>
              <a:effectLst/>
              <a:scene3d>
                <a:camera prst="orthographicFront"/>
                <a:lightRig rig="threePt" dir="t"/>
              </a:scene3d>
              <a:sp3d contourW="25400">
                <a:contourClr>
                  <a:schemeClr val="lt1"/>
                </a:contourClr>
              </a:sp3d>
            </c:spPr>
          </c:dPt>
          <c:dPt>
            <c:idx val="4"/>
            <c:bubble3D val="0"/>
            <c:spPr>
              <a:solidFill>
                <a:schemeClr val="accent5"/>
              </a:solidFill>
              <a:ln w="25400">
                <a:solidFill>
                  <a:schemeClr val="lt1"/>
                </a:solidFill>
              </a:ln>
              <a:effectLst/>
              <a:scene3d>
                <a:camera prst="orthographicFront"/>
                <a:lightRig rig="threePt" dir="t"/>
              </a:scene3d>
              <a:sp3d contourW="25400">
                <a:contourClr>
                  <a:schemeClr val="lt1"/>
                </a:contourClr>
              </a:sp3d>
            </c:spPr>
          </c:dPt>
          <c:dPt>
            <c:idx val="5"/>
            <c:bubble3D val="0"/>
            <c:spPr>
              <a:solidFill>
                <a:schemeClr val="accent6"/>
              </a:solidFill>
              <a:ln w="25400">
                <a:solidFill>
                  <a:schemeClr val="lt1"/>
                </a:solidFill>
              </a:ln>
              <a:effectLst/>
              <a:scene3d>
                <a:camera prst="orthographicFront"/>
                <a:lightRig rig="threePt" dir="t"/>
              </a:scene3d>
              <a:sp3d contourW="25400">
                <a:contourClr>
                  <a:schemeClr val="lt1"/>
                </a:contourClr>
              </a:sp3d>
            </c:spPr>
          </c:dPt>
          <c:dPt>
            <c:idx val="6"/>
            <c:bubble3D val="0"/>
            <c:spPr>
              <a:solidFill>
                <a:schemeClr val="accent1">
                  <a:lumMod val="60000"/>
                </a:schemeClr>
              </a:solidFill>
              <a:ln w="25400">
                <a:solidFill>
                  <a:schemeClr val="lt1"/>
                </a:solidFill>
              </a:ln>
              <a:effectLst/>
              <a:scene3d>
                <a:camera prst="orthographicFront"/>
                <a:lightRig rig="threePt" dir="t"/>
              </a:scene3d>
              <a:sp3d contourW="25400">
                <a:contourClr>
                  <a:schemeClr val="lt1"/>
                </a:contourClr>
              </a:sp3d>
            </c:spPr>
          </c:dPt>
          <c:dLbls>
            <c:numFmt formatCode="0%" sourceLinked="0"/>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宋体" panose="02010600030101010101" charset="-122"/>
                    <a:ea typeface="宋体" panose="02010600030101010101" charset="-122"/>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Sheet1!$G$82:$M$82</c:f>
              <c:strCache>
                <c:ptCount val="7"/>
                <c:pt idx="0">
                  <c:v>中央</c:v>
                </c:pt>
                <c:pt idx="1">
                  <c:v>市级</c:v>
                </c:pt>
                <c:pt idx="2">
                  <c:v>县级</c:v>
                </c:pt>
                <c:pt idx="3">
                  <c:v>国（央企）企</c:v>
                </c:pt>
                <c:pt idx="4">
                  <c:v>三峡后续</c:v>
                </c:pt>
                <c:pt idx="5">
                  <c:v>大中型水库后扶资金</c:v>
                </c:pt>
                <c:pt idx="6">
                  <c:v>三峡库区基金</c:v>
                </c:pt>
              </c:strCache>
            </c:strRef>
          </c:cat>
          <c:val>
            <c:numRef>
              <c:f>Sheet1!$G$83:$M$83</c:f>
              <c:numCache>
                <c:formatCode>General</c:formatCode>
                <c:ptCount val="7"/>
                <c:pt idx="0">
                  <c:v>579735.8</c:v>
                </c:pt>
                <c:pt idx="1">
                  <c:v>370637.632</c:v>
                </c:pt>
                <c:pt idx="2">
                  <c:v>153590.408</c:v>
                </c:pt>
                <c:pt idx="3">
                  <c:v>36189</c:v>
                </c:pt>
                <c:pt idx="4">
                  <c:v>337504.35</c:v>
                </c:pt>
                <c:pt idx="5">
                  <c:v>10626.4</c:v>
                </c:pt>
                <c:pt idx="6">
                  <c:v>35651.3</c:v>
                </c:pt>
              </c:numCache>
            </c:numRef>
          </c:val>
        </c:ser>
        <c:dLbls>
          <c:showLegendKey val="0"/>
          <c:showVal val="1"/>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宋体" panose="02010600030101010101" charset="-122"/>
              <a:ea typeface="宋体" panose="02010600030101010101" charset="-122"/>
              <a:cs typeface="+mn-cs"/>
            </a:defRPr>
          </a:pPr>
        </a:p>
      </c:txPr>
    </c:legend>
    <c:plotVisOnly val="1"/>
    <c:dispBlanksAs val="gap"/>
    <c:showDLblsOverMax val="0"/>
    <c:extLst>
      <c:ext uri="{0b15fc19-7d7d-44ad-8c2d-2c3a37ce22c3}">
        <chartProps xmlns="https://web.wps.cn/et/2018/main" chartId="{0153d880-3897-4752-8698-8d4dd901ae6d}"/>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宋体" panose="02010600030101010101" charset="-122"/>
          <a:ea typeface="宋体" panose="02010600030101010101" charset="-122"/>
        </a:defRPr>
      </a:pPr>
    </a:p>
  </c:txPr>
  <c:externalData r:id="rId1">
    <c:autoUpdate val="0"/>
  </c:externalData>
</c:chartSpace>
</file>

<file path=word/diagrams/_rels/data3.xml.rels><?xml version="1.0" encoding="UTF-8" standalone="yes"?>
<Relationships xmlns="http://schemas.openxmlformats.org/package/2006/relationships"><Relationship Id="rId4" Type="http://schemas.openxmlformats.org/officeDocument/2006/relationships/image" Target="../media/image9.jpeg"/><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_rels/drawing3.xml.rels><?xml version="1.0" encoding="UTF-8" standalone="yes"?>
<Relationships xmlns="http://schemas.openxmlformats.org/package/2006/relationships"><Relationship Id="rId4" Type="http://schemas.openxmlformats.org/officeDocument/2006/relationships/image" Target="../media/image9.jpeg"/><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2">
  <dgm:title val=""/>
  <dgm:desc val=""/>
  <dgm:catLst>
    <dgm:cat type="accent2" pri="11100"/>
  </dgm:catLst>
  <dgm:styleLbl name="alignAcc1">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alignAccFollowNode1">
    <dgm:fillClrLst meth="repeat">
      <a:srgbClr val="FFFFFF">
        <a:alpha val="90000"/>
        <a:tint val="40000"/>
      </a:srgbClr>
    </dgm:fillClrLst>
    <dgm:linClrLst meth="repeat">
      <a:srgbClr val="C0504D">
        <a:alpha val="90000"/>
      </a:srgbClr>
    </dgm:linClrLst>
    <dgm:effectClrLst/>
    <dgm:txLinClrLst/>
    <dgm:txFillClrLst meth="repeat">
      <a:srgbClr val="000000"/>
    </dgm:txFillClrLst>
    <dgm:txEffectClrLst/>
  </dgm:styleLbl>
  <dgm:styleLbl name="alignImgPlace1">
    <dgm:fillClrLst meth="repeat">
      <a:srgbClr val="E8D0D0">
        <a:tint val="40000"/>
      </a:srgbClr>
    </dgm:fillClrLst>
    <dgm:linClrLst meth="repeat">
      <a:srgbClr val="AE4845">
        <a:shade val="80000"/>
      </a:srgbClr>
    </dgm:linClrLst>
    <dgm:effectClrLst/>
    <dgm:txLinClrLst/>
    <dgm:txFillClrLst meth="repeat">
      <a:srgbClr val="FFFFFF"/>
    </dgm:txFillClrLst>
    <dgm:txEffectClrLst/>
  </dgm:styleLbl>
  <dgm:styleLbl name="alignNode1">
    <dgm:fillClrLst meth="repeat">
      <a:srgbClr val="FFFFFF"/>
    </dgm:fillClrLst>
    <dgm:linClrLst meth="repeat">
      <a:srgbClr val="AE4845">
        <a:shade val="80000"/>
      </a:srgbClr>
    </dgm:linClrLst>
    <dgm:effectClrLst/>
    <dgm:txLinClrLst/>
    <dgm:txFillClrLst meth="repeat">
      <a:srgbClr val="000000"/>
    </dgm:txFillClrLst>
    <dgm:txEffectClrLst/>
  </dgm:styleLbl>
  <dgm:styleLbl name="asst0">
    <dgm:fillClrLst meth="repeat">
      <a:srgbClr val="FFFFFF"/>
    </dgm:fillClrLst>
    <dgm:linClrLst meth="repeat">
      <a:srgbClr val="AE4845">
        <a:shade val="80000"/>
      </a:srgbClr>
    </dgm:linClrLst>
    <dgm:effectClrLst/>
    <dgm:txLinClrLst/>
    <dgm:txFillClrLst meth="repeat">
      <a:srgbClr val="000000"/>
    </dgm:txFillClrLst>
    <dgm:txEffectClrLst/>
  </dgm:styleLbl>
  <dgm:styleLbl name="asst1">
    <dgm:fillClrLst meth="repeat">
      <a:srgbClr val="FFFFFF"/>
    </dgm:fillClrLst>
    <dgm:linClrLst meth="repeat">
      <a:srgbClr val="AE4845">
        <a:shade val="80000"/>
      </a:srgbClr>
    </dgm:linClrLst>
    <dgm:effectClrLst/>
    <dgm:txLinClrLst/>
    <dgm:txFillClrLst meth="repeat">
      <a:srgbClr val="000000"/>
    </dgm:txFillClrLst>
    <dgm:txEffectClrLst/>
  </dgm:styleLbl>
  <dgm:styleLbl name="asst2">
    <dgm:fillClrLst meth="repeat">
      <a:srgbClr val="FFFFFF"/>
    </dgm:fillClrLst>
    <dgm:linClrLst meth="repeat">
      <a:srgbClr val="AE4845">
        <a:shade val="80000"/>
      </a:srgbClr>
    </dgm:linClrLst>
    <dgm:effectClrLst/>
    <dgm:txLinClrLst/>
    <dgm:txFillClrLst meth="repeat">
      <a:srgbClr val="000000"/>
    </dgm:txFillClrLst>
    <dgm:txEffectClrLst/>
  </dgm:styleLbl>
  <dgm:styleLbl name="asst3">
    <dgm:fillClrLst meth="repeat">
      <a:srgbClr val="FFFFFF"/>
    </dgm:fillClrLst>
    <dgm:linClrLst meth="repeat">
      <a:srgbClr val="AE4845">
        <a:shade val="80000"/>
      </a:srgbClr>
    </dgm:linClrLst>
    <dgm:effectClrLst/>
    <dgm:txLinClrLst/>
    <dgm:txFillClrLst meth="repeat">
      <a:srgbClr val="000000"/>
    </dgm:txFillClrLst>
    <dgm:txEffectClrLst/>
  </dgm:styleLbl>
  <dgm:styleLbl name="asst4">
    <dgm:fillClrLst meth="repeat">
      <a:srgbClr val="FFFFFF"/>
    </dgm:fillClrLst>
    <dgm:linClrLst meth="repeat">
      <a:srgbClr val="AE4845">
        <a:shade val="80000"/>
      </a:srgbClr>
    </dgm:linClrLst>
    <dgm:effectClrLst/>
    <dgm:txLinClrLst/>
    <dgm:txFillClrLst meth="repeat">
      <a:srgbClr val="000000"/>
    </dgm:txFillClrLst>
    <dgm:txEffectClrLst/>
  </dgm:styleLbl>
  <dgm:styleLbl name="bgAcc1">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bgAccFollowNode1">
    <dgm:fillClrLst meth="repeat">
      <a:srgbClr val="FFFFFF">
        <a:alpha val="90000"/>
        <a:tint val="40000"/>
      </a:srgbClr>
    </dgm:fillClrLst>
    <dgm:linClrLst meth="repeat">
      <a:srgbClr val="C0504D">
        <a:alpha val="90000"/>
      </a:srgbClr>
    </dgm:linClrLst>
    <dgm:effectClrLst/>
    <dgm:txLinClrLst/>
    <dgm:txFillClrLst meth="repeat">
      <a:srgbClr val="000000"/>
    </dgm:txFillClrLst>
    <dgm:txEffectClrLst/>
  </dgm:styleLbl>
  <dgm:styleLbl name="bgImgPlace1">
    <dgm:fillClrLst meth="repeat">
      <a:srgbClr val="E8D0D0">
        <a:tint val="40000"/>
      </a:srgbClr>
    </dgm:fillClrLst>
    <dgm:linClrLst meth="repeat">
      <a:srgbClr val="AE4845">
        <a:shade val="80000"/>
      </a:srgbClr>
    </dgm:linClrLst>
    <dgm:effectClrLst/>
    <dgm:txLinClrLst/>
    <dgm:txFillClrLst meth="repeat">
      <a:srgbClr val="FFFFFF"/>
    </dgm:txFillClrLst>
    <dgm:txEffectClrLst/>
  </dgm:styleLbl>
  <dgm:styleLbl name="bgShp">
    <dgm:fillClrLst meth="repeat">
      <a:srgbClr val="E8D0D0">
        <a:tint val="40000"/>
      </a:srgbClr>
    </dgm:fillClrLst>
    <dgm:linClrLst meth="repeat">
      <a:srgbClr val="C0504D"/>
    </dgm:linClrLst>
    <dgm:effectClrLst/>
    <dgm:txLinClrLst/>
    <dgm:txFillClrLst meth="repeat">
      <a:srgbClr val="000000"/>
    </dgm:txFillClrLst>
    <dgm:txEffectClrLst/>
  </dgm:styleLbl>
  <dgm:styleLbl name="bgSibTrans2D1">
    <dgm:fillClrLst meth="repeat">
      <a:srgbClr val="DCB3B2">
        <a:tint val="60000"/>
      </a:srgbClr>
    </dgm:fillClrLst>
    <dgm:linClrLst meth="repeat">
      <a:srgbClr val="DCB3B2">
        <a:tint val="60000"/>
      </a:srgbClr>
    </dgm:linClrLst>
    <dgm:effectClrLst/>
    <dgm:txLinClrLst/>
    <dgm:txFillClrLst meth="repeat">
      <a:srgbClr val="000000"/>
    </dgm:txFillClrLst>
    <dgm:txEffectClrLst/>
  </dgm:styleLbl>
  <dgm:styleLbl name="callout">
    <dgm:fillClrLst meth="repeat">
      <a:srgbClr val="C0504D"/>
    </dgm:fillClrLst>
    <dgm:linClrLst meth="repeat">
      <a:srgbClr val="C0504D"/>
    </dgm:linClrLst>
    <dgm:effectClrLst/>
    <dgm:txLinClrLst/>
    <dgm:txFillClrLst meth="repeat">
      <a:srgbClr val="000000"/>
    </dgm:txFillClrLst>
    <dgm:txEffectClrLst/>
  </dgm:styleLbl>
  <dgm:styleLbl name="conFgAcc1">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dkBgShp">
    <dgm:fillClrLst meth="repeat">
      <a:srgbClr val="AE4845">
        <a:shade val="80000"/>
      </a:srgbClr>
    </dgm:fillClrLst>
    <dgm:linClrLst meth="repeat">
      <a:srgbClr val="C0504D"/>
    </dgm:linClrLst>
    <dgm:effectClrLst/>
    <dgm:txLinClrLst/>
    <dgm:txFillClrLst meth="repeat">
      <a:srgbClr val="FFFFFF"/>
    </dgm:txFillClrLst>
    <dgm:txEffectClrLst/>
  </dgm:styleLbl>
  <dgm:styleLbl name="fgAcc0">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fgAcc1">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fgAcc2">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fgAcc3">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fgAcc4">
    <dgm:fillClrLst meth="repeat">
      <a:srgbClr val="E8D0D0">
        <a:alpha val="90000"/>
        <a:tint val="40000"/>
      </a:srgbClr>
    </dgm:fillClrLst>
    <dgm:linClrLst meth="repeat">
      <a:srgbClr val="C0504D"/>
    </dgm:linClrLst>
    <dgm:effectClrLst/>
    <dgm:txLinClrLst/>
    <dgm:txFillClrLst meth="repeat">
      <a:srgbClr val="000000"/>
    </dgm:txFillClrLst>
    <dgm:txEffectClrLst/>
  </dgm:styleLbl>
  <dgm:styleLbl name="fgAccFollowNode1">
    <dgm:fillClrLst meth="repeat">
      <a:srgbClr val="FFFFFF">
        <a:alpha val="90000"/>
        <a:tint val="40000"/>
      </a:srgbClr>
    </dgm:fillClrLst>
    <dgm:linClrLst meth="repeat">
      <a:srgbClr val="C0504D">
        <a:alpha val="90000"/>
      </a:srgbClr>
    </dgm:linClrLst>
    <dgm:effectClrLst/>
    <dgm:txLinClrLst/>
    <dgm:txFillClrLst meth="repeat">
      <a:srgbClr val="000000"/>
    </dgm:txFillClrLst>
    <dgm:txEffectClrLst/>
  </dgm:styleLbl>
  <dgm:styleLbl name="fgImgPlace1">
    <dgm:fillClrLst meth="repeat">
      <a:srgbClr val="E8D0D0">
        <a:tint val="40000"/>
      </a:srgbClr>
    </dgm:fillClrLst>
    <dgm:linClrLst meth="repeat">
      <a:srgbClr val="AE4845">
        <a:shade val="80000"/>
      </a:srgbClr>
    </dgm:linClrLst>
    <dgm:effectClrLst/>
    <dgm:txLinClrLst/>
    <dgm:txFillClrLst meth="repeat">
      <a:srgbClr val="FFFFFF"/>
    </dgm:txFillClrLst>
    <dgm:txEffectClrLst/>
  </dgm:styleLbl>
  <dgm:styleLbl name="fgShp">
    <dgm:fillClrLst meth="repeat">
      <a:srgbClr val="DCB3B2">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DCB3B2">
        <a:tint val="60000"/>
      </a:srgbClr>
    </dgm:fillClrLst>
    <dgm:linClrLst meth="repeat">
      <a:srgbClr val="DCB3B2">
        <a:tint val="60000"/>
      </a:srgbClr>
    </dgm:linClrLst>
    <dgm:effectClrLst/>
    <dgm:txLinClrLst/>
    <dgm:txFillClrLst meth="repeat">
      <a:srgbClr val="000000"/>
    </dgm:txFillClrLst>
    <dgm:txEffectClrLst/>
  </dgm:styleLbl>
  <dgm:styleLbl name="lnNode1">
    <dgm:fillClrLst meth="repeat">
      <a:srgbClr val="FFFFFF"/>
    </dgm:fillClrLst>
    <dgm:linClrLst meth="repeat">
      <a:srgbClr val="AE4845">
        <a:shade val="80000"/>
      </a:srgbClr>
    </dgm:linClrLst>
    <dgm:effectClrLst/>
    <dgm:txLinClrLst/>
    <dgm:txFillClrLst meth="repeat">
      <a:srgbClr val="000000"/>
    </dgm:txFillClrLst>
    <dgm:txEffectClrLst/>
  </dgm:styleLbl>
  <dgm:styleLbl name="node0">
    <dgm:fillClrLst meth="repeat">
      <a:srgbClr val="FFFFFF"/>
    </dgm:fillClrLst>
    <dgm:linClrLst meth="repeat">
      <a:srgbClr val="AE4845">
        <a:shade val="80000"/>
      </a:srgbClr>
    </dgm:linClrLst>
    <dgm:effectClrLst/>
    <dgm:txLinClrLst/>
    <dgm:txFillClrLst meth="repeat">
      <a:srgbClr val="000000"/>
    </dgm:txFillClrLst>
    <dgm:txEffectClrLst/>
  </dgm:styleLbl>
  <dgm:styleLbl name="node1">
    <dgm:fillClrLst meth="repeat">
      <a:srgbClr val="FFFFFF"/>
    </dgm:fillClrLst>
    <dgm:linClrLst meth="repeat">
      <a:srgbClr val="AE4845">
        <a:shade val="80000"/>
      </a:srgbClr>
    </dgm:linClrLst>
    <dgm:effectClrLst/>
    <dgm:txLinClrLst/>
    <dgm:txFillClrLst meth="repeat">
      <a:srgbClr val="000000"/>
    </dgm:txFillClrLst>
    <dgm:txEffectClrLst/>
  </dgm:styleLbl>
  <dgm:styleLbl name="node2">
    <dgm:fillClrLst meth="repeat">
      <a:srgbClr val="FFFFFF"/>
    </dgm:fillClrLst>
    <dgm:linClrLst meth="repeat">
      <a:srgbClr val="AE4845">
        <a:shade val="80000"/>
      </a:srgbClr>
    </dgm:linClrLst>
    <dgm:effectClrLst/>
    <dgm:txLinClrLst/>
    <dgm:txFillClrLst meth="repeat">
      <a:srgbClr val="000000"/>
    </dgm:txFillClrLst>
    <dgm:txEffectClrLst/>
  </dgm:styleLbl>
  <dgm:styleLbl name="node3">
    <dgm:fillClrLst meth="repeat">
      <a:srgbClr val="FFFFFF"/>
    </dgm:fillClrLst>
    <dgm:linClrLst meth="repeat">
      <a:srgbClr val="AE4845">
        <a:shade val="80000"/>
      </a:srgbClr>
    </dgm:linClrLst>
    <dgm:effectClrLst/>
    <dgm:txLinClrLst/>
    <dgm:txFillClrLst meth="repeat">
      <a:srgbClr val="000000"/>
    </dgm:txFillClrLst>
    <dgm:txEffectClrLst/>
  </dgm:styleLbl>
  <dgm:styleLbl name="node4">
    <dgm:fillClrLst meth="repeat">
      <a:srgbClr val="FFFFFF"/>
    </dgm:fillClrLst>
    <dgm:linClrLst meth="repeat">
      <a:srgbClr val="AE4845">
        <a:shade val="80000"/>
      </a:srgbClr>
    </dgm:linClrLst>
    <dgm:effectClrLst/>
    <dgm:txLinClrLst/>
    <dgm:txFillClrLst meth="repeat">
      <a:srgbClr val="000000"/>
    </dgm:txFillClrLst>
    <dgm:txEffectClrLst/>
  </dgm:styleLbl>
  <dgm:styleLbl name="parChTrans1D1">
    <dgm:fillClrLst meth="repeat">
      <a:srgbClr val="C0504D"/>
    </dgm:fillClrLst>
    <dgm:linClrLst meth="repeat">
      <a:srgbClr val="993E3C">
        <a:shade val="60000"/>
      </a:srgbClr>
    </dgm:linClrLst>
    <dgm:effectClrLst/>
    <dgm:txLinClrLst/>
    <dgm:txFillClrLst meth="repeat">
      <a:srgbClr val="000000"/>
    </dgm:txFillClrLst>
    <dgm:txEffectClrLst/>
  </dgm:styleLbl>
  <dgm:styleLbl name="parChTrans1D2">
    <dgm:fillClrLst meth="repeat">
      <a:srgbClr val="C0504D"/>
    </dgm:fillClrLst>
    <dgm:linClrLst meth="repeat">
      <a:srgbClr val="993E3C">
        <a:shade val="60000"/>
      </a:srgbClr>
    </dgm:linClrLst>
    <dgm:effectClrLst/>
    <dgm:txLinClrLst/>
    <dgm:txFillClrLst meth="repeat">
      <a:srgbClr val="000000"/>
    </dgm:txFillClrLst>
    <dgm:txEffectClrLst/>
  </dgm:styleLbl>
  <dgm:styleLbl name="parChTrans1D3">
    <dgm:fillClrLst meth="repeat">
      <a:srgbClr val="C0504D"/>
    </dgm:fillClrLst>
    <dgm:linClrLst meth="repeat">
      <a:srgbClr val="AE4845">
        <a:shade val="80000"/>
      </a:srgbClr>
    </dgm:linClrLst>
    <dgm:effectClrLst/>
    <dgm:txLinClrLst/>
    <dgm:txFillClrLst meth="repeat">
      <a:srgbClr val="000000"/>
    </dgm:txFillClrLst>
    <dgm:txEffectClrLst/>
  </dgm:styleLbl>
  <dgm:styleLbl name="parChTrans1D4">
    <dgm:fillClrLst meth="repeat">
      <a:srgbClr val="C0504D"/>
    </dgm:fillClrLst>
    <dgm:linClrLst meth="repeat">
      <a:srgbClr val="AE4845">
        <a:shade val="80000"/>
      </a:srgbClr>
    </dgm:linClrLst>
    <dgm:effectClrLst/>
    <dgm:txLinClrLst/>
    <dgm:txFillClrLst meth="repeat">
      <a:srgbClr val="000000"/>
    </dgm:txFillClrLst>
    <dgm:txEffectClrLst/>
  </dgm:styleLbl>
  <dgm:styleLbl name="parChTrans2D1">
    <dgm:fillClrLst meth="repeat">
      <a:srgbClr val="DCB3B2">
        <a:tint val="60000"/>
      </a:srgbClr>
    </dgm:fillClrLst>
    <dgm:linClrLst meth="repeat">
      <a:srgbClr val="DCB3B2">
        <a:tint val="60000"/>
      </a:srgbClr>
    </dgm:linClrLst>
    <dgm:effectClrLst/>
    <dgm:txLinClrLst/>
    <dgm:txFillClrLst/>
    <dgm:txEffectClrLst/>
  </dgm:styleLbl>
  <dgm:styleLbl name="parChTrans2D2">
    <dgm:fillClrLst meth="repeat">
      <a:srgbClr val="C0504D"/>
    </dgm:fillClrLst>
    <dgm:linClrLst meth="repeat">
      <a:srgbClr val="C0504D"/>
    </dgm:linClrLst>
    <dgm:effectClrLst/>
    <dgm:txLinClrLst/>
    <dgm:txFillClrLst/>
    <dgm:txEffectClrLst/>
  </dgm:styleLbl>
  <dgm:styleLbl name="parChTrans2D3">
    <dgm:fillClrLst meth="repeat">
      <a:srgbClr val="C0504D"/>
    </dgm:fillClrLst>
    <dgm:linClrLst meth="repeat">
      <a:srgbClr val="C0504D"/>
    </dgm:linClrLst>
    <dgm:effectClrLst/>
    <dgm:txLinClrLst/>
    <dgm:txFillClrLst/>
    <dgm:txEffectClrLst/>
  </dgm:styleLbl>
  <dgm:styleLbl name="parChTrans2D4">
    <dgm:fillClrLst meth="repeat">
      <a:srgbClr val="C0504D"/>
    </dgm:fillClrLst>
    <dgm:linClrLst meth="repeat">
      <a:srgbClr val="C0504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dgm:fillClrLst>
    <dgm:linClrLst meth="repeat">
      <a:srgbClr val="C0504D"/>
    </dgm:linClrLst>
    <dgm:effectClrLst/>
    <dgm:txLinClrLst/>
    <dgm:txFillClrLst meth="repeat">
      <a:srgbClr val="000000"/>
    </dgm:txFillClrLst>
    <dgm:txEffectClrLst/>
  </dgm:styleLbl>
  <dgm:styleLbl name="sibTrans2D1">
    <dgm:fillClrLst meth="repeat">
      <a:srgbClr val="DCB3B2">
        <a:tint val="60000"/>
      </a:srgbClr>
    </dgm:fillClrLst>
    <dgm:linClrLst meth="repeat">
      <a:srgbClr val="DCB3B2">
        <a:tint val="60000"/>
      </a:srgbClr>
    </dgm:linClrLst>
    <dgm:effectClrLst/>
    <dgm:txLinClrLst/>
    <dgm:txFillClrLst meth="repeat">
      <a:srgbClr val="000000"/>
    </dgm:txFillClrLst>
    <dgm:txEffectClrLst/>
  </dgm:styleLbl>
  <dgm:styleLbl name="solidAlignAcc1">
    <dgm:fillClrLst meth="repeat">
      <a:srgbClr val="FFFFFF"/>
    </dgm:fillClrLst>
    <dgm:linClrLst meth="repeat">
      <a:srgbClr val="C0504D"/>
    </dgm:linClrLst>
    <dgm:effectClrLst/>
    <dgm:txLinClrLst/>
    <dgm:txFillClrLst meth="repeat">
      <a:srgbClr val="000000"/>
    </dgm:txFillClrLst>
    <dgm:txEffectClrLst/>
  </dgm:styleLbl>
  <dgm:styleLbl name="solidBgAcc1">
    <dgm:fillClrLst meth="repeat">
      <a:srgbClr val="FFFFFF"/>
    </dgm:fillClrLst>
    <dgm:linClrLst meth="repeat">
      <a:srgbClr val="C0504D"/>
    </dgm:linClrLst>
    <dgm:effectClrLst/>
    <dgm:txLinClrLst/>
    <dgm:txFillClrLst meth="repeat">
      <a:srgbClr val="000000"/>
    </dgm:txFillClrLst>
    <dgm:txEffectClrLst/>
  </dgm:styleLbl>
  <dgm:styleLbl name="solidFgAcc1">
    <dgm:fillClrLst meth="repeat">
      <a:srgbClr val="FFFFFF"/>
    </dgm:fillClrLst>
    <dgm:linClrLst meth="repeat">
      <a:srgbClr val="C0504D"/>
    </dgm:linClrLst>
    <dgm:effectClrLst/>
    <dgm:txLinClrLst/>
    <dgm:txFillClrLst meth="repeat">
      <a:srgbClr val="000000"/>
    </dgm:txFillClrLst>
    <dgm:txEffectClrLst/>
  </dgm:styleLbl>
  <dgm:styleLbl name="trAlignAcc1">
    <dgm:fillClrLst meth="repeat">
      <a:srgbClr val="E8D0D0">
        <a:alpha val="40000"/>
        <a:tint val="40000"/>
      </a:srgbClr>
    </dgm:fillClrLst>
    <dgm:linClrLst meth="repeat">
      <a:srgbClr val="C0504D"/>
    </dgm:linClrLst>
    <dgm:effectClrLst/>
    <dgm:txLinClrLst/>
    <dgm:txFillClrLst meth="repeat">
      <a:srgbClr val="000000"/>
    </dgm:txFillClrLst>
    <dgm:txEffectClrLst/>
  </dgm:styleLbl>
  <dgm:styleLbl name="trBgShp">
    <dgm:fillClrLst meth="repeat">
      <a:srgbClr val="E2C2C2">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FFFFFF">
        <a:alpha val="50000"/>
      </a:srgbClr>
    </dgm:fillClrLst>
    <dgm:linClrLst meth="repeat">
      <a:srgbClr val="AE4845">
        <a:shade val="80000"/>
      </a:srgbClr>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align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align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alignNode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C0504D"/>
    </dgm:fillClrLst>
    <dgm:linClrLst meth="repeat">
      <a:srgbClr val="FFFFFF"/>
    </dgm:linClrLst>
    <dgm:effectClrLst/>
    <dgm:txLinClrLst/>
    <dgm:txFillClrLst/>
    <dgm:txEffectClrLst/>
  </dgm:styleLbl>
  <dgm:styleLbl name="asst2">
    <dgm:fillClrLst>
      <a:srgbClr val="9BBB59"/>
    </dgm:fillClrLst>
    <dgm:linClrLst meth="repeat">
      <a:srgbClr val="FFFFFF"/>
    </dgm:linClrLst>
    <dgm:effectClrLst/>
    <dgm:txLinClrLst/>
    <dgm:txFillClrLst/>
    <dgm:txEffectClrLst/>
  </dgm:styleLbl>
  <dgm:styleLbl name="asst3">
    <dgm:fillClrLst>
      <a:srgbClr val="8064A2"/>
    </dgm:fillClrLst>
    <dgm:linClrLst meth="repeat">
      <a:srgbClr val="FFFFFF"/>
    </dgm:linClrLst>
    <dgm:effectClrLst/>
    <dgm:txLinClrLst/>
    <dgm:txFillClrLst/>
    <dgm:txEffectClrLst/>
  </dgm:styleLbl>
  <dgm:styleLbl name="asst4">
    <dgm:fillClrLst>
      <a:srgbClr val="4BACC6"/>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b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bgImgPlace1">
    <dgm:fillClrLst>
      <a:srgbClr val="C2CDE1">
        <a:tint val="50000"/>
      </a:srgbClr>
      <a:srgbClr val="F4E9E9">
        <a:tint val="20000"/>
      </a:srgbClr>
    </dgm:fillClrLst>
    <dgm:linClrLst meth="repeat">
      <a:srgbClr val="FFFFFF"/>
    </dgm:linClrLst>
    <dgm:effectClrLst/>
    <dgm:txLinClrLst/>
    <dgm:txFillClrLst meth="repeat">
      <a:srgbClr val="FFFFFF"/>
    </dgm:txFillClrLst>
    <dgm:txEffectClrLst/>
  </dgm:styleLbl>
  <dgm:styleLbl name="bgShp">
    <dgm:fillClrLst meth="repeat">
      <a:srgbClr val="E8D0D0">
        <a:tint val="40000"/>
      </a:srgbClr>
    </dgm:fillClrLst>
    <dgm:linClrLst meth="repeat">
      <a:srgbClr val="000000"/>
    </dgm:linClrLst>
    <dgm:effectClrLst/>
    <dgm:txLinClrLst/>
    <dgm:txFillClrLst meth="repeat">
      <a:srgbClr val="000000"/>
    </dgm:txFillClrLst>
    <dgm:txEffectClrLst/>
  </dgm:styleLbl>
  <dgm:styleLbl name="b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callout">
    <dgm:fillClrLst meth="repeat">
      <a:srgbClr val="C0504D"/>
    </dgm:fillClrLst>
    <dgm:linClrLst meth="repeat">
      <a:srgbClr val="E2C2C2">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dkBgShp">
    <dgm:fillClrLst meth="repeat">
      <a:srgbClr val="B74C49">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fgAcc2">
    <dgm:fillClrLst meth="repeat">
      <a:srgbClr val="FFFFFF">
        <a:alpha val="90000"/>
      </a:srgbClr>
    </dgm:fillClrLst>
    <dgm:linClrLst>
      <a:srgbClr val="C0504D"/>
    </dgm:linClrLst>
    <dgm:effectClrLst/>
    <dgm:txLinClrLst/>
    <dgm:txFillClrLst meth="repeat">
      <a:srgbClr val="000000"/>
    </dgm:txFillClrLst>
    <dgm:txEffectClrLst/>
  </dgm:styleLbl>
  <dgm:styleLbl name="fgAcc3">
    <dgm:fillClrLst meth="repeat">
      <a:srgbClr val="FFFFFF">
        <a:alpha val="90000"/>
      </a:srgbClr>
    </dgm:fillClrLst>
    <dgm:linClrLst>
      <a:srgbClr val="9BBB59"/>
    </dgm:linClrLst>
    <dgm:effectClrLst/>
    <dgm:txLinClrLst/>
    <dgm:txFillClrLst meth="repeat">
      <a:srgbClr val="000000"/>
    </dgm:txFillClrLst>
    <dgm:txEffectClrLst/>
  </dgm:styleLbl>
  <dgm:styleLbl name="fgAcc4">
    <dgm:fillClrLst meth="repeat">
      <a:srgbClr val="FFFFFF">
        <a:alpha val="90000"/>
      </a:srgbClr>
    </dgm:fillClrLst>
    <dgm:linClrLst>
      <a:srgbClr val="8064A2"/>
    </dgm:linClrLst>
    <dgm:effectClrLst/>
    <dgm:txLinClrLst/>
    <dgm:txFillClrLst meth="repeat">
      <a:srgbClr val="000000"/>
    </dgm:txFillClrLst>
    <dgm:txEffectClrLst/>
  </dgm:styleLbl>
  <dgm:styleLbl name="fgAccFollowNode1">
    <dgm:fill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fillClrLst>
    <dgm:linClrLst meth="repeat">
      <a:srgbClr val="E8D0D0">
        <a:tint val="40000"/>
        <a:alpha val="90000"/>
      </a:srgbClr>
      <a:srgbClr val="DEE7D1">
        <a:tint val="40000"/>
        <a:alpha val="90000"/>
      </a:srgbClr>
      <a:srgbClr val="D8D3E0">
        <a:tint val="40000"/>
        <a:alpha val="90000"/>
      </a:srgbClr>
      <a:srgbClr val="D0E3EA">
        <a:tint val="40000"/>
        <a:alpha val="90000"/>
      </a:srgbClr>
      <a:srgbClr val="FCDDCF">
        <a:tint val="40000"/>
        <a:alpha val="90000"/>
      </a:srgbClr>
    </dgm:linClrLst>
    <dgm:effectClrLst/>
    <dgm:txLinClrLst/>
    <dgm:txFillClrLst meth="repeat">
      <a:srgbClr val="000000"/>
    </dgm:txFillClrLst>
    <dgm:txEffectClrLst/>
  </dgm:styleLbl>
  <dgm:styleLbl name="fgImgPlace1">
    <dgm:fillClrLst meth="repeat">
      <a:srgbClr val="E2C2C2">
        <a:tint val="50000"/>
      </a:srgbClr>
      <a:srgbClr val="D5E0C4">
        <a:tint val="50000"/>
      </a:srgbClr>
      <a:srgbClr val="CDC6D7">
        <a:tint val="50000"/>
      </a:srgbClr>
      <a:srgbClr val="C1DBE5">
        <a:tint val="50000"/>
      </a:srgbClr>
      <a:srgbClr val="FBD3C1">
        <a:tint val="50000"/>
      </a:srgbClr>
    </dgm:fillClrLst>
    <dgm:linClrLst meth="repeat">
      <a:srgbClr val="FFFFFF"/>
    </dgm:linClrLst>
    <dgm:effectClrLst/>
    <dgm:txLinClrLst/>
    <dgm:txFillClrLst meth="repeat">
      <a:srgbClr val="FFFFFF"/>
    </dgm:txFillClrLst>
    <dgm:txEffectClrLst/>
  </dgm:styleLbl>
  <dgm:styleLbl name="fgShp">
    <dgm:fillClrLst meth="repeat">
      <a:srgbClr val="E8D0D0">
        <a:tint val="40000"/>
      </a:srgbClr>
    </dgm:fillClrLst>
    <dgm:linClrLst meth="repeat">
      <a:srgbClr val="FFFFFF"/>
    </dgm:linClrLst>
    <dgm:effectClrLst/>
    <dgm:txLinClrLst/>
    <dgm:txFillClrLst meth="repeat">
      <a:srgbClr val="000000"/>
    </dgm:txFillClrLst>
    <dgm:txEffectClrLst/>
  </dgm:styleLbl>
  <dgm:styleLbl name="fgSibTrans2D1">
    <dgm:fillClrLst meth="repeat">
      <a:srgbClr val="C0504D"/>
      <a:srgbClr val="9BBB59"/>
      <a:srgbClr val="8064A2"/>
      <a:srgbClr val="4BACC6"/>
      <a:srgbClr val="F79646"/>
    </dgm:fillClrLst>
    <dgm:linClrLst meth="cycle">
      <a:srgbClr val="FFFFFF"/>
    </dgm:linClrLst>
    <dgm:effectClrLst/>
    <dgm:txLinClrLst/>
    <dgm:txFillClrLst meth="repeat">
      <a:srgbClr val="FFFFFF"/>
    </dgm:txFillClrLst>
    <dgm:txEffectClrLst/>
  </dgm:styleLbl>
  <dgm:styleLbl name="ln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C0504D"/>
      <a:srgbClr val="9BBB59"/>
      <a:srgbClr val="8064A2"/>
      <a:srgbClr val="4BACC6"/>
      <a:srgbClr val="F79646"/>
    </dgm:fillClrLst>
    <dgm:linClrLst meth="repeat">
      <a:srgbClr val="FFFFFF"/>
    </dgm:linClrLst>
    <dgm:effectClrLst/>
    <dgm:txLinClrLst/>
    <dgm:txFillClrLst/>
    <dgm:txEffectClrLst/>
  </dgm:styleLbl>
  <dgm:styleLbl name="node2">
    <dgm:fillClrLst>
      <a:srgbClr val="C0504D"/>
    </dgm:fillClrLst>
    <dgm:linClrLst meth="repeat">
      <a:srgbClr val="FFFFFF"/>
    </dgm:linClrLst>
    <dgm:effectClrLst/>
    <dgm:txLinClrLst/>
    <dgm:txFillClrLst/>
    <dgm:txEffectClrLst/>
  </dgm:styleLbl>
  <dgm:styleLbl name="node3">
    <dgm:fillClrLst>
      <a:srgbClr val="9BBB59"/>
    </dgm:fillClrLst>
    <dgm:linClrLst meth="repeat">
      <a:srgbClr val="FFFFFF"/>
    </dgm:linClrLst>
    <dgm:effectClrLst/>
    <dgm:txLinClrLst/>
    <dgm:txFillClrLst/>
    <dgm:txEffectClrLst/>
  </dgm:styleLbl>
  <dgm:styleLbl name="node4">
    <dgm:fillClrLst>
      <a:srgbClr val="8064A2"/>
    </dgm:fillClrLst>
    <dgm:linClrLst meth="repeat">
      <a:srgbClr val="FFFFFF"/>
    </dgm:linClrLst>
    <dgm:effectClrLst/>
    <dgm:txLinClrLst/>
    <dgm:txFillClrLst/>
    <dgm:txEffectClrLst/>
  </dgm:styleLbl>
  <dgm:styleLbl name="parChTrans1D1">
    <dgm:fillClrLst meth="repeat">
      <a:srgbClr val="C0504D"/>
    </dgm:fillClrLst>
    <dgm:linClrLst meth="repeat">
      <a:srgbClr val="4F81BD"/>
    </dgm:linClrLst>
    <dgm:effectClrLst/>
    <dgm:txLinClrLst/>
    <dgm:txFillClrLst meth="repeat">
      <a:srgbClr val="000000"/>
    </dgm:txFillClrLst>
    <dgm:txEffectClrLst/>
  </dgm:styleLbl>
  <dgm:styleLbl name="parChTrans1D2">
    <dgm:fillClrLst meth="repeat">
      <a:srgbClr val="A9C379">
        <a:tint val="90000"/>
      </a:srgbClr>
    </dgm:fillClrLst>
    <dgm:linClrLst meth="repeat">
      <a:srgbClr val="C0504D"/>
    </dgm:linClrLst>
    <dgm:effectClrLst/>
    <dgm:txLinClrLst/>
    <dgm:txFillClrLst meth="repeat">
      <a:srgbClr val="000000"/>
    </dgm:txFillClrLst>
    <dgm:txEffectClrLst/>
  </dgm:styleLbl>
  <dgm:styleLbl name="parChTrans1D3">
    <dgm:fillClrLst meth="repeat">
      <a:srgbClr val="B3A8C4">
        <a:tint val="70000"/>
      </a:srgbClr>
    </dgm:fillClrLst>
    <dgm:linClrLst meth="repeat">
      <a:srgbClr val="9BBB59"/>
    </dgm:linClrLst>
    <dgm:effectClrLst/>
    <dgm:txLinClrLst/>
    <dgm:txFillClrLst meth="repeat">
      <a:srgbClr val="000000"/>
    </dgm:txFillClrLst>
    <dgm:txEffectClrLst/>
  </dgm:styleLbl>
  <dgm:styleLbl name="parChTrans1D4">
    <dgm:fillClrLst meth="repeat">
      <a:srgbClr val="C1DBE5">
        <a:tint val="50000"/>
      </a:srgbClr>
    </dgm:fillClrLst>
    <dgm:linClrLst meth="repeat">
      <a:srgbClr val="8064A2"/>
    </dgm:linClrLst>
    <dgm:effectClrLst/>
    <dgm:txLinClrLst/>
    <dgm:txFillClrLst meth="repeat">
      <a:srgbClr val="000000"/>
    </dgm:txFillClrLst>
    <dgm:txEffectClrLst/>
  </dgm:styleLbl>
  <dgm:styleLbl name="parChTrans2D1">
    <dgm:fillClrLst meth="repeat">
      <a:srgbClr val="C0504D"/>
    </dgm:fillClrLst>
    <dgm:linClrLst meth="repeat">
      <a:srgbClr val="FFFFFF"/>
    </dgm:linClrLst>
    <dgm:effectClrLst/>
    <dgm:txLinClrLst/>
    <dgm:txFillClrLst meth="repeat">
      <a:srgbClr val="FFFFFF"/>
    </dgm:txFillClrLst>
    <dgm:txEffectClrLst/>
  </dgm:styleLbl>
  <dgm:styleLbl name="parChTrans2D2">
    <dgm:fillClrLst meth="repeat">
      <a:srgbClr val="9BBB59"/>
    </dgm:fillClrLst>
    <dgm:linClrLst meth="repeat">
      <a:srgbClr val="FFFFFF"/>
    </dgm:linClrLst>
    <dgm:effectClrLst/>
    <dgm:txLinClrLst/>
    <dgm:txFillClrLst/>
    <dgm:txEffectClrLst/>
  </dgm:styleLbl>
  <dgm:styleLbl name="parChTrans2D3">
    <dgm:fillClrLst meth="repeat">
      <a:srgbClr val="8064A2"/>
    </dgm:fillClrLst>
    <dgm:linClrLst meth="repeat">
      <a:srgbClr val="FFFFFF"/>
    </dgm:linClrLst>
    <dgm:effectClrLst/>
    <dgm:txLinClrLst/>
    <dgm:txFillClrLst/>
    <dgm:txEffectClrLst/>
  </dgm:styleLbl>
  <dgm:styleLbl name="parChTrans2D4">
    <dgm:fillClrLst meth="repeat">
      <a:srgbClr val="4BACC6"/>
    </dgm:fillClrLst>
    <dgm:linClrLst meth="repeat">
      <a:srgbClr val="FFFFFF"/>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C0504D"/>
      <a:srgbClr val="9BBB59"/>
      <a:srgbClr val="8064A2"/>
      <a:srgbClr val="4BACC6"/>
      <a:srgbClr val="F79646"/>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ibTrans2D1">
    <dgm:fillClrLst meth="repeat">
      <a:srgbClr val="C0504D"/>
      <a:srgbClr val="9BBB59"/>
      <a:srgbClr val="8064A2"/>
      <a:srgbClr val="4BACC6"/>
      <a:srgbClr val="F79646"/>
    </dgm:fillClrLst>
    <dgm:linClrLst meth="cycle">
      <a:srgbClr val="FFFFFF"/>
    </dgm:linClrLst>
    <dgm:effectClrLst/>
    <dgm:txLinClrLst/>
    <dgm:txFillClrLst/>
    <dgm:txEffectClrLst/>
  </dgm:styleLbl>
  <dgm:styleLbl name="solidAlign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B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solidFgAcc1">
    <dgm:fillClrLst meth="repeat">
      <a:srgbClr val="FFFFFF"/>
    </dgm:fillClrLst>
    <dgm:linClrLst meth="repeat">
      <a:srgbClr val="C0504D"/>
      <a:srgbClr val="9BBB59"/>
      <a:srgbClr val="8064A2"/>
      <a:srgbClr val="4BACC6"/>
      <a:srgbClr val="F79646"/>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C0504D"/>
    </dgm:linClrLst>
    <dgm:effectClrLst/>
    <dgm:txLinClrLst/>
    <dgm:txFillClrLst meth="repeat">
      <a:srgbClr val="FFFFFF"/>
    </dgm:txFillClrLst>
    <dgm:txEffectClrLst/>
  </dgm:styleLbl>
  <dgm:styleLbl name="vennNode1">
    <dgm:fillClrLst meth="repeat">
      <a:srgbClr val="C0504D">
        <a:alpha val="50000"/>
      </a:srgbClr>
      <a:srgbClr val="9BBB59">
        <a:alpha val="50000"/>
      </a:srgbClr>
      <a:srgbClr val="8064A2">
        <a:alpha val="50000"/>
      </a:srgbClr>
      <a:srgbClr val="4BACC6">
        <a:alpha val="50000"/>
      </a:srgbClr>
      <a:srgbClr val="F79646">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8F16C24-ACDB-4EE6-95D7-345B0B30F92A}" type="doc">
      <dgm:prSet loTypeId="urn:microsoft.com/office/officeart/2005/8/layout/radial6#2" loCatId="cycle" qsTypeId="urn:microsoft.com/office/officeart/2005/8/quickstyle/simple4#2" qsCatId="simple" csTypeId="urn:microsoft.com/office/officeart/2005/8/colors/colorful1#2" csCatId="colorful" phldr="1"/>
      <dgm:spPr/>
      <dgm:t>
        <a:bodyPr/>
        <a:p>
          <a:endParaRPr lang="zh-CN" altLang="en-US"/>
        </a:p>
      </dgm:t>
    </dgm:pt>
    <dgm:pt modelId="{A670A68D-E6B8-4FD0-AB4D-63DA4800C4D1}">
      <dgm:prSet phldrT="[文本]"/>
      <dgm:spPr/>
      <dgm:t>
        <a:bodyPr/>
        <a:p>
          <a:r>
            <a:rPr lang="zh-CN" altLang="en-US"/>
            <a:t>进入新发展阶段</a:t>
          </a:r>
        </a:p>
      </dgm:t>
    </dgm:pt>
    <dgm:pt modelId="{F8880DC0-1E72-4230-9909-566D18727938}" cxnId="{E15E7C9B-C0A8-413E-AD5C-CB1446A38E20}" type="parTrans">
      <dgm:prSet/>
      <dgm:spPr/>
      <dgm:t>
        <a:bodyPr/>
        <a:p>
          <a:endParaRPr lang="zh-CN" altLang="en-US"/>
        </a:p>
      </dgm:t>
    </dgm:pt>
    <dgm:pt modelId="{C6F17774-1B07-441D-A8C2-AC5787FFBC1F}" cxnId="{E15E7C9B-C0A8-413E-AD5C-CB1446A38E20}" type="sibTrans">
      <dgm:prSet/>
      <dgm:spPr/>
      <dgm:t>
        <a:bodyPr/>
        <a:p>
          <a:endParaRPr lang="zh-CN" altLang="en-US"/>
        </a:p>
      </dgm:t>
    </dgm:pt>
    <dgm:pt modelId="{4EB0DEF2-213A-4E62-ABAD-CAFDA9FCD19D}">
      <dgm:prSet phldrT="[文本]"/>
      <dgm:spPr/>
      <dgm:t>
        <a:bodyPr/>
        <a:p>
          <a:r>
            <a:rPr lang="zh-CN" altLang="en-US"/>
            <a:t>贯彻新发展理念</a:t>
          </a:r>
        </a:p>
      </dgm:t>
    </dgm:pt>
    <dgm:pt modelId="{D1493257-0280-4784-BD32-9AFE6021375F}" cxnId="{71D560F6-E797-4A8C-87BF-100387A32CB2}" type="parTrans">
      <dgm:prSet/>
      <dgm:spPr/>
      <dgm:t>
        <a:bodyPr/>
        <a:p>
          <a:endParaRPr lang="zh-CN" altLang="en-US"/>
        </a:p>
      </dgm:t>
    </dgm:pt>
    <dgm:pt modelId="{DB1BAAE7-459F-4EE4-B132-DAA20D03E9C8}" cxnId="{71D560F6-E797-4A8C-87BF-100387A32CB2}" type="sibTrans">
      <dgm:prSet/>
      <dgm:spPr/>
      <dgm:t>
        <a:bodyPr/>
        <a:p>
          <a:endParaRPr lang="zh-CN" altLang="en-US"/>
        </a:p>
      </dgm:t>
    </dgm:pt>
    <dgm:pt modelId="{CB2152A0-6414-418B-A037-FA9F84D451C7}">
      <dgm:prSet phldrT="[文本]"/>
      <dgm:spPr/>
      <dgm:t>
        <a:bodyPr/>
        <a:p>
          <a:r>
            <a:rPr lang="zh-CN" altLang="en-US"/>
            <a:t>构建新发展格局</a:t>
          </a:r>
        </a:p>
      </dgm:t>
    </dgm:pt>
    <dgm:pt modelId="{CB0AF245-D09E-42A1-B60E-390A2F859647}" cxnId="{0F826D1F-4518-43A3-A687-438A64CC1672}" type="parTrans">
      <dgm:prSet/>
      <dgm:spPr/>
      <dgm:t>
        <a:bodyPr/>
        <a:p>
          <a:endParaRPr lang="zh-CN" altLang="en-US"/>
        </a:p>
      </dgm:t>
    </dgm:pt>
    <dgm:pt modelId="{802CD1EE-EED4-4821-8C92-5CF8887C7D8B}" cxnId="{0F826D1F-4518-43A3-A687-438A64CC1672}" type="sibTrans">
      <dgm:prSet/>
      <dgm:spPr/>
      <dgm:t>
        <a:bodyPr/>
        <a:p>
          <a:endParaRPr lang="zh-CN" altLang="en-US"/>
        </a:p>
      </dgm:t>
    </dgm:pt>
    <dgm:pt modelId="{A1A3CBB8-A3E6-425D-B95F-DE561A1A9197}">
      <dgm:prSet phldrT="[文本]"/>
      <dgm:spPr/>
      <dgm:t>
        <a:bodyPr/>
        <a:p>
          <a:r>
            <a:rPr lang="zh-CN" altLang="en-US"/>
            <a:t>水利发展面临形势</a:t>
          </a:r>
        </a:p>
      </dgm:t>
    </dgm:pt>
    <dgm:pt modelId="{473C11D0-7323-406A-BAF8-55F62707DFD1}" cxnId="{0E463B9D-BDF5-46D5-9151-ADDA38332131}" type="parTrans">
      <dgm:prSet/>
      <dgm:spPr/>
    </dgm:pt>
    <dgm:pt modelId="{7AD18461-5427-48EE-BD88-887CC4FC3FF5}" cxnId="{0E463B9D-BDF5-46D5-9151-ADDA38332131}" type="sibTrans">
      <dgm:prSet/>
      <dgm:spPr/>
    </dgm:pt>
    <dgm:pt modelId="{2762CC2E-E9BC-49AD-83E1-B1FD28C32F34}" type="pres">
      <dgm:prSet presAssocID="{58F16C24-ACDB-4EE6-95D7-345B0B30F92A}" presName="Name0" presStyleCnt="0">
        <dgm:presLayoutVars>
          <dgm:chMax val="1"/>
          <dgm:dir/>
          <dgm:animLvl val="ctr"/>
          <dgm:resizeHandles val="exact"/>
        </dgm:presLayoutVars>
      </dgm:prSet>
      <dgm:spPr/>
      <dgm:t>
        <a:bodyPr/>
        <a:p>
          <a:endParaRPr lang="zh-CN" altLang="en-US"/>
        </a:p>
      </dgm:t>
    </dgm:pt>
    <dgm:pt modelId="{21113040-3478-478E-BD1D-6A39A1FB4CF8}" type="pres">
      <dgm:prSet presAssocID="{A1A3CBB8-A3E6-425D-B95F-DE561A1A9197}" presName="centerShape" presStyleLbl="node0" presStyleIdx="0" presStyleCnt="1"/>
      <dgm:spPr/>
      <dgm:t>
        <a:bodyPr/>
        <a:p>
          <a:endParaRPr lang="zh-CN" altLang="en-US"/>
        </a:p>
      </dgm:t>
    </dgm:pt>
    <dgm:pt modelId="{18D53728-ADCD-49A4-AA75-841DE7A67194}" type="pres">
      <dgm:prSet presAssocID="{A670A68D-E6B8-4FD0-AB4D-63DA4800C4D1}" presName="node" presStyleLbl="node1" presStyleIdx="0" presStyleCnt="3">
        <dgm:presLayoutVars>
          <dgm:bulletEnabled val="1"/>
        </dgm:presLayoutVars>
      </dgm:prSet>
      <dgm:spPr/>
      <dgm:t>
        <a:bodyPr/>
        <a:p>
          <a:endParaRPr lang="zh-CN" altLang="en-US"/>
        </a:p>
      </dgm:t>
    </dgm:pt>
    <dgm:pt modelId="{3966D048-94CC-4ABF-8BFA-3412DAD58E36}" type="pres">
      <dgm:prSet presAssocID="{A670A68D-E6B8-4FD0-AB4D-63DA4800C4D1}" presName="dummy" presStyleCnt="0"/>
      <dgm:spPr/>
    </dgm:pt>
    <dgm:pt modelId="{004B2565-6357-49D8-AF48-9D875495FFE2}" type="pres">
      <dgm:prSet presAssocID="{C6F17774-1B07-441D-A8C2-AC5787FFBC1F}" presName="sibTrans" presStyleLbl="sibTrans2D1" presStyleIdx="0" presStyleCnt="3"/>
      <dgm:spPr/>
      <dgm:t>
        <a:bodyPr/>
        <a:p>
          <a:endParaRPr lang="zh-CN" altLang="en-US"/>
        </a:p>
      </dgm:t>
    </dgm:pt>
    <dgm:pt modelId="{BEE44675-E02A-4BA4-BED2-A5E2A927EE6B}" type="pres">
      <dgm:prSet presAssocID="{4EB0DEF2-213A-4E62-ABAD-CAFDA9FCD19D}" presName="node" presStyleLbl="node1" presStyleIdx="1" presStyleCnt="3">
        <dgm:presLayoutVars>
          <dgm:bulletEnabled val="1"/>
        </dgm:presLayoutVars>
      </dgm:prSet>
      <dgm:spPr/>
      <dgm:t>
        <a:bodyPr/>
        <a:p>
          <a:endParaRPr lang="zh-CN" altLang="en-US"/>
        </a:p>
      </dgm:t>
    </dgm:pt>
    <dgm:pt modelId="{A038C1F7-168F-406D-B16F-7E459685FF44}" type="pres">
      <dgm:prSet presAssocID="{4EB0DEF2-213A-4E62-ABAD-CAFDA9FCD19D}" presName="dummy" presStyleCnt="0"/>
      <dgm:spPr/>
    </dgm:pt>
    <dgm:pt modelId="{61E3A06F-DF44-4F03-AF67-52F76E291BD5}" type="pres">
      <dgm:prSet presAssocID="{DB1BAAE7-459F-4EE4-B132-DAA20D03E9C8}" presName="sibTrans" presStyleLbl="sibTrans2D1" presStyleIdx="1" presStyleCnt="3"/>
      <dgm:spPr/>
      <dgm:t>
        <a:bodyPr/>
        <a:p>
          <a:endParaRPr lang="zh-CN" altLang="en-US"/>
        </a:p>
      </dgm:t>
    </dgm:pt>
    <dgm:pt modelId="{6651DF39-33E7-44AA-9D2B-F81A2C3CFE27}" type="pres">
      <dgm:prSet presAssocID="{CB2152A0-6414-418B-A037-FA9F84D451C7}" presName="node" presStyleLbl="node1" presStyleIdx="2" presStyleCnt="3">
        <dgm:presLayoutVars>
          <dgm:bulletEnabled val="1"/>
        </dgm:presLayoutVars>
      </dgm:prSet>
      <dgm:spPr/>
      <dgm:t>
        <a:bodyPr/>
        <a:p>
          <a:endParaRPr lang="zh-CN" altLang="en-US"/>
        </a:p>
      </dgm:t>
    </dgm:pt>
    <dgm:pt modelId="{E6FB067F-2A12-47FC-86A3-AE6E6AD928F9}" type="pres">
      <dgm:prSet presAssocID="{CB2152A0-6414-418B-A037-FA9F84D451C7}" presName="dummy" presStyleCnt="0"/>
      <dgm:spPr/>
    </dgm:pt>
    <dgm:pt modelId="{85AAF3A3-5CF9-4339-BFCC-D983D7A0FDC5}" type="pres">
      <dgm:prSet presAssocID="{802CD1EE-EED4-4821-8C92-5CF8887C7D8B}" presName="sibTrans" presStyleLbl="sibTrans2D1" presStyleIdx="2" presStyleCnt="3"/>
      <dgm:spPr/>
      <dgm:t>
        <a:bodyPr/>
        <a:p>
          <a:endParaRPr lang="zh-CN" altLang="en-US"/>
        </a:p>
      </dgm:t>
    </dgm:pt>
  </dgm:ptLst>
  <dgm:cxnLst>
    <dgm:cxn modelId="{71D560F6-E797-4A8C-87BF-100387A32CB2}" srcId="{A1A3CBB8-A3E6-425D-B95F-DE561A1A9197}" destId="{4EB0DEF2-213A-4E62-ABAD-CAFDA9FCD19D}" srcOrd="1" destOrd="0" parTransId="{D1493257-0280-4784-BD32-9AFE6021375F}" sibTransId="{DB1BAAE7-459F-4EE4-B132-DAA20D03E9C8}"/>
    <dgm:cxn modelId="{9DC4504C-17BC-485B-ADA2-59D2CD02D5B8}" type="presOf" srcId="{CB2152A0-6414-418B-A037-FA9F84D451C7}" destId="{6651DF39-33E7-44AA-9D2B-F81A2C3CFE27}" srcOrd="0" destOrd="0" presId="urn:microsoft.com/office/officeart/2005/8/layout/radial6#2"/>
    <dgm:cxn modelId="{C5C9A31D-F766-4EE5-BF88-9A5CF80B8B43}" type="presOf" srcId="{C6F17774-1B07-441D-A8C2-AC5787FFBC1F}" destId="{004B2565-6357-49D8-AF48-9D875495FFE2}" srcOrd="0" destOrd="0" presId="urn:microsoft.com/office/officeart/2005/8/layout/radial6#2"/>
    <dgm:cxn modelId="{9947D3B4-4E04-4DE5-8C25-95947E63E51D}" type="presOf" srcId="{A1A3CBB8-A3E6-425D-B95F-DE561A1A9197}" destId="{21113040-3478-478E-BD1D-6A39A1FB4CF8}" srcOrd="0" destOrd="0" presId="urn:microsoft.com/office/officeart/2005/8/layout/radial6#2"/>
    <dgm:cxn modelId="{54A21834-30DF-405E-94F1-1A4BA43FFE37}" type="presOf" srcId="{4EB0DEF2-213A-4E62-ABAD-CAFDA9FCD19D}" destId="{BEE44675-E02A-4BA4-BED2-A5E2A927EE6B}" srcOrd="0" destOrd="0" presId="urn:microsoft.com/office/officeart/2005/8/layout/radial6#2"/>
    <dgm:cxn modelId="{20E4C89C-2527-4B5A-9631-BA700817D535}" type="presOf" srcId="{A670A68D-E6B8-4FD0-AB4D-63DA4800C4D1}" destId="{18D53728-ADCD-49A4-AA75-841DE7A67194}" srcOrd="0" destOrd="0" presId="urn:microsoft.com/office/officeart/2005/8/layout/radial6#2"/>
    <dgm:cxn modelId="{E15E7C9B-C0A8-413E-AD5C-CB1446A38E20}" srcId="{A1A3CBB8-A3E6-425D-B95F-DE561A1A9197}" destId="{A670A68D-E6B8-4FD0-AB4D-63DA4800C4D1}" srcOrd="0" destOrd="0" parTransId="{F8880DC0-1E72-4230-9909-566D18727938}" sibTransId="{C6F17774-1B07-441D-A8C2-AC5787FFBC1F}"/>
    <dgm:cxn modelId="{0E463B9D-BDF5-46D5-9151-ADDA38332131}" srcId="{58F16C24-ACDB-4EE6-95D7-345B0B30F92A}" destId="{A1A3CBB8-A3E6-425D-B95F-DE561A1A9197}" srcOrd="0" destOrd="0" parTransId="{473C11D0-7323-406A-BAF8-55F62707DFD1}" sibTransId="{7AD18461-5427-48EE-BD88-887CC4FC3FF5}"/>
    <dgm:cxn modelId="{07EBAC62-8301-4158-B0DF-4FBD16646E20}" type="presOf" srcId="{DB1BAAE7-459F-4EE4-B132-DAA20D03E9C8}" destId="{61E3A06F-DF44-4F03-AF67-52F76E291BD5}" srcOrd="0" destOrd="0" presId="urn:microsoft.com/office/officeart/2005/8/layout/radial6#2"/>
    <dgm:cxn modelId="{12DA9AB3-FA94-4A6E-898E-4F2DA41AA9DD}" type="presOf" srcId="{58F16C24-ACDB-4EE6-95D7-345B0B30F92A}" destId="{2762CC2E-E9BC-49AD-83E1-B1FD28C32F34}" srcOrd="0" destOrd="0" presId="urn:microsoft.com/office/officeart/2005/8/layout/radial6#2"/>
    <dgm:cxn modelId="{0F826D1F-4518-43A3-A687-438A64CC1672}" srcId="{A1A3CBB8-A3E6-425D-B95F-DE561A1A9197}" destId="{CB2152A0-6414-418B-A037-FA9F84D451C7}" srcOrd="2" destOrd="0" parTransId="{CB0AF245-D09E-42A1-B60E-390A2F859647}" sibTransId="{802CD1EE-EED4-4821-8C92-5CF8887C7D8B}"/>
    <dgm:cxn modelId="{10A8BEB2-59DF-4A80-8CC2-E9F3D1D8F764}" type="presOf" srcId="{802CD1EE-EED4-4821-8C92-5CF8887C7D8B}" destId="{85AAF3A3-5CF9-4339-BFCC-D983D7A0FDC5}" srcOrd="0" destOrd="0" presId="urn:microsoft.com/office/officeart/2005/8/layout/radial6#2"/>
    <dgm:cxn modelId="{72AE2AF8-BA5D-4476-B280-45EA044C84FF}" type="presParOf" srcId="{2762CC2E-E9BC-49AD-83E1-B1FD28C32F34}" destId="{21113040-3478-478E-BD1D-6A39A1FB4CF8}" srcOrd="0" destOrd="0" presId="urn:microsoft.com/office/officeart/2005/8/layout/radial6#2"/>
    <dgm:cxn modelId="{C432EE5F-2D49-4D5F-88DC-D6FB965803E4}" type="presParOf" srcId="{2762CC2E-E9BC-49AD-83E1-B1FD28C32F34}" destId="{18D53728-ADCD-49A4-AA75-841DE7A67194}" srcOrd="1" destOrd="0" presId="urn:microsoft.com/office/officeart/2005/8/layout/radial6#2"/>
    <dgm:cxn modelId="{F0BBD332-007E-469C-BD22-AEB28A58E555}" type="presParOf" srcId="{2762CC2E-E9BC-49AD-83E1-B1FD28C32F34}" destId="{3966D048-94CC-4ABF-8BFA-3412DAD58E36}" srcOrd="2" destOrd="0" presId="urn:microsoft.com/office/officeart/2005/8/layout/radial6#2"/>
    <dgm:cxn modelId="{492E439E-9E14-48E6-9D61-36E987D2044C}" type="presParOf" srcId="{2762CC2E-E9BC-49AD-83E1-B1FD28C32F34}" destId="{004B2565-6357-49D8-AF48-9D875495FFE2}" srcOrd="3" destOrd="0" presId="urn:microsoft.com/office/officeart/2005/8/layout/radial6#2"/>
    <dgm:cxn modelId="{FBAE4840-AA5F-4ACB-A384-ED3C087F6FA8}" type="presParOf" srcId="{2762CC2E-E9BC-49AD-83E1-B1FD28C32F34}" destId="{BEE44675-E02A-4BA4-BED2-A5E2A927EE6B}" srcOrd="4" destOrd="0" presId="urn:microsoft.com/office/officeart/2005/8/layout/radial6#2"/>
    <dgm:cxn modelId="{16032FD0-2BF3-4C3C-939F-D9A2DBD21342}" type="presParOf" srcId="{2762CC2E-E9BC-49AD-83E1-B1FD28C32F34}" destId="{A038C1F7-168F-406D-B16F-7E459685FF44}" srcOrd="5" destOrd="0" presId="urn:microsoft.com/office/officeart/2005/8/layout/radial6#2"/>
    <dgm:cxn modelId="{9A3D8BCF-D61B-43D4-A065-9F25D041C76E}" type="presParOf" srcId="{2762CC2E-E9BC-49AD-83E1-B1FD28C32F34}" destId="{61E3A06F-DF44-4F03-AF67-52F76E291BD5}" srcOrd="6" destOrd="0" presId="urn:microsoft.com/office/officeart/2005/8/layout/radial6#2"/>
    <dgm:cxn modelId="{3A1518F5-4B9D-4A15-A2EE-E788550327F1}" type="presParOf" srcId="{2762CC2E-E9BC-49AD-83E1-B1FD28C32F34}" destId="{6651DF39-33E7-44AA-9D2B-F81A2C3CFE27}" srcOrd="7" destOrd="0" presId="urn:microsoft.com/office/officeart/2005/8/layout/radial6#2"/>
    <dgm:cxn modelId="{F81A14C1-7B54-4098-B928-FABD99025558}" type="presParOf" srcId="{2762CC2E-E9BC-49AD-83E1-B1FD28C32F34}" destId="{E6FB067F-2A12-47FC-86A3-AE6E6AD928F9}" srcOrd="8" destOrd="0" presId="urn:microsoft.com/office/officeart/2005/8/layout/radial6#2"/>
    <dgm:cxn modelId="{1847E69A-759E-40AC-B5E5-063DA0718C6B}" type="presParOf" srcId="{2762CC2E-E9BC-49AD-83E1-B1FD28C32F34}" destId="{85AAF3A3-5CF9-4339-BFCC-D983D7A0FDC5}" srcOrd="9" destOrd="0" presId="urn:microsoft.com/office/officeart/2005/8/layout/radial6#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0A7B7C-4A2E-41F3-9D44-B4B2E05F9C0E}" type="doc">
      <dgm:prSet loTypeId="urn:microsoft.com/office/officeart/2005/8/layout/orgChart1#2" loCatId="hierarchy" qsTypeId="urn:microsoft.com/office/officeart/2005/8/quickstyle/simple3#2" qsCatId="simple" csTypeId="urn:microsoft.com/office/officeart/2005/8/colors/accent2_1#2" csCatId="accent2" phldr="1"/>
      <dgm:spPr/>
      <dgm:t>
        <a:bodyPr/>
        <a:p>
          <a:endParaRPr lang="zh-CN" altLang="en-US"/>
        </a:p>
      </dgm:t>
    </dgm:pt>
    <dgm:pt modelId="{22DC2DA8-C37B-4B8A-8518-04ACD93540C6}">
      <dgm:prSet phldrT="[文本]" custT="1"/>
      <dgm:spPr/>
      <dgm:t>
        <a:bodyPr/>
        <a:p>
          <a:r>
            <a:rPr lang="zh-CN" altLang="en-US" sz="1200"/>
            <a:t>水利新发展</a:t>
          </a:r>
        </a:p>
      </dgm:t>
    </dgm:pt>
    <dgm:pt modelId="{2AF6E5B8-B70E-4072-85DB-98AF072FC825}" cxnId="{17D0D4B4-1A3C-4E50-8958-A484AA10414A}" type="parTrans">
      <dgm:prSet/>
      <dgm:spPr/>
      <dgm:t>
        <a:bodyPr/>
        <a:p>
          <a:endParaRPr lang="zh-CN" altLang="en-US" sz="1200">
            <a:solidFill>
              <a:sysClr val="windowText" lastClr="000000"/>
            </a:solidFill>
          </a:endParaRPr>
        </a:p>
      </dgm:t>
    </dgm:pt>
    <dgm:pt modelId="{AB2A7AA6-7ED4-48D8-80E2-DA68279185DF}" cxnId="{17D0D4B4-1A3C-4E50-8958-A484AA10414A}" type="sibTrans">
      <dgm:prSet/>
      <dgm:spPr/>
      <dgm:t>
        <a:bodyPr/>
        <a:p>
          <a:endParaRPr lang="zh-CN" altLang="en-US" sz="1200">
            <a:solidFill>
              <a:sysClr val="windowText" lastClr="000000"/>
            </a:solidFill>
          </a:endParaRPr>
        </a:p>
      </dgm:t>
    </dgm:pt>
    <dgm:pt modelId="{A896947B-3211-4569-B645-E715B5D46974}" type="asst">
      <dgm:prSet phldrT="[文本]" custT="1"/>
      <dgm:spPr/>
      <dgm:t>
        <a:bodyPr/>
        <a:p>
          <a:r>
            <a:rPr lang="zh-CN" altLang="en-US" sz="1200"/>
            <a:t>构建新格局</a:t>
          </a:r>
        </a:p>
      </dgm:t>
    </dgm:pt>
    <dgm:pt modelId="{5E9DFE1C-95F3-41FD-9438-1D96EA9B07FE}" cxnId="{269DBE0A-783D-4D89-820B-3B4AC2B95565}" type="parTrans">
      <dgm:prSet/>
      <dgm:spPr/>
      <dgm:t>
        <a:bodyPr/>
        <a:p>
          <a:endParaRPr lang="zh-CN" altLang="en-US" sz="1200">
            <a:solidFill>
              <a:sysClr val="windowText" lastClr="000000"/>
            </a:solidFill>
          </a:endParaRPr>
        </a:p>
      </dgm:t>
    </dgm:pt>
    <dgm:pt modelId="{1A2CD39F-78AC-46FB-B74A-5F3ABDD4FB2C}" cxnId="{269DBE0A-783D-4D89-820B-3B4AC2B95565}" type="sibTrans">
      <dgm:prSet/>
      <dgm:spPr/>
      <dgm:t>
        <a:bodyPr/>
        <a:p>
          <a:endParaRPr lang="zh-CN" altLang="en-US" sz="1200">
            <a:solidFill>
              <a:sysClr val="windowText" lastClr="000000"/>
            </a:solidFill>
          </a:endParaRPr>
        </a:p>
      </dgm:t>
    </dgm:pt>
    <dgm:pt modelId="{D4B5925E-5953-466F-9832-5BEC1B9987F3}">
      <dgm:prSet phldrT="[文本]" custT="1"/>
      <dgm:spPr/>
      <dgm:t>
        <a:bodyPr/>
        <a:p>
          <a:r>
            <a:rPr lang="zh-CN" altLang="en-US" sz="1200"/>
            <a:t>提升供给</a:t>
          </a:r>
        </a:p>
      </dgm:t>
    </dgm:pt>
    <dgm:pt modelId="{9E015B10-B83E-4198-8534-690C9DCB57D6}" cxnId="{D7508698-6BD3-4E89-A8AE-73C3D367A043}" type="parTrans">
      <dgm:prSet/>
      <dgm:spPr/>
      <dgm:t>
        <a:bodyPr/>
        <a:p>
          <a:endParaRPr lang="zh-CN" altLang="en-US" sz="1200">
            <a:solidFill>
              <a:sysClr val="windowText" lastClr="000000"/>
            </a:solidFill>
          </a:endParaRPr>
        </a:p>
      </dgm:t>
    </dgm:pt>
    <dgm:pt modelId="{C6FB442D-2FA5-4A35-805A-384A65BEE2D7}" cxnId="{D7508698-6BD3-4E89-A8AE-73C3D367A043}" type="sibTrans">
      <dgm:prSet/>
      <dgm:spPr/>
      <dgm:t>
        <a:bodyPr/>
        <a:p>
          <a:endParaRPr lang="zh-CN" altLang="en-US" sz="1200">
            <a:solidFill>
              <a:sysClr val="windowText" lastClr="000000"/>
            </a:solidFill>
          </a:endParaRPr>
        </a:p>
      </dgm:t>
    </dgm:pt>
    <dgm:pt modelId="{6FBE9E8B-0CED-47C1-95D7-D6A8DA4DCF37}">
      <dgm:prSet phldrT="[文本]" custT="1"/>
      <dgm:spPr/>
      <dgm:t>
        <a:bodyPr/>
        <a:p>
          <a:r>
            <a:rPr lang="zh-CN" altLang="en-US" sz="1200"/>
            <a:t>创造需求</a:t>
          </a:r>
        </a:p>
      </dgm:t>
    </dgm:pt>
    <dgm:pt modelId="{A8B76915-1F69-447F-B1CA-8BA3FA61BEEC}" cxnId="{851AEA30-F400-471F-9713-971541ABA29C}" type="parTrans">
      <dgm:prSet/>
      <dgm:spPr/>
      <dgm:t>
        <a:bodyPr/>
        <a:p>
          <a:endParaRPr lang="zh-CN" altLang="en-US" sz="1200">
            <a:solidFill>
              <a:sysClr val="windowText" lastClr="000000"/>
            </a:solidFill>
          </a:endParaRPr>
        </a:p>
      </dgm:t>
    </dgm:pt>
    <dgm:pt modelId="{56FD164C-0183-4A0E-BBB7-65F2F7D95BAC}" cxnId="{851AEA30-F400-471F-9713-971541ABA29C}" type="sibTrans">
      <dgm:prSet/>
      <dgm:spPr/>
      <dgm:t>
        <a:bodyPr/>
        <a:p>
          <a:endParaRPr lang="zh-CN" altLang="en-US" sz="1200">
            <a:solidFill>
              <a:sysClr val="windowText" lastClr="000000"/>
            </a:solidFill>
          </a:endParaRPr>
        </a:p>
      </dgm:t>
    </dgm:pt>
    <dgm:pt modelId="{37D5441C-DC03-45F9-A5CE-441874D89ED8}">
      <dgm:prSet phldrT="[文本]" custT="1"/>
      <dgm:spPr/>
      <dgm:t>
        <a:bodyPr/>
        <a:p>
          <a:r>
            <a:rPr lang="zh-CN" altLang="en-US" sz="1200"/>
            <a:t>促进协调发展</a:t>
          </a:r>
        </a:p>
      </dgm:t>
    </dgm:pt>
    <dgm:pt modelId="{E580F267-AE4A-4E26-8AB8-FA1752A189B8}" cxnId="{652F8444-2533-4DEF-815E-FF99B6B48183}" type="parTrans">
      <dgm:prSet/>
      <dgm:spPr/>
      <dgm:t>
        <a:bodyPr/>
        <a:p>
          <a:endParaRPr lang="zh-CN" altLang="en-US" sz="1200">
            <a:solidFill>
              <a:sysClr val="windowText" lastClr="000000"/>
            </a:solidFill>
          </a:endParaRPr>
        </a:p>
      </dgm:t>
    </dgm:pt>
    <dgm:pt modelId="{1EBBFB07-88C3-4D1A-A392-87976CA6887C}" cxnId="{652F8444-2533-4DEF-815E-FF99B6B48183}" type="sibTrans">
      <dgm:prSet/>
      <dgm:spPr/>
      <dgm:t>
        <a:bodyPr/>
        <a:p>
          <a:endParaRPr lang="zh-CN" altLang="en-US" sz="1200">
            <a:solidFill>
              <a:sysClr val="windowText" lastClr="000000"/>
            </a:solidFill>
          </a:endParaRPr>
        </a:p>
      </dgm:t>
    </dgm:pt>
    <dgm:pt modelId="{4A409062-E489-42D7-8FDA-8B842CD6A09A}" type="pres">
      <dgm:prSet presAssocID="{BE0A7B7C-4A2E-41F3-9D44-B4B2E05F9C0E}" presName="hierChild1" presStyleCnt="0">
        <dgm:presLayoutVars>
          <dgm:orgChart val="1"/>
          <dgm:chPref val="1"/>
          <dgm:dir/>
          <dgm:animOne val="branch"/>
          <dgm:animLvl val="lvl"/>
          <dgm:resizeHandles/>
        </dgm:presLayoutVars>
      </dgm:prSet>
      <dgm:spPr/>
      <dgm:t>
        <a:bodyPr/>
        <a:p>
          <a:endParaRPr lang="zh-CN" altLang="en-US"/>
        </a:p>
      </dgm:t>
    </dgm:pt>
    <dgm:pt modelId="{1D780200-0B63-4FCE-B4F7-21EE45EDDB03}" type="pres">
      <dgm:prSet presAssocID="{22DC2DA8-C37B-4B8A-8518-04ACD93540C6}" presName="hierRoot1" presStyleCnt="0">
        <dgm:presLayoutVars>
          <dgm:hierBranch val="init"/>
        </dgm:presLayoutVars>
      </dgm:prSet>
      <dgm:spPr/>
    </dgm:pt>
    <dgm:pt modelId="{9CDFFC71-1E87-4FD0-B68F-0E01FE667558}" type="pres">
      <dgm:prSet presAssocID="{22DC2DA8-C37B-4B8A-8518-04ACD93540C6}" presName="rootComposite1" presStyleCnt="0"/>
      <dgm:spPr/>
    </dgm:pt>
    <dgm:pt modelId="{EF6A158F-B2AC-420E-8925-65D47CDE5CA5}" type="pres">
      <dgm:prSet presAssocID="{22DC2DA8-C37B-4B8A-8518-04ACD93540C6}" presName="rootText1" presStyleLbl="node0" presStyleIdx="0" presStyleCnt="1" custScaleX="132452">
        <dgm:presLayoutVars>
          <dgm:chPref val="3"/>
        </dgm:presLayoutVars>
      </dgm:prSet>
      <dgm:spPr/>
      <dgm:t>
        <a:bodyPr/>
        <a:p>
          <a:endParaRPr lang="zh-CN" altLang="en-US"/>
        </a:p>
      </dgm:t>
    </dgm:pt>
    <dgm:pt modelId="{D5B83F34-910D-484F-91C8-29D7D1C3D8FF}" type="pres">
      <dgm:prSet presAssocID="{22DC2DA8-C37B-4B8A-8518-04ACD93540C6}" presName="rootConnector1" presStyleLbl="node1" presStyleIdx="0" presStyleCnt="0"/>
      <dgm:spPr/>
      <dgm:t>
        <a:bodyPr/>
        <a:p>
          <a:endParaRPr lang="zh-CN" altLang="en-US"/>
        </a:p>
      </dgm:t>
    </dgm:pt>
    <dgm:pt modelId="{1F6FF8A3-ACBE-4021-8041-FC9D412AE05E}" type="pres">
      <dgm:prSet presAssocID="{22DC2DA8-C37B-4B8A-8518-04ACD93540C6}" presName="hierChild2" presStyleCnt="0"/>
      <dgm:spPr/>
    </dgm:pt>
    <dgm:pt modelId="{6E77033C-5716-47EC-BAA0-74E40992D7C6}" type="pres">
      <dgm:prSet presAssocID="{A8B76915-1F69-447F-B1CA-8BA3FA61BEEC}" presName="Name37" presStyleLbl="parChTrans1D2" presStyleIdx="0" presStyleCnt="4"/>
      <dgm:spPr/>
      <dgm:t>
        <a:bodyPr/>
        <a:p>
          <a:endParaRPr lang="zh-CN" altLang="en-US"/>
        </a:p>
      </dgm:t>
    </dgm:pt>
    <dgm:pt modelId="{C25809A7-DF7A-41F9-97CA-EB99A47CE116}" type="pres">
      <dgm:prSet presAssocID="{6FBE9E8B-0CED-47C1-95D7-D6A8DA4DCF37}" presName="hierRoot2" presStyleCnt="0">
        <dgm:presLayoutVars>
          <dgm:hierBranch val="init"/>
        </dgm:presLayoutVars>
      </dgm:prSet>
      <dgm:spPr/>
    </dgm:pt>
    <dgm:pt modelId="{C6FEA185-041A-4448-922A-8B7F53356980}" type="pres">
      <dgm:prSet presAssocID="{6FBE9E8B-0CED-47C1-95D7-D6A8DA4DCF37}" presName="rootComposite" presStyleCnt="0"/>
      <dgm:spPr/>
    </dgm:pt>
    <dgm:pt modelId="{C55EC78E-7CA0-4474-BAC2-9C6FF7482EA4}" type="pres">
      <dgm:prSet presAssocID="{6FBE9E8B-0CED-47C1-95D7-D6A8DA4DCF37}" presName="rootText" presStyleLbl="node2" presStyleIdx="0" presStyleCnt="3">
        <dgm:presLayoutVars>
          <dgm:chPref val="3"/>
        </dgm:presLayoutVars>
      </dgm:prSet>
      <dgm:spPr/>
      <dgm:t>
        <a:bodyPr/>
        <a:p>
          <a:endParaRPr lang="zh-CN" altLang="en-US"/>
        </a:p>
      </dgm:t>
    </dgm:pt>
    <dgm:pt modelId="{BF9FE273-3983-4584-8600-4F7A9DF36AD3}" type="pres">
      <dgm:prSet presAssocID="{6FBE9E8B-0CED-47C1-95D7-D6A8DA4DCF37}" presName="rootConnector" presStyleLbl="node2" presStyleIdx="0" presStyleCnt="3"/>
      <dgm:spPr/>
      <dgm:t>
        <a:bodyPr/>
        <a:p>
          <a:endParaRPr lang="zh-CN" altLang="en-US"/>
        </a:p>
      </dgm:t>
    </dgm:pt>
    <dgm:pt modelId="{2B05A051-A1F4-4E64-B408-15633404C861}" type="pres">
      <dgm:prSet presAssocID="{6FBE9E8B-0CED-47C1-95D7-D6A8DA4DCF37}" presName="hierChild4" presStyleCnt="0"/>
      <dgm:spPr/>
    </dgm:pt>
    <dgm:pt modelId="{8BF7C086-4CD9-4BBE-852A-FE46CF8531C0}" type="pres">
      <dgm:prSet presAssocID="{6FBE9E8B-0CED-47C1-95D7-D6A8DA4DCF37}" presName="hierChild5" presStyleCnt="0"/>
      <dgm:spPr/>
    </dgm:pt>
    <dgm:pt modelId="{C4D12CEF-3E07-495D-906A-767653038245}" type="pres">
      <dgm:prSet presAssocID="{9E015B10-B83E-4198-8534-690C9DCB57D6}" presName="Name37" presStyleLbl="parChTrans1D2" presStyleIdx="1" presStyleCnt="4"/>
      <dgm:spPr/>
      <dgm:t>
        <a:bodyPr/>
        <a:p>
          <a:endParaRPr lang="zh-CN" altLang="en-US"/>
        </a:p>
      </dgm:t>
    </dgm:pt>
    <dgm:pt modelId="{07756BFD-36C6-4075-9D86-313136E79C21}" type="pres">
      <dgm:prSet presAssocID="{D4B5925E-5953-466F-9832-5BEC1B9987F3}" presName="hierRoot2" presStyleCnt="0">
        <dgm:presLayoutVars>
          <dgm:hierBranch val="init"/>
        </dgm:presLayoutVars>
      </dgm:prSet>
      <dgm:spPr/>
    </dgm:pt>
    <dgm:pt modelId="{931FD9F2-7F89-422F-97C2-1CD7CD80C0E7}" type="pres">
      <dgm:prSet presAssocID="{D4B5925E-5953-466F-9832-5BEC1B9987F3}" presName="rootComposite" presStyleCnt="0"/>
      <dgm:spPr/>
    </dgm:pt>
    <dgm:pt modelId="{7F0A0B74-F02E-498D-8BAE-C39A0CAA546B}" type="pres">
      <dgm:prSet presAssocID="{D4B5925E-5953-466F-9832-5BEC1B9987F3}" presName="rootText" presStyleLbl="node2" presStyleIdx="1" presStyleCnt="3">
        <dgm:presLayoutVars>
          <dgm:chPref val="3"/>
        </dgm:presLayoutVars>
      </dgm:prSet>
      <dgm:spPr/>
      <dgm:t>
        <a:bodyPr/>
        <a:p>
          <a:endParaRPr lang="zh-CN" altLang="en-US"/>
        </a:p>
      </dgm:t>
    </dgm:pt>
    <dgm:pt modelId="{9DC5822B-7341-49E5-A0DB-DE89A1547B15}" type="pres">
      <dgm:prSet presAssocID="{D4B5925E-5953-466F-9832-5BEC1B9987F3}" presName="rootConnector" presStyleLbl="node2" presStyleIdx="1" presStyleCnt="3"/>
      <dgm:spPr/>
      <dgm:t>
        <a:bodyPr/>
        <a:p>
          <a:endParaRPr lang="zh-CN" altLang="en-US"/>
        </a:p>
      </dgm:t>
    </dgm:pt>
    <dgm:pt modelId="{73CB8407-25DC-4D90-9259-FFF83B3714E5}" type="pres">
      <dgm:prSet presAssocID="{D4B5925E-5953-466F-9832-5BEC1B9987F3}" presName="hierChild4" presStyleCnt="0"/>
      <dgm:spPr/>
    </dgm:pt>
    <dgm:pt modelId="{AE4B396E-5A34-4EC6-AE58-C703F0957543}" type="pres">
      <dgm:prSet presAssocID="{D4B5925E-5953-466F-9832-5BEC1B9987F3}" presName="hierChild5" presStyleCnt="0"/>
      <dgm:spPr/>
    </dgm:pt>
    <dgm:pt modelId="{1E408BE6-A410-480F-A3BC-4D38D5C5B123}" type="pres">
      <dgm:prSet presAssocID="{E580F267-AE4A-4E26-8AB8-FA1752A189B8}" presName="Name37" presStyleLbl="parChTrans1D2" presStyleIdx="2" presStyleCnt="4"/>
      <dgm:spPr/>
      <dgm:t>
        <a:bodyPr/>
        <a:p>
          <a:endParaRPr lang="zh-CN" altLang="en-US"/>
        </a:p>
      </dgm:t>
    </dgm:pt>
    <dgm:pt modelId="{16DB1B92-B941-4639-BC3B-14983C2A821D}" type="pres">
      <dgm:prSet presAssocID="{37D5441C-DC03-45F9-A5CE-441874D89ED8}" presName="hierRoot2" presStyleCnt="0">
        <dgm:presLayoutVars>
          <dgm:hierBranch val="init"/>
        </dgm:presLayoutVars>
      </dgm:prSet>
      <dgm:spPr/>
    </dgm:pt>
    <dgm:pt modelId="{1BEA9B30-6458-4680-85DA-0D4210F03200}" type="pres">
      <dgm:prSet presAssocID="{37D5441C-DC03-45F9-A5CE-441874D89ED8}" presName="rootComposite" presStyleCnt="0"/>
      <dgm:spPr/>
    </dgm:pt>
    <dgm:pt modelId="{1650E7F3-DFB8-4748-807F-F7C83E04F3D3}" type="pres">
      <dgm:prSet presAssocID="{37D5441C-DC03-45F9-A5CE-441874D89ED8}" presName="rootText" presStyleLbl="node2" presStyleIdx="2" presStyleCnt="3">
        <dgm:presLayoutVars>
          <dgm:chPref val="3"/>
        </dgm:presLayoutVars>
      </dgm:prSet>
      <dgm:spPr/>
      <dgm:t>
        <a:bodyPr/>
        <a:p>
          <a:endParaRPr lang="zh-CN" altLang="en-US"/>
        </a:p>
      </dgm:t>
    </dgm:pt>
    <dgm:pt modelId="{E5FF66DD-3504-47AF-91CF-90C3F7EEEA20}" type="pres">
      <dgm:prSet presAssocID="{37D5441C-DC03-45F9-A5CE-441874D89ED8}" presName="rootConnector" presStyleLbl="node2" presStyleIdx="2" presStyleCnt="3"/>
      <dgm:spPr/>
      <dgm:t>
        <a:bodyPr/>
        <a:p>
          <a:endParaRPr lang="zh-CN" altLang="en-US"/>
        </a:p>
      </dgm:t>
    </dgm:pt>
    <dgm:pt modelId="{A9A33AB1-C582-47D4-A1E7-93E435540C42}" type="pres">
      <dgm:prSet presAssocID="{37D5441C-DC03-45F9-A5CE-441874D89ED8}" presName="hierChild4" presStyleCnt="0"/>
      <dgm:spPr/>
    </dgm:pt>
    <dgm:pt modelId="{7DCB8A82-1E5C-46F7-ADB3-23CB4482EC8A}" type="pres">
      <dgm:prSet presAssocID="{37D5441C-DC03-45F9-A5CE-441874D89ED8}" presName="hierChild5" presStyleCnt="0"/>
      <dgm:spPr/>
    </dgm:pt>
    <dgm:pt modelId="{865C443F-3295-4094-9BD8-B1CD87DADCEA}" type="pres">
      <dgm:prSet presAssocID="{22DC2DA8-C37B-4B8A-8518-04ACD93540C6}" presName="hierChild3" presStyleCnt="0"/>
      <dgm:spPr/>
    </dgm:pt>
    <dgm:pt modelId="{7B34267E-95B6-4D6A-84B7-B997FE0D0CF3}" type="pres">
      <dgm:prSet presAssocID="{5E9DFE1C-95F3-41FD-9438-1D96EA9B07FE}" presName="Name111" presStyleLbl="parChTrans1D2" presStyleIdx="3" presStyleCnt="4"/>
      <dgm:spPr/>
      <dgm:t>
        <a:bodyPr/>
        <a:p>
          <a:endParaRPr lang="zh-CN" altLang="en-US"/>
        </a:p>
      </dgm:t>
    </dgm:pt>
    <dgm:pt modelId="{88078626-70FA-46D6-AB76-5149B438D0B3}" type="pres">
      <dgm:prSet presAssocID="{A896947B-3211-4569-B645-E715B5D46974}" presName="hierRoot3" presStyleCnt="0">
        <dgm:presLayoutVars>
          <dgm:hierBranch val="init"/>
        </dgm:presLayoutVars>
      </dgm:prSet>
      <dgm:spPr/>
    </dgm:pt>
    <dgm:pt modelId="{C06EC160-3B3D-4E8E-A054-8DF7568EA243}" type="pres">
      <dgm:prSet presAssocID="{A896947B-3211-4569-B645-E715B5D46974}" presName="rootComposite3" presStyleCnt="0"/>
      <dgm:spPr/>
    </dgm:pt>
    <dgm:pt modelId="{4A96A30A-90FE-4696-8D08-6D298ACD610E}" type="pres">
      <dgm:prSet presAssocID="{A896947B-3211-4569-B645-E715B5D46974}" presName="rootText3" presStyleLbl="asst1" presStyleIdx="0" presStyleCnt="1" custScaleX="115860">
        <dgm:presLayoutVars>
          <dgm:chPref val="3"/>
        </dgm:presLayoutVars>
      </dgm:prSet>
      <dgm:spPr/>
      <dgm:t>
        <a:bodyPr/>
        <a:p>
          <a:endParaRPr lang="zh-CN" altLang="en-US"/>
        </a:p>
      </dgm:t>
    </dgm:pt>
    <dgm:pt modelId="{9E9EA5DA-FA87-4541-8664-C721E467C77D}" type="pres">
      <dgm:prSet presAssocID="{A896947B-3211-4569-B645-E715B5D46974}" presName="rootConnector3" presStyleLbl="asst1" presStyleIdx="0" presStyleCnt="1"/>
      <dgm:spPr/>
      <dgm:t>
        <a:bodyPr/>
        <a:p>
          <a:endParaRPr lang="zh-CN" altLang="en-US"/>
        </a:p>
      </dgm:t>
    </dgm:pt>
    <dgm:pt modelId="{3912069F-7E3A-4466-923C-4CE1BCD47F31}" type="pres">
      <dgm:prSet presAssocID="{A896947B-3211-4569-B645-E715B5D46974}" presName="hierChild6" presStyleCnt="0"/>
      <dgm:spPr/>
    </dgm:pt>
    <dgm:pt modelId="{F08C7732-E025-439D-8D02-0EAA65CD2513}" type="pres">
      <dgm:prSet presAssocID="{A896947B-3211-4569-B645-E715B5D46974}" presName="hierChild7" presStyleCnt="0"/>
      <dgm:spPr/>
    </dgm:pt>
  </dgm:ptLst>
  <dgm:cxnLst>
    <dgm:cxn modelId="{05567216-9C8C-4348-808F-466DE50C91C4}" type="presOf" srcId="{A8B76915-1F69-447F-B1CA-8BA3FA61BEEC}" destId="{6E77033C-5716-47EC-BAA0-74E40992D7C6}" srcOrd="0" destOrd="0" presId="urn:microsoft.com/office/officeart/2005/8/layout/orgChart1#2"/>
    <dgm:cxn modelId="{03350E45-530E-4EA9-A8C0-348CC9F20216}" type="presOf" srcId="{6FBE9E8B-0CED-47C1-95D7-D6A8DA4DCF37}" destId="{C55EC78E-7CA0-4474-BAC2-9C6FF7482EA4}" srcOrd="0" destOrd="0" presId="urn:microsoft.com/office/officeart/2005/8/layout/orgChart1#2"/>
    <dgm:cxn modelId="{851AEA30-F400-471F-9713-971541ABA29C}" srcId="{22DC2DA8-C37B-4B8A-8518-04ACD93540C6}" destId="{6FBE9E8B-0CED-47C1-95D7-D6A8DA4DCF37}" srcOrd="0" destOrd="0" parTransId="{A8B76915-1F69-447F-B1CA-8BA3FA61BEEC}" sibTransId="{56FD164C-0183-4A0E-BBB7-65F2F7D95BAC}"/>
    <dgm:cxn modelId="{86815AC2-7045-4C08-BD9F-18BD0E2FA95D}" type="presOf" srcId="{22DC2DA8-C37B-4B8A-8518-04ACD93540C6}" destId="{EF6A158F-B2AC-420E-8925-65D47CDE5CA5}" srcOrd="0" destOrd="0" presId="urn:microsoft.com/office/officeart/2005/8/layout/orgChart1#2"/>
    <dgm:cxn modelId="{3FF80939-31B2-4270-8866-A990AFC41F67}" type="presOf" srcId="{A896947B-3211-4569-B645-E715B5D46974}" destId="{9E9EA5DA-FA87-4541-8664-C721E467C77D}" srcOrd="1" destOrd="0" presId="urn:microsoft.com/office/officeart/2005/8/layout/orgChart1#2"/>
    <dgm:cxn modelId="{CC60A21B-6A47-4B34-AF9C-4C79AC29F3EE}" type="presOf" srcId="{D4B5925E-5953-466F-9832-5BEC1B9987F3}" destId="{9DC5822B-7341-49E5-A0DB-DE89A1547B15}" srcOrd="1" destOrd="0" presId="urn:microsoft.com/office/officeart/2005/8/layout/orgChart1#2"/>
    <dgm:cxn modelId="{229FFAA4-EC5D-4FF4-A11C-07BA838625A4}" type="presOf" srcId="{5E9DFE1C-95F3-41FD-9438-1D96EA9B07FE}" destId="{7B34267E-95B6-4D6A-84B7-B997FE0D0CF3}" srcOrd="0" destOrd="0" presId="urn:microsoft.com/office/officeart/2005/8/layout/orgChart1#2"/>
    <dgm:cxn modelId="{71480DDA-6024-44C9-A22B-FD0F97D917C2}" type="presOf" srcId="{D4B5925E-5953-466F-9832-5BEC1B9987F3}" destId="{7F0A0B74-F02E-498D-8BAE-C39A0CAA546B}" srcOrd="0" destOrd="0" presId="urn:microsoft.com/office/officeart/2005/8/layout/orgChart1#2"/>
    <dgm:cxn modelId="{D7508698-6BD3-4E89-A8AE-73C3D367A043}" srcId="{22DC2DA8-C37B-4B8A-8518-04ACD93540C6}" destId="{D4B5925E-5953-466F-9832-5BEC1B9987F3}" srcOrd="2" destOrd="0" parTransId="{9E015B10-B83E-4198-8534-690C9DCB57D6}" sibTransId="{C6FB442D-2FA5-4A35-805A-384A65BEE2D7}"/>
    <dgm:cxn modelId="{B79AE721-3EB5-40A7-B416-83F05ED5EFA0}" type="presOf" srcId="{A896947B-3211-4569-B645-E715B5D46974}" destId="{4A96A30A-90FE-4696-8D08-6D298ACD610E}" srcOrd="0" destOrd="0" presId="urn:microsoft.com/office/officeart/2005/8/layout/orgChart1#2"/>
    <dgm:cxn modelId="{652F8444-2533-4DEF-815E-FF99B6B48183}" srcId="{22DC2DA8-C37B-4B8A-8518-04ACD93540C6}" destId="{37D5441C-DC03-45F9-A5CE-441874D89ED8}" srcOrd="3" destOrd="0" parTransId="{E580F267-AE4A-4E26-8AB8-FA1752A189B8}" sibTransId="{1EBBFB07-88C3-4D1A-A392-87976CA6887C}"/>
    <dgm:cxn modelId="{C85C3BAE-37EC-4EB5-ABC8-2E95EA5B4478}" type="presOf" srcId="{37D5441C-DC03-45F9-A5CE-441874D89ED8}" destId="{1650E7F3-DFB8-4748-807F-F7C83E04F3D3}" srcOrd="0" destOrd="0" presId="urn:microsoft.com/office/officeart/2005/8/layout/orgChart1#2"/>
    <dgm:cxn modelId="{9222DB0A-FFA0-4127-8DF4-F463EEED5097}" type="presOf" srcId="{37D5441C-DC03-45F9-A5CE-441874D89ED8}" destId="{E5FF66DD-3504-47AF-91CF-90C3F7EEEA20}" srcOrd="1" destOrd="0" presId="urn:microsoft.com/office/officeart/2005/8/layout/orgChart1#2"/>
    <dgm:cxn modelId="{17D0D4B4-1A3C-4E50-8958-A484AA10414A}" srcId="{BE0A7B7C-4A2E-41F3-9D44-B4B2E05F9C0E}" destId="{22DC2DA8-C37B-4B8A-8518-04ACD93540C6}" srcOrd="0" destOrd="0" parTransId="{2AF6E5B8-B70E-4072-85DB-98AF072FC825}" sibTransId="{AB2A7AA6-7ED4-48D8-80E2-DA68279185DF}"/>
    <dgm:cxn modelId="{C1072319-038F-468F-A913-DC28ABDECEAF}" type="presOf" srcId="{E580F267-AE4A-4E26-8AB8-FA1752A189B8}" destId="{1E408BE6-A410-480F-A3BC-4D38D5C5B123}" srcOrd="0" destOrd="0" presId="urn:microsoft.com/office/officeart/2005/8/layout/orgChart1#2"/>
    <dgm:cxn modelId="{8B2CF845-B173-4623-A01A-4867A9D05F04}" type="presOf" srcId="{6FBE9E8B-0CED-47C1-95D7-D6A8DA4DCF37}" destId="{BF9FE273-3983-4584-8600-4F7A9DF36AD3}" srcOrd="1" destOrd="0" presId="urn:microsoft.com/office/officeart/2005/8/layout/orgChart1#2"/>
    <dgm:cxn modelId="{5829C2B2-1A54-42D0-A071-8FDC1936EC5B}" type="presOf" srcId="{9E015B10-B83E-4198-8534-690C9DCB57D6}" destId="{C4D12CEF-3E07-495D-906A-767653038245}" srcOrd="0" destOrd="0" presId="urn:microsoft.com/office/officeart/2005/8/layout/orgChart1#2"/>
    <dgm:cxn modelId="{1EB53B3B-3E35-4764-BDD8-AE740CC88B6E}" type="presOf" srcId="{BE0A7B7C-4A2E-41F3-9D44-B4B2E05F9C0E}" destId="{4A409062-E489-42D7-8FDA-8B842CD6A09A}" srcOrd="0" destOrd="0" presId="urn:microsoft.com/office/officeart/2005/8/layout/orgChart1#2"/>
    <dgm:cxn modelId="{269DBE0A-783D-4D89-820B-3B4AC2B95565}" srcId="{22DC2DA8-C37B-4B8A-8518-04ACD93540C6}" destId="{A896947B-3211-4569-B645-E715B5D46974}" srcOrd="1" destOrd="0" parTransId="{5E9DFE1C-95F3-41FD-9438-1D96EA9B07FE}" sibTransId="{1A2CD39F-78AC-46FB-B74A-5F3ABDD4FB2C}"/>
    <dgm:cxn modelId="{1FAB421B-7CCD-47E9-B816-CBEAAA8D81DF}" type="presOf" srcId="{22DC2DA8-C37B-4B8A-8518-04ACD93540C6}" destId="{D5B83F34-910D-484F-91C8-29D7D1C3D8FF}" srcOrd="1" destOrd="0" presId="urn:microsoft.com/office/officeart/2005/8/layout/orgChart1#2"/>
    <dgm:cxn modelId="{2C0F326F-B6F1-4D08-90D4-4FD72D1B89F3}" type="presParOf" srcId="{4A409062-E489-42D7-8FDA-8B842CD6A09A}" destId="{1D780200-0B63-4FCE-B4F7-21EE45EDDB03}" srcOrd="0" destOrd="0" presId="urn:microsoft.com/office/officeart/2005/8/layout/orgChart1#2"/>
    <dgm:cxn modelId="{7F256917-5627-4210-84B2-B3A9E814B90E}" type="presParOf" srcId="{1D780200-0B63-4FCE-B4F7-21EE45EDDB03}" destId="{9CDFFC71-1E87-4FD0-B68F-0E01FE667558}" srcOrd="0" destOrd="0" presId="urn:microsoft.com/office/officeart/2005/8/layout/orgChart1#2"/>
    <dgm:cxn modelId="{56035825-71D7-4AE1-8CF7-D90D52E43A95}" type="presParOf" srcId="{9CDFFC71-1E87-4FD0-B68F-0E01FE667558}" destId="{EF6A158F-B2AC-420E-8925-65D47CDE5CA5}" srcOrd="0" destOrd="0" presId="urn:microsoft.com/office/officeart/2005/8/layout/orgChart1#2"/>
    <dgm:cxn modelId="{B29F72B0-BD86-44C8-8ECE-3F7738FF39FA}" type="presParOf" srcId="{9CDFFC71-1E87-4FD0-B68F-0E01FE667558}" destId="{D5B83F34-910D-484F-91C8-29D7D1C3D8FF}" srcOrd="1" destOrd="0" presId="urn:microsoft.com/office/officeart/2005/8/layout/orgChart1#2"/>
    <dgm:cxn modelId="{A351069E-8E4C-435F-A7DF-272F43D85E63}" type="presParOf" srcId="{1D780200-0B63-4FCE-B4F7-21EE45EDDB03}" destId="{1F6FF8A3-ACBE-4021-8041-FC9D412AE05E}" srcOrd="1" destOrd="0" presId="urn:microsoft.com/office/officeart/2005/8/layout/orgChart1#2"/>
    <dgm:cxn modelId="{B936733C-8002-4F45-9BE4-DB9DFE642BCE}" type="presParOf" srcId="{1F6FF8A3-ACBE-4021-8041-FC9D412AE05E}" destId="{6E77033C-5716-47EC-BAA0-74E40992D7C6}" srcOrd="0" destOrd="0" presId="urn:microsoft.com/office/officeart/2005/8/layout/orgChart1#2"/>
    <dgm:cxn modelId="{68F976EE-10E9-4ED8-980C-E5C4BA372669}" type="presParOf" srcId="{1F6FF8A3-ACBE-4021-8041-FC9D412AE05E}" destId="{C25809A7-DF7A-41F9-97CA-EB99A47CE116}" srcOrd="1" destOrd="0" presId="urn:microsoft.com/office/officeart/2005/8/layout/orgChart1#2"/>
    <dgm:cxn modelId="{0CBCD390-A8D3-4AC3-9412-735BC1EECF47}" type="presParOf" srcId="{C25809A7-DF7A-41F9-97CA-EB99A47CE116}" destId="{C6FEA185-041A-4448-922A-8B7F53356980}" srcOrd="0" destOrd="0" presId="urn:microsoft.com/office/officeart/2005/8/layout/orgChart1#2"/>
    <dgm:cxn modelId="{A4DAC093-ECB4-4AE0-993E-83EF760A9075}" type="presParOf" srcId="{C6FEA185-041A-4448-922A-8B7F53356980}" destId="{C55EC78E-7CA0-4474-BAC2-9C6FF7482EA4}" srcOrd="0" destOrd="0" presId="urn:microsoft.com/office/officeart/2005/8/layout/orgChart1#2"/>
    <dgm:cxn modelId="{8B090B89-3096-4B93-8310-275F4201D5E5}" type="presParOf" srcId="{C6FEA185-041A-4448-922A-8B7F53356980}" destId="{BF9FE273-3983-4584-8600-4F7A9DF36AD3}" srcOrd="1" destOrd="0" presId="urn:microsoft.com/office/officeart/2005/8/layout/orgChart1#2"/>
    <dgm:cxn modelId="{C7FC168A-F55F-4E3F-B07E-F4E3600CBADC}" type="presParOf" srcId="{C25809A7-DF7A-41F9-97CA-EB99A47CE116}" destId="{2B05A051-A1F4-4E64-B408-15633404C861}" srcOrd="1" destOrd="0" presId="urn:microsoft.com/office/officeart/2005/8/layout/orgChart1#2"/>
    <dgm:cxn modelId="{194E7F9F-733C-4240-B451-0444F71AE497}" type="presParOf" srcId="{C25809A7-DF7A-41F9-97CA-EB99A47CE116}" destId="{8BF7C086-4CD9-4BBE-852A-FE46CF8531C0}" srcOrd="2" destOrd="0" presId="urn:microsoft.com/office/officeart/2005/8/layout/orgChart1#2"/>
    <dgm:cxn modelId="{7DD0C4F1-F06A-4E8B-9556-26E323F27DF1}" type="presParOf" srcId="{1F6FF8A3-ACBE-4021-8041-FC9D412AE05E}" destId="{C4D12CEF-3E07-495D-906A-767653038245}" srcOrd="2" destOrd="0" presId="urn:microsoft.com/office/officeart/2005/8/layout/orgChart1#2"/>
    <dgm:cxn modelId="{AD9D73FB-DAA4-4580-AB09-7C190F238091}" type="presParOf" srcId="{1F6FF8A3-ACBE-4021-8041-FC9D412AE05E}" destId="{07756BFD-36C6-4075-9D86-313136E79C21}" srcOrd="3" destOrd="0" presId="urn:microsoft.com/office/officeart/2005/8/layout/orgChart1#2"/>
    <dgm:cxn modelId="{1F67C898-2E4D-4028-A626-A2A75BA14FB1}" type="presParOf" srcId="{07756BFD-36C6-4075-9D86-313136E79C21}" destId="{931FD9F2-7F89-422F-97C2-1CD7CD80C0E7}" srcOrd="0" destOrd="0" presId="urn:microsoft.com/office/officeart/2005/8/layout/orgChart1#2"/>
    <dgm:cxn modelId="{00EEABCA-2883-4BA1-98F8-8A3C6A1E2091}" type="presParOf" srcId="{931FD9F2-7F89-422F-97C2-1CD7CD80C0E7}" destId="{7F0A0B74-F02E-498D-8BAE-C39A0CAA546B}" srcOrd="0" destOrd="0" presId="urn:microsoft.com/office/officeart/2005/8/layout/orgChart1#2"/>
    <dgm:cxn modelId="{30DFB657-5766-4216-A4AD-B13D236EE9CB}" type="presParOf" srcId="{931FD9F2-7F89-422F-97C2-1CD7CD80C0E7}" destId="{9DC5822B-7341-49E5-A0DB-DE89A1547B15}" srcOrd="1" destOrd="0" presId="urn:microsoft.com/office/officeart/2005/8/layout/orgChart1#2"/>
    <dgm:cxn modelId="{616D10BF-E3CB-41E7-BAE8-9A4A225327CA}" type="presParOf" srcId="{07756BFD-36C6-4075-9D86-313136E79C21}" destId="{73CB8407-25DC-4D90-9259-FFF83B3714E5}" srcOrd="1" destOrd="0" presId="urn:microsoft.com/office/officeart/2005/8/layout/orgChart1#2"/>
    <dgm:cxn modelId="{BF56634C-A47D-4FC5-BE17-25BD04811779}" type="presParOf" srcId="{07756BFD-36C6-4075-9D86-313136E79C21}" destId="{AE4B396E-5A34-4EC6-AE58-C703F0957543}" srcOrd="2" destOrd="0" presId="urn:microsoft.com/office/officeart/2005/8/layout/orgChart1#2"/>
    <dgm:cxn modelId="{B9EB8D84-755D-4552-AE19-604BCA4E6A39}" type="presParOf" srcId="{1F6FF8A3-ACBE-4021-8041-FC9D412AE05E}" destId="{1E408BE6-A410-480F-A3BC-4D38D5C5B123}" srcOrd="4" destOrd="0" presId="urn:microsoft.com/office/officeart/2005/8/layout/orgChart1#2"/>
    <dgm:cxn modelId="{0C32D71F-D5A1-4A07-879A-BDE447C06A46}" type="presParOf" srcId="{1F6FF8A3-ACBE-4021-8041-FC9D412AE05E}" destId="{16DB1B92-B941-4639-BC3B-14983C2A821D}" srcOrd="5" destOrd="0" presId="urn:microsoft.com/office/officeart/2005/8/layout/orgChart1#2"/>
    <dgm:cxn modelId="{F394041C-C719-43AA-B49B-C14B63387EE0}" type="presParOf" srcId="{16DB1B92-B941-4639-BC3B-14983C2A821D}" destId="{1BEA9B30-6458-4680-85DA-0D4210F03200}" srcOrd="0" destOrd="0" presId="urn:microsoft.com/office/officeart/2005/8/layout/orgChart1#2"/>
    <dgm:cxn modelId="{0BF677BA-58D6-4A4B-8A16-703FC4EFA27A}" type="presParOf" srcId="{1BEA9B30-6458-4680-85DA-0D4210F03200}" destId="{1650E7F3-DFB8-4748-807F-F7C83E04F3D3}" srcOrd="0" destOrd="0" presId="urn:microsoft.com/office/officeart/2005/8/layout/orgChart1#2"/>
    <dgm:cxn modelId="{405971BA-5DF6-482D-8994-B8619BDA3F19}" type="presParOf" srcId="{1BEA9B30-6458-4680-85DA-0D4210F03200}" destId="{E5FF66DD-3504-47AF-91CF-90C3F7EEEA20}" srcOrd="1" destOrd="0" presId="urn:microsoft.com/office/officeart/2005/8/layout/orgChart1#2"/>
    <dgm:cxn modelId="{CF5256AF-D962-44E7-B468-CEA7DDEAA1CF}" type="presParOf" srcId="{16DB1B92-B941-4639-BC3B-14983C2A821D}" destId="{A9A33AB1-C582-47D4-A1E7-93E435540C42}" srcOrd="1" destOrd="0" presId="urn:microsoft.com/office/officeart/2005/8/layout/orgChart1#2"/>
    <dgm:cxn modelId="{82609C59-D921-455F-A44F-C1B7B459FBC8}" type="presParOf" srcId="{16DB1B92-B941-4639-BC3B-14983C2A821D}" destId="{7DCB8A82-1E5C-46F7-ADB3-23CB4482EC8A}" srcOrd="2" destOrd="0" presId="urn:microsoft.com/office/officeart/2005/8/layout/orgChart1#2"/>
    <dgm:cxn modelId="{D9553C82-D08C-4093-83CA-7E0C4F5AB9F6}" type="presParOf" srcId="{1D780200-0B63-4FCE-B4F7-21EE45EDDB03}" destId="{865C443F-3295-4094-9BD8-B1CD87DADCEA}" srcOrd="2" destOrd="0" presId="urn:microsoft.com/office/officeart/2005/8/layout/orgChart1#2"/>
    <dgm:cxn modelId="{F8099E02-C594-4FAF-850B-6F39B3DAC1A9}" type="presParOf" srcId="{865C443F-3295-4094-9BD8-B1CD87DADCEA}" destId="{7B34267E-95B6-4D6A-84B7-B997FE0D0CF3}" srcOrd="0" destOrd="0" presId="urn:microsoft.com/office/officeart/2005/8/layout/orgChart1#2"/>
    <dgm:cxn modelId="{EF2F41CF-397C-4A25-B012-3229EF6DFA78}" type="presParOf" srcId="{865C443F-3295-4094-9BD8-B1CD87DADCEA}" destId="{88078626-70FA-46D6-AB76-5149B438D0B3}" srcOrd="1" destOrd="0" presId="urn:microsoft.com/office/officeart/2005/8/layout/orgChart1#2"/>
    <dgm:cxn modelId="{3872BDBC-5BA2-4531-BE39-2E2E29B7397A}" type="presParOf" srcId="{88078626-70FA-46D6-AB76-5149B438D0B3}" destId="{C06EC160-3B3D-4E8E-A054-8DF7568EA243}" srcOrd="0" destOrd="0" presId="urn:microsoft.com/office/officeart/2005/8/layout/orgChart1#2"/>
    <dgm:cxn modelId="{AC7B5369-7974-4F5D-8CE7-EF5F43BA520A}" type="presParOf" srcId="{C06EC160-3B3D-4E8E-A054-8DF7568EA243}" destId="{4A96A30A-90FE-4696-8D08-6D298ACD610E}" srcOrd="0" destOrd="0" presId="urn:microsoft.com/office/officeart/2005/8/layout/orgChart1#2"/>
    <dgm:cxn modelId="{50B4D67D-48E3-4F0A-85DE-5EFEB79BE4DC}" type="presParOf" srcId="{C06EC160-3B3D-4E8E-A054-8DF7568EA243}" destId="{9E9EA5DA-FA87-4541-8664-C721E467C77D}" srcOrd="1" destOrd="0" presId="urn:microsoft.com/office/officeart/2005/8/layout/orgChart1#2"/>
    <dgm:cxn modelId="{78219B00-AF8D-4985-93CD-319849F637B5}" type="presParOf" srcId="{88078626-70FA-46D6-AB76-5149B438D0B3}" destId="{3912069F-7E3A-4466-923C-4CE1BCD47F31}" srcOrd="1" destOrd="0" presId="urn:microsoft.com/office/officeart/2005/8/layout/orgChart1#2"/>
    <dgm:cxn modelId="{DC7A6302-F401-4AA7-9173-5EFA9AC5BFFA}" type="presParOf" srcId="{88078626-70FA-46D6-AB76-5149B438D0B3}" destId="{F08C7732-E025-439D-8D02-0EAA65CD2513}" srcOrd="2" destOrd="0" presId="urn:microsoft.com/office/officeart/2005/8/layout/orgChart1#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AA50CA-0AC7-4E6C-A6C5-413DD85A53DE}" type="doc">
      <dgm:prSet loTypeId="urn:microsoft.com/office/officeart/2005/8/layout/hList7#1" loCatId="list" qsTypeId="urn:microsoft.com/office/officeart/2005/8/quickstyle/3d6#1" qsCatId="3D" csTypeId="urn:microsoft.com/office/officeart/2005/8/colors/colorful1#1" csCatId="colorful" phldr="1"/>
      <dgm:spPr/>
    </dgm:pt>
    <dgm:pt modelId="{0C7F9AEA-C843-4EDD-88CD-F1E7685423B3}">
      <dgm:prSet phldrT="[文本]" custT="1"/>
      <dgm:spPr/>
      <dgm:t>
        <a:bodyPr/>
        <a:p>
          <a:endParaRPr lang="en-US" altLang="zh-CN" sz="1100"/>
        </a:p>
        <a:p>
          <a:r>
            <a:rPr lang="zh-CN" altLang="en-US" sz="1100"/>
            <a:t>建立规划约束机制</a:t>
          </a:r>
        </a:p>
      </dgm:t>
    </dgm:pt>
    <dgm:pt modelId="{D7DCE683-B529-4C68-A62B-FDBBDD23D508}" cxnId="{3D818B17-02EB-4581-A3E9-618801CF886C}" type="parTrans">
      <dgm:prSet/>
      <dgm:spPr/>
      <dgm:t>
        <a:bodyPr/>
        <a:p>
          <a:endParaRPr lang="zh-CN" altLang="en-US" sz="1100">
            <a:solidFill>
              <a:sysClr val="windowText" lastClr="000000"/>
            </a:solidFill>
          </a:endParaRPr>
        </a:p>
      </dgm:t>
    </dgm:pt>
    <dgm:pt modelId="{9C5515B1-FDB4-4A9F-889A-C6C9DD174E65}" cxnId="{3D818B17-02EB-4581-A3E9-618801CF886C}" type="sibTrans">
      <dgm:prSet/>
      <dgm:spPr/>
      <dgm:t>
        <a:bodyPr/>
        <a:p>
          <a:endParaRPr lang="zh-CN" altLang="en-US" sz="1100">
            <a:solidFill>
              <a:sysClr val="windowText" lastClr="000000"/>
            </a:solidFill>
          </a:endParaRPr>
        </a:p>
      </dgm:t>
    </dgm:pt>
    <dgm:pt modelId="{A6F6B22A-F250-4C15-9BF1-73162B66284B}">
      <dgm:prSet phldrT="[文本]" custT="1"/>
      <dgm:spPr/>
      <dgm:t>
        <a:bodyPr/>
        <a:p>
          <a:endParaRPr lang="en-US" altLang="zh-CN" sz="1100"/>
        </a:p>
        <a:p>
          <a:r>
            <a:rPr lang="zh-CN" altLang="en-US" sz="1100"/>
            <a:t>创新河湖管护机制</a:t>
          </a:r>
        </a:p>
      </dgm:t>
    </dgm:pt>
    <dgm:pt modelId="{CECD11E5-92D2-4684-8274-6F0634B31217}" cxnId="{0246D3EB-2A1C-4CB8-915A-52E52797D3B2}" type="parTrans">
      <dgm:prSet/>
      <dgm:spPr/>
      <dgm:t>
        <a:bodyPr/>
        <a:p>
          <a:endParaRPr lang="zh-CN" altLang="en-US" sz="1100">
            <a:solidFill>
              <a:sysClr val="windowText" lastClr="000000"/>
            </a:solidFill>
          </a:endParaRPr>
        </a:p>
      </dgm:t>
    </dgm:pt>
    <dgm:pt modelId="{FD8BC0FE-5486-46C3-83BC-6F4B777EFD07}" cxnId="{0246D3EB-2A1C-4CB8-915A-52E52797D3B2}" type="sibTrans">
      <dgm:prSet/>
      <dgm:spPr/>
      <dgm:t>
        <a:bodyPr/>
        <a:p>
          <a:endParaRPr lang="zh-CN" altLang="en-US" sz="1100">
            <a:solidFill>
              <a:sysClr val="windowText" lastClr="000000"/>
            </a:solidFill>
          </a:endParaRPr>
        </a:p>
      </dgm:t>
    </dgm:pt>
    <dgm:pt modelId="{9A3AD0FF-D7AA-4D29-9EA8-B979D354C9A7}">
      <dgm:prSet phldrT="[文本]" custT="1"/>
      <dgm:spPr/>
      <dgm:t>
        <a:bodyPr/>
        <a:p>
          <a:endParaRPr lang="en-US" altLang="zh-CN" sz="1100"/>
        </a:p>
        <a:p>
          <a:r>
            <a:rPr lang="zh-CN" altLang="en-US" sz="1100"/>
            <a:t>强化采砂管理</a:t>
          </a:r>
        </a:p>
      </dgm:t>
    </dgm:pt>
    <dgm:pt modelId="{EC4BE048-B6CF-41A4-8CA1-043743AA9E77}" cxnId="{6EE08390-54EA-496B-B607-2079DC0884B5}" type="parTrans">
      <dgm:prSet/>
      <dgm:spPr/>
      <dgm:t>
        <a:bodyPr/>
        <a:p>
          <a:endParaRPr lang="zh-CN" altLang="en-US" sz="1100">
            <a:solidFill>
              <a:sysClr val="windowText" lastClr="000000"/>
            </a:solidFill>
          </a:endParaRPr>
        </a:p>
      </dgm:t>
    </dgm:pt>
    <dgm:pt modelId="{A608D2B3-695C-43A6-A626-D795843C491D}" cxnId="{6EE08390-54EA-496B-B607-2079DC0884B5}" type="sibTrans">
      <dgm:prSet/>
      <dgm:spPr/>
      <dgm:t>
        <a:bodyPr/>
        <a:p>
          <a:endParaRPr lang="zh-CN" altLang="en-US" sz="1100">
            <a:solidFill>
              <a:sysClr val="windowText" lastClr="000000"/>
            </a:solidFill>
          </a:endParaRPr>
        </a:p>
      </dgm:t>
    </dgm:pt>
    <dgm:pt modelId="{97A19625-6F70-45C6-8663-594006CE1933}">
      <dgm:prSet phldrT="[文本]" custT="1"/>
      <dgm:spPr/>
      <dgm:t>
        <a:bodyPr/>
        <a:p>
          <a:endParaRPr lang="en-US" altLang="zh-CN" sz="1100"/>
        </a:p>
        <a:p>
          <a:r>
            <a:rPr lang="zh-CN" altLang="en-US" sz="1100"/>
            <a:t>提升河湖管护水平</a:t>
          </a:r>
        </a:p>
      </dgm:t>
    </dgm:pt>
    <dgm:pt modelId="{EC3944FD-073B-4EDF-81D0-D12397659CE9}" cxnId="{7FB2718F-CC27-4CA0-B27C-B096EA2DA850}" type="parTrans">
      <dgm:prSet/>
      <dgm:spPr/>
      <dgm:t>
        <a:bodyPr/>
        <a:p>
          <a:endParaRPr lang="zh-CN" altLang="en-US" sz="1100">
            <a:solidFill>
              <a:sysClr val="windowText" lastClr="000000"/>
            </a:solidFill>
          </a:endParaRPr>
        </a:p>
      </dgm:t>
    </dgm:pt>
    <dgm:pt modelId="{6E5971EB-DBDE-434B-9319-A0C5A5631909}" cxnId="{7FB2718F-CC27-4CA0-B27C-B096EA2DA850}" type="sibTrans">
      <dgm:prSet/>
      <dgm:spPr/>
      <dgm:t>
        <a:bodyPr/>
        <a:p>
          <a:endParaRPr lang="zh-CN" altLang="en-US" sz="1100">
            <a:solidFill>
              <a:sysClr val="windowText" lastClr="000000"/>
            </a:solidFill>
          </a:endParaRPr>
        </a:p>
      </dgm:t>
    </dgm:pt>
    <dgm:pt modelId="{9A6B5134-BBED-473D-8591-0A44FF1246EF}" type="pres">
      <dgm:prSet presAssocID="{67AA50CA-0AC7-4E6C-A6C5-413DD85A53DE}" presName="Name0" presStyleCnt="0">
        <dgm:presLayoutVars>
          <dgm:dir/>
          <dgm:resizeHandles val="exact"/>
        </dgm:presLayoutVars>
      </dgm:prSet>
      <dgm:spPr/>
    </dgm:pt>
    <dgm:pt modelId="{555019DB-5570-4DF1-BED1-B2AB84B3A806}" type="pres">
      <dgm:prSet presAssocID="{67AA50CA-0AC7-4E6C-A6C5-413DD85A53DE}" presName="fgShape" presStyleLbl="fgShp" presStyleIdx="0" presStyleCnt="1"/>
      <dgm:spPr/>
    </dgm:pt>
    <dgm:pt modelId="{8AAA7F03-214D-450E-821C-E155A3178088}" type="pres">
      <dgm:prSet presAssocID="{67AA50CA-0AC7-4E6C-A6C5-413DD85A53DE}" presName="linComp" presStyleCnt="0"/>
      <dgm:spPr/>
    </dgm:pt>
    <dgm:pt modelId="{FB4E5344-430A-4705-B55F-FB6E1047E457}" type="pres">
      <dgm:prSet presAssocID="{0C7F9AEA-C843-4EDD-88CD-F1E7685423B3}" presName="compNode" presStyleCnt="0"/>
      <dgm:spPr/>
    </dgm:pt>
    <dgm:pt modelId="{DA5F5E35-0972-45C6-9534-1A9A2DE529B6}" type="pres">
      <dgm:prSet presAssocID="{0C7F9AEA-C843-4EDD-88CD-F1E7685423B3}" presName="bkgdShape" presStyleLbl="node1" presStyleIdx="0" presStyleCnt="4"/>
      <dgm:spPr/>
      <dgm:t>
        <a:bodyPr/>
        <a:p>
          <a:endParaRPr lang="zh-CN" altLang="en-US"/>
        </a:p>
      </dgm:t>
    </dgm:pt>
    <dgm:pt modelId="{923642E5-0660-4AD7-B9C9-D86F428E3A12}" type="pres">
      <dgm:prSet presAssocID="{0C7F9AEA-C843-4EDD-88CD-F1E7685423B3}" presName="nodeTx" presStyleLbl="node1" presStyleIdx="0" presStyleCnt="4">
        <dgm:presLayoutVars>
          <dgm:bulletEnabled val="1"/>
        </dgm:presLayoutVars>
      </dgm:prSet>
      <dgm:spPr/>
      <dgm:t>
        <a:bodyPr/>
        <a:p>
          <a:endParaRPr lang="zh-CN" altLang="en-US"/>
        </a:p>
      </dgm:t>
    </dgm:pt>
    <dgm:pt modelId="{77F153C0-6946-46C5-846E-71EDB304239E}" type="pres">
      <dgm:prSet presAssocID="{0C7F9AEA-C843-4EDD-88CD-F1E7685423B3}" presName="invisiNode" presStyleLbl="node1" presStyleIdx="0" presStyleCnt="4"/>
      <dgm:spPr/>
    </dgm:pt>
    <dgm:pt modelId="{197C34E0-E4A4-4EFB-8662-0152B4054CD1}" type="pres">
      <dgm:prSet presAssocID="{0C7F9AEA-C843-4EDD-88CD-F1E7685423B3}" presName="imagNode" presStyleLbl="fgImgPlace1" presStyleIdx="0" presStyleCnt="4" custScaleX="166939" custScaleY="166939" custLinFactNeighborY="2265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4000" r="-34000"/>
          </a:stretch>
        </a:blipFill>
      </dgm:spPr>
    </dgm:pt>
    <dgm:pt modelId="{330ABA07-25D7-4CE7-8542-8DDB903B37C4}" type="pres">
      <dgm:prSet presAssocID="{9C5515B1-FDB4-4A9F-889A-C6C9DD174E65}" presName="sibTrans" presStyleLbl="sibTrans2D1" presStyleIdx="0" presStyleCnt="0"/>
      <dgm:spPr/>
      <dgm:t>
        <a:bodyPr/>
        <a:p>
          <a:endParaRPr lang="zh-CN" altLang="en-US"/>
        </a:p>
      </dgm:t>
    </dgm:pt>
    <dgm:pt modelId="{55C25090-7E68-4162-9320-0766DCE87328}" type="pres">
      <dgm:prSet presAssocID="{A6F6B22A-F250-4C15-9BF1-73162B66284B}" presName="compNode" presStyleCnt="0"/>
      <dgm:spPr/>
    </dgm:pt>
    <dgm:pt modelId="{56BFC3C7-EF66-4A87-BA3B-33A71CFB903C}" type="pres">
      <dgm:prSet presAssocID="{A6F6B22A-F250-4C15-9BF1-73162B66284B}" presName="bkgdShape" presStyleLbl="node1" presStyleIdx="1" presStyleCnt="4"/>
      <dgm:spPr/>
      <dgm:t>
        <a:bodyPr/>
        <a:p>
          <a:endParaRPr lang="zh-CN" altLang="en-US"/>
        </a:p>
      </dgm:t>
    </dgm:pt>
    <dgm:pt modelId="{7E745045-DB44-4FAE-869A-288AF6B4A04E}" type="pres">
      <dgm:prSet presAssocID="{A6F6B22A-F250-4C15-9BF1-73162B66284B}" presName="nodeTx" presStyleLbl="node1" presStyleIdx="1" presStyleCnt="4">
        <dgm:presLayoutVars>
          <dgm:bulletEnabled val="1"/>
        </dgm:presLayoutVars>
      </dgm:prSet>
      <dgm:spPr/>
      <dgm:t>
        <a:bodyPr/>
        <a:p>
          <a:endParaRPr lang="zh-CN" altLang="en-US"/>
        </a:p>
      </dgm:t>
    </dgm:pt>
    <dgm:pt modelId="{C9340AA4-E006-4A5B-93BE-93D0198A9D55}" type="pres">
      <dgm:prSet presAssocID="{A6F6B22A-F250-4C15-9BF1-73162B66284B}" presName="invisiNode" presStyleLbl="node1" presStyleIdx="1" presStyleCnt="4"/>
      <dgm:spPr/>
    </dgm:pt>
    <dgm:pt modelId="{0DF34992-DB71-4B1B-A660-E7789D5692DD}" type="pres">
      <dgm:prSet presAssocID="{A6F6B22A-F250-4C15-9BF1-73162B66284B}" presName="imagNode" presStyleLbl="fgImgPlace1" presStyleIdx="1" presStyleCnt="4" custScaleX="166939" custScaleY="166939" custLinFactNeighborY="2265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0" r="-40000"/>
          </a:stretch>
        </a:blipFill>
      </dgm:spPr>
    </dgm:pt>
    <dgm:pt modelId="{96EE0004-C03B-4E22-B871-775329068A01}" type="pres">
      <dgm:prSet presAssocID="{FD8BC0FE-5486-46C3-83BC-6F4B777EFD07}" presName="sibTrans" presStyleLbl="sibTrans2D1" presStyleIdx="0" presStyleCnt="0"/>
      <dgm:spPr/>
      <dgm:t>
        <a:bodyPr/>
        <a:p>
          <a:endParaRPr lang="zh-CN" altLang="en-US"/>
        </a:p>
      </dgm:t>
    </dgm:pt>
    <dgm:pt modelId="{1420AF01-AD58-43A0-822E-07F67559F59A}" type="pres">
      <dgm:prSet presAssocID="{9A3AD0FF-D7AA-4D29-9EA8-B979D354C9A7}" presName="compNode" presStyleCnt="0"/>
      <dgm:spPr/>
    </dgm:pt>
    <dgm:pt modelId="{32FEB71D-2C58-4C00-AE12-AABB230223E2}" type="pres">
      <dgm:prSet presAssocID="{9A3AD0FF-D7AA-4D29-9EA8-B979D354C9A7}" presName="bkgdShape" presStyleLbl="node1" presStyleIdx="2" presStyleCnt="4"/>
      <dgm:spPr/>
      <dgm:t>
        <a:bodyPr/>
        <a:p>
          <a:endParaRPr lang="zh-CN" altLang="en-US"/>
        </a:p>
      </dgm:t>
    </dgm:pt>
    <dgm:pt modelId="{4ED16200-73EA-4E5D-AC52-A5CEDFD03ADE}" type="pres">
      <dgm:prSet presAssocID="{9A3AD0FF-D7AA-4D29-9EA8-B979D354C9A7}" presName="nodeTx" presStyleLbl="node1" presStyleIdx="2" presStyleCnt="4">
        <dgm:presLayoutVars>
          <dgm:bulletEnabled val="1"/>
        </dgm:presLayoutVars>
      </dgm:prSet>
      <dgm:spPr/>
      <dgm:t>
        <a:bodyPr/>
        <a:p>
          <a:endParaRPr lang="zh-CN" altLang="en-US"/>
        </a:p>
      </dgm:t>
    </dgm:pt>
    <dgm:pt modelId="{59EDD8C1-459B-487F-9AD1-5DFDD3F6044A}" type="pres">
      <dgm:prSet presAssocID="{9A3AD0FF-D7AA-4D29-9EA8-B979D354C9A7}" presName="invisiNode" presStyleLbl="node1" presStyleIdx="2" presStyleCnt="4"/>
      <dgm:spPr/>
    </dgm:pt>
    <dgm:pt modelId="{1CD01861-CE2F-4E4F-81C4-5FF88184E986}" type="pres">
      <dgm:prSet presAssocID="{9A3AD0FF-D7AA-4D29-9EA8-B979D354C9A7}" presName="imagNode" presStyleLbl="fgImgPlace1" presStyleIdx="2" presStyleCnt="4" custScaleX="166939" custScaleY="166939" custLinFactNeighborY="22652"/>
      <dgm:spPr>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dgm:spPr>
    </dgm:pt>
    <dgm:pt modelId="{D161295E-D60D-4A64-B553-3386DE6D0A5F}" type="pres">
      <dgm:prSet presAssocID="{A608D2B3-695C-43A6-A626-D795843C491D}" presName="sibTrans" presStyleLbl="sibTrans2D1" presStyleIdx="0" presStyleCnt="0"/>
      <dgm:spPr/>
      <dgm:t>
        <a:bodyPr/>
        <a:p>
          <a:endParaRPr lang="zh-CN" altLang="en-US"/>
        </a:p>
      </dgm:t>
    </dgm:pt>
    <dgm:pt modelId="{C8C7617E-F71E-4C5A-86FD-4A2B7E29FBAC}" type="pres">
      <dgm:prSet presAssocID="{97A19625-6F70-45C6-8663-594006CE1933}" presName="compNode" presStyleCnt="0"/>
      <dgm:spPr/>
    </dgm:pt>
    <dgm:pt modelId="{EA189933-FAEC-41DC-AA69-FC81AAEF2FC8}" type="pres">
      <dgm:prSet presAssocID="{97A19625-6F70-45C6-8663-594006CE1933}" presName="bkgdShape" presStyleLbl="node1" presStyleIdx="3" presStyleCnt="4"/>
      <dgm:spPr/>
      <dgm:t>
        <a:bodyPr/>
        <a:p>
          <a:endParaRPr lang="zh-CN" altLang="en-US"/>
        </a:p>
      </dgm:t>
    </dgm:pt>
    <dgm:pt modelId="{9F71D08D-3908-42EE-A49E-73FF70F67D43}" type="pres">
      <dgm:prSet presAssocID="{97A19625-6F70-45C6-8663-594006CE1933}" presName="nodeTx" presStyleLbl="node1" presStyleIdx="3" presStyleCnt="4">
        <dgm:presLayoutVars>
          <dgm:bulletEnabled val="1"/>
        </dgm:presLayoutVars>
      </dgm:prSet>
      <dgm:spPr/>
      <dgm:t>
        <a:bodyPr/>
        <a:p>
          <a:endParaRPr lang="zh-CN" altLang="en-US"/>
        </a:p>
      </dgm:t>
    </dgm:pt>
    <dgm:pt modelId="{5508F648-D51A-48BA-A66F-15984FE53A39}" type="pres">
      <dgm:prSet presAssocID="{97A19625-6F70-45C6-8663-594006CE1933}" presName="invisiNode" presStyleLbl="node1" presStyleIdx="3" presStyleCnt="4"/>
      <dgm:spPr/>
    </dgm:pt>
    <dgm:pt modelId="{160C7A03-F607-46E0-A471-F7F0D3C4EF06}" type="pres">
      <dgm:prSet presAssocID="{97A19625-6F70-45C6-8663-594006CE1933}" presName="imagNode" presStyleLbl="fgImgPlace1" presStyleIdx="3" presStyleCnt="4" custScaleX="166939" custScaleY="166939" custLinFactNeighborY="22652"/>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pt>
  </dgm:ptLst>
  <dgm:cxnLst>
    <dgm:cxn modelId="{7FB2718F-CC27-4CA0-B27C-B096EA2DA850}" srcId="{67AA50CA-0AC7-4E6C-A6C5-413DD85A53DE}" destId="{97A19625-6F70-45C6-8663-594006CE1933}" srcOrd="3" destOrd="0" parTransId="{EC3944FD-073B-4EDF-81D0-D12397659CE9}" sibTransId="{6E5971EB-DBDE-434B-9319-A0C5A5631909}"/>
    <dgm:cxn modelId="{C89E021B-61AB-4C82-8D1A-AD1355484092}" type="presOf" srcId="{A6F6B22A-F250-4C15-9BF1-73162B66284B}" destId="{56BFC3C7-EF66-4A87-BA3B-33A71CFB903C}" srcOrd="0" destOrd="0" presId="urn:microsoft.com/office/officeart/2005/8/layout/hList7#1"/>
    <dgm:cxn modelId="{34A9ABDA-3C88-4902-9FCB-EB1FD1B13288}" type="presOf" srcId="{0C7F9AEA-C843-4EDD-88CD-F1E7685423B3}" destId="{923642E5-0660-4AD7-B9C9-D86F428E3A12}" srcOrd="1" destOrd="0" presId="urn:microsoft.com/office/officeart/2005/8/layout/hList7#1"/>
    <dgm:cxn modelId="{5A25B9DD-4E8A-4852-8A4E-6EBB4E16F55B}" type="presOf" srcId="{9A3AD0FF-D7AA-4D29-9EA8-B979D354C9A7}" destId="{4ED16200-73EA-4E5D-AC52-A5CEDFD03ADE}" srcOrd="1" destOrd="0" presId="urn:microsoft.com/office/officeart/2005/8/layout/hList7#1"/>
    <dgm:cxn modelId="{47F1F28F-74DF-4FCC-A129-6930E93219EE}" type="presOf" srcId="{0C7F9AEA-C843-4EDD-88CD-F1E7685423B3}" destId="{DA5F5E35-0972-45C6-9534-1A9A2DE529B6}" srcOrd="0" destOrd="0" presId="urn:microsoft.com/office/officeart/2005/8/layout/hList7#1"/>
    <dgm:cxn modelId="{233BA8DC-FE19-406A-8363-0A99F286A083}" type="presOf" srcId="{97A19625-6F70-45C6-8663-594006CE1933}" destId="{EA189933-FAEC-41DC-AA69-FC81AAEF2FC8}" srcOrd="0" destOrd="0" presId="urn:microsoft.com/office/officeart/2005/8/layout/hList7#1"/>
    <dgm:cxn modelId="{965DC372-5B6D-446C-B8BF-DDDEC0423E5D}" type="presOf" srcId="{67AA50CA-0AC7-4E6C-A6C5-413DD85A53DE}" destId="{9A6B5134-BBED-473D-8591-0A44FF1246EF}" srcOrd="0" destOrd="0" presId="urn:microsoft.com/office/officeart/2005/8/layout/hList7#1"/>
    <dgm:cxn modelId="{9B293377-ADBD-4CD0-A94E-53C7F23C9697}" type="presOf" srcId="{FD8BC0FE-5486-46C3-83BC-6F4B777EFD07}" destId="{96EE0004-C03B-4E22-B871-775329068A01}" srcOrd="0" destOrd="0" presId="urn:microsoft.com/office/officeart/2005/8/layout/hList7#1"/>
    <dgm:cxn modelId="{358C6355-F767-481E-8374-F36778B2D6B4}" type="presOf" srcId="{9C5515B1-FDB4-4A9F-889A-C6C9DD174E65}" destId="{330ABA07-25D7-4CE7-8542-8DDB903B37C4}" srcOrd="0" destOrd="0" presId="urn:microsoft.com/office/officeart/2005/8/layout/hList7#1"/>
    <dgm:cxn modelId="{6EE08390-54EA-496B-B607-2079DC0884B5}" srcId="{67AA50CA-0AC7-4E6C-A6C5-413DD85A53DE}" destId="{9A3AD0FF-D7AA-4D29-9EA8-B979D354C9A7}" srcOrd="2" destOrd="0" parTransId="{EC4BE048-B6CF-41A4-8CA1-043743AA9E77}" sibTransId="{A608D2B3-695C-43A6-A626-D795843C491D}"/>
    <dgm:cxn modelId="{ABE0C29D-46BA-4E77-A19A-389E97A7B611}" type="presOf" srcId="{97A19625-6F70-45C6-8663-594006CE1933}" destId="{9F71D08D-3908-42EE-A49E-73FF70F67D43}" srcOrd="1" destOrd="0" presId="urn:microsoft.com/office/officeart/2005/8/layout/hList7#1"/>
    <dgm:cxn modelId="{56A8A64D-33CE-4472-9132-55A455126BB6}" type="presOf" srcId="{A608D2B3-695C-43A6-A626-D795843C491D}" destId="{D161295E-D60D-4A64-B553-3386DE6D0A5F}" srcOrd="0" destOrd="0" presId="urn:microsoft.com/office/officeart/2005/8/layout/hList7#1"/>
    <dgm:cxn modelId="{3D818B17-02EB-4581-A3E9-618801CF886C}" srcId="{67AA50CA-0AC7-4E6C-A6C5-413DD85A53DE}" destId="{0C7F9AEA-C843-4EDD-88CD-F1E7685423B3}" srcOrd="0" destOrd="0" parTransId="{D7DCE683-B529-4C68-A62B-FDBBDD23D508}" sibTransId="{9C5515B1-FDB4-4A9F-889A-C6C9DD174E65}"/>
    <dgm:cxn modelId="{AB4383BE-C4B9-4028-A96F-299D0724429C}" type="presOf" srcId="{9A3AD0FF-D7AA-4D29-9EA8-B979D354C9A7}" destId="{32FEB71D-2C58-4C00-AE12-AABB230223E2}" srcOrd="0" destOrd="0" presId="urn:microsoft.com/office/officeart/2005/8/layout/hList7#1"/>
    <dgm:cxn modelId="{0246D3EB-2A1C-4CB8-915A-52E52797D3B2}" srcId="{67AA50CA-0AC7-4E6C-A6C5-413DD85A53DE}" destId="{A6F6B22A-F250-4C15-9BF1-73162B66284B}" srcOrd="1" destOrd="0" parTransId="{CECD11E5-92D2-4684-8274-6F0634B31217}" sibTransId="{FD8BC0FE-5486-46C3-83BC-6F4B777EFD07}"/>
    <dgm:cxn modelId="{A777D652-B5AB-49D4-A938-A71D8A9242E7}" type="presOf" srcId="{A6F6B22A-F250-4C15-9BF1-73162B66284B}" destId="{7E745045-DB44-4FAE-869A-288AF6B4A04E}" srcOrd="1" destOrd="0" presId="urn:microsoft.com/office/officeart/2005/8/layout/hList7#1"/>
    <dgm:cxn modelId="{9A24F8F4-A3CF-4AF0-BFBE-9EB89BAC6143}" type="presParOf" srcId="{9A6B5134-BBED-473D-8591-0A44FF1246EF}" destId="{555019DB-5570-4DF1-BED1-B2AB84B3A806}" srcOrd="0" destOrd="0" presId="urn:microsoft.com/office/officeart/2005/8/layout/hList7#1"/>
    <dgm:cxn modelId="{9E03AD56-E2B0-402D-9FF0-C8218F678873}" type="presParOf" srcId="{9A6B5134-BBED-473D-8591-0A44FF1246EF}" destId="{8AAA7F03-214D-450E-821C-E155A3178088}" srcOrd="1" destOrd="0" presId="urn:microsoft.com/office/officeart/2005/8/layout/hList7#1"/>
    <dgm:cxn modelId="{B616F906-F284-4A89-9B48-179941607A90}" type="presParOf" srcId="{8AAA7F03-214D-450E-821C-E155A3178088}" destId="{FB4E5344-430A-4705-B55F-FB6E1047E457}" srcOrd="0" destOrd="0" presId="urn:microsoft.com/office/officeart/2005/8/layout/hList7#1"/>
    <dgm:cxn modelId="{19D4547C-2170-420A-88CE-D0356E802605}" type="presParOf" srcId="{FB4E5344-430A-4705-B55F-FB6E1047E457}" destId="{DA5F5E35-0972-45C6-9534-1A9A2DE529B6}" srcOrd="0" destOrd="0" presId="urn:microsoft.com/office/officeart/2005/8/layout/hList7#1"/>
    <dgm:cxn modelId="{DA773F03-A96C-49DD-A994-98CA94B5CEAB}" type="presParOf" srcId="{FB4E5344-430A-4705-B55F-FB6E1047E457}" destId="{923642E5-0660-4AD7-B9C9-D86F428E3A12}" srcOrd="1" destOrd="0" presId="urn:microsoft.com/office/officeart/2005/8/layout/hList7#1"/>
    <dgm:cxn modelId="{2CEF64DF-46D1-46E5-89E5-205217FE49A8}" type="presParOf" srcId="{FB4E5344-430A-4705-B55F-FB6E1047E457}" destId="{77F153C0-6946-46C5-846E-71EDB304239E}" srcOrd="2" destOrd="0" presId="urn:microsoft.com/office/officeart/2005/8/layout/hList7#1"/>
    <dgm:cxn modelId="{5FABEB46-9DBA-451E-8976-592B15850E7F}" type="presParOf" srcId="{FB4E5344-430A-4705-B55F-FB6E1047E457}" destId="{197C34E0-E4A4-4EFB-8662-0152B4054CD1}" srcOrd="3" destOrd="0" presId="urn:microsoft.com/office/officeart/2005/8/layout/hList7#1"/>
    <dgm:cxn modelId="{DB39F4FC-5129-4D4C-9591-B7D807B809A3}" type="presParOf" srcId="{8AAA7F03-214D-450E-821C-E155A3178088}" destId="{330ABA07-25D7-4CE7-8542-8DDB903B37C4}" srcOrd="1" destOrd="0" presId="urn:microsoft.com/office/officeart/2005/8/layout/hList7#1"/>
    <dgm:cxn modelId="{FC8A7318-F459-48FB-8EB3-C2C61CEE7B49}" type="presParOf" srcId="{8AAA7F03-214D-450E-821C-E155A3178088}" destId="{55C25090-7E68-4162-9320-0766DCE87328}" srcOrd="2" destOrd="0" presId="urn:microsoft.com/office/officeart/2005/8/layout/hList7#1"/>
    <dgm:cxn modelId="{8C81C934-EEC1-4019-B014-4F9DA1E7C9E8}" type="presParOf" srcId="{55C25090-7E68-4162-9320-0766DCE87328}" destId="{56BFC3C7-EF66-4A87-BA3B-33A71CFB903C}" srcOrd="0" destOrd="0" presId="urn:microsoft.com/office/officeart/2005/8/layout/hList7#1"/>
    <dgm:cxn modelId="{4FF02D5D-50CB-4435-9DF1-F34447FF3230}" type="presParOf" srcId="{55C25090-7E68-4162-9320-0766DCE87328}" destId="{7E745045-DB44-4FAE-869A-288AF6B4A04E}" srcOrd="1" destOrd="0" presId="urn:microsoft.com/office/officeart/2005/8/layout/hList7#1"/>
    <dgm:cxn modelId="{495CBC7F-86C8-4271-8B65-025343D2E786}" type="presParOf" srcId="{55C25090-7E68-4162-9320-0766DCE87328}" destId="{C9340AA4-E006-4A5B-93BE-93D0198A9D55}" srcOrd="2" destOrd="0" presId="urn:microsoft.com/office/officeart/2005/8/layout/hList7#1"/>
    <dgm:cxn modelId="{203947F1-05AD-4481-8DEF-9EF96AB81B31}" type="presParOf" srcId="{55C25090-7E68-4162-9320-0766DCE87328}" destId="{0DF34992-DB71-4B1B-A660-E7789D5692DD}" srcOrd="3" destOrd="0" presId="urn:microsoft.com/office/officeart/2005/8/layout/hList7#1"/>
    <dgm:cxn modelId="{ABD227A0-AD47-49A9-8C11-0E4CE83E21B2}" type="presParOf" srcId="{8AAA7F03-214D-450E-821C-E155A3178088}" destId="{96EE0004-C03B-4E22-B871-775329068A01}" srcOrd="3" destOrd="0" presId="urn:microsoft.com/office/officeart/2005/8/layout/hList7#1"/>
    <dgm:cxn modelId="{21C78F1E-9C71-446D-98A8-A355AF42C283}" type="presParOf" srcId="{8AAA7F03-214D-450E-821C-E155A3178088}" destId="{1420AF01-AD58-43A0-822E-07F67559F59A}" srcOrd="4" destOrd="0" presId="urn:microsoft.com/office/officeart/2005/8/layout/hList7#1"/>
    <dgm:cxn modelId="{F6150D49-A88C-4139-8721-9313864F3B7E}" type="presParOf" srcId="{1420AF01-AD58-43A0-822E-07F67559F59A}" destId="{32FEB71D-2C58-4C00-AE12-AABB230223E2}" srcOrd="0" destOrd="0" presId="urn:microsoft.com/office/officeart/2005/8/layout/hList7#1"/>
    <dgm:cxn modelId="{C208D1B3-2CAB-4B0D-8907-468E26CBC471}" type="presParOf" srcId="{1420AF01-AD58-43A0-822E-07F67559F59A}" destId="{4ED16200-73EA-4E5D-AC52-A5CEDFD03ADE}" srcOrd="1" destOrd="0" presId="urn:microsoft.com/office/officeart/2005/8/layout/hList7#1"/>
    <dgm:cxn modelId="{C02D13C9-9DBA-4C09-A4EA-1B0BE1888195}" type="presParOf" srcId="{1420AF01-AD58-43A0-822E-07F67559F59A}" destId="{59EDD8C1-459B-487F-9AD1-5DFDD3F6044A}" srcOrd="2" destOrd="0" presId="urn:microsoft.com/office/officeart/2005/8/layout/hList7#1"/>
    <dgm:cxn modelId="{D6F43AA4-E394-4D37-8CAC-858F5767F0BD}" type="presParOf" srcId="{1420AF01-AD58-43A0-822E-07F67559F59A}" destId="{1CD01861-CE2F-4E4F-81C4-5FF88184E986}" srcOrd="3" destOrd="0" presId="urn:microsoft.com/office/officeart/2005/8/layout/hList7#1"/>
    <dgm:cxn modelId="{6F020210-5A4C-4F85-A221-2E8B250F68F4}" type="presParOf" srcId="{8AAA7F03-214D-450E-821C-E155A3178088}" destId="{D161295E-D60D-4A64-B553-3386DE6D0A5F}" srcOrd="5" destOrd="0" presId="urn:microsoft.com/office/officeart/2005/8/layout/hList7#1"/>
    <dgm:cxn modelId="{2440363B-5E74-4DC4-9D94-82D501190CDB}" type="presParOf" srcId="{8AAA7F03-214D-450E-821C-E155A3178088}" destId="{C8C7617E-F71E-4C5A-86FD-4A2B7E29FBAC}" srcOrd="6" destOrd="0" presId="urn:microsoft.com/office/officeart/2005/8/layout/hList7#1"/>
    <dgm:cxn modelId="{D9F6AD21-4909-43E3-B0D4-9C51BF809A97}" type="presParOf" srcId="{C8C7617E-F71E-4C5A-86FD-4A2B7E29FBAC}" destId="{EA189933-FAEC-41DC-AA69-FC81AAEF2FC8}" srcOrd="0" destOrd="0" presId="urn:microsoft.com/office/officeart/2005/8/layout/hList7#1"/>
    <dgm:cxn modelId="{B12FA582-A2DB-4579-8F4F-0E264C91E223}" type="presParOf" srcId="{C8C7617E-F71E-4C5A-86FD-4A2B7E29FBAC}" destId="{9F71D08D-3908-42EE-A49E-73FF70F67D43}" srcOrd="1" destOrd="0" presId="urn:microsoft.com/office/officeart/2005/8/layout/hList7#1"/>
    <dgm:cxn modelId="{CD9D75AE-23B7-4E7D-9DC3-E0294AE160B7}" type="presParOf" srcId="{C8C7617E-F71E-4C5A-86FD-4A2B7E29FBAC}" destId="{5508F648-D51A-48BA-A66F-15984FE53A39}" srcOrd="2" destOrd="0" presId="urn:microsoft.com/office/officeart/2005/8/layout/hList7#1"/>
    <dgm:cxn modelId="{5F0BCE17-8F43-4655-A843-5D6226E170BD}" type="presParOf" srcId="{C8C7617E-F71E-4C5A-86FD-4A2B7E29FBAC}" destId="{160C7A03-F607-46E0-A471-F7F0D3C4EF06}" srcOrd="3" destOrd="0" presId="urn:microsoft.com/office/officeart/2005/8/layout/hList7#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AF3A3-5CF9-4339-BFCC-D983D7A0FDC5}">
      <dsp:nvSpPr>
        <dsp:cNvPr id="0" name=""/>
        <dsp:cNvSpPr/>
      </dsp:nvSpPr>
      <dsp:spPr>
        <a:xfrm>
          <a:off x="1362553" y="413070"/>
          <a:ext cx="2761293" cy="2761293"/>
        </a:xfrm>
        <a:prstGeom prst="blockArc">
          <a:avLst>
            <a:gd name="adj1" fmla="val 9000000"/>
            <a:gd name="adj2" fmla="val 16200000"/>
            <a:gd name="adj3" fmla="val 4635"/>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sp>
    <dsp:sp modelId="{61E3A06F-DF44-4F03-AF67-52F76E291BD5}">
      <dsp:nvSpPr>
        <dsp:cNvPr id="0" name=""/>
        <dsp:cNvSpPr/>
      </dsp:nvSpPr>
      <dsp:spPr>
        <a:xfrm>
          <a:off x="1362553" y="413070"/>
          <a:ext cx="2761293" cy="2761293"/>
        </a:xfrm>
        <a:prstGeom prst="blockArc">
          <a:avLst>
            <a:gd name="adj1" fmla="val 1800000"/>
            <a:gd name="adj2" fmla="val 9000000"/>
            <a:gd name="adj3" fmla="val 4635"/>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sp>
    <dsp:sp modelId="{004B2565-6357-49D8-AF48-9D875495FFE2}">
      <dsp:nvSpPr>
        <dsp:cNvPr id="0" name=""/>
        <dsp:cNvSpPr/>
      </dsp:nvSpPr>
      <dsp:spPr>
        <a:xfrm>
          <a:off x="1362553" y="413070"/>
          <a:ext cx="2761293" cy="2761293"/>
        </a:xfrm>
        <a:prstGeom prst="blockArc">
          <a:avLst>
            <a:gd name="adj1" fmla="val 16200000"/>
            <a:gd name="adj2" fmla="val 1800000"/>
            <a:gd name="adj3" fmla="val 4635"/>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sp>
    <dsp:sp modelId="{21113040-3478-478E-BD1D-6A39A1FB4CF8}">
      <dsp:nvSpPr>
        <dsp:cNvPr id="0" name=""/>
        <dsp:cNvSpPr/>
      </dsp:nvSpPr>
      <dsp:spPr>
        <a:xfrm>
          <a:off x="2108299" y="1158816"/>
          <a:ext cx="1269801" cy="126980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zh-CN" altLang="en-US" sz="1900" kern="1200"/>
            <a:t>水利发展面临形势</a:t>
          </a:r>
        </a:p>
      </dsp:txBody>
      <dsp:txXfrm>
        <a:off x="2294257" y="1344774"/>
        <a:ext cx="897885" cy="897885"/>
      </dsp:txXfrm>
    </dsp:sp>
    <dsp:sp modelId="{18D53728-ADCD-49A4-AA75-841DE7A67194}">
      <dsp:nvSpPr>
        <dsp:cNvPr id="0" name=""/>
        <dsp:cNvSpPr/>
      </dsp:nvSpPr>
      <dsp:spPr>
        <a:xfrm>
          <a:off x="2298769" y="638"/>
          <a:ext cx="888861" cy="888861"/>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zh-CN" altLang="en-US" sz="1300" kern="1200"/>
            <a:t>进入新发展阶段</a:t>
          </a:r>
        </a:p>
      </dsp:txBody>
      <dsp:txXfrm>
        <a:off x="2428940" y="130809"/>
        <a:ext cx="628519" cy="628519"/>
      </dsp:txXfrm>
    </dsp:sp>
    <dsp:sp modelId="{BEE44675-E02A-4BA4-BED2-A5E2A927EE6B}">
      <dsp:nvSpPr>
        <dsp:cNvPr id="0" name=""/>
        <dsp:cNvSpPr/>
      </dsp:nvSpPr>
      <dsp:spPr>
        <a:xfrm>
          <a:off x="3466732" y="2023610"/>
          <a:ext cx="888861" cy="88886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zh-CN" altLang="en-US" sz="1300" kern="1200"/>
            <a:t>贯彻新发展理念</a:t>
          </a:r>
        </a:p>
      </dsp:txBody>
      <dsp:txXfrm>
        <a:off x="3596903" y="2153781"/>
        <a:ext cx="628519" cy="628519"/>
      </dsp:txXfrm>
    </dsp:sp>
    <dsp:sp modelId="{6651DF39-33E7-44AA-9D2B-F81A2C3CFE27}">
      <dsp:nvSpPr>
        <dsp:cNvPr id="0" name=""/>
        <dsp:cNvSpPr/>
      </dsp:nvSpPr>
      <dsp:spPr>
        <a:xfrm>
          <a:off x="1130806" y="2023610"/>
          <a:ext cx="888861" cy="888861"/>
        </a:xfrm>
        <a:prstGeom prst="ellipse">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rgbClr val="FFFFFF"/>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zh-CN" altLang="en-US" sz="1300" kern="1200"/>
            <a:t>构建新发展格局</a:t>
          </a:r>
        </a:p>
      </dsp:txBody>
      <dsp:txXfrm>
        <a:off x="1260977" y="2153781"/>
        <a:ext cx="628519" cy="628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34267E-95B6-4D6A-84B7-B997FE0D0CF3}">
      <dsp:nvSpPr>
        <dsp:cNvPr id="0" name=""/>
        <dsp:cNvSpPr/>
      </dsp:nvSpPr>
      <dsp:spPr>
        <a:xfrm>
          <a:off x="2244085" y="590664"/>
          <a:ext cx="123829" cy="542493"/>
        </a:xfrm>
        <a:custGeom>
          <a:avLst/>
          <a:gdLst/>
          <a:ahLst/>
          <a:cxnLst/>
          <a:rect l="0" t="0" r="0" b="0"/>
          <a:pathLst>
            <a:path>
              <a:moveTo>
                <a:pt x="123829" y="0"/>
              </a:moveTo>
              <a:lnTo>
                <a:pt x="123829" y="542493"/>
              </a:lnTo>
              <a:lnTo>
                <a:pt x="0" y="542493"/>
              </a:lnTo>
            </a:path>
          </a:pathLst>
        </a:custGeom>
        <a:noFill/>
        <a:ln w="25400" cap="flat" cmpd="sng" algn="ctr">
          <a:solidFill>
            <a:srgbClr val="993E3C">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E408BE6-A410-480F-A3BC-4D38D5C5B123}">
      <dsp:nvSpPr>
        <dsp:cNvPr id="0" name=""/>
        <dsp:cNvSpPr/>
      </dsp:nvSpPr>
      <dsp:spPr>
        <a:xfrm>
          <a:off x="2367915" y="590664"/>
          <a:ext cx="1426992" cy="1084986"/>
        </a:xfrm>
        <a:custGeom>
          <a:avLst/>
          <a:gdLst/>
          <a:ahLst/>
          <a:cxnLst/>
          <a:rect l="0" t="0" r="0" b="0"/>
          <a:pathLst>
            <a:path>
              <a:moveTo>
                <a:pt x="0" y="0"/>
              </a:moveTo>
              <a:lnTo>
                <a:pt x="0" y="961156"/>
              </a:lnTo>
              <a:lnTo>
                <a:pt x="1426992" y="961156"/>
              </a:lnTo>
              <a:lnTo>
                <a:pt x="1426992" y="1084986"/>
              </a:lnTo>
            </a:path>
          </a:pathLst>
        </a:custGeom>
        <a:noFill/>
        <a:ln w="25400" cap="flat" cmpd="sng" algn="ctr">
          <a:solidFill>
            <a:srgbClr val="993E3C">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D12CEF-3E07-495D-906A-767653038245}">
      <dsp:nvSpPr>
        <dsp:cNvPr id="0" name=""/>
        <dsp:cNvSpPr/>
      </dsp:nvSpPr>
      <dsp:spPr>
        <a:xfrm>
          <a:off x="2322195" y="590664"/>
          <a:ext cx="91440" cy="1084986"/>
        </a:xfrm>
        <a:custGeom>
          <a:avLst/>
          <a:gdLst/>
          <a:ahLst/>
          <a:cxnLst/>
          <a:rect l="0" t="0" r="0" b="0"/>
          <a:pathLst>
            <a:path>
              <a:moveTo>
                <a:pt x="45720" y="0"/>
              </a:moveTo>
              <a:lnTo>
                <a:pt x="45720" y="1084986"/>
              </a:lnTo>
            </a:path>
          </a:pathLst>
        </a:custGeom>
        <a:noFill/>
        <a:ln w="25400" cap="flat" cmpd="sng" algn="ctr">
          <a:solidFill>
            <a:srgbClr val="993E3C">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E77033C-5716-47EC-BAA0-74E40992D7C6}">
      <dsp:nvSpPr>
        <dsp:cNvPr id="0" name=""/>
        <dsp:cNvSpPr/>
      </dsp:nvSpPr>
      <dsp:spPr>
        <a:xfrm>
          <a:off x="940922" y="590664"/>
          <a:ext cx="1426992" cy="1084986"/>
        </a:xfrm>
        <a:custGeom>
          <a:avLst/>
          <a:gdLst/>
          <a:ahLst/>
          <a:cxnLst/>
          <a:rect l="0" t="0" r="0" b="0"/>
          <a:pathLst>
            <a:path>
              <a:moveTo>
                <a:pt x="1426992" y="0"/>
              </a:moveTo>
              <a:lnTo>
                <a:pt x="1426992" y="961156"/>
              </a:lnTo>
              <a:lnTo>
                <a:pt x="0" y="961156"/>
              </a:lnTo>
              <a:lnTo>
                <a:pt x="0" y="1084986"/>
              </a:lnTo>
            </a:path>
          </a:pathLst>
        </a:custGeom>
        <a:noFill/>
        <a:ln w="25400" cap="flat" cmpd="sng" algn="ctr">
          <a:solidFill>
            <a:srgbClr val="993E3C">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F6A158F-B2AC-420E-8925-65D47CDE5CA5}">
      <dsp:nvSpPr>
        <dsp:cNvPr id="0" name=""/>
        <dsp:cNvSpPr/>
      </dsp:nvSpPr>
      <dsp:spPr>
        <a:xfrm>
          <a:off x="1586890" y="998"/>
          <a:ext cx="1562049" cy="589666"/>
        </a:xfrm>
        <a:prstGeom prst="rect">
          <a:avLst/>
        </a:prstGeom>
        <a:gradFill rotWithShape="0">
          <a:gsLst>
            <a:gs pos="0">
              <a:srgbClr val="FFFFFF">
                <a:hueOff val="0"/>
                <a:satOff val="0"/>
                <a:lumOff val="0"/>
                <a:alphaOff val="0"/>
                <a:tint val="50000"/>
                <a:satMod val="300000"/>
              </a:srgbClr>
            </a:gs>
            <a:gs pos="35000">
              <a:srgbClr val="FFFFFF">
                <a:hueOff val="0"/>
                <a:satOff val="0"/>
                <a:lumOff val="0"/>
                <a:alphaOff val="0"/>
                <a:tint val="37000"/>
                <a:satMod val="300000"/>
              </a:srgbClr>
            </a:gs>
            <a:gs pos="100000">
              <a:srgbClr val="FFFFFF">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rgbClr val="000000"/>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水利新发展</a:t>
          </a:r>
        </a:p>
      </dsp:txBody>
      <dsp:txXfrm>
        <a:off x="1586890" y="998"/>
        <a:ext cx="1562049" cy="589666"/>
      </dsp:txXfrm>
    </dsp:sp>
    <dsp:sp modelId="{C55EC78E-7CA0-4474-BAC2-9C6FF7482EA4}">
      <dsp:nvSpPr>
        <dsp:cNvPr id="0" name=""/>
        <dsp:cNvSpPr/>
      </dsp:nvSpPr>
      <dsp:spPr>
        <a:xfrm>
          <a:off x="351256" y="1675650"/>
          <a:ext cx="1179332" cy="589666"/>
        </a:xfrm>
        <a:prstGeom prst="rect">
          <a:avLst/>
        </a:prstGeom>
        <a:gradFill rotWithShape="0">
          <a:gsLst>
            <a:gs pos="0">
              <a:srgbClr val="FFFFFF">
                <a:hueOff val="0"/>
                <a:satOff val="0"/>
                <a:lumOff val="0"/>
                <a:alphaOff val="0"/>
                <a:tint val="50000"/>
                <a:satMod val="300000"/>
              </a:srgbClr>
            </a:gs>
            <a:gs pos="35000">
              <a:srgbClr val="FFFFFF">
                <a:hueOff val="0"/>
                <a:satOff val="0"/>
                <a:lumOff val="0"/>
                <a:alphaOff val="0"/>
                <a:tint val="37000"/>
                <a:satMod val="300000"/>
              </a:srgbClr>
            </a:gs>
            <a:gs pos="100000">
              <a:srgbClr val="FFFFFF">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rgbClr val="000000"/>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创造需求</a:t>
          </a:r>
        </a:p>
      </dsp:txBody>
      <dsp:txXfrm>
        <a:off x="351256" y="1675650"/>
        <a:ext cx="1179332" cy="589666"/>
      </dsp:txXfrm>
    </dsp:sp>
    <dsp:sp modelId="{7F0A0B74-F02E-498D-8BAE-C39A0CAA546B}">
      <dsp:nvSpPr>
        <dsp:cNvPr id="0" name=""/>
        <dsp:cNvSpPr/>
      </dsp:nvSpPr>
      <dsp:spPr>
        <a:xfrm>
          <a:off x="1778248" y="1675650"/>
          <a:ext cx="1179332" cy="589666"/>
        </a:xfrm>
        <a:prstGeom prst="rect">
          <a:avLst/>
        </a:prstGeom>
        <a:gradFill rotWithShape="0">
          <a:gsLst>
            <a:gs pos="0">
              <a:srgbClr val="FFFFFF">
                <a:hueOff val="0"/>
                <a:satOff val="0"/>
                <a:lumOff val="0"/>
                <a:alphaOff val="0"/>
                <a:tint val="50000"/>
                <a:satMod val="300000"/>
              </a:srgbClr>
            </a:gs>
            <a:gs pos="35000">
              <a:srgbClr val="FFFFFF">
                <a:hueOff val="0"/>
                <a:satOff val="0"/>
                <a:lumOff val="0"/>
                <a:alphaOff val="0"/>
                <a:tint val="37000"/>
                <a:satMod val="300000"/>
              </a:srgbClr>
            </a:gs>
            <a:gs pos="100000">
              <a:srgbClr val="FFFFFF">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rgbClr val="000000"/>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提升供给</a:t>
          </a:r>
        </a:p>
      </dsp:txBody>
      <dsp:txXfrm>
        <a:off x="1778248" y="1675650"/>
        <a:ext cx="1179332" cy="589666"/>
      </dsp:txXfrm>
    </dsp:sp>
    <dsp:sp modelId="{1650E7F3-DFB8-4748-807F-F7C83E04F3D3}">
      <dsp:nvSpPr>
        <dsp:cNvPr id="0" name=""/>
        <dsp:cNvSpPr/>
      </dsp:nvSpPr>
      <dsp:spPr>
        <a:xfrm>
          <a:off x="3205241" y="1675650"/>
          <a:ext cx="1179332" cy="589666"/>
        </a:xfrm>
        <a:prstGeom prst="rect">
          <a:avLst/>
        </a:prstGeom>
        <a:gradFill rotWithShape="0">
          <a:gsLst>
            <a:gs pos="0">
              <a:srgbClr val="FFFFFF">
                <a:hueOff val="0"/>
                <a:satOff val="0"/>
                <a:lumOff val="0"/>
                <a:alphaOff val="0"/>
                <a:tint val="50000"/>
                <a:satMod val="300000"/>
              </a:srgbClr>
            </a:gs>
            <a:gs pos="35000">
              <a:srgbClr val="FFFFFF">
                <a:hueOff val="0"/>
                <a:satOff val="0"/>
                <a:lumOff val="0"/>
                <a:alphaOff val="0"/>
                <a:tint val="37000"/>
                <a:satMod val="300000"/>
              </a:srgbClr>
            </a:gs>
            <a:gs pos="100000">
              <a:srgbClr val="FFFFFF">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rgbClr val="000000"/>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促进协调发展</a:t>
          </a:r>
        </a:p>
      </dsp:txBody>
      <dsp:txXfrm>
        <a:off x="3205241" y="1675650"/>
        <a:ext cx="1179332" cy="589666"/>
      </dsp:txXfrm>
    </dsp:sp>
    <dsp:sp modelId="{4A96A30A-90FE-4696-8D08-6D298ACD610E}">
      <dsp:nvSpPr>
        <dsp:cNvPr id="0" name=""/>
        <dsp:cNvSpPr/>
      </dsp:nvSpPr>
      <dsp:spPr>
        <a:xfrm>
          <a:off x="877710" y="838324"/>
          <a:ext cx="1366374" cy="589666"/>
        </a:xfrm>
        <a:prstGeom prst="rect">
          <a:avLst/>
        </a:prstGeom>
        <a:gradFill rotWithShape="0">
          <a:gsLst>
            <a:gs pos="0">
              <a:srgbClr val="FFFFFF">
                <a:hueOff val="0"/>
                <a:satOff val="0"/>
                <a:lumOff val="0"/>
                <a:alphaOff val="0"/>
                <a:tint val="50000"/>
                <a:satMod val="300000"/>
              </a:srgbClr>
            </a:gs>
            <a:gs pos="35000">
              <a:srgbClr val="FFFFFF">
                <a:hueOff val="0"/>
                <a:satOff val="0"/>
                <a:lumOff val="0"/>
                <a:alphaOff val="0"/>
                <a:tint val="37000"/>
                <a:satMod val="300000"/>
              </a:srgbClr>
            </a:gs>
            <a:gs pos="100000">
              <a:srgbClr val="FFFFFF">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rgbClr val="000000"/>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zh-CN" altLang="en-US" sz="1200" kern="1200"/>
            <a:t>构建新格局</a:t>
          </a:r>
        </a:p>
      </dsp:txBody>
      <dsp:txXfrm>
        <a:off x="877710" y="838324"/>
        <a:ext cx="1366374" cy="5896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5F5E35-0972-45C6-9534-1A9A2DE529B6}">
      <dsp:nvSpPr>
        <dsp:cNvPr id="0" name=""/>
        <dsp:cNvSpPr/>
      </dsp:nvSpPr>
      <dsp:spPr>
        <a:xfrm>
          <a:off x="1313" y="49956"/>
          <a:ext cx="1377105" cy="1941830"/>
        </a:xfrm>
        <a:prstGeom prst="roundRect">
          <a:avLst>
            <a:gd name="adj" fmla="val 10000"/>
          </a:avLst>
        </a:prstGeom>
        <a:solidFill>
          <a:srgbClr val="C0504D">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rgbClr val="FFFFFF"/>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altLang="zh-CN" sz="1100" kern="1200"/>
        </a:p>
        <a:p>
          <a:pPr lvl="0" algn="ctr" defTabSz="488950">
            <a:lnSpc>
              <a:spcPct val="90000"/>
            </a:lnSpc>
            <a:spcBef>
              <a:spcPct val="0"/>
            </a:spcBef>
            <a:spcAft>
              <a:spcPct val="35000"/>
            </a:spcAft>
          </a:pPr>
          <a:r>
            <a:rPr lang="zh-CN" altLang="en-US" sz="1100" kern="1200"/>
            <a:t>建立规划约束机制</a:t>
          </a:r>
        </a:p>
      </dsp:txBody>
      <dsp:txXfrm>
        <a:off x="1313" y="826688"/>
        <a:ext cx="1377105" cy="776732"/>
      </dsp:txXfrm>
    </dsp:sp>
    <dsp:sp modelId="{197C34E0-E4A4-4EFB-8662-0152B4054CD1}">
      <dsp:nvSpPr>
        <dsp:cNvPr id="0" name=""/>
        <dsp:cNvSpPr/>
      </dsp:nvSpPr>
      <dsp:spPr>
        <a:xfrm>
          <a:off x="150128" y="96517"/>
          <a:ext cx="1079476" cy="107947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4000" r="-34000"/>
          </a:stretch>
        </a:blipFill>
        <a:ln>
          <a:noFill/>
        </a:ln>
        <a:effectLst>
          <a:outerShdw blurRad="40000" dist="23000" dir="5400000" rotWithShape="0">
            <a:srgbClr val="000000">
              <a:alpha val="35000"/>
            </a:srgbClr>
          </a:outerShdw>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56BFC3C7-EF66-4A87-BA3B-33A71CFB903C}">
      <dsp:nvSpPr>
        <dsp:cNvPr id="0" name=""/>
        <dsp:cNvSpPr/>
      </dsp:nvSpPr>
      <dsp:spPr>
        <a:xfrm>
          <a:off x="1419732" y="49956"/>
          <a:ext cx="1377105" cy="1941830"/>
        </a:xfrm>
        <a:prstGeom prst="roundRect">
          <a:avLst>
            <a:gd name="adj" fmla="val 10000"/>
          </a:avLst>
        </a:prstGeom>
        <a:solidFill>
          <a:srgbClr val="9BBB59">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rgbClr val="FFFFFF"/>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altLang="zh-CN" sz="1100" kern="1200"/>
        </a:p>
        <a:p>
          <a:pPr lvl="0" algn="ctr" defTabSz="488950">
            <a:lnSpc>
              <a:spcPct val="90000"/>
            </a:lnSpc>
            <a:spcBef>
              <a:spcPct val="0"/>
            </a:spcBef>
            <a:spcAft>
              <a:spcPct val="35000"/>
            </a:spcAft>
          </a:pPr>
          <a:r>
            <a:rPr lang="zh-CN" altLang="en-US" sz="1100" kern="1200"/>
            <a:t>创新河湖管护机制</a:t>
          </a:r>
        </a:p>
      </dsp:txBody>
      <dsp:txXfrm>
        <a:off x="1419732" y="826688"/>
        <a:ext cx="1377105" cy="776732"/>
      </dsp:txXfrm>
    </dsp:sp>
    <dsp:sp modelId="{0DF34992-DB71-4B1B-A660-E7789D5692DD}">
      <dsp:nvSpPr>
        <dsp:cNvPr id="0" name=""/>
        <dsp:cNvSpPr/>
      </dsp:nvSpPr>
      <dsp:spPr>
        <a:xfrm>
          <a:off x="1568547" y="96517"/>
          <a:ext cx="1079476" cy="107947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0" r="-40000"/>
          </a:stretch>
        </a:blipFill>
        <a:ln>
          <a:noFill/>
        </a:ln>
        <a:effectLst>
          <a:outerShdw blurRad="40000" dist="23000" dir="5400000" rotWithShape="0">
            <a:srgbClr val="000000">
              <a:alpha val="35000"/>
            </a:srgbClr>
          </a:outerShdw>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32FEB71D-2C58-4C00-AE12-AABB230223E2}">
      <dsp:nvSpPr>
        <dsp:cNvPr id="0" name=""/>
        <dsp:cNvSpPr/>
      </dsp:nvSpPr>
      <dsp:spPr>
        <a:xfrm>
          <a:off x="2838151" y="49956"/>
          <a:ext cx="1377105" cy="1941830"/>
        </a:xfrm>
        <a:prstGeom prst="roundRect">
          <a:avLst>
            <a:gd name="adj" fmla="val 10000"/>
          </a:avLst>
        </a:prstGeom>
        <a:solidFill>
          <a:srgbClr val="8064A2">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rgbClr val="FFFFFF"/>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altLang="zh-CN" sz="1100" kern="1200"/>
        </a:p>
        <a:p>
          <a:pPr lvl="0" algn="ctr" defTabSz="488950">
            <a:lnSpc>
              <a:spcPct val="90000"/>
            </a:lnSpc>
            <a:spcBef>
              <a:spcPct val="0"/>
            </a:spcBef>
            <a:spcAft>
              <a:spcPct val="35000"/>
            </a:spcAft>
          </a:pPr>
          <a:r>
            <a:rPr lang="zh-CN" altLang="en-US" sz="1100" kern="1200"/>
            <a:t>强化采砂管理</a:t>
          </a:r>
        </a:p>
      </dsp:txBody>
      <dsp:txXfrm>
        <a:off x="2838151" y="826688"/>
        <a:ext cx="1377105" cy="776732"/>
      </dsp:txXfrm>
    </dsp:sp>
    <dsp:sp modelId="{1CD01861-CE2F-4E4F-81C4-5FF88184E986}">
      <dsp:nvSpPr>
        <dsp:cNvPr id="0" name=""/>
        <dsp:cNvSpPr/>
      </dsp:nvSpPr>
      <dsp:spPr>
        <a:xfrm>
          <a:off x="2986966" y="96517"/>
          <a:ext cx="1079476" cy="107947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EA189933-FAEC-41DC-AA69-FC81AAEF2FC8}">
      <dsp:nvSpPr>
        <dsp:cNvPr id="0" name=""/>
        <dsp:cNvSpPr/>
      </dsp:nvSpPr>
      <dsp:spPr>
        <a:xfrm>
          <a:off x="4256570" y="49956"/>
          <a:ext cx="1377105" cy="1941830"/>
        </a:xfrm>
        <a:prstGeom prst="roundRect">
          <a:avLst>
            <a:gd name="adj" fmla="val 10000"/>
          </a:avLst>
        </a:prstGeom>
        <a:solidFill>
          <a:srgbClr val="4BACC6">
            <a:hueOff val="0"/>
            <a:satOff val="0"/>
            <a:lumOff val="0"/>
            <a:alphaOff val="0"/>
          </a:srgb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rgbClr val="FFFFFF"/>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altLang="zh-CN" sz="1100" kern="1200"/>
        </a:p>
        <a:p>
          <a:pPr lvl="0" algn="ctr" defTabSz="488950">
            <a:lnSpc>
              <a:spcPct val="90000"/>
            </a:lnSpc>
            <a:spcBef>
              <a:spcPct val="0"/>
            </a:spcBef>
            <a:spcAft>
              <a:spcPct val="35000"/>
            </a:spcAft>
          </a:pPr>
          <a:r>
            <a:rPr lang="zh-CN" altLang="en-US" sz="1100" kern="1200"/>
            <a:t>提升河湖管护水平</a:t>
          </a:r>
        </a:p>
      </dsp:txBody>
      <dsp:txXfrm>
        <a:off x="4256570" y="826688"/>
        <a:ext cx="1377105" cy="776732"/>
      </dsp:txXfrm>
    </dsp:sp>
    <dsp:sp modelId="{160C7A03-F607-46E0-A471-F7F0D3C4EF06}">
      <dsp:nvSpPr>
        <dsp:cNvPr id="0" name=""/>
        <dsp:cNvSpPr/>
      </dsp:nvSpPr>
      <dsp:spPr>
        <a:xfrm>
          <a:off x="4405385" y="96517"/>
          <a:ext cx="1079476" cy="107947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a:ln>
          <a:noFill/>
        </a:ln>
        <a:effectLst>
          <a:outerShdw blurRad="40000" dist="23000" dir="5400000" rotWithShape="0">
            <a:srgbClr val="000000">
              <a:alpha val="35000"/>
            </a:srgbClr>
          </a:outerShdw>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555019DB-5570-4DF1-BED1-B2AB84B3A806}">
      <dsp:nvSpPr>
        <dsp:cNvPr id="0" name=""/>
        <dsp:cNvSpPr/>
      </dsp:nvSpPr>
      <dsp:spPr>
        <a:xfrm>
          <a:off x="225399" y="1553464"/>
          <a:ext cx="5184190" cy="291274"/>
        </a:xfrm>
        <a:prstGeom prst="leftRightArrow">
          <a:avLst/>
        </a:prstGeom>
        <a:solidFill>
          <a:srgbClr val="E8D0D0">
            <a:tint val="40000"/>
            <a:hueOff val="0"/>
            <a:satOff val="0"/>
            <a:lumOff val="0"/>
            <a:alphaOff val="0"/>
          </a:srgbClr>
        </a:solidFill>
        <a:ln>
          <a:noFill/>
        </a:ln>
        <a:effectLst>
          <a:outerShdw blurRad="40000" dist="23000" dir="5400000" rotWithShape="0">
            <a:srgbClr val="000000">
              <a:alpha val="35000"/>
            </a:srgbClr>
          </a:outerShdw>
        </a:effectLst>
        <a:sp3d z="50080" prstMaterial="plastic">
          <a:bevelT w="50800" h="50800"/>
          <a:bevelB w="50800" h="50800"/>
        </a:sp3d>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2">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dstNode" val="node"/>
                    <dgm:param type="begSty" val="noArr"/>
                    <dgm:param type="endSty" val="noArr"/>
                    <dgm:param type="connRout" val="curve"/>
                    <dgm:param type="begPts" val="ctr"/>
                    <dgm:param type="endPts" val="ctr"/>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srcNode" val="dummyConnPt"/>
                    <dgm:param type="dstNode" val="dummyConnPt"/>
                    <dgm:param type="begSty" val="noArr"/>
                    <dgm:param type="endSty" val="noArr"/>
                    <dgm:param type="connRout" val="longCurve"/>
                    <dgm:param type="begPts" val="bCtr"/>
                    <dgm:param type="endPts" val="tCtr"/>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stBulletLvl" val="2"/>
              <dgm:param type="txAnchorHorzCh" val="ctr"/>
              <dgm:param type="txAnchorVert" val="mid"/>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rgbClr val="FFFFFF"/>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rgbClr val="FFFFFF"/>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rgbClr val="FFFFFF"/>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rgbClr val="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rgbClr val="FFFFFF"/>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rgbClr val="000000"/>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rgbClr val="000000"/>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rgbClr val="000000"/>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rgbClr val="000000"/>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rgbClr val="000000"/>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rgbClr val="000000"/>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rgbClr val="000000"/>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rgbClr val="000000"/>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rgbClr val="000000"/>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rgbClr val="000000"/>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rgbClr val="000000"/>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rgbClr val="000000"/>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3d6#1">
  <dgm:title val=""/>
  <dgm:desc val=""/>
  <dgm:catLst>
    <dgm:cat type="3D" pri="11600"/>
  </dgm:catLst>
  <dgm:scene3d>
    <a:camera prst="perspectiveRelaxedModerately" zoom="92000"/>
    <a:lightRig rig="balanced" dir="t">
      <a:rot lat="0" lon="0" rev="12700000"/>
    </a:lightRig>
  </dgm:scene3d>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rgbClr val="FFFFFF"/>
      </a:fontRef>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rgbClr val="FFFFFF"/>
      </a:fontRef>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rgbClr val="FFFFFF"/>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FFFFFF"/>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rgbClr val="000000"/>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rgbClr val="000000"/>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rgbClr val="000000"/>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rgbClr val="000000"/>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rgbClr val="FFFFFF"/>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rgbClr val="FFFFFF"/>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rgbClr val="FFFFFF"/>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rgbClr val="FFFFFF"/>
      </a:fontRef>
    </dgm:style>
  </dgm:styleLbl>
  <dgm:styleLbl name="revTx">
    <dgm:scene3d>
      <a:camera prst="orthographicFront"/>
      <a:lightRig rig="threePt" dir="t"/>
    </dgm:scene3d>
    <dgm:txPr/>
    <dgm:style>
      <a:lnRef idx="0">
        <a:scrgbClr r="0" g="0" b="0"/>
      </a:lnRef>
      <a:fillRef idx="1">
        <a:scrgbClr r="0" g="0" b="0"/>
      </a:fillRef>
      <a:effectRef idx="0">
        <a:scrgbClr r="0" g="0" b="0"/>
      </a:effectRef>
      <a:fontRef idx="minor"/>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rgbClr val="FFFFFF"/>
      </a:fontRef>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5993</Words>
  <Characters>6958</Characters>
  <Lines>428</Lines>
  <Paragraphs>120</Paragraphs>
  <TotalTime>111</TotalTime>
  <ScaleCrop>false</ScaleCrop>
  <LinksUpToDate>false</LinksUpToDate>
  <CharactersWithSpaces>7275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2022-01-02T12:41:00Z</dcterms:created>
  <dc:creator>aa</dc:creator>
  <cp:lastModifiedBy>WPS_毛鹏臣</cp:lastModifiedBy>
  <cp:lastPrinted>2021-10-12T10:44:00Z</cp:lastPrinted>
  <dcterms:modified xsi:type="dcterms:W3CDTF">2025-01-06T03:32:59Z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098A4510B216460F9FCADB46E96A9F04_13</vt:lpwstr>
  </property>
  <property fmtid="{D5CDD505-2E9C-101B-9397-08002B2CF9AE}" pid="4" name="KSOSaveFontToCloudKey">
    <vt:lpwstr>1068373502_cloud</vt:lpwstr>
  </property>
  <property fmtid="{D5CDD505-2E9C-101B-9397-08002B2CF9AE}" pid="5" name="KSOTemplateDocerSaveRecord">
    <vt:lpwstr>eyJoZGlkIjoiMGMyZDBjYTQ4Y2I0MGFkOTY2YmU1OTFjYTBhMGIyZGUiLCJ1c2VySWQiOiIyNjU3ODM5OTkifQ==</vt:lpwstr>
  </property>
</Properties>
</file>