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ascii="方正黑体_GBK" w:hAnsi="方正黑体_GBK" w:eastAsia="方正黑体_GBK" w:cs="方正黑体_GBK"/>
          <w:i w:val="0"/>
          <w:caps w:val="0"/>
          <w:color w:val="000000"/>
          <w:spacing w:val="0"/>
          <w:sz w:val="32"/>
          <w:szCs w:val="32"/>
        </w:rPr>
        <w:t>一、部门基本情况</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（一）职能职责</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ascii="方正仿宋_GBK" w:hAnsi="方正仿宋_GBK" w:eastAsia="方正仿宋_GBK" w:cs="方正仿宋_GBK"/>
          <w:i w:val="0"/>
          <w:caps w:val="0"/>
          <w:color w:val="000000"/>
          <w:spacing w:val="0"/>
          <w:kern w:val="0"/>
          <w:sz w:val="32"/>
          <w:szCs w:val="32"/>
          <w:lang w:val="en-US" w:eastAsia="zh-CN" w:bidi="ar"/>
        </w:rPr>
        <w:t>羊市镇属于财政拨款的一级预算行政单位，执行行政单位会计制度。</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（二）机构设置</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kern w:val="0"/>
          <w:sz w:val="32"/>
          <w:szCs w:val="32"/>
          <w:lang w:val="en-US" w:eastAsia="zh-CN" w:bidi="ar"/>
        </w:rPr>
        <w:t>羊市镇人民政府在岗职工36人，其中：公务员14人，事业人员12人（农业服务中心4人.社保服务中心2人.文化站2人.水管站0人.市政规划建设管理所1人.畜牧站3人.脐橙管理站0人），村官4人，三支一扶人员3人，临时人员3人，退休人员6人。</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二、部门决算情况说明</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（一）收入支出决算总体情况说明</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sz w:val="32"/>
          <w:szCs w:val="32"/>
        </w:rPr>
        <w:t>羊市镇2016年度收入总计1277.99万元，支出总计1277.99万元。与2015年决算数相比，收入减少242.18万元、下降18%，主要原因是2016年项目资金的减少，人员变动大，人员经费减少。羊市镇2016年度收入合计1277.99万元，其中：财政拨款收入1277.99万元</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sz w:val="32"/>
          <w:szCs w:val="32"/>
        </w:rPr>
        <w:t>羊市镇2016年度支出合计1277.99万元，其中：基本支出623.88万元，占49%；项目支出653.12万元，占51%。羊市镇2016年度年末结转和结余0万元。</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（二）财政拨款收入决算总体情况说明</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sz w:val="32"/>
          <w:szCs w:val="32"/>
        </w:rPr>
        <w:t>羊市镇2016年度财政拨款收入1277.99万元，较上年决算数减少242.18万元，下降18%。主要原因是2016年项目资金的减少，人员变动大，人员经费减少。</w:t>
      </w:r>
    </w:p>
    <w:p>
      <w:pPr>
        <w:pStyle w:val="2"/>
        <w:keepNext w:val="0"/>
        <w:keepLines w:val="0"/>
        <w:widowControl/>
        <w:suppressLineNumbers w:val="0"/>
        <w:spacing w:before="0" w:beforeAutospacing="1" w:after="0" w:afterAutospacing="1" w:line="600" w:lineRule="atLeast"/>
        <w:ind w:left="0" w:right="0" w:firstLine="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sz w:val="32"/>
          <w:szCs w:val="32"/>
        </w:rPr>
        <w:t>羊市镇2016年度财政拨款支出主要用于以下方面：一般公共服务支出285.72万元，与年初预算数相等。</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（三）一般公共预算财政拨款基本支出决算情况说明</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sz w:val="32"/>
          <w:szCs w:val="32"/>
        </w:rPr>
        <w:t>羊市镇2016年度一般公共财政拨款基本支出1247.99万元。其中：人员经费467.84万元，人员经费用途主要包括基本工资160.18万元、津贴26.41万元、其他工资福利37.54万元等，公用经费156.04万元，主要包括办公费32.75万元，印刷费8.34万元、电费15.95万元、邮电费14.72万元、差旅费23.53万元会议费19.68万元、培训费8.97万元、公务接待费17.6万元、工会经费2.5万元、公务用车12万元。</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三、“三公”经费情况说明</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（一）“三公”经费支出总额情况</w:t>
      </w:r>
    </w:p>
    <w:p>
      <w:pPr>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kern w:val="0"/>
          <w:sz w:val="32"/>
          <w:szCs w:val="32"/>
          <w:lang w:val="en-US" w:eastAsia="zh-CN" w:bidi="ar"/>
        </w:rPr>
        <w:t>2016年度本部门 “三公”经费支出共计29.6万元，较年初预算数相等，较上年支出数减少，主要原因：一是认真贯彻落实中央</w:t>
      </w:r>
      <w:bookmarkStart w:id="0" w:name="_GoBack"/>
      <w:bookmarkEnd w:id="0"/>
      <w:r>
        <w:rPr>
          <w:rFonts w:hint="eastAsia" w:ascii="方正仿宋_GBK" w:hAnsi="方正仿宋_GBK" w:eastAsia="方正仿宋_GBK" w:cs="方正仿宋_GBK"/>
          <w:i w:val="0"/>
          <w:caps w:val="0"/>
          <w:color w:val="000000"/>
          <w:spacing w:val="0"/>
          <w:kern w:val="0"/>
          <w:sz w:val="32"/>
          <w:szCs w:val="32"/>
          <w:lang w:val="en-US" w:eastAsia="zh-CN" w:bidi="ar"/>
        </w:rPr>
        <w:t>八项规定精神和厉行节约要求，按照只减不增的要求从严控制三公经费，全年实际支出有所下降。二是今年实施公车改革，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（二）“三公”经费分项支出情况</w:t>
      </w:r>
    </w:p>
    <w:p>
      <w:pPr>
        <w:pStyle w:val="2"/>
        <w:keepNext w:val="0"/>
        <w:keepLines w:val="0"/>
        <w:widowControl/>
        <w:suppressLineNumbers w:val="0"/>
        <w:spacing w:before="0" w:beforeAutospacing="1" w:after="0" w:afterAutospacing="1" w:line="600" w:lineRule="atLeast"/>
        <w:ind w:left="0" w:right="0" w:firstLine="640"/>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sz w:val="32"/>
          <w:szCs w:val="32"/>
        </w:rPr>
        <w:t>公务车运行维护费12万元，主要用于市内因公出行、业务检查等工作所需车辆的燃料费、维修费、过桥过路费、保险费等)，公务接待费17.6万元，主要用于接待县级部门，主管部门的业务指导，工作联系。</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四、专业名词解释</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（一）财政拨款收入：</w:t>
      </w:r>
      <w:r>
        <w:rPr>
          <w:rFonts w:hint="eastAsia" w:ascii="方正仿宋_GBK" w:hAnsi="方正仿宋_GBK" w:eastAsia="方正仿宋_GBK" w:cs="方正仿宋_GBK"/>
          <w:i w:val="0"/>
          <w:caps w:val="0"/>
          <w:color w:val="000000"/>
          <w:spacing w:val="0"/>
          <w:sz w:val="32"/>
          <w:szCs w:val="32"/>
        </w:rPr>
        <w:t>指本年度从本级财政部门取得的财政拨款，包括一般公共预算财政拨款和政府性基金预算财政拨款。</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（二）其他收入：</w:t>
      </w:r>
      <w:r>
        <w:rPr>
          <w:rFonts w:hint="eastAsia" w:ascii="方正仿宋_GBK" w:hAnsi="方正仿宋_GBK" w:eastAsia="方正仿宋_GBK" w:cs="方正仿宋_GBK"/>
          <w:i w:val="0"/>
          <w:caps w:val="0"/>
          <w:color w:val="000000"/>
          <w:spacing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（三）年初结转和结余：</w:t>
      </w:r>
      <w:r>
        <w:rPr>
          <w:rFonts w:hint="eastAsia" w:ascii="方正仿宋_GBK" w:hAnsi="方正仿宋_GBK" w:eastAsia="方正仿宋_GBK" w:cs="方正仿宋_GBK"/>
          <w:i w:val="0"/>
          <w:caps w:val="0"/>
          <w:color w:val="000000"/>
          <w:spacing w:val="0"/>
          <w:sz w:val="32"/>
          <w:szCs w:val="32"/>
        </w:rPr>
        <w:t>指单位上年结转本年使用的基本支出结转、项目支出结转和结余、经营结余。不包括事业单位净资产项下的事业基金和专用基金。</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（四）年末结转和结余：</w:t>
      </w:r>
      <w:r>
        <w:rPr>
          <w:rFonts w:hint="eastAsia" w:ascii="方正仿宋_GBK" w:hAnsi="方正仿宋_GBK" w:eastAsia="方正仿宋_GBK" w:cs="方正仿宋_GBK"/>
          <w:i w:val="0"/>
          <w:caps w:val="0"/>
          <w:color w:val="000000"/>
          <w:spacing w:val="0"/>
          <w:sz w:val="32"/>
          <w:szCs w:val="32"/>
        </w:rPr>
        <w:t>指单位结转下年的基本支出结转、项目支出结转和结余、经营结余。不包括事业单位净资产项下的事业基金和专用基金。</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（五）基本支出：</w:t>
      </w:r>
      <w:r>
        <w:rPr>
          <w:rFonts w:hint="eastAsia" w:ascii="方正仿宋_GBK" w:hAnsi="方正仿宋_GBK" w:eastAsia="方正仿宋_GBK" w:cs="方正仿宋_GBK"/>
          <w:i w:val="0"/>
          <w:caps w:val="0"/>
          <w:color w:val="000000"/>
          <w:spacing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（六）项目支出：</w:t>
      </w:r>
      <w:r>
        <w:rPr>
          <w:rFonts w:hint="eastAsia" w:ascii="方正仿宋_GBK" w:hAnsi="方正仿宋_GBK" w:eastAsia="方正仿宋_GBK" w:cs="方正仿宋_GBK"/>
          <w:i w:val="0"/>
          <w:caps w:val="0"/>
          <w:color w:val="000000"/>
          <w:spacing w:val="0"/>
          <w:sz w:val="32"/>
          <w:szCs w:val="32"/>
        </w:rPr>
        <w:t>指在基本支出之外为完成特定行政任务和事业发展目标所发生的支出。</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（七）“三公”经费：</w:t>
      </w:r>
      <w:r>
        <w:rPr>
          <w:rFonts w:hint="eastAsia" w:ascii="方正仿宋_GBK" w:hAnsi="方正仿宋_GBK" w:eastAsia="方正仿宋_GBK" w:cs="方正仿宋_GBK"/>
          <w:i w:val="0"/>
          <w:caps w:val="0"/>
          <w:color w:val="000000"/>
          <w:spacing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（八）机关运行经费：</w:t>
      </w:r>
      <w:r>
        <w:rPr>
          <w:rFonts w:hint="eastAsia" w:ascii="方正仿宋_GBK" w:hAnsi="方正仿宋_GBK" w:eastAsia="方正仿宋_GBK" w:cs="方正仿宋_GBK"/>
          <w:i w:val="0"/>
          <w:caps w:val="0"/>
          <w:color w:val="000000"/>
          <w:spacing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（九）工资福利支出（支出经济分类科目类级）：</w:t>
      </w:r>
      <w:r>
        <w:rPr>
          <w:rFonts w:hint="eastAsia" w:ascii="方正仿宋_GBK" w:hAnsi="方正仿宋_GBK" w:eastAsia="方正仿宋_GBK" w:cs="方正仿宋_GBK"/>
          <w:i w:val="0"/>
          <w:caps w:val="0"/>
          <w:color w:val="000000"/>
          <w:spacing w:val="0"/>
          <w:sz w:val="32"/>
          <w:szCs w:val="32"/>
        </w:rPr>
        <w:t>反映单位开支的在职职工和编制外长期聘用人员的各类劳动报酬，以及为上述人员缴纳的各项社会保险费等。</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（十）商品和服务支出（支出经济分类科目类级）：</w:t>
      </w:r>
      <w:r>
        <w:rPr>
          <w:rFonts w:hint="eastAsia" w:ascii="方正仿宋_GBK" w:hAnsi="方正仿宋_GBK" w:eastAsia="方正仿宋_GBK" w:cs="方正仿宋_GBK"/>
          <w:i w:val="0"/>
          <w:caps w:val="0"/>
          <w:color w:val="000000"/>
          <w:spacing w:val="0"/>
          <w:sz w:val="32"/>
          <w:szCs w:val="32"/>
        </w:rPr>
        <w:t>反映单位购买商品和服务的支出（不包括用于购置固定资产的支出、战略性和应急储备支出）。</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（十一）对个人和家庭的补助（支出经济分类科目类级）：</w:t>
      </w:r>
      <w:r>
        <w:rPr>
          <w:rFonts w:hint="eastAsia" w:ascii="方正仿宋_GBK" w:hAnsi="方正仿宋_GBK" w:eastAsia="方正仿宋_GBK" w:cs="方正仿宋_GBK"/>
          <w:i w:val="0"/>
          <w:caps w:val="0"/>
          <w:color w:val="000000"/>
          <w:spacing w:val="0"/>
          <w:sz w:val="32"/>
          <w:szCs w:val="32"/>
        </w:rPr>
        <w:t>反映用于对个人和家庭的补助支出。</w:t>
      </w:r>
    </w:p>
    <w:p>
      <w:pPr>
        <w:pStyle w:val="2"/>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sz w:val="32"/>
          <w:szCs w:val="32"/>
        </w:rPr>
        <w:t>（十二）其他资本性支出（支出经济分类科目类级）：</w:t>
      </w:r>
      <w:r>
        <w:rPr>
          <w:rFonts w:hint="eastAsia" w:ascii="方正仿宋_GBK" w:hAnsi="方正仿宋_GBK" w:eastAsia="方正仿宋_GBK" w:cs="方正仿宋_GBK"/>
          <w:i w:val="0"/>
          <w:caps w:val="0"/>
          <w:color w:val="000000"/>
          <w:spacing w:val="0"/>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i w:val="0"/>
          <w:caps w:val="0"/>
          <w:color w:val="000000"/>
          <w:spacing w:val="0"/>
          <w:sz w:val="18"/>
          <w:szCs w:val="18"/>
        </w:rPr>
      </w:pPr>
      <w:r>
        <w:rPr>
          <w:rFonts w:hint="eastAsia" w:ascii="方正黑体_GBK" w:hAnsi="方正黑体_GBK" w:eastAsia="方正黑体_GBK" w:cs="方正黑体_GBK"/>
          <w:i w:val="0"/>
          <w:caps w:val="0"/>
          <w:color w:val="000000"/>
          <w:spacing w:val="0"/>
          <w:kern w:val="0"/>
          <w:sz w:val="32"/>
          <w:szCs w:val="32"/>
          <w:lang w:val="en-US" w:eastAsia="zh-CN" w:bidi="ar"/>
        </w:rPr>
        <w:t>五、决算公开联系方式及信息反馈渠道</w:t>
      </w:r>
    </w:p>
    <w:p>
      <w:pPr>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kern w:val="0"/>
          <w:sz w:val="32"/>
          <w:szCs w:val="32"/>
          <w:lang w:val="en-US" w:eastAsia="zh-CN" w:bidi="ar"/>
        </w:rPr>
        <w:t>本单位决算公开信息反馈和联系方式：02356696196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OGQ3OTM2M2MxMDM2NjIwN2IwZTlhMjIxMGRlOWEifQ=="/>
  </w:docVars>
  <w:rsids>
    <w:rsidRoot w:val="00000000"/>
    <w:rsid w:val="3E085CFF"/>
    <w:rsid w:val="496658EE"/>
    <w:rsid w:val="4C1C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2201</Words>
  <Characters>2384</Characters>
  <Lines>0</Lines>
  <Paragraphs>0</Paragraphs>
  <TotalTime>0</TotalTime>
  <ScaleCrop>false</ScaleCrop>
  <LinksUpToDate>false</LinksUpToDate>
  <CharactersWithSpaces>2385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dcterms:modified xsi:type="dcterms:W3CDTF">2022-07-26T06:38:31Z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FD88063C69134DF6BE9417033D459E3B</vt:lpwstr>
  </property>
</Properties>
</file>