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财政衔接资金</w:t>
      </w: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公益性岗位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财政扶贫专项资金公益性岗位开发管理项目资金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304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2021年12月，收到县人社局拨付专项资金4.28万元，用于开发我镇20个扶贫公益性岗位（12-2月），全年累计通过打卡发放工资4.28万元。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开发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个扶贫公益性岗位（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12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-2月），用于村道管护、人居环境整治等。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20个扶贫公益性岗位开发，累计拨付岗位补贴4.28万元。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每月完成超过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42个小时的工作。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工资每月按时足额发放，发放率达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带动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20户贫困户增收4.28万元。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带动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20人就近就地就业。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服务对象满意率达到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99%，少数人认为周期太短。</w:t>
      </w:r>
    </w:p>
    <w:p>
      <w:pPr>
        <w:pStyle w:val="2"/>
        <w:rPr>
          <w:rFonts w:hint="eastAsia"/>
        </w:rPr>
      </w:pP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少数人认为服务周期太短，已做好政策解释和宣传。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F2E0DF"/>
    <w:multiLevelType w:val="singleLevel"/>
    <w:tmpl w:val="F3F2E0D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62A38"/>
    <w:rsid w:val="1C5C21F0"/>
    <w:rsid w:val="27B558D2"/>
    <w:rsid w:val="4A452F1E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2022-04-14T06:26:57Z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49D55BD877344C8C87DA26F373C4A7FA</vt:lpwstr>
  </property>
</Properties>
</file>