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安坪镇鲁渝协作扶贫车间示范园提升改造项目支出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奉节县财政局《关于下达2021年山东协作重庆第一批市县级援助资金计划的通知》（奉节财农[2021]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220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号），在下达资金预算时同步下达了绩效目标。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（二）部门资金安排、分解下达预算和绩效目标情况。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  <w:lang w:eastAsia="zh-CN"/>
        </w:rPr>
        <w:t>什么时间收到项目资金多少，共计到位多少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  <w:lang w:eastAsia="zh-CN"/>
        </w:rPr>
        <w:t>什么时间支付项目资金多少，共计支付多少，未支付的说明是什么原因没有支付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  <w:lang w:eastAsia="zh-CN"/>
        </w:rPr>
        <w:t>说明本单位对该项目资金是如何管理使用的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（二）总体绩效目标完成情况分析。1.调整优化扶贫车间功能设施，配置展厅、展柜等设备，用于扶贫产品展示和销售。2.完善扶贫车间配套设施。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（完成项目建设，拨付使用200万元东西协作帮扶资金，巩固拓展东西协作帮扶成果，打造鲁渝协作升级版。）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（1）数量指标。配置展厅217.91㎡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，展柜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55个，货架、产业布局沙盘、LED显示屏均为1个，食堂设施设备1套，灯箱24个。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（2）质量指标。项目验收合格率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（3）时效指标。建设按期完成率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）社会效益。受益脱贫人口（含监测帮扶对象）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58人。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可持续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效益。持续使用年限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5年以上。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3.满意度指标完成情况分析。受益群体满意度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90%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通过认真开展单位项目支出绩效目标自评，综合评分100分，评价结果为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FF"/>
          <w:spacing w:val="0"/>
          <w:sz w:val="32"/>
          <w:szCs w:val="32"/>
          <w:lang w:val="en-US" w:eastAsia="zh-CN"/>
        </w:rPr>
        <w:t>优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A87" w:usb1="00000000" w:usb2="00000000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2YTNiNTM0ODFhODI3ZjhmYjNiMThmMGU3YjQxOWYifQ=="/>
  </w:docVars>
  <w:rsids>
    <w:rsidRoot w:val="00000000"/>
    <w:rsid w:val="1D613005"/>
    <w:rsid w:val="749862D9"/>
    <w:rsid w:val="7D6C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744</Words>
  <Characters>817</Characters>
  <Lines>0</Lines>
  <Paragraphs>0</Paragraphs>
  <TotalTime>2</TotalTime>
  <ScaleCrop>false</ScaleCrop>
  <LinksUpToDate>false</LinksUpToDate>
  <CharactersWithSpaces>817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2022-03-30T02:46:00Z</dcterms:created>
  <dc:creator>user</dc:creator>
  <cp:lastModifiedBy>Administrator</cp:lastModifiedBy>
  <dcterms:modified xsi:type="dcterms:W3CDTF">2022-05-31T01:40:20Z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D1D858DF453B4E9B876DA54612B484D4</vt:lpwstr>
  </property>
</Properties>
</file>