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尘肺病生活救助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离岗后诊断为尘肺病一至四级工伤职工生活困难救助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〔2021〕251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 全年县上拨付1.2万元用于全镇1人三级尘肺病生活补助，镇上按月足额打卡发放，完成1.2万元拨付。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numId w:val="0"/>
        </w:numPr>
        <w:rPr>
          <w:rFonts w:hint="default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>全年完成1人三级尘肺病的生活补助发放，每月按时打卡，共计发放1.2万元。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1人1.2万元拨付。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每月发放及时率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社会满意度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98%。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可持续影响率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通过认真开展单位项目支出绩效目标自评，综合评分99分，评价结果为优。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部分尘肺病人因不符合条件，未享受到此项政策，有想法，下一步将大力宣传、解释。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822425"/>
    <w:multiLevelType w:val="singleLevel"/>
    <w:tmpl w:val="A98224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F04F5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2022-04-14T02:50:46Z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F6AB577B41CD4FDD83F183E52AAD5170</vt:lpwstr>
  </property>
</Properties>
</file>