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BCA" w:rsidRDefault="00024BCA" w:rsidP="00024BCA">
      <w:pPr>
        <w:spacing w:line="600" w:lineRule="exact"/>
        <w:rPr>
          <w:rFonts w:ascii="方正黑体_GBK" w:eastAsia="方正黑体_GBK" w:hAnsi="Arial" w:cs="Arial" w:hint="eastAsia"/>
          <w:sz w:val="32"/>
          <w:szCs w:val="32"/>
        </w:rPr>
      </w:pPr>
      <w:r>
        <w:rPr>
          <w:rFonts w:ascii="方正黑体_GBK" w:eastAsia="方正黑体_GBK" w:hAnsi="Arial" w:cs="Arial" w:hint="eastAsia"/>
          <w:sz w:val="32"/>
          <w:szCs w:val="32"/>
        </w:rPr>
        <w:t>附件1</w:t>
      </w:r>
    </w:p>
    <w:p w:rsidR="00024BCA" w:rsidRDefault="00024BCA" w:rsidP="00024BCA">
      <w:pPr>
        <w:adjustRightInd w:val="0"/>
        <w:snapToGrid w:val="0"/>
        <w:spacing w:line="594" w:lineRule="exact"/>
        <w:jc w:val="center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小标宋_GBK" w:eastAsia="方正小标宋_GBK" w:hAnsi="Arial" w:cs="方正小标宋_GBK" w:hint="eastAsia"/>
          <w:color w:val="333333"/>
          <w:sz w:val="44"/>
          <w:szCs w:val="44"/>
        </w:rPr>
        <w:t>大豆玉米带状复合种植技术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cs="方正黑体_GBK" w:hint="eastAsia"/>
          <w:color w:val="333333"/>
          <w:sz w:val="32"/>
          <w:szCs w:val="32"/>
        </w:rPr>
      </w:pP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一、技术概述</w:t>
      </w:r>
    </w:p>
    <w:p w:rsidR="00024BCA" w:rsidRDefault="00024BCA" w:rsidP="00024BCA">
      <w:pPr>
        <w:pStyle w:val="a5"/>
        <w:ind w:firstLineChars="200" w:firstLine="640"/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kern w:val="2"/>
          <w:sz w:val="32"/>
          <w:szCs w:val="32"/>
        </w:rPr>
        <w:t>大豆玉米是我国的大宗农产品，需求量巨大，仅靠单作难以满足需求。为提高大豆玉米间作新农艺关键技术到位率，大豆玉米带状复合种植技术历经20年，构建了“两协同、一调控”资源利用和株型调控理论，研发出“选配品种、扩间增光、缩株保密”核心技术和“减量一体化施肥、化控抗倒、绿色防控”配套技术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紧紧围绕保障国家粮食安全，确保粮食和重要农产品稳产保供，聚焦重点区域，紧盯主要品种，补齐关键短板。立足奉节县大豆玉米主产区这一优势，依托农业企业、农民专业合作社和种植大户等新型经营主体，建设一批大豆玉米带状复合种植示范片，在保证玉米产量的同时增加一季大豆的产量，从而扩大大豆种植面积。总结一批可复制、可推广、可借鉴的种植模式，带动玉米大豆大面积均衡发展，实现稳产高产、节本增效和提质增效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cs="方正黑体_GBK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二、主要技术措施</w:t>
      </w:r>
    </w:p>
    <w:p w:rsidR="00024BCA" w:rsidRDefault="00024BCA" w:rsidP="00024BCA">
      <w:pPr>
        <w:spacing w:line="540" w:lineRule="exact"/>
        <w:ind w:firstLineChars="200" w:firstLine="640"/>
        <w:rPr>
          <w:rFonts w:ascii="方正楷体_GBK" w:eastAsia="方正楷体_GBK" w:hAnsi="仿宋" w:cs="仿宋" w:hint="eastAsia"/>
          <w:bCs/>
          <w:sz w:val="32"/>
          <w:szCs w:val="32"/>
        </w:rPr>
      </w:pPr>
      <w:r>
        <w:rPr>
          <w:rFonts w:ascii="方正楷体_GBK" w:eastAsia="方正楷体_GBK" w:hAnsi="仿宋" w:cs="仿宋" w:hint="eastAsia"/>
          <w:bCs/>
          <w:sz w:val="32"/>
          <w:szCs w:val="32"/>
        </w:rPr>
        <w:t>（一）选好品种</w:t>
      </w:r>
    </w:p>
    <w:p w:rsidR="00024BCA" w:rsidRDefault="00024BCA" w:rsidP="00024BCA">
      <w:pPr>
        <w:snapToGrid w:val="0"/>
        <w:spacing w:line="540" w:lineRule="exact"/>
        <w:ind w:firstLineChars="200" w:firstLine="640"/>
        <w:rPr>
          <w:rFonts w:ascii="Times New Roman" w:eastAsia="方正仿宋_GBK" w:hAnsi="Times New Roman"/>
          <w:kern w:val="0"/>
          <w:sz w:val="32"/>
          <w:szCs w:val="32"/>
        </w:rPr>
      </w:pPr>
      <w:r>
        <w:rPr>
          <w:rFonts w:ascii="方正仿宋_GBK" w:eastAsia="方正仿宋_GBK" w:hAnsi="仿宋" w:cs="仿宋" w:hint="eastAsia"/>
          <w:kern w:val="0"/>
          <w:sz w:val="32"/>
          <w:szCs w:val="32"/>
        </w:rPr>
        <w:t>玉米品种选用植株较矮、耐密、抗倒、高产、生育期适中的紧凑型或半紧凑型品种，如渝</w:t>
      </w:r>
      <w:r>
        <w:rPr>
          <w:rFonts w:ascii="Times New Roman" w:eastAsia="方正仿宋_GBK" w:hAnsi="Times New Roman"/>
          <w:kern w:val="0"/>
          <w:sz w:val="32"/>
          <w:szCs w:val="32"/>
        </w:rPr>
        <w:t>单</w:t>
      </w:r>
      <w:r>
        <w:rPr>
          <w:rFonts w:ascii="Times New Roman" w:eastAsia="方正仿宋_GBK" w:hAnsi="Times New Roman"/>
          <w:kern w:val="0"/>
          <w:sz w:val="32"/>
          <w:szCs w:val="32"/>
        </w:rPr>
        <w:t>821</w:t>
      </w:r>
      <w:r>
        <w:rPr>
          <w:rFonts w:ascii="Times New Roman" w:eastAsia="方正仿宋_GBK" w:hAnsi="Times New Roman"/>
          <w:kern w:val="0"/>
          <w:sz w:val="32"/>
          <w:szCs w:val="32"/>
        </w:rPr>
        <w:t>、渝单</w:t>
      </w:r>
      <w:r>
        <w:rPr>
          <w:rFonts w:ascii="Times New Roman" w:eastAsia="方正仿宋_GBK" w:hAnsi="Times New Roman"/>
          <w:kern w:val="0"/>
          <w:sz w:val="32"/>
          <w:szCs w:val="32"/>
        </w:rPr>
        <w:t>59</w:t>
      </w:r>
      <w:r>
        <w:rPr>
          <w:rFonts w:ascii="Times New Roman" w:eastAsia="方正仿宋_GBK" w:hAnsi="Times New Roman"/>
          <w:kern w:val="0"/>
          <w:sz w:val="32"/>
          <w:szCs w:val="32"/>
        </w:rPr>
        <w:t>、三峡玉</w:t>
      </w:r>
      <w:r>
        <w:rPr>
          <w:rFonts w:ascii="Times New Roman" w:eastAsia="方正仿宋_GBK" w:hAnsi="Times New Roman"/>
          <w:kern w:val="0"/>
          <w:sz w:val="32"/>
          <w:szCs w:val="32"/>
        </w:rPr>
        <w:t>23</w:t>
      </w:r>
      <w:r>
        <w:rPr>
          <w:rFonts w:ascii="Times New Roman" w:eastAsia="方正仿宋_GBK" w:hAnsi="Times New Roman"/>
          <w:kern w:val="0"/>
          <w:sz w:val="32"/>
          <w:szCs w:val="32"/>
        </w:rPr>
        <w:t>、中单</w:t>
      </w:r>
      <w:r>
        <w:rPr>
          <w:rFonts w:ascii="Times New Roman" w:eastAsia="方正仿宋_GBK" w:hAnsi="Times New Roman"/>
          <w:kern w:val="0"/>
          <w:sz w:val="32"/>
          <w:szCs w:val="32"/>
        </w:rPr>
        <w:t>808</w:t>
      </w:r>
      <w:r>
        <w:rPr>
          <w:rFonts w:ascii="Times New Roman" w:eastAsia="方正仿宋_GBK" w:hAnsi="Times New Roman"/>
          <w:kern w:val="0"/>
          <w:sz w:val="32"/>
          <w:szCs w:val="32"/>
        </w:rPr>
        <w:t>、仲玉</w:t>
      </w:r>
      <w:r>
        <w:rPr>
          <w:rFonts w:ascii="Times New Roman" w:eastAsia="方正仿宋_GBK" w:hAnsi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/>
          <w:kern w:val="0"/>
          <w:sz w:val="32"/>
          <w:szCs w:val="32"/>
        </w:rPr>
        <w:t>号等，大豆品种选用耐阴、抗倒伏、耐密植的品种，如渝豆</w:t>
      </w:r>
      <w:r>
        <w:rPr>
          <w:rFonts w:ascii="Times New Roman" w:eastAsia="方正仿宋_GBK" w:hAnsi="Times New Roman"/>
          <w:kern w:val="0"/>
          <w:sz w:val="32"/>
          <w:szCs w:val="32"/>
        </w:rPr>
        <w:t>11</w:t>
      </w:r>
      <w:r>
        <w:rPr>
          <w:rFonts w:ascii="Times New Roman" w:eastAsia="方正仿宋_GBK" w:hAnsi="Times New Roman"/>
          <w:kern w:val="0"/>
          <w:sz w:val="32"/>
          <w:szCs w:val="32"/>
        </w:rPr>
        <w:t>、渝豆</w:t>
      </w:r>
      <w:r>
        <w:rPr>
          <w:rFonts w:ascii="Times New Roman" w:eastAsia="方正仿宋_GBK" w:hAnsi="Times New Roman"/>
          <w:kern w:val="0"/>
          <w:sz w:val="32"/>
          <w:szCs w:val="32"/>
        </w:rPr>
        <w:t>3</w:t>
      </w:r>
      <w:r>
        <w:rPr>
          <w:rFonts w:ascii="Times New Roman" w:eastAsia="方正仿宋_GBK" w:hAnsi="Times New Roman"/>
          <w:kern w:val="0"/>
          <w:sz w:val="32"/>
          <w:szCs w:val="32"/>
        </w:rPr>
        <w:t>号、南豆</w:t>
      </w:r>
      <w:r>
        <w:rPr>
          <w:rFonts w:ascii="Times New Roman" w:eastAsia="方正仿宋_GBK" w:hAnsi="Times New Roman"/>
          <w:kern w:val="0"/>
          <w:sz w:val="32"/>
          <w:szCs w:val="32"/>
        </w:rPr>
        <w:t>12</w:t>
      </w:r>
      <w:r>
        <w:rPr>
          <w:rFonts w:ascii="Times New Roman" w:eastAsia="方正仿宋_GBK" w:hAnsi="Times New Roman"/>
          <w:kern w:val="0"/>
          <w:sz w:val="32"/>
          <w:szCs w:val="32"/>
        </w:rPr>
        <w:t>、南夏豆</w:t>
      </w:r>
      <w:r>
        <w:rPr>
          <w:rFonts w:ascii="Times New Roman" w:eastAsia="方正仿宋_GBK" w:hAnsi="Times New Roman"/>
          <w:kern w:val="0"/>
          <w:sz w:val="32"/>
          <w:szCs w:val="32"/>
        </w:rPr>
        <w:t>25</w:t>
      </w:r>
      <w:r>
        <w:rPr>
          <w:rFonts w:ascii="Times New Roman" w:eastAsia="方正仿宋_GBK" w:hAnsi="Times New Roman"/>
          <w:kern w:val="0"/>
          <w:sz w:val="32"/>
          <w:szCs w:val="32"/>
        </w:rPr>
        <w:t>、</w:t>
      </w:r>
      <w:r>
        <w:rPr>
          <w:rFonts w:ascii="Times New Roman" w:eastAsia="方正仿宋_GBK" w:hAnsi="Times New Roman"/>
          <w:kern w:val="0"/>
          <w:sz w:val="32"/>
          <w:szCs w:val="32"/>
        </w:rPr>
        <w:lastRenderedPageBreak/>
        <w:t>万鲜</w:t>
      </w:r>
      <w:r>
        <w:rPr>
          <w:rFonts w:ascii="Times New Roman" w:eastAsia="方正仿宋_GBK" w:hAnsi="Times New Roman"/>
          <w:kern w:val="0"/>
          <w:sz w:val="32"/>
          <w:szCs w:val="32"/>
        </w:rPr>
        <w:t>1</w:t>
      </w:r>
      <w:r>
        <w:rPr>
          <w:rFonts w:ascii="Times New Roman" w:eastAsia="方正仿宋_GBK" w:hAnsi="Times New Roman"/>
          <w:kern w:val="0"/>
          <w:sz w:val="32"/>
          <w:szCs w:val="32"/>
        </w:rPr>
        <w:t>号（鲜食）等，以及历年来表现优秀的自留种。中高海拔尽量选择春大豆品种。玉米亩用种量</w:t>
      </w:r>
      <w:r>
        <w:rPr>
          <w:rFonts w:ascii="Times New Roman" w:eastAsia="方正仿宋_GBK" w:hAnsi="Times New Roman"/>
          <w:kern w:val="0"/>
          <w:sz w:val="32"/>
          <w:szCs w:val="32"/>
        </w:rPr>
        <w:t>1-1.25</w:t>
      </w:r>
      <w:r>
        <w:rPr>
          <w:rFonts w:ascii="Times New Roman" w:eastAsia="方正仿宋_GBK" w:hAnsi="Times New Roman"/>
          <w:kern w:val="0"/>
          <w:sz w:val="32"/>
          <w:szCs w:val="32"/>
        </w:rPr>
        <w:t>公斤、大豆亩用种量为</w:t>
      </w:r>
      <w:r>
        <w:rPr>
          <w:rFonts w:ascii="Times New Roman" w:eastAsia="方正仿宋_GBK" w:hAnsi="Times New Roman"/>
          <w:kern w:val="0"/>
          <w:sz w:val="32"/>
          <w:szCs w:val="32"/>
        </w:rPr>
        <w:t>5-6</w:t>
      </w:r>
      <w:r>
        <w:rPr>
          <w:rFonts w:ascii="Times New Roman" w:eastAsia="方正仿宋_GBK" w:hAnsi="Times New Roman"/>
          <w:kern w:val="0"/>
          <w:sz w:val="32"/>
          <w:szCs w:val="32"/>
        </w:rPr>
        <w:t>公斤。</w:t>
      </w:r>
    </w:p>
    <w:p w:rsidR="00024BCA" w:rsidRDefault="00024BCA" w:rsidP="00024BCA">
      <w:pPr>
        <w:spacing w:line="540" w:lineRule="exact"/>
        <w:ind w:firstLineChars="200" w:firstLine="640"/>
        <w:jc w:val="left"/>
        <w:rPr>
          <w:rFonts w:ascii="方正楷体_GBK" w:eastAsia="方正楷体_GBK" w:hAnsi="仿宋" w:cs="仿宋" w:hint="eastAsia"/>
          <w:sz w:val="32"/>
          <w:szCs w:val="32"/>
        </w:rPr>
      </w:pPr>
      <w:r>
        <w:rPr>
          <w:rFonts w:ascii="方正楷体_GBK" w:eastAsia="方正楷体_GBK" w:hAnsi="仿宋" w:cs="仿宋" w:hint="eastAsia"/>
          <w:sz w:val="32"/>
          <w:szCs w:val="32"/>
        </w:rPr>
        <w:t>（二）明确耕制</w:t>
      </w:r>
    </w:p>
    <w:p w:rsidR="00024BCA" w:rsidRDefault="00024BCA" w:rsidP="00024BCA">
      <w:pPr>
        <w:spacing w:line="540" w:lineRule="exact"/>
        <w:ind w:firstLineChars="200" w:firstLine="640"/>
        <w:jc w:val="left"/>
        <w:rPr>
          <w:rFonts w:ascii="方正仿宋_GBK" w:eastAsia="方正仿宋_GBK" w:hAnsi="仿宋" w:cs="仿宋" w:hint="eastAsia"/>
          <w:bCs/>
          <w:sz w:val="32"/>
          <w:szCs w:val="32"/>
        </w:rPr>
      </w:pPr>
      <w:r>
        <w:rPr>
          <w:rFonts w:ascii="方正仿宋_GBK" w:eastAsia="方正仿宋_GBK" w:hAnsi="仿宋" w:cs="仿宋" w:hint="eastAsia"/>
          <w:bCs/>
          <w:sz w:val="32"/>
          <w:szCs w:val="32"/>
        </w:rPr>
        <w:t>可采用籽粒玉米、鲜食玉米、青贮玉米与籽粒大豆、鲜食大豆搭配。套作耕制指玉米与大豆的共生期小于全生育期的一半，可选择鲜食玉米</w:t>
      </w:r>
      <w:r>
        <w:rPr>
          <w:rFonts w:ascii="Times New Roman" w:eastAsia="方正仿宋_GBK" w:hAnsi="Times New Roman"/>
          <w:bCs/>
          <w:sz w:val="32"/>
          <w:szCs w:val="32"/>
        </w:rPr>
        <w:t>在</w:t>
      </w:r>
      <w:r>
        <w:rPr>
          <w:rFonts w:ascii="Times New Roman" w:eastAsia="方正仿宋_GBK" w:hAnsi="Times New Roman"/>
          <w:bCs/>
          <w:sz w:val="32"/>
          <w:szCs w:val="32"/>
        </w:rPr>
        <w:t>2</w:t>
      </w:r>
      <w:r>
        <w:rPr>
          <w:rFonts w:ascii="Times New Roman" w:eastAsia="方正仿宋_GBK" w:hAnsi="Times New Roman"/>
          <w:bCs/>
          <w:sz w:val="32"/>
          <w:szCs w:val="32"/>
        </w:rPr>
        <w:t>月下旬播种</w:t>
      </w:r>
      <w:r>
        <w:rPr>
          <w:rFonts w:ascii="Times New Roman" w:eastAsia="方正仿宋_GBK" w:hAnsi="Times New Roman"/>
          <w:bCs/>
          <w:sz w:val="32"/>
          <w:szCs w:val="32"/>
        </w:rPr>
        <w:t>3</w:t>
      </w:r>
      <w:r>
        <w:rPr>
          <w:rFonts w:ascii="Times New Roman" w:eastAsia="方正仿宋_GBK" w:hAnsi="Times New Roman"/>
          <w:bCs/>
          <w:sz w:val="32"/>
          <w:szCs w:val="32"/>
        </w:rPr>
        <w:t>月移栽、籽粒春大豆在</w:t>
      </w:r>
      <w:r>
        <w:rPr>
          <w:rFonts w:ascii="Times New Roman" w:eastAsia="方正仿宋_GBK" w:hAnsi="Times New Roman"/>
          <w:bCs/>
          <w:sz w:val="32"/>
          <w:szCs w:val="32"/>
        </w:rPr>
        <w:t>4</w:t>
      </w:r>
      <w:r>
        <w:rPr>
          <w:rFonts w:ascii="Times New Roman" w:eastAsia="方正仿宋_GBK" w:hAnsi="Times New Roman"/>
          <w:bCs/>
          <w:sz w:val="32"/>
          <w:szCs w:val="32"/>
        </w:rPr>
        <w:t>月中下旬播种；低海拔也可选择籽粒玉米在</w:t>
      </w:r>
      <w:r>
        <w:rPr>
          <w:rFonts w:ascii="Times New Roman" w:eastAsia="方正仿宋_GBK" w:hAnsi="Times New Roman"/>
          <w:bCs/>
          <w:sz w:val="32"/>
          <w:szCs w:val="32"/>
        </w:rPr>
        <w:t>3</w:t>
      </w:r>
      <w:r>
        <w:rPr>
          <w:rFonts w:ascii="Times New Roman" w:eastAsia="方正仿宋_GBK" w:hAnsi="Times New Roman"/>
          <w:bCs/>
          <w:sz w:val="32"/>
          <w:szCs w:val="32"/>
        </w:rPr>
        <w:t>月中上旬播种、籽粒夏大豆在</w:t>
      </w:r>
      <w:r>
        <w:rPr>
          <w:rFonts w:ascii="Times New Roman" w:eastAsia="方正仿宋_GBK" w:hAnsi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/>
          <w:bCs/>
          <w:sz w:val="32"/>
          <w:szCs w:val="32"/>
        </w:rPr>
        <w:t>月下旬至</w:t>
      </w:r>
      <w:r>
        <w:rPr>
          <w:rFonts w:ascii="Times New Roman" w:eastAsia="方正仿宋_GBK" w:hAnsi="Times New Roman"/>
          <w:bCs/>
          <w:sz w:val="32"/>
          <w:szCs w:val="32"/>
        </w:rPr>
        <w:t>6</w:t>
      </w:r>
      <w:r>
        <w:rPr>
          <w:rFonts w:ascii="Times New Roman" w:eastAsia="方正仿宋_GBK" w:hAnsi="Times New Roman"/>
          <w:bCs/>
          <w:sz w:val="32"/>
          <w:szCs w:val="32"/>
        </w:rPr>
        <w:t>月中旬播种。间作耕制指玉米与大豆的共生期大于全生育期的一半，在</w:t>
      </w:r>
      <w:r>
        <w:rPr>
          <w:rFonts w:ascii="Times New Roman" w:eastAsia="方正仿宋_GBK" w:hAnsi="Times New Roman"/>
          <w:bCs/>
          <w:sz w:val="32"/>
          <w:szCs w:val="32"/>
        </w:rPr>
        <w:t>4</w:t>
      </w:r>
      <w:r>
        <w:rPr>
          <w:rFonts w:ascii="Times New Roman" w:eastAsia="方正仿宋_GBK" w:hAnsi="Times New Roman"/>
          <w:bCs/>
          <w:sz w:val="32"/>
          <w:szCs w:val="32"/>
        </w:rPr>
        <w:t>月上中旬春大豆和春玉米同时播栽；或</w:t>
      </w:r>
      <w:r>
        <w:rPr>
          <w:rFonts w:ascii="Times New Roman" w:eastAsia="方正仿宋_GBK" w:hAnsi="Times New Roman"/>
          <w:bCs/>
          <w:sz w:val="32"/>
          <w:szCs w:val="32"/>
        </w:rPr>
        <w:t>5</w:t>
      </w:r>
      <w:r>
        <w:rPr>
          <w:rFonts w:ascii="Times New Roman" w:eastAsia="方正仿宋_GBK" w:hAnsi="Times New Roman"/>
          <w:bCs/>
          <w:sz w:val="32"/>
          <w:szCs w:val="32"/>
        </w:rPr>
        <w:t>月底至</w:t>
      </w:r>
      <w:r>
        <w:rPr>
          <w:rFonts w:ascii="Times New Roman" w:eastAsia="方正仿宋_GBK" w:hAnsi="Times New Roman"/>
          <w:bCs/>
          <w:sz w:val="32"/>
          <w:szCs w:val="32"/>
        </w:rPr>
        <w:t>6</w:t>
      </w:r>
      <w:r>
        <w:rPr>
          <w:rFonts w:ascii="Times New Roman" w:eastAsia="方正仿宋_GBK" w:hAnsi="Times New Roman"/>
          <w:bCs/>
          <w:sz w:val="32"/>
          <w:szCs w:val="32"/>
        </w:rPr>
        <w:t>月初夏大豆和夏玉米同时播</w:t>
      </w:r>
      <w:r>
        <w:rPr>
          <w:rFonts w:ascii="方正仿宋_GBK" w:eastAsia="方正仿宋_GBK" w:hAnsi="仿宋" w:cs="仿宋" w:hint="eastAsia"/>
          <w:bCs/>
          <w:sz w:val="32"/>
          <w:szCs w:val="32"/>
        </w:rPr>
        <w:t>栽。</w:t>
      </w:r>
    </w:p>
    <w:p w:rsidR="00024BCA" w:rsidRDefault="00024BCA" w:rsidP="00024BCA">
      <w:pPr>
        <w:spacing w:line="540" w:lineRule="exact"/>
        <w:ind w:firstLineChars="200" w:firstLine="640"/>
        <w:jc w:val="left"/>
        <w:rPr>
          <w:rFonts w:ascii="方正楷体_GBK" w:eastAsia="方正楷体_GBK" w:hAnsi="仿宋" w:cs="仿宋" w:hint="eastAsia"/>
          <w:sz w:val="32"/>
          <w:szCs w:val="32"/>
        </w:rPr>
      </w:pPr>
      <w:r>
        <w:rPr>
          <w:rFonts w:ascii="方正楷体_GBK" w:eastAsia="方正楷体_GBK" w:hAnsi="仿宋" w:cs="仿宋" w:hint="eastAsia"/>
          <w:sz w:val="32"/>
          <w:szCs w:val="32"/>
        </w:rPr>
        <w:t>（三）规范带植</w:t>
      </w:r>
    </w:p>
    <w:p w:rsidR="00024BCA" w:rsidRDefault="00024BCA" w:rsidP="00024BCA">
      <w:pPr>
        <w:spacing w:line="540" w:lineRule="exact"/>
        <w:ind w:firstLine="570"/>
        <w:rPr>
          <w:rFonts w:ascii="Times New Roman" w:eastAsia="方正仿宋_GBK" w:hAnsi="Times New Roman"/>
          <w:sz w:val="32"/>
          <w:szCs w:val="32"/>
        </w:rPr>
      </w:pPr>
      <w:r>
        <w:rPr>
          <w:rFonts w:ascii="方正仿宋_GBK" w:eastAsia="方正仿宋_GBK" w:hAnsi="仿宋" w:cs="仿宋" w:hint="eastAsia"/>
          <w:sz w:val="32"/>
          <w:szCs w:val="32"/>
        </w:rPr>
        <w:t>套作：</w:t>
      </w: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行玉米</w:t>
      </w:r>
      <w:r>
        <w:rPr>
          <w:rFonts w:ascii="Times New Roman" w:eastAsia="方正仿宋_GBK" w:hAnsi="Times New Roman"/>
          <w:sz w:val="32"/>
          <w:szCs w:val="32"/>
        </w:rPr>
        <w:t>∶3</w:t>
      </w:r>
      <w:r>
        <w:rPr>
          <w:rFonts w:ascii="Times New Roman" w:eastAsia="方正仿宋_GBK" w:hAnsi="Times New Roman"/>
          <w:sz w:val="32"/>
          <w:szCs w:val="32"/>
        </w:rPr>
        <w:t>行大豆，玉米带宽</w:t>
      </w:r>
      <w:r>
        <w:rPr>
          <w:rFonts w:ascii="Times New Roman" w:eastAsia="方正仿宋_GBK" w:hAnsi="Times New Roman"/>
          <w:sz w:val="32"/>
          <w:szCs w:val="32"/>
        </w:rPr>
        <w:t>40</w:t>
      </w:r>
      <w:r>
        <w:rPr>
          <w:rFonts w:ascii="Times New Roman" w:eastAsia="方正仿宋_GBK" w:hAnsi="Times New Roman"/>
          <w:sz w:val="32"/>
          <w:szCs w:val="32"/>
        </w:rPr>
        <w:t>厘米，大豆带宽</w:t>
      </w:r>
      <w:r>
        <w:rPr>
          <w:rFonts w:ascii="Times New Roman" w:eastAsia="方正仿宋_GBK" w:hAnsi="Times New Roman"/>
          <w:sz w:val="32"/>
          <w:szCs w:val="32"/>
        </w:rPr>
        <w:t>60—70</w:t>
      </w:r>
      <w:r>
        <w:rPr>
          <w:rFonts w:ascii="Times New Roman" w:eastAsia="方正仿宋_GBK" w:hAnsi="Times New Roman"/>
          <w:sz w:val="32"/>
          <w:szCs w:val="32"/>
        </w:rPr>
        <w:t>厘米（带内种</w:t>
      </w:r>
      <w:r>
        <w:rPr>
          <w:rFonts w:ascii="Times New Roman" w:eastAsia="方正仿宋_GBK" w:hAnsi="Times New Roman"/>
          <w:sz w:val="32"/>
          <w:szCs w:val="32"/>
        </w:rPr>
        <w:t>3</w:t>
      </w:r>
      <w:r>
        <w:rPr>
          <w:rFonts w:ascii="Times New Roman" w:eastAsia="方正仿宋_GBK" w:hAnsi="Times New Roman"/>
          <w:sz w:val="32"/>
          <w:szCs w:val="32"/>
        </w:rPr>
        <w:t>行，行距</w:t>
      </w:r>
      <w:r>
        <w:rPr>
          <w:rFonts w:ascii="Times New Roman" w:eastAsia="方正仿宋_GBK" w:hAnsi="Times New Roman"/>
          <w:sz w:val="32"/>
          <w:szCs w:val="32"/>
        </w:rPr>
        <w:t>30—35</w:t>
      </w:r>
      <w:r>
        <w:rPr>
          <w:rFonts w:ascii="Times New Roman" w:eastAsia="方正仿宋_GBK" w:hAnsi="Times New Roman"/>
          <w:sz w:val="32"/>
          <w:szCs w:val="32"/>
        </w:rPr>
        <w:t>厘米），玉米带与大豆带间距</w:t>
      </w:r>
      <w:r>
        <w:rPr>
          <w:rFonts w:ascii="Times New Roman" w:eastAsia="方正仿宋_GBK" w:hAnsi="Times New Roman"/>
          <w:sz w:val="32"/>
          <w:szCs w:val="32"/>
        </w:rPr>
        <w:t>60—70</w:t>
      </w:r>
      <w:r>
        <w:rPr>
          <w:rFonts w:ascii="Times New Roman" w:eastAsia="方正仿宋_GBK" w:hAnsi="Times New Roman"/>
          <w:sz w:val="32"/>
          <w:szCs w:val="32"/>
        </w:rPr>
        <w:t>厘米（如为玉米机收则为</w:t>
      </w:r>
      <w:r>
        <w:rPr>
          <w:rFonts w:ascii="Times New Roman" w:eastAsia="方正仿宋_GBK" w:hAnsi="Times New Roman"/>
          <w:sz w:val="32"/>
          <w:szCs w:val="32"/>
        </w:rPr>
        <w:t>70</w:t>
      </w:r>
      <w:r>
        <w:rPr>
          <w:rFonts w:ascii="Times New Roman" w:eastAsia="方正仿宋_GBK" w:hAnsi="Times New Roman"/>
          <w:sz w:val="32"/>
          <w:szCs w:val="32"/>
        </w:rPr>
        <w:t>厘米）。机播玉米株距</w:t>
      </w:r>
      <w:r>
        <w:rPr>
          <w:rFonts w:ascii="Times New Roman" w:eastAsia="方正仿宋_GBK" w:hAnsi="Times New Roman"/>
          <w:sz w:val="32"/>
          <w:szCs w:val="32"/>
        </w:rPr>
        <w:t>20cm</w:t>
      </w:r>
      <w:r>
        <w:rPr>
          <w:rFonts w:ascii="Times New Roman" w:eastAsia="方正仿宋_GBK" w:hAnsi="Times New Roman"/>
          <w:sz w:val="32"/>
          <w:szCs w:val="32"/>
        </w:rPr>
        <w:t>、大豆株距</w:t>
      </w:r>
      <w:r>
        <w:rPr>
          <w:rFonts w:ascii="Times New Roman" w:eastAsia="方正仿宋_GBK" w:hAnsi="Times New Roman"/>
          <w:sz w:val="32"/>
          <w:szCs w:val="32"/>
        </w:rPr>
        <w:t>9—10cm</w:t>
      </w:r>
      <w:r>
        <w:rPr>
          <w:rFonts w:ascii="Times New Roman" w:eastAsia="方正仿宋_GBK" w:hAnsi="Times New Roman"/>
          <w:sz w:val="32"/>
          <w:szCs w:val="32"/>
        </w:rPr>
        <w:t>，玉米单粒穴播，大豆双粒穴播，穴留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株；人工点播一穴留双株，穴距增加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倍；玉米密度</w:t>
      </w:r>
      <w:r>
        <w:rPr>
          <w:rFonts w:ascii="Times New Roman" w:eastAsia="方正仿宋_GBK" w:hAnsi="Times New Roman"/>
          <w:sz w:val="32"/>
          <w:szCs w:val="32"/>
        </w:rPr>
        <w:t>3000</w:t>
      </w:r>
      <w:r>
        <w:rPr>
          <w:rFonts w:ascii="Times New Roman" w:eastAsia="方正仿宋_GBK" w:hAnsi="Times New Roman"/>
          <w:sz w:val="32"/>
          <w:szCs w:val="32"/>
        </w:rPr>
        <w:t>株左右、大豆密度</w:t>
      </w:r>
      <w:r>
        <w:rPr>
          <w:rFonts w:ascii="Times New Roman" w:eastAsia="方正仿宋_GBK" w:hAnsi="Times New Roman"/>
          <w:sz w:val="32"/>
          <w:szCs w:val="32"/>
        </w:rPr>
        <w:t>8300—9300</w:t>
      </w:r>
      <w:r>
        <w:rPr>
          <w:rFonts w:ascii="Times New Roman" w:eastAsia="方正仿宋_GBK" w:hAnsi="Times New Roman"/>
          <w:sz w:val="32"/>
          <w:szCs w:val="32"/>
        </w:rPr>
        <w:t>株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亩。</w:t>
      </w:r>
    </w:p>
    <w:p w:rsidR="00024BCA" w:rsidRDefault="00024BCA" w:rsidP="00024BCA">
      <w:pPr>
        <w:jc w:val="center"/>
        <w:rPr>
          <w:rFonts w:ascii="方正仿宋_GBK" w:eastAsia="方正仿宋_GBK" w:hAnsi="仿宋" w:cs="仿宋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7" o:spid="_x0000_s1026" type="#_x0000_t202" style="position:absolute;left:0;text-align:left;margin-left:347.6pt;margin-top:203.85pt;width:89.2pt;height:57.8pt;z-index:251660288" o:gfxdata="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wbfXRNsAAAALAQAADwAAAAAAAAAB&#10;ACAAAAAiAAAAZHJzL2Rvd25yZXYueG1sUEsBAhQAFAAAAAgAh07iQFqbLJgNAgAANgQAAA4AAAAA&#10;AAAAAQAgAAAAKgEAAGRycy9lMm9Eb2MueG1sUEsFBgAAAAAGAAYAWQEAAKkFAAAAAA==&#10;">
            <v:textbox>
              <w:txbxContent>
                <w:p w:rsidR="00024BCA" w:rsidRDefault="00024BCA" w:rsidP="00024BCA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以一穴单株为例：</w:t>
                  </w:r>
                </w:p>
                <w:p w:rsidR="00024BCA" w:rsidRDefault="00024BCA" w:rsidP="00024BCA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玉米密度：</w:t>
                  </w:r>
                  <w:r>
                    <w:rPr>
                      <w:sz w:val="15"/>
                      <w:szCs w:val="15"/>
                    </w:rPr>
                    <w:t>3</w:t>
                  </w:r>
                  <w:r>
                    <w:rPr>
                      <w:rFonts w:hint="eastAsia"/>
                      <w:sz w:val="15"/>
                      <w:szCs w:val="15"/>
                    </w:rPr>
                    <w:t>0</w:t>
                  </w:r>
                  <w:r>
                    <w:rPr>
                      <w:sz w:val="15"/>
                      <w:szCs w:val="15"/>
                    </w:rPr>
                    <w:t>00</w:t>
                  </w:r>
                  <w:r>
                    <w:rPr>
                      <w:rFonts w:hint="eastAsia"/>
                      <w:sz w:val="15"/>
                      <w:szCs w:val="15"/>
                    </w:rPr>
                    <w:t>株</w:t>
                  </w:r>
                  <w:r>
                    <w:rPr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亩</w:t>
                  </w:r>
                </w:p>
                <w:p w:rsidR="00024BCA" w:rsidRDefault="00024BCA" w:rsidP="00024BCA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大豆密度：</w:t>
                  </w:r>
                  <w:r>
                    <w:rPr>
                      <w:sz w:val="15"/>
                      <w:szCs w:val="15"/>
                    </w:rPr>
                    <w:t>8300</w:t>
                  </w:r>
                  <w:r>
                    <w:rPr>
                      <w:rFonts w:hint="eastAsia"/>
                      <w:sz w:val="15"/>
                      <w:szCs w:val="15"/>
                    </w:rPr>
                    <w:t>株</w:t>
                  </w:r>
                  <w:r>
                    <w:rPr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亩</w:t>
                  </w:r>
                </w:p>
              </w:txbxContent>
            </v:textbox>
          </v:shape>
        </w:pict>
      </w:r>
      <w:r>
        <w:rPr>
          <w:rFonts w:ascii="方正仿宋_GBK" w:eastAsia="方正仿宋_GBK" w:hAnsi="仿宋" w:cs="仿宋" w:hint="eastAsia"/>
          <w:noProof/>
          <w:sz w:val="32"/>
          <w:szCs w:val="32"/>
        </w:rPr>
        <w:drawing>
          <wp:inline distT="0" distB="0" distL="0" distR="0">
            <wp:extent cx="5124450" cy="3133725"/>
            <wp:effectExtent l="19050" t="0" r="0" b="0"/>
            <wp:docPr id="1" name="图片 1" descr="QQ截图2022021510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QQ截图202202151054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33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CA" w:rsidRDefault="00024BCA" w:rsidP="00024BCA">
      <w:pPr>
        <w:spacing w:line="560" w:lineRule="exact"/>
        <w:ind w:firstLine="573"/>
        <w:rPr>
          <w:rFonts w:ascii="Times New Roman" w:eastAsia="方正仿宋_GBK" w:hAnsi="Times New Roman"/>
          <w:sz w:val="32"/>
          <w:szCs w:val="32"/>
        </w:rPr>
      </w:pPr>
      <w:r>
        <w:rPr>
          <w:rFonts w:ascii="方正仿宋_GBK" w:eastAsia="方正仿宋_GBK" w:hAnsi="仿宋" w:cs="仿宋" w:hint="eastAsia"/>
          <w:sz w:val="32"/>
          <w:szCs w:val="32"/>
        </w:rPr>
        <w:t>间作：</w:t>
      </w: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行玉米</w:t>
      </w:r>
      <w:r>
        <w:rPr>
          <w:rFonts w:ascii="Times New Roman" w:eastAsia="方正仿宋_GBK" w:hAnsi="Times New Roman"/>
          <w:sz w:val="32"/>
          <w:szCs w:val="32"/>
        </w:rPr>
        <w:t>∶4</w:t>
      </w:r>
      <w:r>
        <w:rPr>
          <w:rFonts w:ascii="Times New Roman" w:eastAsia="方正仿宋_GBK" w:hAnsi="Times New Roman"/>
          <w:sz w:val="32"/>
          <w:szCs w:val="32"/>
        </w:rPr>
        <w:t>行大豆，玉米带宽</w:t>
      </w:r>
      <w:r>
        <w:rPr>
          <w:rFonts w:ascii="Times New Roman" w:eastAsia="方正仿宋_GBK" w:hAnsi="Times New Roman"/>
          <w:sz w:val="32"/>
          <w:szCs w:val="32"/>
        </w:rPr>
        <w:t>40</w:t>
      </w:r>
      <w:r>
        <w:rPr>
          <w:rFonts w:ascii="Times New Roman" w:eastAsia="方正仿宋_GBK" w:hAnsi="Times New Roman"/>
          <w:sz w:val="32"/>
          <w:szCs w:val="32"/>
        </w:rPr>
        <w:t>厘米，大豆带宽</w:t>
      </w:r>
      <w:r>
        <w:rPr>
          <w:rFonts w:ascii="Times New Roman" w:eastAsia="方正仿宋_GBK" w:hAnsi="Times New Roman"/>
          <w:sz w:val="32"/>
          <w:szCs w:val="32"/>
        </w:rPr>
        <w:t>90—110</w:t>
      </w:r>
      <w:r>
        <w:rPr>
          <w:rFonts w:ascii="Times New Roman" w:eastAsia="方正仿宋_GBK" w:hAnsi="Times New Roman"/>
          <w:sz w:val="32"/>
          <w:szCs w:val="32"/>
        </w:rPr>
        <w:t>厘米（带内种</w:t>
      </w:r>
      <w:r>
        <w:rPr>
          <w:rFonts w:ascii="Times New Roman" w:eastAsia="方正仿宋_GBK" w:hAnsi="Times New Roman"/>
          <w:sz w:val="32"/>
          <w:szCs w:val="32"/>
        </w:rPr>
        <w:t>4</w:t>
      </w:r>
      <w:r>
        <w:rPr>
          <w:rFonts w:ascii="Times New Roman" w:eastAsia="方正仿宋_GBK" w:hAnsi="Times New Roman"/>
          <w:sz w:val="32"/>
          <w:szCs w:val="32"/>
        </w:rPr>
        <w:t>行，根据播种机单体间距调整为</w:t>
      </w:r>
      <w:r>
        <w:rPr>
          <w:rFonts w:ascii="Times New Roman" w:eastAsia="方正仿宋_GBK" w:hAnsi="Times New Roman"/>
          <w:sz w:val="32"/>
          <w:szCs w:val="32"/>
        </w:rPr>
        <w:t>30—40</w:t>
      </w:r>
      <w:r>
        <w:rPr>
          <w:rFonts w:ascii="Times New Roman" w:eastAsia="方正仿宋_GBK" w:hAnsi="Times New Roman"/>
          <w:sz w:val="32"/>
          <w:szCs w:val="32"/>
        </w:rPr>
        <w:t>厘米），玉米带与大豆带间距</w:t>
      </w:r>
      <w:r>
        <w:rPr>
          <w:rFonts w:ascii="Times New Roman" w:eastAsia="方正仿宋_GBK" w:hAnsi="Times New Roman"/>
          <w:sz w:val="32"/>
          <w:szCs w:val="32"/>
        </w:rPr>
        <w:t>70</w:t>
      </w:r>
      <w:r>
        <w:rPr>
          <w:rFonts w:ascii="Times New Roman" w:eastAsia="方正仿宋_GBK" w:hAnsi="Times New Roman"/>
          <w:sz w:val="32"/>
          <w:szCs w:val="32"/>
        </w:rPr>
        <w:t>厘米；机播玉米株距</w:t>
      </w:r>
      <w:r>
        <w:rPr>
          <w:rFonts w:ascii="Times New Roman" w:eastAsia="方正仿宋_GBK" w:hAnsi="Times New Roman"/>
          <w:sz w:val="32"/>
          <w:szCs w:val="32"/>
        </w:rPr>
        <w:t>16cm</w:t>
      </w:r>
      <w:r>
        <w:rPr>
          <w:rFonts w:ascii="Times New Roman" w:eastAsia="方正仿宋_GBK" w:hAnsi="Times New Roman"/>
          <w:sz w:val="32"/>
          <w:szCs w:val="32"/>
        </w:rPr>
        <w:t>、大豆株距</w:t>
      </w:r>
      <w:r>
        <w:rPr>
          <w:rFonts w:ascii="Times New Roman" w:eastAsia="方正仿宋_GBK" w:hAnsi="Times New Roman"/>
          <w:sz w:val="32"/>
          <w:szCs w:val="32"/>
        </w:rPr>
        <w:t>10—11cm</w:t>
      </w:r>
      <w:r>
        <w:rPr>
          <w:rFonts w:ascii="Times New Roman" w:eastAsia="方正仿宋_GBK" w:hAnsi="Times New Roman"/>
          <w:sz w:val="32"/>
          <w:szCs w:val="32"/>
        </w:rPr>
        <w:t>，玉米单粒穴播，大豆双粒穴播，穴留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株；人工点播一穴留双株，穴距增加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倍；玉米密度</w:t>
      </w:r>
      <w:r>
        <w:rPr>
          <w:rFonts w:ascii="Times New Roman" w:eastAsia="方正仿宋_GBK" w:hAnsi="Times New Roman"/>
          <w:sz w:val="32"/>
          <w:szCs w:val="32"/>
        </w:rPr>
        <w:t>3000</w:t>
      </w:r>
      <w:r>
        <w:rPr>
          <w:rFonts w:ascii="Times New Roman" w:eastAsia="方正仿宋_GBK" w:hAnsi="Times New Roman"/>
          <w:sz w:val="32"/>
          <w:szCs w:val="32"/>
        </w:rPr>
        <w:t>株左右、大豆密度</w:t>
      </w:r>
      <w:r>
        <w:rPr>
          <w:rFonts w:ascii="Times New Roman" w:eastAsia="方正仿宋_GBK" w:hAnsi="Times New Roman"/>
          <w:sz w:val="32"/>
          <w:szCs w:val="32"/>
        </w:rPr>
        <w:t>8600—9500</w:t>
      </w:r>
      <w:r>
        <w:rPr>
          <w:rFonts w:ascii="Times New Roman" w:eastAsia="方正仿宋_GBK" w:hAnsi="Times New Roman"/>
          <w:sz w:val="32"/>
          <w:szCs w:val="32"/>
        </w:rPr>
        <w:t>株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亩。</w:t>
      </w:r>
    </w:p>
    <w:p w:rsidR="00024BCA" w:rsidRDefault="00024BCA" w:rsidP="00024BCA">
      <w:pPr>
        <w:jc w:val="center"/>
        <w:rPr>
          <w:rFonts w:ascii="方正仿宋_GBK" w:eastAsia="方正仿宋_GBK" w:hAnsi="仿宋" w:cs="仿宋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pict>
          <v:shape id="文本框 28" o:spid="_x0000_s1027" type="#_x0000_t202" style="position:absolute;left:0;text-align:left;margin-left:347.05pt;margin-top:234.4pt;width:89.75pt;height:51.05pt;z-index:251661312" o:gfxdata="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mPYHH2gAAAAsBAAAPAAAAAAAAAAEAIAAA&#10;ACIAAABkcnMvZG93bnJldi54bWxQSwECFAAUAAAACACHTuJAQIGzbAoCAAA2BAAADgAAAAAAAAAB&#10;ACAAAAApAQAAZHJzL2Uyb0RvYy54bWxQSwUGAAAAAAYABgBZAQAApQUAAAAA&#10;">
            <v:textbox>
              <w:txbxContent>
                <w:p w:rsidR="00024BCA" w:rsidRDefault="00024BCA" w:rsidP="00024BCA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以一穴单株为例：</w:t>
                  </w:r>
                </w:p>
                <w:p w:rsidR="00024BCA" w:rsidRDefault="00024BCA" w:rsidP="00024BCA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玉米密度：</w:t>
                  </w:r>
                  <w:r>
                    <w:rPr>
                      <w:sz w:val="15"/>
                      <w:szCs w:val="15"/>
                    </w:rPr>
                    <w:t>3</w:t>
                  </w:r>
                  <w:r>
                    <w:rPr>
                      <w:rFonts w:hint="eastAsia"/>
                      <w:sz w:val="15"/>
                      <w:szCs w:val="15"/>
                    </w:rPr>
                    <w:t>0</w:t>
                  </w:r>
                  <w:r>
                    <w:rPr>
                      <w:sz w:val="15"/>
                      <w:szCs w:val="15"/>
                    </w:rPr>
                    <w:t>00</w:t>
                  </w:r>
                  <w:r>
                    <w:rPr>
                      <w:rFonts w:hint="eastAsia"/>
                      <w:sz w:val="15"/>
                      <w:szCs w:val="15"/>
                    </w:rPr>
                    <w:t>株</w:t>
                  </w:r>
                  <w:r>
                    <w:rPr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亩</w:t>
                  </w:r>
                </w:p>
                <w:p w:rsidR="00024BCA" w:rsidRDefault="00024BCA" w:rsidP="00024BCA">
                  <w:pPr>
                    <w:rPr>
                      <w:sz w:val="15"/>
                      <w:szCs w:val="15"/>
                    </w:rPr>
                  </w:pPr>
                  <w:r>
                    <w:rPr>
                      <w:rFonts w:hint="eastAsia"/>
                      <w:sz w:val="15"/>
                      <w:szCs w:val="15"/>
                    </w:rPr>
                    <w:t>大豆密度：</w:t>
                  </w:r>
                  <w:r>
                    <w:rPr>
                      <w:sz w:val="15"/>
                      <w:szCs w:val="15"/>
                    </w:rPr>
                    <w:t>9000</w:t>
                  </w:r>
                  <w:r>
                    <w:rPr>
                      <w:rFonts w:hint="eastAsia"/>
                      <w:sz w:val="15"/>
                      <w:szCs w:val="15"/>
                    </w:rPr>
                    <w:t>株</w:t>
                  </w:r>
                  <w:r>
                    <w:rPr>
                      <w:sz w:val="15"/>
                      <w:szCs w:val="15"/>
                    </w:rPr>
                    <w:t>/</w:t>
                  </w:r>
                  <w:r>
                    <w:rPr>
                      <w:rFonts w:hint="eastAsia"/>
                      <w:sz w:val="15"/>
                      <w:szCs w:val="15"/>
                    </w:rPr>
                    <w:t>亩</w:t>
                  </w:r>
                </w:p>
              </w:txbxContent>
            </v:textbox>
          </v:shape>
        </w:pict>
      </w:r>
      <w:r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>
            <wp:extent cx="5267325" cy="3362325"/>
            <wp:effectExtent l="19050" t="0" r="9525" b="0"/>
            <wp:docPr id="2" name="图片 2" descr="QQ截图20220215105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截图202202151053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623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方正楷体_GBK" w:eastAsia="方正楷体_GBK" w:hAnsi="仿宋" w:cs="仿宋" w:hint="eastAsia"/>
          <w:sz w:val="32"/>
          <w:szCs w:val="32"/>
        </w:rPr>
      </w:pPr>
      <w:r>
        <w:rPr>
          <w:rFonts w:ascii="方正楷体_GBK" w:eastAsia="方正楷体_GBK" w:hAnsi="仿宋" w:cs="仿宋" w:hint="eastAsia"/>
          <w:sz w:val="32"/>
          <w:szCs w:val="32"/>
        </w:rPr>
        <w:lastRenderedPageBreak/>
        <w:t>（四）科学施肥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方正仿宋_GBK" w:eastAsia="方正仿宋_GBK" w:hAnsi="仿宋" w:cs="仿宋" w:hint="eastAsia"/>
          <w:sz w:val="32"/>
          <w:szCs w:val="32"/>
        </w:rPr>
        <w:t>玉米与大豆施肥原则不同。玉米下肥量一定要足，施肥原则按各地高产栽培技术方案实施。建议玉米用缓释肥一次性施，或两段施肥</w:t>
      </w:r>
      <w:r>
        <w:rPr>
          <w:rFonts w:ascii="Times New Roman" w:eastAsia="方正仿宋_GBK" w:hAnsi="Times New Roman"/>
          <w:sz w:val="32"/>
          <w:szCs w:val="32"/>
        </w:rPr>
        <w:t>（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：</w:t>
      </w:r>
      <w:r>
        <w:rPr>
          <w:rFonts w:ascii="Times New Roman" w:eastAsia="方正仿宋_GBK" w:hAnsi="Times New Roman"/>
          <w:sz w:val="32"/>
          <w:szCs w:val="32"/>
        </w:rPr>
        <w:t>1</w:t>
      </w:r>
      <w:r>
        <w:rPr>
          <w:rFonts w:ascii="Times New Roman" w:eastAsia="方正仿宋_GBK" w:hAnsi="Times New Roman"/>
          <w:sz w:val="32"/>
          <w:szCs w:val="32"/>
        </w:rPr>
        <w:t>），施肥位点距离玉米</w:t>
      </w:r>
      <w:r>
        <w:rPr>
          <w:rFonts w:ascii="Times New Roman" w:eastAsia="方正仿宋_GBK" w:hAnsi="Times New Roman"/>
          <w:sz w:val="32"/>
          <w:szCs w:val="32"/>
        </w:rPr>
        <w:t xml:space="preserve">20—25 </w:t>
      </w:r>
      <w:r>
        <w:rPr>
          <w:rFonts w:ascii="Times New Roman" w:eastAsia="方正仿宋_GBK" w:hAnsi="Times New Roman"/>
          <w:sz w:val="32"/>
          <w:szCs w:val="32"/>
        </w:rPr>
        <w:t>厘米处。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方正仿宋_GBK" w:eastAsia="方正仿宋_GBK" w:hAnsi="仿宋" w:cs="仿宋" w:hint="eastAsia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带状套作：按净作玉米施肥标准施肥。播种时每亩施</w:t>
      </w:r>
      <w:r>
        <w:rPr>
          <w:rFonts w:ascii="Times New Roman" w:eastAsia="方正仿宋_GBK" w:hAnsi="Times New Roman"/>
          <w:sz w:val="32"/>
          <w:szCs w:val="32"/>
        </w:rPr>
        <w:t xml:space="preserve">40—50 </w:t>
      </w:r>
      <w:r>
        <w:rPr>
          <w:rFonts w:ascii="Times New Roman" w:eastAsia="方正仿宋_GBK" w:hAnsi="Times New Roman"/>
          <w:sz w:val="32"/>
          <w:szCs w:val="32"/>
        </w:rPr>
        <w:t>公斤复合肥（</w:t>
      </w:r>
      <w:r>
        <w:rPr>
          <w:rFonts w:ascii="Times New Roman" w:eastAsia="方正仿宋_GBK" w:hAnsi="Times New Roman"/>
          <w:sz w:val="32"/>
          <w:szCs w:val="32"/>
        </w:rPr>
        <w:t>20-15-10</w:t>
      </w:r>
      <w:r>
        <w:rPr>
          <w:rFonts w:ascii="Times New Roman" w:eastAsia="方正仿宋_GBK" w:hAnsi="Times New Roman"/>
          <w:sz w:val="32"/>
          <w:szCs w:val="32"/>
        </w:rPr>
        <w:t>或相近配方）作底肥；大喇叭口期追肥每亩追施复合肥</w:t>
      </w:r>
      <w:r>
        <w:rPr>
          <w:rFonts w:ascii="Times New Roman" w:eastAsia="方正仿宋_GBK" w:hAnsi="Times New Roman"/>
          <w:sz w:val="32"/>
          <w:szCs w:val="32"/>
        </w:rPr>
        <w:t>40—50</w:t>
      </w:r>
      <w:r>
        <w:rPr>
          <w:rFonts w:ascii="Times New Roman" w:eastAsia="方正仿宋_GBK" w:hAnsi="Times New Roman"/>
          <w:sz w:val="32"/>
          <w:szCs w:val="32"/>
        </w:rPr>
        <w:t>公斤（</w:t>
      </w:r>
      <w:r>
        <w:rPr>
          <w:rFonts w:ascii="Times New Roman" w:eastAsia="方正仿宋_GBK" w:hAnsi="Times New Roman"/>
          <w:sz w:val="32"/>
          <w:szCs w:val="32"/>
        </w:rPr>
        <w:t>20-10-15</w:t>
      </w:r>
      <w:r>
        <w:rPr>
          <w:rFonts w:ascii="Times New Roman" w:eastAsia="方正仿宋_GBK" w:hAnsi="Times New Roman"/>
          <w:sz w:val="32"/>
          <w:szCs w:val="32"/>
        </w:rPr>
        <w:t>或相近配方）</w:t>
      </w:r>
      <w:r>
        <w:rPr>
          <w:rFonts w:ascii="方正仿宋_GBK" w:eastAsia="方正仿宋_GBK" w:hAnsi="仿宋" w:cs="仿宋" w:hint="eastAsia"/>
          <w:sz w:val="32"/>
          <w:szCs w:val="32"/>
        </w:rPr>
        <w:t>，全生育期大豆不单独施肥。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带状间作：玉米每亩施用高氮缓控释肥</w:t>
      </w:r>
      <w:r>
        <w:rPr>
          <w:rFonts w:ascii="Times New Roman" w:eastAsia="方正仿宋_GBK" w:hAnsi="Times New Roman"/>
          <w:sz w:val="32"/>
          <w:szCs w:val="32"/>
        </w:rPr>
        <w:t xml:space="preserve">60—70 </w:t>
      </w:r>
      <w:r>
        <w:rPr>
          <w:rFonts w:ascii="Times New Roman" w:eastAsia="方正仿宋_GBK" w:hAnsi="Times New Roman"/>
          <w:sz w:val="32"/>
          <w:szCs w:val="32"/>
        </w:rPr>
        <w:t>公斤（</w:t>
      </w:r>
      <w:r>
        <w:rPr>
          <w:rFonts w:ascii="Times New Roman" w:eastAsia="方正仿宋_GBK" w:hAnsi="Times New Roman"/>
          <w:sz w:val="32"/>
          <w:szCs w:val="32"/>
        </w:rPr>
        <w:t>24-6-10</w:t>
      </w:r>
      <w:r>
        <w:rPr>
          <w:rFonts w:ascii="Times New Roman" w:eastAsia="方正仿宋_GBK" w:hAnsi="Times New Roman"/>
          <w:sz w:val="32"/>
          <w:szCs w:val="32"/>
        </w:rPr>
        <w:t>或相近配方）</w:t>
      </w:r>
      <w:r>
        <w:rPr>
          <w:rFonts w:ascii="Times New Roman" w:eastAsia="方正仿宋_GBK" w:hAnsi="Times New Roman"/>
          <w:sz w:val="32"/>
          <w:szCs w:val="32"/>
        </w:rPr>
        <w:t>+20—25</w:t>
      </w:r>
      <w:r>
        <w:rPr>
          <w:rFonts w:ascii="Times New Roman" w:eastAsia="方正仿宋_GBK" w:hAnsi="Times New Roman"/>
          <w:sz w:val="32"/>
          <w:szCs w:val="32"/>
        </w:rPr>
        <w:t>公斤钙镁磷肥；大豆每亩施用低氮复合肥</w:t>
      </w:r>
      <w:r>
        <w:rPr>
          <w:rFonts w:ascii="Times New Roman" w:eastAsia="方正仿宋_GBK" w:hAnsi="Times New Roman"/>
          <w:sz w:val="32"/>
          <w:szCs w:val="32"/>
        </w:rPr>
        <w:t xml:space="preserve">15—20 </w:t>
      </w:r>
      <w:r>
        <w:rPr>
          <w:rFonts w:ascii="Times New Roman" w:eastAsia="方正仿宋_GBK" w:hAnsi="Times New Roman"/>
          <w:sz w:val="32"/>
          <w:szCs w:val="32"/>
        </w:rPr>
        <w:t>公斤（</w:t>
      </w:r>
      <w:r>
        <w:rPr>
          <w:rFonts w:ascii="Times New Roman" w:eastAsia="方正仿宋_GBK" w:hAnsi="Times New Roman"/>
          <w:sz w:val="32"/>
          <w:szCs w:val="32"/>
        </w:rPr>
        <w:t>14</w:t>
      </w:r>
      <w:r>
        <w:rPr>
          <w:rFonts w:ascii="Times New Roman" w:eastAsia="方正仿宋_GBK" w:hAnsi="Times New Roman"/>
          <w:bCs/>
          <w:sz w:val="32"/>
          <w:szCs w:val="32"/>
        </w:rPr>
        <w:t>-</w:t>
      </w:r>
      <w:r>
        <w:rPr>
          <w:rFonts w:ascii="Times New Roman" w:eastAsia="方正仿宋_GBK" w:hAnsi="Times New Roman"/>
          <w:sz w:val="32"/>
          <w:szCs w:val="32"/>
        </w:rPr>
        <w:t>16</w:t>
      </w:r>
      <w:r>
        <w:rPr>
          <w:rFonts w:ascii="Times New Roman" w:eastAsia="方正仿宋_GBK" w:hAnsi="Times New Roman"/>
          <w:bCs/>
          <w:sz w:val="32"/>
          <w:szCs w:val="32"/>
        </w:rPr>
        <w:t>-</w:t>
      </w:r>
      <w:r>
        <w:rPr>
          <w:rFonts w:ascii="Times New Roman" w:eastAsia="方正仿宋_GBK" w:hAnsi="Times New Roman"/>
          <w:sz w:val="32"/>
          <w:szCs w:val="32"/>
        </w:rPr>
        <w:t>15</w:t>
      </w:r>
      <w:r>
        <w:rPr>
          <w:rFonts w:ascii="Times New Roman" w:eastAsia="方正仿宋_GBK" w:hAnsi="Times New Roman"/>
          <w:sz w:val="32"/>
          <w:szCs w:val="32"/>
        </w:rPr>
        <w:t>或相近配方）。玉米施肥位点与套作模式相同，大豆施肥点位于大豆带中间。</w:t>
      </w:r>
    </w:p>
    <w:p w:rsidR="00024BCA" w:rsidRDefault="00024BCA" w:rsidP="00024BCA">
      <w:pPr>
        <w:spacing w:line="560" w:lineRule="exact"/>
        <w:ind w:firstLineChars="196" w:firstLine="627"/>
        <w:jc w:val="left"/>
        <w:rPr>
          <w:rFonts w:ascii="方正楷体_GBK" w:eastAsia="方正楷体_GBK" w:hAnsi="仿宋" w:cs="仿宋" w:hint="eastAsia"/>
          <w:sz w:val="32"/>
          <w:szCs w:val="32"/>
        </w:rPr>
      </w:pPr>
      <w:r>
        <w:rPr>
          <w:rFonts w:ascii="方正楷体_GBK" w:eastAsia="方正楷体_GBK" w:hAnsi="仿宋" w:cs="仿宋" w:hint="eastAsia"/>
          <w:sz w:val="32"/>
          <w:szCs w:val="32"/>
        </w:rPr>
        <w:t>（五）芽前除草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方正仿宋_GBK" w:eastAsia="方正仿宋_GBK" w:hAnsi="仿宋" w:cs="仿宋" w:hint="eastAsia"/>
          <w:sz w:val="32"/>
          <w:szCs w:val="32"/>
        </w:rPr>
        <w:t>以芽前封闭除草</w:t>
      </w:r>
      <w:r>
        <w:rPr>
          <w:rFonts w:ascii="Times New Roman" w:eastAsia="方正仿宋_GBK" w:hAnsi="Times New Roman"/>
          <w:sz w:val="32"/>
          <w:szCs w:val="32"/>
        </w:rPr>
        <w:t>为主，苗后定向除草为辅。在播种后</w:t>
      </w: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天内，雨后无风、土壤湿润，立即封闭除草。可用</w:t>
      </w:r>
      <w:r>
        <w:rPr>
          <w:rFonts w:ascii="Times New Roman" w:eastAsia="方正仿宋_GBK" w:hAnsi="Times New Roman"/>
          <w:sz w:val="32"/>
          <w:szCs w:val="32"/>
        </w:rPr>
        <w:t>96%</w:t>
      </w:r>
      <w:r>
        <w:rPr>
          <w:rFonts w:ascii="Times New Roman" w:eastAsia="方正仿宋_GBK" w:hAnsi="Times New Roman"/>
          <w:sz w:val="32"/>
          <w:szCs w:val="32"/>
        </w:rPr>
        <w:t>精异丙甲草胺乳油（金都尔）</w:t>
      </w:r>
      <w:r>
        <w:rPr>
          <w:rFonts w:ascii="Times New Roman" w:eastAsia="方正仿宋_GBK" w:hAnsi="Times New Roman"/>
          <w:sz w:val="32"/>
          <w:szCs w:val="32"/>
        </w:rPr>
        <w:t>80—100</w:t>
      </w:r>
      <w:r>
        <w:rPr>
          <w:rFonts w:ascii="Times New Roman" w:eastAsia="方正仿宋_GBK" w:hAnsi="Times New Roman"/>
          <w:sz w:val="32"/>
          <w:szCs w:val="32"/>
        </w:rPr>
        <w:t>毫升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亩，兑水</w:t>
      </w:r>
      <w:r>
        <w:rPr>
          <w:rFonts w:ascii="Times New Roman" w:eastAsia="方正仿宋_GBK" w:hAnsi="Times New Roman"/>
          <w:sz w:val="32"/>
          <w:szCs w:val="32"/>
        </w:rPr>
        <w:t>45</w:t>
      </w:r>
      <w:r>
        <w:rPr>
          <w:rFonts w:ascii="Times New Roman" w:eastAsia="方正仿宋_GBK" w:hAnsi="Times New Roman"/>
          <w:sz w:val="32"/>
          <w:szCs w:val="32"/>
        </w:rPr>
        <w:t>公斤喷施，如阔叶草较多可混加草胺磷（</w:t>
      </w:r>
      <w:r>
        <w:rPr>
          <w:rFonts w:ascii="Times New Roman" w:eastAsia="方正仿宋_GBK" w:hAnsi="Times New Roman"/>
          <w:sz w:val="32"/>
          <w:szCs w:val="32"/>
        </w:rPr>
        <w:t xml:space="preserve">80—120 </w:t>
      </w:r>
      <w:r>
        <w:rPr>
          <w:rFonts w:ascii="Times New Roman" w:eastAsia="方正仿宋_GBK" w:hAnsi="Times New Roman"/>
          <w:sz w:val="32"/>
          <w:szCs w:val="32"/>
        </w:rPr>
        <w:t>克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亩）。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方正仿宋_GBK" w:eastAsia="方正仿宋_GBK" w:hAnsi="仿宋" w:cs="仿宋" w:hint="eastAsia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苗后定向除草两次。玉米</w:t>
      </w:r>
      <w:r>
        <w:rPr>
          <w:rFonts w:ascii="Times New Roman" w:eastAsia="方正仿宋_GBK" w:hAnsi="Times New Roman"/>
          <w:sz w:val="32"/>
          <w:szCs w:val="32"/>
        </w:rPr>
        <w:t>4</w:t>
      </w:r>
      <w:r>
        <w:rPr>
          <w:rFonts w:ascii="Times New Roman" w:eastAsia="方正仿宋_GBK" w:hAnsi="Times New Roman"/>
          <w:sz w:val="32"/>
          <w:szCs w:val="32"/>
        </w:rPr>
        <w:t>叶期与拔节期可用</w:t>
      </w:r>
      <w:r>
        <w:rPr>
          <w:rFonts w:ascii="Times New Roman" w:eastAsia="方正仿宋_GBK" w:hAnsi="Times New Roman"/>
          <w:sz w:val="32"/>
          <w:szCs w:val="32"/>
        </w:rPr>
        <w:t>75%</w:t>
      </w:r>
      <w:r>
        <w:rPr>
          <w:rFonts w:ascii="Times New Roman" w:eastAsia="方正仿宋_GBK" w:hAnsi="Times New Roman"/>
          <w:sz w:val="32"/>
          <w:szCs w:val="32"/>
        </w:rPr>
        <w:t>噻吩磺隆</w:t>
      </w:r>
      <w:r>
        <w:rPr>
          <w:rFonts w:ascii="Times New Roman" w:eastAsia="方正仿宋_GBK" w:hAnsi="Times New Roman"/>
          <w:sz w:val="32"/>
          <w:szCs w:val="32"/>
        </w:rPr>
        <w:t>0.7</w:t>
      </w:r>
      <w:r>
        <w:rPr>
          <w:rFonts w:ascii="Times New Roman" w:eastAsia="方正仿宋_GBK" w:hAnsi="Times New Roman"/>
          <w:sz w:val="32"/>
          <w:szCs w:val="32"/>
        </w:rPr>
        <w:t>克</w:t>
      </w:r>
      <w:r>
        <w:rPr>
          <w:rFonts w:ascii="Times New Roman" w:eastAsia="方正仿宋_GBK" w:hAnsi="Times New Roman"/>
          <w:sz w:val="32"/>
          <w:szCs w:val="32"/>
        </w:rPr>
        <w:t>—1</w:t>
      </w:r>
      <w:r>
        <w:rPr>
          <w:rFonts w:ascii="Times New Roman" w:eastAsia="方正仿宋_GBK" w:hAnsi="Times New Roman"/>
          <w:sz w:val="32"/>
          <w:szCs w:val="32"/>
        </w:rPr>
        <w:t>克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亩兑水</w:t>
      </w:r>
      <w:r>
        <w:rPr>
          <w:rFonts w:ascii="Times New Roman" w:eastAsia="方正仿宋_GBK" w:hAnsi="Times New Roman"/>
          <w:sz w:val="32"/>
          <w:szCs w:val="32"/>
        </w:rPr>
        <w:t xml:space="preserve">30—40 </w:t>
      </w:r>
      <w:r>
        <w:rPr>
          <w:rFonts w:ascii="Times New Roman" w:eastAsia="方正仿宋_GBK" w:hAnsi="Times New Roman"/>
          <w:sz w:val="32"/>
          <w:szCs w:val="32"/>
        </w:rPr>
        <w:t>公斤喷施。大豆可用</w:t>
      </w:r>
      <w:r>
        <w:rPr>
          <w:rFonts w:ascii="Times New Roman" w:eastAsia="方正仿宋_GBK" w:hAnsi="Times New Roman"/>
          <w:sz w:val="32"/>
          <w:szCs w:val="32"/>
        </w:rPr>
        <w:t>25%</w:t>
      </w:r>
      <w:r>
        <w:rPr>
          <w:rFonts w:ascii="Times New Roman" w:eastAsia="方正仿宋_GBK" w:hAnsi="Times New Roman"/>
          <w:sz w:val="32"/>
          <w:szCs w:val="32"/>
        </w:rPr>
        <w:t>氟磺胺草醚水剂</w:t>
      </w:r>
      <w:r>
        <w:rPr>
          <w:rFonts w:ascii="Times New Roman" w:eastAsia="方正仿宋_GBK" w:hAnsi="Times New Roman"/>
          <w:sz w:val="32"/>
          <w:szCs w:val="32"/>
        </w:rPr>
        <w:t>80—100</w:t>
      </w:r>
      <w:r>
        <w:rPr>
          <w:rFonts w:ascii="Times New Roman" w:eastAsia="方正仿宋_GBK" w:hAnsi="Times New Roman"/>
          <w:sz w:val="32"/>
          <w:szCs w:val="32"/>
        </w:rPr>
        <w:t>克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亩或</w:t>
      </w:r>
      <w:r>
        <w:rPr>
          <w:rFonts w:ascii="Times New Roman" w:eastAsia="方正仿宋_GBK" w:hAnsi="Times New Roman"/>
          <w:sz w:val="32"/>
          <w:szCs w:val="32"/>
        </w:rPr>
        <w:t>10%</w:t>
      </w:r>
      <w:r>
        <w:rPr>
          <w:rFonts w:ascii="Times New Roman" w:eastAsia="方正仿宋_GBK" w:hAnsi="Times New Roman"/>
          <w:sz w:val="32"/>
          <w:szCs w:val="32"/>
        </w:rPr>
        <w:t>精喹禾灵乳油</w:t>
      </w:r>
      <w:r>
        <w:rPr>
          <w:rFonts w:ascii="Times New Roman" w:eastAsia="方正仿宋_GBK" w:hAnsi="Times New Roman"/>
          <w:sz w:val="32"/>
          <w:szCs w:val="32"/>
        </w:rPr>
        <w:t>20</w:t>
      </w:r>
      <w:r>
        <w:rPr>
          <w:rFonts w:ascii="Times New Roman" w:eastAsia="方正仿宋_GBK" w:hAnsi="Times New Roman"/>
          <w:sz w:val="32"/>
          <w:szCs w:val="32"/>
        </w:rPr>
        <w:t>毫升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</w:t>
      </w:r>
      <w:r>
        <w:rPr>
          <w:rFonts w:ascii="Times New Roman" w:eastAsia="方正仿宋_GBK" w:hAnsi="Times New Roman"/>
          <w:sz w:val="32"/>
          <w:szCs w:val="32"/>
        </w:rPr>
        <w:t>+25%</w:t>
      </w:r>
      <w:r>
        <w:rPr>
          <w:rFonts w:ascii="Times New Roman" w:eastAsia="方正仿宋_GBK" w:hAnsi="Times New Roman"/>
          <w:sz w:val="32"/>
          <w:szCs w:val="32"/>
        </w:rPr>
        <w:t>氟磺胺草醚</w:t>
      </w:r>
      <w:r>
        <w:rPr>
          <w:rFonts w:ascii="Times New Roman" w:eastAsia="方正仿宋_GBK" w:hAnsi="Times New Roman"/>
          <w:sz w:val="32"/>
          <w:szCs w:val="32"/>
        </w:rPr>
        <w:t>20</w:t>
      </w:r>
      <w:r>
        <w:rPr>
          <w:rFonts w:ascii="Times New Roman" w:eastAsia="方正仿宋_GBK" w:hAnsi="Times New Roman"/>
          <w:sz w:val="32"/>
          <w:szCs w:val="32"/>
        </w:rPr>
        <w:t>克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亩兑水</w:t>
      </w:r>
      <w:r>
        <w:rPr>
          <w:rFonts w:ascii="Times New Roman" w:eastAsia="方正仿宋_GBK" w:hAnsi="Times New Roman"/>
          <w:sz w:val="32"/>
          <w:szCs w:val="32"/>
        </w:rPr>
        <w:t xml:space="preserve">30—40 </w:t>
      </w:r>
      <w:r>
        <w:rPr>
          <w:rFonts w:ascii="Times New Roman" w:eastAsia="方正仿宋_GBK" w:hAnsi="Times New Roman"/>
          <w:sz w:val="32"/>
          <w:szCs w:val="32"/>
        </w:rPr>
        <w:t>公斤喷施。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方正楷体_GBK" w:eastAsia="方正楷体_GBK" w:hAnsi="仿宋" w:cs="仿宋" w:hint="eastAsia"/>
          <w:sz w:val="32"/>
          <w:szCs w:val="32"/>
        </w:rPr>
      </w:pPr>
      <w:r>
        <w:rPr>
          <w:rFonts w:ascii="方正楷体_GBK" w:eastAsia="方正楷体_GBK" w:hAnsi="仿宋" w:cs="仿宋" w:hint="eastAsia"/>
          <w:sz w:val="32"/>
          <w:szCs w:val="32"/>
        </w:rPr>
        <w:t>（六）化学调控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方正仿宋_GBK" w:eastAsia="方正仿宋_GBK" w:hAnsi="仿宋" w:cs="仿宋" w:hint="eastAsia"/>
          <w:b/>
          <w:sz w:val="32"/>
          <w:szCs w:val="32"/>
        </w:rPr>
        <w:t>调节剂控高：</w:t>
      </w:r>
      <w:r>
        <w:rPr>
          <w:rFonts w:ascii="方正仿宋_GBK" w:eastAsia="方正仿宋_GBK" w:hAnsi="仿宋" w:cs="仿宋" w:hint="eastAsia"/>
          <w:sz w:val="32"/>
          <w:szCs w:val="32"/>
        </w:rPr>
        <w:t>在玉</w:t>
      </w:r>
      <w:r>
        <w:rPr>
          <w:rFonts w:ascii="Times New Roman" w:eastAsia="方正仿宋_GBK" w:hAnsi="Times New Roman"/>
          <w:sz w:val="32"/>
          <w:szCs w:val="32"/>
        </w:rPr>
        <w:t>米</w:t>
      </w:r>
      <w:r>
        <w:rPr>
          <w:rFonts w:ascii="Times New Roman" w:eastAsia="方正仿宋_GBK" w:hAnsi="Times New Roman"/>
          <w:sz w:val="32"/>
          <w:szCs w:val="32"/>
        </w:rPr>
        <w:t>8—10</w:t>
      </w:r>
      <w:r>
        <w:rPr>
          <w:rFonts w:ascii="Times New Roman" w:eastAsia="方正仿宋_GBK" w:hAnsi="Times New Roman"/>
          <w:sz w:val="32"/>
          <w:szCs w:val="32"/>
        </w:rPr>
        <w:t>片叶时，亩用胺鲜</w:t>
      </w:r>
      <w:r>
        <w:rPr>
          <w:rFonts w:ascii="Times New Roman" w:eastAsia="方正仿宋_GBK" w:hAnsi="Times New Roman"/>
          <w:sz w:val="32"/>
          <w:szCs w:val="32"/>
        </w:rPr>
        <w:t>·</w:t>
      </w:r>
      <w:r>
        <w:rPr>
          <w:rFonts w:ascii="Times New Roman" w:eastAsia="方正仿宋_GBK" w:hAnsi="Times New Roman"/>
          <w:sz w:val="32"/>
          <w:szCs w:val="32"/>
        </w:rPr>
        <w:t>乙烯利（玉</w:t>
      </w:r>
      <w:r>
        <w:rPr>
          <w:rFonts w:ascii="Times New Roman" w:eastAsia="方正仿宋_GBK" w:hAnsi="Times New Roman"/>
          <w:sz w:val="32"/>
          <w:szCs w:val="32"/>
        </w:rPr>
        <w:lastRenderedPageBreak/>
        <w:t>米矮丰）</w:t>
      </w:r>
      <w:r>
        <w:rPr>
          <w:rFonts w:ascii="Times New Roman" w:eastAsia="方正仿宋_GBK" w:hAnsi="Times New Roman"/>
          <w:sz w:val="32"/>
          <w:szCs w:val="32"/>
        </w:rPr>
        <w:t>25</w:t>
      </w:r>
      <w:r>
        <w:rPr>
          <w:rFonts w:ascii="Times New Roman" w:eastAsia="方正仿宋_GBK" w:hAnsi="Times New Roman"/>
          <w:sz w:val="32"/>
          <w:szCs w:val="32"/>
        </w:rPr>
        <w:t>毫升兑水</w:t>
      </w:r>
      <w:r>
        <w:rPr>
          <w:rFonts w:ascii="Times New Roman" w:eastAsia="方正仿宋_GBK" w:hAnsi="Times New Roman"/>
          <w:sz w:val="32"/>
          <w:szCs w:val="32"/>
        </w:rPr>
        <w:t>30</w:t>
      </w:r>
      <w:r>
        <w:rPr>
          <w:rFonts w:ascii="Times New Roman" w:eastAsia="方正仿宋_GBK" w:hAnsi="Times New Roman"/>
          <w:sz w:val="32"/>
          <w:szCs w:val="32"/>
        </w:rPr>
        <w:t>公斤喷雾，严格控制用量，不能重复喷雾；大豆在分枝期和初花期分别用</w:t>
      </w:r>
      <w:r>
        <w:rPr>
          <w:rFonts w:ascii="Times New Roman" w:eastAsia="方正仿宋_GBK" w:hAnsi="Times New Roman"/>
          <w:sz w:val="32"/>
          <w:szCs w:val="32"/>
        </w:rPr>
        <w:t>5%</w:t>
      </w:r>
      <w:r>
        <w:rPr>
          <w:rFonts w:ascii="Times New Roman" w:eastAsia="方正仿宋_GBK" w:hAnsi="Times New Roman"/>
          <w:sz w:val="32"/>
          <w:szCs w:val="32"/>
        </w:rPr>
        <w:t>烯效唑</w:t>
      </w:r>
      <w:r>
        <w:rPr>
          <w:rFonts w:ascii="Times New Roman" w:eastAsia="方正仿宋_GBK" w:hAnsi="Times New Roman"/>
          <w:sz w:val="32"/>
          <w:szCs w:val="32"/>
        </w:rPr>
        <w:t xml:space="preserve">20—50 </w:t>
      </w:r>
      <w:r>
        <w:rPr>
          <w:rFonts w:ascii="Times New Roman" w:eastAsia="方正仿宋_GBK" w:hAnsi="Times New Roman"/>
          <w:sz w:val="32"/>
          <w:szCs w:val="32"/>
        </w:rPr>
        <w:t>克</w:t>
      </w:r>
      <w:r>
        <w:rPr>
          <w:rFonts w:ascii="Times New Roman" w:eastAsia="方正仿宋_GBK" w:hAnsi="Times New Roman"/>
          <w:sz w:val="32"/>
          <w:szCs w:val="32"/>
        </w:rPr>
        <w:t>/</w:t>
      </w:r>
      <w:r>
        <w:rPr>
          <w:rFonts w:ascii="Times New Roman" w:eastAsia="方正仿宋_GBK" w:hAnsi="Times New Roman"/>
          <w:sz w:val="32"/>
          <w:szCs w:val="32"/>
        </w:rPr>
        <w:t>亩（苗期剂量可小至</w:t>
      </w:r>
      <w:r>
        <w:rPr>
          <w:rFonts w:ascii="Times New Roman" w:eastAsia="方正仿宋_GBK" w:hAnsi="Times New Roman"/>
          <w:sz w:val="32"/>
          <w:szCs w:val="32"/>
        </w:rPr>
        <w:t>20</w:t>
      </w:r>
      <w:r>
        <w:rPr>
          <w:rFonts w:ascii="Times New Roman" w:eastAsia="方正仿宋_GBK" w:hAnsi="Times New Roman"/>
          <w:sz w:val="32"/>
          <w:szCs w:val="32"/>
        </w:rPr>
        <w:t>克），兑水</w:t>
      </w:r>
      <w:r>
        <w:rPr>
          <w:rFonts w:ascii="Times New Roman" w:eastAsia="方正仿宋_GBK" w:hAnsi="Times New Roman"/>
          <w:sz w:val="32"/>
          <w:szCs w:val="32"/>
        </w:rPr>
        <w:t>30</w:t>
      </w:r>
      <w:r>
        <w:rPr>
          <w:rFonts w:ascii="Times New Roman" w:eastAsia="方正仿宋_GBK" w:hAnsi="Times New Roman"/>
          <w:sz w:val="32"/>
          <w:szCs w:val="32"/>
        </w:rPr>
        <w:t>公斤喷雾防徒长和抗倒，不能重复喷雾。</w:t>
      </w:r>
    </w:p>
    <w:p w:rsidR="00024BCA" w:rsidRDefault="00024BCA" w:rsidP="00024BCA">
      <w:pPr>
        <w:spacing w:line="560" w:lineRule="exact"/>
        <w:ind w:firstLine="570"/>
        <w:rPr>
          <w:rFonts w:ascii="方正仿宋_GBK" w:eastAsia="方正仿宋_GBK" w:hAnsi="仿宋" w:cs="仿宋" w:hint="eastAsia"/>
          <w:sz w:val="32"/>
          <w:szCs w:val="32"/>
        </w:rPr>
      </w:pPr>
      <w:r>
        <w:rPr>
          <w:rFonts w:ascii="Times New Roman" w:eastAsia="方正仿宋_GBK" w:hAnsi="Times New Roman"/>
          <w:b/>
          <w:sz w:val="32"/>
          <w:szCs w:val="32"/>
        </w:rPr>
        <w:t>微肥促花保荚：</w:t>
      </w:r>
      <w:r>
        <w:rPr>
          <w:rFonts w:ascii="Times New Roman" w:eastAsia="方正仿宋_GBK" w:hAnsi="Times New Roman"/>
          <w:sz w:val="32"/>
          <w:szCs w:val="32"/>
        </w:rPr>
        <w:t>大豆分枝期、初花期与鼓粒初期（</w:t>
      </w:r>
      <w:r>
        <w:rPr>
          <w:rFonts w:ascii="Times New Roman" w:eastAsia="方正仿宋_GBK" w:hAnsi="Times New Roman"/>
          <w:sz w:val="32"/>
          <w:szCs w:val="32"/>
        </w:rPr>
        <w:t>R5</w:t>
      </w:r>
      <w:r>
        <w:rPr>
          <w:rFonts w:ascii="Times New Roman" w:eastAsia="方正仿宋_GBK" w:hAnsi="Times New Roman"/>
          <w:sz w:val="32"/>
          <w:szCs w:val="32"/>
        </w:rPr>
        <w:t>），结合病虫统防及调节剂处理喷施叶面肥，每亩用</w:t>
      </w:r>
      <w:r>
        <w:rPr>
          <w:rFonts w:ascii="Times New Roman" w:eastAsia="方正仿宋_GBK" w:hAnsi="Times New Roman"/>
          <w:sz w:val="32"/>
          <w:szCs w:val="32"/>
        </w:rPr>
        <w:t>90%</w:t>
      </w:r>
      <w:r>
        <w:rPr>
          <w:rFonts w:ascii="Times New Roman" w:eastAsia="方正仿宋_GBK" w:hAnsi="Times New Roman"/>
          <w:sz w:val="32"/>
          <w:szCs w:val="32"/>
        </w:rPr>
        <w:t>的磷酸二</w:t>
      </w:r>
      <w:r>
        <w:rPr>
          <w:rFonts w:ascii="方正仿宋_GBK" w:eastAsia="方正仿宋_GBK" w:hAnsi="仿宋" w:cs="仿宋" w:hint="eastAsia"/>
          <w:sz w:val="32"/>
          <w:szCs w:val="32"/>
        </w:rPr>
        <w:t>氢钾</w:t>
      </w:r>
      <w:r>
        <w:rPr>
          <w:rFonts w:ascii="Times New Roman" w:eastAsia="方正仿宋_GBK" w:hAnsi="Times New Roman"/>
          <w:sz w:val="32"/>
          <w:szCs w:val="32"/>
        </w:rPr>
        <w:t>50</w:t>
      </w:r>
      <w:r>
        <w:rPr>
          <w:rFonts w:ascii="Times New Roman" w:eastAsia="方正仿宋_GBK" w:hAnsi="Times New Roman"/>
          <w:sz w:val="32"/>
          <w:szCs w:val="32"/>
        </w:rPr>
        <w:t>克</w:t>
      </w:r>
      <w:r>
        <w:rPr>
          <w:rFonts w:ascii="Times New Roman" w:eastAsia="方正仿宋_GBK" w:hAnsi="Times New Roman"/>
          <w:sz w:val="32"/>
          <w:szCs w:val="32"/>
        </w:rPr>
        <w:t>+</w:t>
      </w:r>
      <w:r>
        <w:rPr>
          <w:rFonts w:ascii="Times New Roman" w:eastAsia="方正仿宋_GBK" w:hAnsi="Times New Roman"/>
          <w:sz w:val="32"/>
          <w:szCs w:val="32"/>
        </w:rPr>
        <w:t>稀施美</w:t>
      </w:r>
      <w:r>
        <w:rPr>
          <w:rFonts w:ascii="Times New Roman" w:eastAsia="方正仿宋_GBK" w:hAnsi="Times New Roman"/>
          <w:sz w:val="32"/>
          <w:szCs w:val="32"/>
        </w:rPr>
        <w:t>50</w:t>
      </w:r>
      <w:r>
        <w:rPr>
          <w:rFonts w:ascii="Times New Roman" w:eastAsia="方正仿宋_GBK" w:hAnsi="Times New Roman"/>
          <w:sz w:val="32"/>
          <w:szCs w:val="32"/>
        </w:rPr>
        <w:t>毫升，套作大豆在初花期可添加</w:t>
      </w:r>
      <w:r>
        <w:rPr>
          <w:rFonts w:ascii="Times New Roman" w:eastAsia="方正仿宋_GBK" w:hAnsi="Times New Roman"/>
          <w:sz w:val="32"/>
          <w:szCs w:val="32"/>
        </w:rPr>
        <w:t>8%</w:t>
      </w:r>
      <w:r>
        <w:rPr>
          <w:rFonts w:ascii="Times New Roman" w:eastAsia="方正仿宋_GBK" w:hAnsi="Times New Roman"/>
          <w:sz w:val="32"/>
          <w:szCs w:val="32"/>
        </w:rPr>
        <w:t>胺鲜脂</w:t>
      </w:r>
      <w:r>
        <w:rPr>
          <w:rFonts w:ascii="Times New Roman" w:eastAsia="方正仿宋_GBK" w:hAnsi="Times New Roman"/>
          <w:sz w:val="32"/>
          <w:szCs w:val="32"/>
        </w:rPr>
        <w:t>20</w:t>
      </w:r>
      <w:r>
        <w:rPr>
          <w:rFonts w:ascii="Times New Roman" w:eastAsia="方正仿宋_GBK" w:hAnsi="Times New Roman"/>
          <w:sz w:val="32"/>
          <w:szCs w:val="32"/>
        </w:rPr>
        <w:t>克，对水</w:t>
      </w:r>
      <w:r>
        <w:rPr>
          <w:rFonts w:ascii="Times New Roman" w:eastAsia="方正仿宋_GBK" w:hAnsi="Times New Roman"/>
          <w:sz w:val="32"/>
          <w:szCs w:val="32"/>
        </w:rPr>
        <w:t>30—40</w:t>
      </w:r>
      <w:r>
        <w:rPr>
          <w:rFonts w:ascii="Times New Roman" w:eastAsia="方正仿宋_GBK" w:hAnsi="Times New Roman"/>
          <w:sz w:val="32"/>
          <w:szCs w:val="32"/>
        </w:rPr>
        <w:t>公斤。</w:t>
      </w:r>
      <w:r>
        <w:rPr>
          <w:rFonts w:ascii="方正仿宋_GBK" w:eastAsia="方正仿宋_GBK" w:hAnsi="仿宋" w:cs="仿宋" w:hint="eastAsia"/>
          <w:sz w:val="32"/>
          <w:szCs w:val="32"/>
        </w:rPr>
        <w:t xml:space="preserve">  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方正楷体_GBK" w:eastAsia="方正楷体_GBK" w:hAnsi="仿宋" w:cs="仿宋" w:hint="eastAsia"/>
          <w:sz w:val="32"/>
          <w:szCs w:val="32"/>
        </w:rPr>
      </w:pPr>
      <w:r>
        <w:rPr>
          <w:rFonts w:ascii="方正楷体_GBK" w:eastAsia="方正楷体_GBK" w:hAnsi="仿宋" w:cs="仿宋" w:hint="eastAsia"/>
          <w:sz w:val="32"/>
          <w:szCs w:val="32"/>
        </w:rPr>
        <w:t>（七）防病治虫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方正仿宋_GBK" w:eastAsia="方正仿宋_GBK" w:hAnsi="仿宋" w:cs="仿宋" w:hint="eastAsia"/>
          <w:sz w:val="32"/>
          <w:szCs w:val="32"/>
        </w:rPr>
        <w:t>在玉米“大喇叭口”期和大豆初花期，注意防治玉米螟和大豆食心虫，可用3%甲氨基阿维菌素苯甲酸盐、溴氰菊酯（敌杀死）、高效氯氰菊脂、杀虫双等喷雾防治。大豆从初花期到盛花期要防治</w:t>
      </w:r>
      <w:r>
        <w:rPr>
          <w:rFonts w:ascii="Times New Roman" w:eastAsia="方正仿宋_GBK" w:hAnsi="Times New Roman"/>
          <w:sz w:val="32"/>
          <w:szCs w:val="32"/>
        </w:rPr>
        <w:t>2</w:t>
      </w:r>
      <w:r>
        <w:rPr>
          <w:rFonts w:ascii="Times New Roman" w:eastAsia="方正仿宋_GBK" w:hAnsi="Times New Roman"/>
          <w:sz w:val="32"/>
          <w:szCs w:val="32"/>
        </w:rPr>
        <w:t>次，每次间隔</w:t>
      </w:r>
      <w:r>
        <w:rPr>
          <w:rFonts w:ascii="Times New Roman" w:eastAsia="方正仿宋_GBK" w:hAnsi="Times New Roman"/>
          <w:sz w:val="32"/>
          <w:szCs w:val="32"/>
        </w:rPr>
        <w:t>7—10</w:t>
      </w:r>
      <w:r>
        <w:rPr>
          <w:rFonts w:ascii="Times New Roman" w:eastAsia="方正仿宋_GBK" w:hAnsi="Times New Roman"/>
          <w:sz w:val="32"/>
          <w:szCs w:val="32"/>
        </w:rPr>
        <w:t>天。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（八）尽量宜机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播种机：可选择</w:t>
      </w:r>
      <w:r>
        <w:rPr>
          <w:rFonts w:ascii="Times New Roman" w:eastAsia="方正仿宋_GBK" w:hAnsi="Times New Roman"/>
          <w:sz w:val="32"/>
          <w:szCs w:val="32"/>
        </w:rPr>
        <w:t>2BYFSF—3</w:t>
      </w:r>
      <w:r>
        <w:rPr>
          <w:rFonts w:ascii="Times New Roman" w:eastAsia="方正仿宋_GBK" w:hAnsi="Times New Roman"/>
          <w:sz w:val="32"/>
          <w:szCs w:val="32"/>
        </w:rPr>
        <w:t>（</w:t>
      </w:r>
      <w:r>
        <w:rPr>
          <w:rFonts w:ascii="Times New Roman" w:eastAsia="方正仿宋_GBK" w:hAnsi="Times New Roman"/>
          <w:sz w:val="32"/>
          <w:szCs w:val="32"/>
        </w:rPr>
        <w:t>4</w:t>
      </w:r>
      <w:r>
        <w:rPr>
          <w:rFonts w:ascii="Times New Roman" w:eastAsia="方正仿宋_GBK" w:hAnsi="Times New Roman"/>
          <w:sz w:val="32"/>
          <w:szCs w:val="32"/>
        </w:rPr>
        <w:t>）型（河北农哈哈机械集团有限公司）大豆带状复合种植专用施肥播种机。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收获机：玉米可用</w:t>
      </w:r>
      <w:r>
        <w:rPr>
          <w:rFonts w:ascii="Times New Roman" w:eastAsia="方正仿宋_GBK" w:hAnsi="Times New Roman"/>
          <w:sz w:val="32"/>
          <w:szCs w:val="32"/>
        </w:rPr>
        <w:t>4YZ P—2685</w:t>
      </w:r>
      <w:r>
        <w:rPr>
          <w:rFonts w:ascii="Times New Roman" w:eastAsia="方正仿宋_GBK" w:hAnsi="Times New Roman"/>
          <w:sz w:val="32"/>
          <w:szCs w:val="32"/>
        </w:rPr>
        <w:t>（山东巨明机械有限公司）或</w:t>
      </w:r>
      <w:r>
        <w:rPr>
          <w:rFonts w:ascii="Times New Roman" w:eastAsia="方正仿宋_GBK" w:hAnsi="Times New Roman"/>
          <w:sz w:val="32"/>
          <w:szCs w:val="32"/>
        </w:rPr>
        <w:t>4YZ—2A</w:t>
      </w:r>
      <w:r>
        <w:rPr>
          <w:rFonts w:ascii="Times New Roman" w:eastAsia="方正仿宋_GBK" w:hAnsi="Times New Roman"/>
          <w:sz w:val="32"/>
          <w:szCs w:val="32"/>
        </w:rPr>
        <w:t>（河北冀新农机有限公司）等自走式两行玉米收获机实施收穗；大豆可用</w:t>
      </w:r>
      <w:r>
        <w:rPr>
          <w:rFonts w:ascii="Times New Roman" w:eastAsia="方正仿宋_GBK" w:hAnsi="Times New Roman"/>
          <w:sz w:val="32"/>
          <w:szCs w:val="32"/>
        </w:rPr>
        <w:t>4LZ—3.0Z</w:t>
      </w:r>
      <w:r>
        <w:rPr>
          <w:rFonts w:ascii="Times New Roman" w:eastAsia="方正仿宋_GBK" w:hAnsi="Times New Roman"/>
          <w:sz w:val="32"/>
          <w:szCs w:val="32"/>
        </w:rPr>
        <w:t>（德阳市金兴农机制造有限责任公司）或</w:t>
      </w:r>
      <w:r>
        <w:rPr>
          <w:rFonts w:ascii="Times New Roman" w:eastAsia="方正仿宋_GBK" w:hAnsi="Times New Roman"/>
          <w:sz w:val="32"/>
          <w:szCs w:val="32"/>
        </w:rPr>
        <w:t>4LZ—3(PRO758Q</w:t>
      </w:r>
      <w:r>
        <w:rPr>
          <w:rFonts w:ascii="Times New Roman" w:eastAsia="方正仿宋_GBK" w:hAnsi="Times New Roman"/>
          <w:sz w:val="32"/>
          <w:szCs w:val="32"/>
        </w:rPr>
        <w:t>，久保田农业机械有限公司</w:t>
      </w:r>
      <w:r>
        <w:rPr>
          <w:rFonts w:ascii="Times New Roman" w:eastAsia="方正仿宋_GBK" w:hAnsi="Times New Roman"/>
          <w:sz w:val="32"/>
          <w:szCs w:val="32"/>
        </w:rPr>
        <w:t>)</w:t>
      </w:r>
      <w:r>
        <w:rPr>
          <w:rFonts w:ascii="Times New Roman" w:eastAsia="方正仿宋_GBK" w:hAnsi="Times New Roman"/>
          <w:sz w:val="32"/>
          <w:szCs w:val="32"/>
        </w:rPr>
        <w:t>等联合收获机收获脱粒和秸秆还田。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三、适宜区域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该技术适宜全县所有生态区域种植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四、增产增效情况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lastRenderedPageBreak/>
        <w:t xml:space="preserve">大豆玉米带状复合种植技术，调整作物种植结构，在保证玉米产量同时扩大大豆的种植面积，达到增加大豆总产量的目的。 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五、注意事项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1. 按照间套作模式技术要求规范种植，特别注意带幅、行数、株行距的尺寸，确保达到规定的种植密度。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2. 以种植大户、家庭农场等新型规模经营主体为主。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3. 除草技术要落实到位。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六、支撑单位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（一）市级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支撑单位：重庆市农业技术推广总站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 xml:space="preserve">支撑专家：方立魁 肖若余 刘丽 易靖 刘伟 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联 系 人：方立魁 89133432</w:t>
      </w:r>
    </w:p>
    <w:p w:rsidR="00024BCA" w:rsidRDefault="00024BCA" w:rsidP="00024BCA">
      <w:pPr>
        <w:numPr>
          <w:ilvl w:val="0"/>
          <w:numId w:val="1"/>
        </w:numPr>
        <w:spacing w:line="560" w:lineRule="exact"/>
        <w:ind w:firstLineChars="200" w:firstLine="640"/>
        <w:rPr>
          <w:rFonts w:ascii="方正仿宋_GBK" w:eastAsia="方正仿宋_GBK" w:hAnsi="Arial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sz w:val="32"/>
          <w:szCs w:val="32"/>
        </w:rPr>
        <w:t>县级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Arial" w:hint="eastAsia"/>
          <w:color w:val="333333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sz w:val="32"/>
          <w:szCs w:val="32"/>
        </w:rPr>
        <w:t>支撑单位：奉节</w:t>
      </w:r>
      <w:r>
        <w:rPr>
          <w:rFonts w:ascii="方正仿宋_GBK" w:eastAsia="方正仿宋_GBK" w:hAnsi="楷体" w:cs="方正仿宋_GBK" w:hint="eastAsia"/>
          <w:color w:val="333333"/>
          <w:sz w:val="32"/>
          <w:szCs w:val="32"/>
        </w:rPr>
        <w:t>县种植业发展中心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 xml:space="preserve">支撑专家：程邦 </w:t>
      </w:r>
      <w:r>
        <w:rPr>
          <w:rFonts w:ascii="方正仿宋_GBK" w:eastAsia="方正仿宋_GBK" w:hAnsi="楷体" w:cs="方正仿宋_GBK" w:hint="eastAsia"/>
          <w:color w:val="333333"/>
          <w:sz w:val="32"/>
          <w:szCs w:val="32"/>
        </w:rPr>
        <w:t xml:space="preserve">朱文学 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 xml:space="preserve">余治国 王庆元 袁世礼 </w:t>
      </w:r>
      <w:r>
        <w:rPr>
          <w:rFonts w:ascii="方正仿宋_GBK" w:eastAsia="方正仿宋_GBK" w:hAnsi="楷体" w:cs="方正仿宋_GBK" w:hint="eastAsia"/>
          <w:color w:val="333333"/>
          <w:sz w:val="32"/>
          <w:szCs w:val="32"/>
        </w:rPr>
        <w:t>曹兴华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楷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sz w:val="32"/>
          <w:szCs w:val="32"/>
        </w:rPr>
        <w:t>联系方式：</w:t>
      </w:r>
      <w:r>
        <w:rPr>
          <w:rFonts w:ascii="方正仿宋_GBK" w:eastAsia="方正仿宋_GBK" w:hAnsi="楷体" w:cs="方正仿宋_GBK" w:hint="eastAsia"/>
          <w:color w:val="333333"/>
          <w:sz w:val="32"/>
          <w:szCs w:val="32"/>
        </w:rPr>
        <w:t>朱文学  13896363203</w:t>
      </w:r>
    </w:p>
    <w:p w:rsidR="00024BCA" w:rsidRDefault="00024BCA" w:rsidP="00024BCA">
      <w:pPr>
        <w:jc w:val="left"/>
        <w:rPr>
          <w:rFonts w:ascii="仿宋_GB2312" w:eastAsia="仿宋_GB2312" w:hAnsi="宋体" w:hint="eastAsia"/>
          <w:spacing w:val="20"/>
          <w:sz w:val="32"/>
          <w:szCs w:val="32"/>
        </w:rPr>
      </w:pPr>
    </w:p>
    <w:p w:rsidR="00024BCA" w:rsidRDefault="00024BCA" w:rsidP="00024BCA">
      <w:pPr>
        <w:jc w:val="left"/>
        <w:rPr>
          <w:rFonts w:ascii="仿宋_GB2312" w:eastAsia="仿宋_GB2312" w:hAnsi="宋体" w:hint="eastAsia"/>
          <w:spacing w:val="20"/>
          <w:sz w:val="32"/>
          <w:szCs w:val="32"/>
        </w:rPr>
      </w:pPr>
    </w:p>
    <w:p w:rsidR="00024BCA" w:rsidRDefault="00024BCA" w:rsidP="00024BCA"/>
    <w:p w:rsidR="00024BCA" w:rsidRDefault="00024BCA" w:rsidP="00024BCA">
      <w:pPr>
        <w:spacing w:line="594" w:lineRule="exact"/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spacing w:line="600" w:lineRule="exact"/>
        <w:rPr>
          <w:rFonts w:ascii="方正小标宋_GBK" w:eastAsia="方正小标宋_GBK" w:hAnsi="Arial" w:cs="方正小标宋_GBK" w:hint="eastAsia"/>
          <w:color w:val="333333"/>
          <w:sz w:val="44"/>
          <w:szCs w:val="44"/>
        </w:rPr>
      </w:pPr>
      <w:r>
        <w:rPr>
          <w:rFonts w:ascii="方正黑体_GBK" w:eastAsia="方正黑体_GBK" w:hAnsi="Arial" w:cs="Arial" w:hint="eastAsia"/>
          <w:sz w:val="32"/>
          <w:szCs w:val="32"/>
        </w:rPr>
        <w:t>附件2</w:t>
      </w:r>
    </w:p>
    <w:p w:rsidR="00024BCA" w:rsidRDefault="00024BCA" w:rsidP="00024BCA">
      <w:pPr>
        <w:adjustRightInd w:val="0"/>
        <w:snapToGrid w:val="0"/>
        <w:spacing w:line="594" w:lineRule="exact"/>
        <w:jc w:val="center"/>
        <w:rPr>
          <w:rFonts w:ascii="方正黑体_GBK" w:eastAsia="方正黑体_GBK" w:hAnsi="黑体" w:hint="eastAsia"/>
          <w:color w:val="333333"/>
          <w:sz w:val="44"/>
          <w:szCs w:val="44"/>
        </w:rPr>
      </w:pPr>
      <w:r>
        <w:rPr>
          <w:rFonts w:ascii="方正小标宋_GBK" w:eastAsia="方正小标宋_GBK" w:hAnsi="Arial" w:cs="方正小标宋_GBK" w:hint="eastAsia"/>
          <w:color w:val="333333"/>
          <w:sz w:val="44"/>
          <w:szCs w:val="44"/>
        </w:rPr>
        <w:t>奉节县水稻病虫害绿色防控技术</w:t>
      </w:r>
    </w:p>
    <w:p w:rsidR="00024BCA" w:rsidRDefault="00024BCA" w:rsidP="00024BCA">
      <w:pPr>
        <w:spacing w:line="560" w:lineRule="exact"/>
        <w:rPr>
          <w:rFonts w:ascii="方正黑体_GBK" w:eastAsia="方正黑体_GBK" w:hAnsi="黑体" w:cs="方正黑体_GBK" w:hint="eastAsia"/>
          <w:color w:val="333333"/>
          <w:sz w:val="32"/>
          <w:szCs w:val="32"/>
        </w:rPr>
      </w:pP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cs="方正黑体_GBK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一、技术概述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水稻是我县主要粮食作物之一，常年种植面积16万亩，病虫害发生面积35万亩次左右。主要病虫害有稻瘟病、纹枯病、稻飞虱、稻纵卷叶螟、二化螟等。长期以来，农民单一大量使用化学农药防治水稻病虫害，带来了天敌杀伤、害虫再猖獗、环境污染和稻田生态服务功能下降等负面影响。推广应用水稻病虫害的绿色防控技术，切实提高我县水稻绿色生产水平，势在必行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绿色防控是综合生态调控、农业防治技术、生物防治、物理防治和化学防治等措施的一套综合技术体系，其强调在建立具有自我控害能力的平衡生态系统前提下，综合利用一系列措施减少化学农药的使用，以促进水稻的绿色生产。</w:t>
      </w:r>
    </w:p>
    <w:p w:rsidR="00024BCA" w:rsidRDefault="00024BCA" w:rsidP="00024BCA">
      <w:pPr>
        <w:numPr>
          <w:ilvl w:val="0"/>
          <w:numId w:val="2"/>
        </w:numPr>
        <w:spacing w:line="560" w:lineRule="exact"/>
        <w:ind w:firstLineChars="200" w:firstLine="640"/>
        <w:rPr>
          <w:rFonts w:ascii="方正黑体_GBK" w:eastAsia="方正黑体_GBK" w:hAnsi="黑体" w:cs="方正黑体_GBK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lastRenderedPageBreak/>
        <w:t>技术要点</w:t>
      </w:r>
    </w:p>
    <w:p w:rsidR="00024BCA" w:rsidRDefault="00024BCA" w:rsidP="00024BCA">
      <w:pPr>
        <w:widowControl/>
        <w:spacing w:line="560" w:lineRule="exact"/>
        <w:ind w:firstLineChars="200" w:firstLine="640"/>
        <w:outlineLvl w:val="1"/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  <w:t>（一）生态调控技术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生态调控是指以农业生态系统为总体，通过针对性地运用各种栽培技术措施，创造有利于农业作物生产和不利于害虫发生的条件，把害虫控制在经济损失允许的密度以下，并达到农业增产的目的。</w:t>
      </w:r>
    </w:p>
    <w:p w:rsidR="00024BCA" w:rsidRDefault="00024BCA" w:rsidP="00024BCA">
      <w:pPr>
        <w:numPr>
          <w:ilvl w:val="0"/>
          <w:numId w:val="3"/>
        </w:num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抗性品种的应用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/>
          <w:color w:val="333333"/>
          <w:sz w:val="32"/>
          <w:szCs w:val="32"/>
        </w:rPr>
        <w:t>抗性品种的应用是病虫防治最直接、最经济、最有效的措施之一。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为了从根本上降低病虫害发生率，首要选择适宜本地种植的抗性水稻品种。</w:t>
      </w:r>
    </w:p>
    <w:p w:rsidR="00024BCA" w:rsidRDefault="00024BCA" w:rsidP="00024BCA">
      <w:pPr>
        <w:numPr>
          <w:ilvl w:val="0"/>
          <w:numId w:val="3"/>
        </w:numPr>
        <w:spacing w:line="560" w:lineRule="exact"/>
        <w:ind w:firstLineChars="200" w:firstLine="640"/>
        <w:rPr>
          <w:rFonts w:ascii="方正仿宋_GBK" w:eastAsia="方正仿宋_GBK" w:hAnsi="黑体" w:cs="方正仿宋_GBK"/>
          <w:color w:val="333333"/>
          <w:sz w:val="32"/>
          <w:szCs w:val="32"/>
        </w:rPr>
      </w:pPr>
      <w:r>
        <w:rPr>
          <w:rFonts w:ascii="方正仿宋_GBK" w:eastAsia="方正仿宋_GBK" w:hAnsi="黑体" w:cs="方正仿宋_GBK"/>
          <w:color w:val="333333"/>
          <w:sz w:val="32"/>
          <w:szCs w:val="32"/>
        </w:rPr>
        <w:t>种养结合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的控虫技术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方正仿宋_GBK" w:eastAsia="方正仿宋_GBK" w:hAnsi="黑体" w:cs="方正仿宋_GBK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因地制宜运用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稻鸭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、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稻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鱼、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稻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虾共育技术，控制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稻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田虫害、草害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，可以实现水稻种植和稻田养殖业双赢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。如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稻鸭共育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可通过鸭群的取食和活动，减少田间害虫、杂草数量，减少农药使用量。同时，鸭子排泄物能增加稻田的有机肥含量，有效提高水稻产量。</w:t>
      </w:r>
    </w:p>
    <w:p w:rsidR="00024BCA" w:rsidRDefault="00024BCA" w:rsidP="00024BCA">
      <w:pPr>
        <w:widowControl/>
        <w:numPr>
          <w:ilvl w:val="0"/>
          <w:numId w:val="4"/>
        </w:numPr>
        <w:spacing w:line="560" w:lineRule="exact"/>
        <w:ind w:firstLineChars="200" w:firstLine="640"/>
        <w:outlineLvl w:val="1"/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  <w:t>农业防治技术</w:t>
      </w:r>
    </w:p>
    <w:p w:rsidR="00024BCA" w:rsidRDefault="00024BCA" w:rsidP="00024BCA">
      <w:pPr>
        <w:numPr>
          <w:ilvl w:val="0"/>
          <w:numId w:val="5"/>
        </w:numPr>
        <w:spacing w:line="560" w:lineRule="exact"/>
        <w:ind w:firstLineChars="200" w:firstLine="640"/>
        <w:rPr>
          <w:rFonts w:ascii="方正仿宋_GBK" w:eastAsia="方正仿宋_GBK" w:hAnsi="黑体" w:cs="方正仿宋_GBK"/>
          <w:color w:val="333333"/>
          <w:sz w:val="32"/>
          <w:szCs w:val="32"/>
        </w:rPr>
      </w:pPr>
      <w:r>
        <w:rPr>
          <w:rFonts w:ascii="方正仿宋_GBK" w:eastAsia="方正仿宋_GBK" w:hAnsi="黑体" w:cs="方正仿宋_GBK"/>
          <w:color w:val="333333"/>
          <w:sz w:val="32"/>
          <w:szCs w:val="32"/>
        </w:rPr>
        <w:t>科学育秧栽植</w:t>
      </w:r>
    </w:p>
    <w:p w:rsidR="00024BCA" w:rsidRDefault="00024BCA" w:rsidP="00024BCA">
      <w:pPr>
        <w:pStyle w:val="Default"/>
        <w:ind w:firstLineChars="200" w:firstLine="640"/>
        <w:rPr>
          <w:rFonts w:hAnsi="黑体" w:cs="方正仿宋_GBK"/>
          <w:color w:val="333333"/>
          <w:kern w:val="2"/>
          <w:sz w:val="32"/>
          <w:szCs w:val="32"/>
        </w:rPr>
      </w:pPr>
      <w:r>
        <w:rPr>
          <w:rFonts w:hAnsi="黑体" w:cs="方正仿宋_GBK"/>
          <w:color w:val="333333"/>
          <w:kern w:val="2"/>
          <w:sz w:val="32"/>
          <w:szCs w:val="32"/>
        </w:rPr>
        <w:t>采取统一播种、统一移栽的种植策略，避免相邻水稻田块存在生长阶段差异而出现病虫害的迁移问题。然后，播种培育壮秧，保证大田基本苗，播种期要和虫害盛行期和多雨天气错开</w:t>
      </w:r>
      <w:r>
        <w:rPr>
          <w:rFonts w:hAnsi="黑体" w:cs="方正仿宋_GBK" w:hint="eastAsia"/>
          <w:color w:val="333333"/>
          <w:kern w:val="2"/>
          <w:sz w:val="32"/>
          <w:szCs w:val="32"/>
        </w:rPr>
        <w:t>。</w:t>
      </w:r>
    </w:p>
    <w:p w:rsidR="00024BCA" w:rsidRDefault="00024BCA" w:rsidP="00024BCA">
      <w:pPr>
        <w:pStyle w:val="Default"/>
        <w:numPr>
          <w:ilvl w:val="0"/>
          <w:numId w:val="5"/>
        </w:numPr>
        <w:ind w:firstLineChars="200" w:firstLine="640"/>
        <w:rPr>
          <w:rFonts w:hAnsi="黑体" w:cs="方正仿宋_GBK"/>
          <w:color w:val="333333"/>
          <w:kern w:val="2"/>
          <w:sz w:val="32"/>
          <w:szCs w:val="32"/>
        </w:rPr>
      </w:pPr>
      <w:r>
        <w:rPr>
          <w:rFonts w:hAnsi="黑体" w:cs="方正仿宋_GBK" w:hint="eastAsia"/>
          <w:color w:val="333333"/>
          <w:kern w:val="2"/>
          <w:sz w:val="32"/>
          <w:szCs w:val="32"/>
        </w:rPr>
        <w:t>实施保健栽培</w:t>
      </w:r>
    </w:p>
    <w:p w:rsidR="00024BCA" w:rsidRDefault="00024BCA" w:rsidP="00024BCA">
      <w:pPr>
        <w:spacing w:line="560" w:lineRule="exact"/>
        <w:ind w:firstLineChars="200" w:firstLine="640"/>
      </w:pPr>
      <w:r>
        <w:rPr>
          <w:rFonts w:ascii="方正仿宋_GBK" w:eastAsia="方正仿宋_GBK" w:hAnsi="黑体" w:cs="方正仿宋_GBK"/>
          <w:color w:val="333333"/>
          <w:sz w:val="32"/>
          <w:szCs w:val="32"/>
        </w:rPr>
        <w:t>采用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“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控制总量，前足、中控、后攻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”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t>的施肥模式，控</w:t>
      </w:r>
      <w:r>
        <w:rPr>
          <w:rFonts w:ascii="方正仿宋_GBK" w:eastAsia="方正仿宋_GBK" w:hAnsi="黑体" w:cs="方正仿宋_GBK"/>
          <w:color w:val="333333"/>
          <w:sz w:val="32"/>
          <w:szCs w:val="32"/>
        </w:rPr>
        <w:lastRenderedPageBreak/>
        <w:t>制氮肥用量，并增施磷肥、钾肥；在水分管理上，采用湿润管理，及时搁田，控制无效分蘖，把田间水稻群体控制在合理水平，防止田间水稻群体生长旺盛而形成田间郁蔽，从而降低病虫害（特别是水稻纹枯病）的发生概率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。</w:t>
      </w:r>
    </w:p>
    <w:p w:rsidR="00024BCA" w:rsidRDefault="00024BCA" w:rsidP="00024BCA">
      <w:pPr>
        <w:widowControl/>
        <w:spacing w:line="560" w:lineRule="exact"/>
        <w:ind w:firstLineChars="200" w:firstLine="640"/>
        <w:outlineLvl w:val="1"/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</w:pPr>
      <w:bookmarkStart w:id="0" w:name="_Toc23827038"/>
      <w:bookmarkStart w:id="1" w:name="_Toc26089633"/>
      <w:r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  <w:t>（三） 理化诱控技术</w:t>
      </w:r>
    </w:p>
    <w:bookmarkEnd w:id="0"/>
    <w:bookmarkEnd w:id="1"/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hint="eastAsia"/>
          <w:color w:val="333333"/>
          <w:sz w:val="32"/>
          <w:szCs w:val="32"/>
        </w:rPr>
        <w:t>理化诱控技术主要是根据害虫固有的生物学习性（如趋光、迁飞、交配、产卵等），人为的、有针对性地采用物理、化学或其他的措施来诱集并最终杀灭害虫。水稻害虫理化诱控技术可明显减少农药施用、保护生态环境。</w:t>
      </w:r>
    </w:p>
    <w:p w:rsidR="00024BCA" w:rsidRDefault="00024BCA" w:rsidP="00024BCA">
      <w:pPr>
        <w:numPr>
          <w:ilvl w:val="0"/>
          <w:numId w:val="6"/>
        </w:numPr>
        <w:spacing w:line="560" w:lineRule="exact"/>
        <w:ind w:firstLineChars="200" w:firstLine="640"/>
        <w:rPr>
          <w:rFonts w:ascii="方正仿宋_GBK" w:eastAsia="方正仿宋_GBK" w:hAnsi="黑体"/>
          <w:color w:val="333333"/>
          <w:sz w:val="32"/>
          <w:szCs w:val="32"/>
        </w:rPr>
      </w:pPr>
      <w:r>
        <w:rPr>
          <w:rFonts w:ascii="方正仿宋_GBK" w:eastAsia="方正仿宋_GBK" w:hAnsi="黑体" w:hint="eastAsia"/>
          <w:color w:val="333333"/>
          <w:sz w:val="32"/>
          <w:szCs w:val="32"/>
        </w:rPr>
        <w:t>灯诱技术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hint="eastAsia"/>
          <w:color w:val="333333"/>
          <w:sz w:val="32"/>
          <w:szCs w:val="32"/>
        </w:rPr>
        <w:t>利用害虫的趋光特性，使用频振式杀虫灯诱杀水稻螟虫、稻纵卷叶螟、稻飞虱等主要害虫的成虫，降低虫口基数。为了提高频振灯的杀虫效果，一般每20~30亩稻田安装一盏，离地高度为1.5m，呈棋盘式分布。在4月上旬～10月上旬，每晚天黑至第二天天亮之前开灯。</w:t>
      </w:r>
    </w:p>
    <w:p w:rsidR="00024BCA" w:rsidRDefault="00024BCA" w:rsidP="00024BCA">
      <w:pPr>
        <w:numPr>
          <w:ilvl w:val="0"/>
          <w:numId w:val="6"/>
        </w:numPr>
        <w:spacing w:line="560" w:lineRule="exact"/>
        <w:ind w:firstLineChars="200" w:firstLine="640"/>
        <w:rPr>
          <w:rFonts w:ascii="方正仿宋_GBK" w:eastAsia="方正仿宋_GBK" w:hAnsi="黑体"/>
          <w:color w:val="333333"/>
          <w:sz w:val="32"/>
          <w:szCs w:val="32"/>
        </w:rPr>
      </w:pPr>
      <w:r>
        <w:rPr>
          <w:rFonts w:ascii="方正仿宋_GBK" w:eastAsia="方正仿宋_GBK" w:hAnsi="黑体" w:hint="eastAsia"/>
          <w:color w:val="333333"/>
          <w:sz w:val="32"/>
          <w:szCs w:val="32"/>
        </w:rPr>
        <w:t>性诱技术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/>
          <w:color w:val="333333"/>
          <w:sz w:val="32"/>
          <w:szCs w:val="32"/>
        </w:rPr>
      </w:pPr>
      <w:r>
        <w:rPr>
          <w:rFonts w:ascii="方正仿宋_GBK" w:eastAsia="方正仿宋_GBK" w:hAnsi="黑体"/>
          <w:color w:val="333333"/>
          <w:sz w:val="32"/>
          <w:szCs w:val="32"/>
        </w:rPr>
        <w:t>性诱剂诱杀法主要是在稻田中集中连片使用性信息素，通过群集诱杀或干扰害虫的正常交配来达到减轻为害的目的。实际使用过程中，</w:t>
      </w:r>
      <w:r>
        <w:rPr>
          <w:rFonts w:ascii="方正仿宋_GBK" w:eastAsia="方正仿宋_GBK" w:hAnsi="黑体" w:hint="eastAsia"/>
          <w:color w:val="333333"/>
          <w:sz w:val="32"/>
          <w:szCs w:val="32"/>
        </w:rPr>
        <w:t>如布设二化螟性诱捕器诱杀二化螟成虫，在二化螟发生初期，</w:t>
      </w:r>
      <w:r>
        <w:rPr>
          <w:rFonts w:ascii="方正仿宋_GBK" w:eastAsia="方正仿宋_GBK" w:hAnsi="黑体"/>
          <w:color w:val="333333"/>
          <w:sz w:val="32"/>
          <w:szCs w:val="32"/>
        </w:rPr>
        <w:t>每</w:t>
      </w:r>
      <w:r>
        <w:rPr>
          <w:rFonts w:ascii="方正仿宋_GBK" w:eastAsia="方正仿宋_GBK" w:hAnsi="黑体" w:hint="eastAsia"/>
          <w:color w:val="333333"/>
          <w:sz w:val="32"/>
          <w:szCs w:val="32"/>
        </w:rPr>
        <w:t>亩</w:t>
      </w:r>
      <w:r>
        <w:rPr>
          <w:rFonts w:ascii="方正仿宋_GBK" w:eastAsia="方正仿宋_GBK" w:hAnsi="黑体"/>
          <w:color w:val="333333"/>
          <w:sz w:val="32"/>
          <w:szCs w:val="32"/>
        </w:rPr>
        <w:t>稻田放置</w:t>
      </w:r>
      <w:r>
        <w:rPr>
          <w:rFonts w:ascii="方正仿宋_GBK" w:eastAsia="方正仿宋_GBK" w:hAnsi="黑体" w:hint="eastAsia"/>
          <w:color w:val="333333"/>
          <w:sz w:val="32"/>
          <w:szCs w:val="32"/>
        </w:rPr>
        <w:t>2套二化螟性诱捕器，内置性诱芯1根，放置时诱捕器高出水稻约20</w:t>
      </w:r>
      <w:r>
        <w:rPr>
          <w:rFonts w:ascii="方正仿宋_GBK" w:eastAsia="方正仿宋_GBK" w:hAnsi="黑体"/>
          <w:color w:val="333333"/>
          <w:sz w:val="32"/>
          <w:szCs w:val="32"/>
        </w:rPr>
        <w:t>~</w:t>
      </w:r>
      <w:r>
        <w:rPr>
          <w:rFonts w:ascii="方正仿宋_GBK" w:eastAsia="方正仿宋_GBK" w:hAnsi="黑体" w:hint="eastAsia"/>
          <w:color w:val="333333"/>
          <w:sz w:val="32"/>
          <w:szCs w:val="32"/>
        </w:rPr>
        <w:t>30cm，每4</w:t>
      </w:r>
      <w:r>
        <w:rPr>
          <w:rFonts w:ascii="方正仿宋_GBK" w:eastAsia="方正仿宋_GBK" w:hAnsi="黑体"/>
          <w:color w:val="333333"/>
          <w:sz w:val="32"/>
          <w:szCs w:val="32"/>
        </w:rPr>
        <w:t>~</w:t>
      </w:r>
      <w:r>
        <w:rPr>
          <w:rFonts w:ascii="方正仿宋_GBK" w:eastAsia="方正仿宋_GBK" w:hAnsi="黑体" w:hint="eastAsia"/>
          <w:color w:val="333333"/>
          <w:sz w:val="32"/>
          <w:szCs w:val="32"/>
        </w:rPr>
        <w:t>6周更换性诱芯一次</w:t>
      </w:r>
      <w:r>
        <w:rPr>
          <w:rFonts w:ascii="方正仿宋_GBK" w:eastAsia="方正仿宋_GBK" w:hAnsi="黑体"/>
          <w:color w:val="333333"/>
          <w:sz w:val="32"/>
          <w:szCs w:val="32"/>
        </w:rPr>
        <w:t>。</w:t>
      </w:r>
    </w:p>
    <w:p w:rsidR="00024BCA" w:rsidRDefault="00024BCA" w:rsidP="00024BCA">
      <w:pPr>
        <w:widowControl/>
        <w:spacing w:line="560" w:lineRule="exact"/>
        <w:ind w:firstLineChars="200" w:firstLine="640"/>
        <w:outlineLvl w:val="1"/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  <w:t>（四）</w:t>
      </w:r>
      <w:r>
        <w:rPr>
          <w:rFonts w:ascii="方正楷体_GBK" w:eastAsia="方正楷体_GBK" w:hAnsi="方正楷体_GBK" w:cs="方正楷体_GBK" w:hint="eastAsia"/>
          <w:color w:val="333333"/>
          <w:sz w:val="32"/>
          <w:szCs w:val="32"/>
        </w:rPr>
        <w:t>生物防治技术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生物防治技术是利用生物或其代谢产物来控制有害动、</w:t>
      </w: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lastRenderedPageBreak/>
        <w:t>植物种群或减轻其危害程度的方法，是水稻病虫害综合防治的重要措施之一。</w:t>
      </w:r>
    </w:p>
    <w:p w:rsidR="00024BCA" w:rsidRDefault="00024BCA" w:rsidP="00024BCA">
      <w:pPr>
        <w:numPr>
          <w:ilvl w:val="0"/>
          <w:numId w:val="7"/>
        </w:numPr>
        <w:spacing w:line="560" w:lineRule="exact"/>
        <w:ind w:firstLineChars="200" w:firstLine="640"/>
        <w:rPr>
          <w:rFonts w:ascii="方正仿宋_GBK" w:eastAsia="方正仿宋_GBK" w:hAnsi="Arial" w:cs="方正仿宋_GBK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保护天敌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可推行田埂种植大豆和双抢季节田埂上放草把，保护稻田天敌，发挥天敌对害虫的控制作用。另外，稻纵卷叶螟、二化螟的天敌主要是赤眼蜂，结合稻纵卷叶螟、二化螟的发生情况，在其羽化初期至成虫始盛期，选择阴天人工释放赤眼蜂，每亩释放密度以1万只为宜，每亩设置5～8个释放点，4 d左右释放 1次，可以有效控制稻纵卷叶螟、二化螟的种群数量。</w:t>
      </w:r>
    </w:p>
    <w:p w:rsidR="00024BCA" w:rsidRDefault="00024BCA" w:rsidP="00024BCA">
      <w:pPr>
        <w:numPr>
          <w:ilvl w:val="0"/>
          <w:numId w:val="7"/>
        </w:numPr>
        <w:spacing w:line="560" w:lineRule="exact"/>
        <w:ind w:firstLineChars="200" w:firstLine="640"/>
        <w:rPr>
          <w:rFonts w:ascii="方正仿宋_GBK" w:eastAsia="方正仿宋_GBK" w:hAnsi="Arial" w:cs="方正仿宋_GBK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/>
          <w:color w:val="333333"/>
          <w:kern w:val="0"/>
          <w:sz w:val="32"/>
          <w:szCs w:val="32"/>
        </w:rPr>
        <w:t>生物农药的利用</w:t>
      </w:r>
    </w:p>
    <w:p w:rsidR="00024BCA" w:rsidRDefault="00024BCA" w:rsidP="00024BCA">
      <w:pPr>
        <w:pStyle w:val="a4"/>
        <w:ind w:firstLine="640"/>
        <w:jc w:val="left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生物农药包括农用抗生素、微生物农药、植物源农药和核酸农药等，具有使用安全和环境友好等特点。目前，研制并推广的生物药剂有春雷霉素、井冈霉素、苏云金杆菌、阿维菌素、苦参碱和枯草芽孢杆菌等。</w:t>
      </w:r>
    </w:p>
    <w:p w:rsidR="00024BCA" w:rsidRDefault="00024BCA" w:rsidP="00024BCA">
      <w:pPr>
        <w:pStyle w:val="a4"/>
        <w:ind w:firstLine="640"/>
        <w:jc w:val="left"/>
        <w:rPr>
          <w:rFonts w:ascii="方正仿宋_GBK" w:eastAsia="方正仿宋_GBK" w:hAnsi="Arial" w:cs="方正仿宋_GBK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 xml:space="preserve">推广应用井冈霉素预防水稻纹枯病，水稻孕穗末期喷施1次，预防效果最佳；用枯草芽孢杆菌预防水稻稻瘟病，可在水稻破口期喷施一次，预防效果最佳。生物药剂需要避开高温干旱时期使用。 </w:t>
      </w:r>
    </w:p>
    <w:p w:rsidR="00024BCA" w:rsidRDefault="00024BCA" w:rsidP="00024BCA">
      <w:pPr>
        <w:widowControl/>
        <w:spacing w:line="560" w:lineRule="exact"/>
        <w:ind w:firstLineChars="200" w:firstLine="640"/>
        <w:outlineLvl w:val="1"/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color w:val="333333"/>
          <w:kern w:val="0"/>
          <w:sz w:val="32"/>
          <w:szCs w:val="32"/>
        </w:rPr>
        <w:t>（五）科学使用农药</w:t>
      </w:r>
    </w:p>
    <w:p w:rsidR="00024BCA" w:rsidRDefault="00024BCA" w:rsidP="00024BCA">
      <w:pPr>
        <w:numPr>
          <w:ilvl w:val="0"/>
          <w:numId w:val="8"/>
        </w:numPr>
        <w:spacing w:line="560" w:lineRule="exact"/>
        <w:ind w:firstLineChars="200" w:firstLine="640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适时准确使用农药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1.1秧田期要用好“送嫁药”。移栽前3~5天喷施，主要防治二化螟、苗稻瘟兼治灰飞虱、稻蓟马等，减轻大田病虫的发生为害。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lastRenderedPageBreak/>
        <w:t>1.2大田期重点打好三次防治总体战。第一次在水稻分蘖末期至拔节前期，主治纹枯病和“两迁”害虫，兼治二化螟，挑治稻叶瘟等；第二次在水稻破口抽穗期，主治穗颈瘟、稻曲病、纹枯病和“两迁”害虫；第三次在水稻齐穗期，主治穗颈瘟、纹枯病和“两迁”害虫。</w:t>
      </w:r>
    </w:p>
    <w:p w:rsidR="00024BCA" w:rsidRDefault="00024BCA" w:rsidP="00024BCA">
      <w:pPr>
        <w:numPr>
          <w:ilvl w:val="0"/>
          <w:numId w:val="8"/>
        </w:numPr>
        <w:spacing w:line="560" w:lineRule="exact"/>
        <w:ind w:firstLineChars="200" w:firstLine="640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推广使用新型药械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2.1选用低毒、低残、高效的新型农药。可在水稻病虫害防治关键期，科学合理地使用高效、低毒、低残留、环境友好型农药，并注意轮换用药，要求同一种（类）农药在整个水稻生育期内使用不超过2次，严格执行农药安全间隔期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Arial" w:cs="方正仿宋_GBK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2.2使用静电喷雾器、植保无人机等先进施药器械代替“跑、冒、滴、漏”的传统施药器械。</w:t>
      </w:r>
    </w:p>
    <w:p w:rsidR="00024BCA" w:rsidRDefault="00024BCA" w:rsidP="00024BCA">
      <w:pPr>
        <w:spacing w:line="560" w:lineRule="exact"/>
        <w:ind w:leftChars="200" w:left="420"/>
        <w:rPr>
          <w:rFonts w:ascii="方正仿宋_GBK" w:eastAsia="方正仿宋_GBK" w:hAnsi="Arial" w:cs="方正仿宋_GBK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（六）推行统防统治</w:t>
      </w:r>
    </w:p>
    <w:p w:rsidR="00024BCA" w:rsidRDefault="00024BCA" w:rsidP="00024BCA">
      <w:pPr>
        <w:pStyle w:val="a4"/>
        <w:ind w:firstLine="640"/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kern w:val="0"/>
          <w:sz w:val="32"/>
          <w:szCs w:val="32"/>
        </w:rPr>
        <w:t>按照“统一组织、统一技术、统一时间、统一物资”的模式，推行专业化统一防治或群防群治，提高防治效果。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cs="方正黑体_GBK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三、适宜区域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奉节县各生态区稻田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cs="方正黑体_GBK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四、技术效果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病虫为害损失率在5%以内，化学农药使用量较一般农户减少30%以上。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五、注意事项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1. 水稻病虫害统防统治应相对集中成片推进。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2. 发挥新型规模经营主体的带动作用。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黑体" w:hint="eastAsia"/>
          <w:color w:val="333333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3. 遵守农药安全使用规程。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lastRenderedPageBreak/>
        <w:t>六、支撑单位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楷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sz w:val="32"/>
          <w:szCs w:val="32"/>
        </w:rPr>
        <w:t>支撑单位：奉节</w:t>
      </w:r>
      <w:r>
        <w:rPr>
          <w:rFonts w:ascii="方正仿宋_GBK" w:eastAsia="方正仿宋_GBK" w:hAnsi="楷体" w:cs="方正仿宋_GBK" w:hint="eastAsia"/>
          <w:color w:val="333333"/>
          <w:sz w:val="32"/>
          <w:szCs w:val="32"/>
        </w:rPr>
        <w:t>县植物病虫害防治监测中心</w:t>
      </w:r>
    </w:p>
    <w:p w:rsidR="00024BCA" w:rsidRDefault="00024BCA" w:rsidP="00024BCA">
      <w:pPr>
        <w:spacing w:line="560" w:lineRule="exact"/>
        <w:ind w:firstLineChars="200" w:firstLine="640"/>
        <w:jc w:val="left"/>
        <w:rPr>
          <w:rFonts w:ascii="仿宋_GB2312" w:eastAsia="仿宋_GB2312" w:hAnsi="宋体" w:hint="eastAsia"/>
          <w:spacing w:val="20"/>
          <w:sz w:val="32"/>
          <w:szCs w:val="32"/>
        </w:rPr>
      </w:pP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联 系 人：田君（电话：13896913875）、赵海源（电话：</w:t>
      </w:r>
      <w:r>
        <w:rPr>
          <w:rFonts w:ascii="方正仿宋_GBK" w:eastAsia="方正仿宋_GBK" w:hAnsi="Arial" w:cs="方正仿宋_GBK" w:hint="eastAsia"/>
          <w:color w:val="333333"/>
          <w:sz w:val="32"/>
          <w:szCs w:val="32"/>
        </w:rPr>
        <w:t>18375980102</w:t>
      </w:r>
      <w:r>
        <w:rPr>
          <w:rFonts w:ascii="方正仿宋_GBK" w:eastAsia="方正仿宋_GBK" w:hAnsi="黑体" w:cs="方正仿宋_GBK" w:hint="eastAsia"/>
          <w:color w:val="333333"/>
          <w:sz w:val="32"/>
          <w:szCs w:val="32"/>
        </w:rPr>
        <w:t>）</w:t>
      </w:r>
    </w:p>
    <w:p w:rsidR="00024BCA" w:rsidRDefault="00024BCA" w:rsidP="00024BCA">
      <w:pPr>
        <w:spacing w:line="560" w:lineRule="exact"/>
        <w:ind w:firstLineChars="200" w:firstLine="420"/>
        <w:rPr>
          <w:rFonts w:eastAsia="方正仿宋_GBK" w:hint="eastAsia"/>
        </w:rPr>
      </w:pPr>
    </w:p>
    <w:p w:rsidR="00024BCA" w:rsidRDefault="00024BCA" w:rsidP="00024BCA">
      <w:pPr>
        <w:pStyle w:val="Default"/>
        <w:rPr>
          <w:rFonts w:hint="eastAsia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spacing w:line="600" w:lineRule="exact"/>
        <w:rPr>
          <w:rFonts w:ascii="方正黑体_GBK" w:eastAsia="方正黑体_GBK" w:hAnsi="Arial" w:cs="Arial" w:hint="eastAsia"/>
          <w:sz w:val="32"/>
          <w:szCs w:val="32"/>
        </w:rPr>
      </w:pPr>
      <w:r>
        <w:rPr>
          <w:rFonts w:ascii="方正黑体_GBK" w:eastAsia="方正黑体_GBK" w:hAnsi="Arial" w:cs="Arial" w:hint="eastAsia"/>
          <w:sz w:val="32"/>
          <w:szCs w:val="32"/>
        </w:rPr>
        <w:t>附件3</w:t>
      </w:r>
    </w:p>
    <w:p w:rsidR="00024BCA" w:rsidRDefault="00024BCA" w:rsidP="00024BCA">
      <w:pPr>
        <w:ind w:firstLineChars="300" w:firstLine="1320"/>
        <w:rPr>
          <w:rStyle w:val="a6"/>
          <w:rFonts w:ascii="方正黑体_GBK" w:eastAsia="方正黑体_GBK" w:hAnsi="方正黑体_GBK" w:cs="方正黑体_GBK" w:hint="eastAsia"/>
          <w:color w:val="000000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color w:val="000000"/>
          <w:kern w:val="0"/>
          <w:sz w:val="44"/>
          <w:szCs w:val="44"/>
          <w:lang/>
        </w:rPr>
        <w:t>优质肉兔规模高效养殖技术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Style w:val="a6"/>
          <w:rFonts w:ascii="方正黑体_GBK" w:eastAsia="方正黑体_GBK" w:hAnsi="方正黑体_GBK" w:cs="方正黑体_GBK" w:hint="eastAsia"/>
          <w:color w:val="000000"/>
          <w:sz w:val="32"/>
          <w:szCs w:val="32"/>
        </w:rPr>
      </w:pPr>
      <w:r>
        <w:rPr>
          <w:rStyle w:val="a6"/>
          <w:rFonts w:ascii="方正黑体_GBK" w:eastAsia="方正黑体_GBK" w:hAnsi="方正黑体_GBK" w:cs="方正黑体_GBK" w:hint="eastAsia"/>
          <w:color w:val="000000"/>
          <w:sz w:val="32"/>
          <w:szCs w:val="32"/>
        </w:rPr>
        <w:lastRenderedPageBreak/>
        <w:t>一、技术概述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（一）技术基本情况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肉兔规模养殖是肉兔产业发展的必由之路，该技术重点是肉兔规模场高效养殖八个技术要点，包括推广良种肉兔、人工授精、兔舍环境调控、全价颗粒饲料、全进全出饲养模式、无抗养殖、程序化免疫及粪污无害化处理等，提高肉兔规模场饲养管理水平和经济效益，同时也为我市肉兔标准化规模养殖提供技术依据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楷体_GBK" w:eastAsia="方正楷体_GBK" w:hAnsi="方正楷体_GBK" w:cs="方正楷体_GBK" w:hint="eastAsia"/>
          <w:color w:val="000000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color w:val="000000"/>
          <w:sz w:val="32"/>
          <w:szCs w:val="32"/>
          <w:shd w:val="clear" w:color="auto" w:fill="FFFFFF"/>
        </w:rPr>
        <w:t>（二）技术示范推广情况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近几年，主要在渝北、綦江、涪陵、忠县、铜梁等肉兔主产区进行推广应用优质肉兔规模高效养殖技术，成效十分显著。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jc w:val="both"/>
        <w:rPr>
          <w:rFonts w:hint="eastAsia"/>
          <w:sz w:val="32"/>
          <w:szCs w:val="32"/>
        </w:rPr>
      </w:pPr>
      <w:r>
        <w:rPr>
          <w:rFonts w:hint="eastAsia"/>
          <w:color w:val="333333"/>
          <w:sz w:val="32"/>
          <w:szCs w:val="32"/>
          <w:shd w:val="clear" w:color="auto" w:fill="FFFFFF"/>
        </w:rPr>
        <w:t>  </w:t>
      </w:r>
      <w:r>
        <w:rPr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  <w:t xml:space="preserve"> </w:t>
      </w:r>
      <w:r>
        <w:rPr>
          <w:rStyle w:val="a6"/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  <w:t>二、技术要点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（一）推广良种肉兔。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选择伊拉配套系兔、伊普吕配套系兔、伊高乐配套系兔等，这些配套系有生长发育快、饲料报酬高、抗病办强、屠宰率高等特点，是规模化商品肉兔生产的理想品种。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（二）推行人工授精。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推广肉兔人工授精技术，选择优秀种公兔，集中采精，高倍稀释，结合增加灯光照射和激素诱导发情，进行人工授精。人工授精技术是肉兔繁殖、品种改良最经济、最科学的一种方法，受胎率可达80%左右。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lastRenderedPageBreak/>
        <w:t>（三）调控兔舍环境。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规模化兔场主要选用封闭式或开放式兔舍，其通风、光照、温度等全部为人工控制，主要通过湿帘负压通风、排风扇、灯光等措施调节兔舍温度、湿度、氨气浓度以及光照等兔舍环境参数，创造适合肉兔生长、繁殖的良好环境，减少不必要的饲料消耗，增加养殖场效益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（四）应用全价颗粒饲料。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全价颗粒料是多种原料按一定比例搭配、混合均匀，可以用来直接饲喂、营养平衡的肉兔日粮，目前规模场一般都饲喂全价颗粒料，应用全价颗粒料可以最大程度的满足家兔营养需要，提高肉兔生产能力。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（五）推广全进全出饲养模式。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又称“全进全出循环繁育模式”或“肉兔工厂化生产”，按照同期发情、同期配种、同期产仔、同期出栏的“四同一”模式，一栋兔舍内饲养同一批同一日龄的兔子，全部兔子都在同一天开食断奶，同一天出售屠宰。该模式的核心技术是“繁殖控制技术”和“人工授精技术”，该模式便于兔舍、笼具彻底消毒，大幅度降低劳动强度，提高人均劳效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（六）推广无抗养殖。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家兔饲养过程中，应提高科学管理水平，消灭传染源，切断病源传播途径，提高兔体抗病力，合理规范用药。使用完全不含抗生素、激素、精神类药物、防腐剂、色素、瘦肉精等药物的无抗生物发酵饲料，用中草药、微生态制剂代替抗生素进行预防和治疗，实现家兔的健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lastRenderedPageBreak/>
        <w:t>康生长，实现兔肉产品中抗生素残留量符合现行安全肉标准，肉质鲜嫩、营养丰富与天然鲜品相当。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（七）推广程序化免疫。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规模兔场要根据本场实际情况制定适合本场的免疫程序。一般35日龄用兔瘟单苗或兔瘟巴氏杆菌二联苗首免，每只颈部皮下注射1毫升；60～65日龄用兔瘟单苗或兔瘟、巴氏杆菌二联苗二免，每只颈部皮下注射1毫升。如留用种兔，以后每隔4～6个月免疫注射一次，每只颈部皮下注射1毫升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  <w:shd w:val="clear" w:color="auto" w:fill="FFFFFF"/>
        </w:rPr>
        <w:t>（八）粪污无害化处理。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兔场废弃物处理坚持减量化、无害化、资源化的原则，推行雨污分流、干湿分离、沼气池发酵、沼液还田等粪污处理方式，减少废弃物排放、无害化处理废弃物、利用处理后资源。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Style w:val="a6"/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  <w:t>三、适宜区域</w:t>
      </w:r>
    </w:p>
    <w:p w:rsidR="00024BCA" w:rsidRDefault="00024BCA" w:rsidP="00024BCA">
      <w:pPr>
        <w:pStyle w:val="a5"/>
        <w:shd w:val="clear" w:color="auto" w:fill="FFFFFF"/>
        <w:spacing w:line="368" w:lineRule="atLeast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hint="eastAsia"/>
          <w:color w:val="333333"/>
          <w:sz w:val="32"/>
          <w:szCs w:val="32"/>
          <w:shd w:val="clear" w:color="auto" w:fill="FFFFFF"/>
        </w:rPr>
        <w:t>  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重庆范围内各规模化兔场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Style w:val="a6"/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</w:pPr>
      <w:r>
        <w:rPr>
          <w:rStyle w:val="a6"/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  <w:t>四、提质增效情况</w:t>
      </w:r>
    </w:p>
    <w:p w:rsidR="00024BCA" w:rsidRDefault="00024BCA" w:rsidP="00024BCA">
      <w:pPr>
        <w:pStyle w:val="a5"/>
        <w:shd w:val="clear" w:color="auto" w:fill="FFFFFF"/>
        <w:spacing w:line="368" w:lineRule="atLeast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hint="eastAsia"/>
          <w:color w:val="333333"/>
          <w:sz w:val="32"/>
          <w:szCs w:val="32"/>
          <w:shd w:val="clear" w:color="auto" w:fill="FFFFFF"/>
        </w:rPr>
        <w:t>  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规模兔场可以实现49天繁殖周期，最高可实现年产仔7窝，平均窝产8-9只，断奶成活率96%，育成率95%,一只母兔年活商品兔约50只以上。按照一栋兔舍500只母兔的规模计算，一栋兔舍年增加商品兔供应数量500*50=25000只，按照每出栏一只商品兔纯利润10元，一栋兔舍通过该模式可实现年增收25万元，增产增收效果显著。</w:t>
      </w:r>
    </w:p>
    <w:p w:rsidR="00024BCA" w:rsidRDefault="00024BCA" w:rsidP="00024BCA">
      <w:pPr>
        <w:pStyle w:val="a5"/>
        <w:shd w:val="clear" w:color="auto" w:fill="FFFFFF"/>
        <w:spacing w:line="368" w:lineRule="atLeast"/>
        <w:ind w:firstLineChars="200" w:firstLine="640"/>
        <w:jc w:val="both"/>
        <w:rPr>
          <w:rStyle w:val="a6"/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</w:pPr>
      <w:r>
        <w:rPr>
          <w:rStyle w:val="a6"/>
          <w:rFonts w:ascii="方正黑体_GBK" w:eastAsia="方正黑体_GBK" w:hAnsi="方正黑体_GBK" w:cs="方正黑体_GBK" w:hint="eastAsia"/>
          <w:sz w:val="32"/>
          <w:szCs w:val="32"/>
          <w:shd w:val="clear" w:color="auto" w:fill="FFFFFF"/>
        </w:rPr>
        <w:t>五、注意事项</w:t>
      </w:r>
    </w:p>
    <w:p w:rsidR="00024BCA" w:rsidRDefault="00024BCA" w:rsidP="00024BCA">
      <w:pPr>
        <w:pStyle w:val="a5"/>
        <w:shd w:val="clear" w:color="auto" w:fill="FFFFFF"/>
        <w:spacing w:line="368" w:lineRule="atLeast"/>
        <w:jc w:val="both"/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</w:pPr>
      <w:r>
        <w:rPr>
          <w:rFonts w:hint="eastAsia"/>
          <w:color w:val="333333"/>
          <w:sz w:val="32"/>
          <w:szCs w:val="32"/>
          <w:shd w:val="clear" w:color="auto" w:fill="FFFFFF"/>
        </w:rPr>
        <w:lastRenderedPageBreak/>
        <w:t>  </w:t>
      </w:r>
      <w:r>
        <w:rPr>
          <w:rFonts w:ascii="方正仿宋_GBK" w:eastAsia="方正仿宋_GBK" w:hAnsi="方正仿宋_GBK" w:cs="方正仿宋_GBK" w:hint="eastAsia"/>
          <w:color w:val="333333"/>
          <w:sz w:val="32"/>
          <w:szCs w:val="32"/>
          <w:shd w:val="clear" w:color="auto" w:fill="FFFFFF"/>
        </w:rPr>
        <w:t>该技术在规模化兔场推广应用过程中，应特别注意强化环境控制、优化兔舍环境，防止高密度饲养条下通风不良造成的高湿度环境，特别容易滋生病菌，导致家兔抗病力降低。  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黑体_GBK" w:eastAsia="方正黑体_GBK" w:hAnsi="黑体" w:hint="eastAsia"/>
          <w:color w:val="333333"/>
          <w:sz w:val="32"/>
          <w:szCs w:val="32"/>
        </w:rPr>
      </w:pPr>
      <w:r>
        <w:rPr>
          <w:rFonts w:ascii="方正黑体_GBK" w:eastAsia="方正黑体_GBK" w:hAnsi="黑体" w:cs="方正黑体_GBK" w:hint="eastAsia"/>
          <w:color w:val="333333"/>
          <w:sz w:val="32"/>
          <w:szCs w:val="32"/>
        </w:rPr>
        <w:t>六、支撑单位</w:t>
      </w:r>
    </w:p>
    <w:p w:rsidR="00024BCA" w:rsidRDefault="00024BCA" w:rsidP="00024BCA">
      <w:pPr>
        <w:spacing w:line="560" w:lineRule="exact"/>
        <w:ind w:firstLineChars="200" w:firstLine="640"/>
        <w:rPr>
          <w:rFonts w:ascii="方正仿宋_GBK" w:eastAsia="方正仿宋_GBK" w:hAnsi="楷体" w:cs="方正仿宋_GBK" w:hint="eastAsia"/>
          <w:color w:val="333333"/>
          <w:sz w:val="32"/>
          <w:szCs w:val="32"/>
        </w:rPr>
      </w:pPr>
      <w:r>
        <w:rPr>
          <w:rFonts w:ascii="方正仿宋_GBK" w:eastAsia="方正仿宋_GBK" w:hAnsi="Arial" w:cs="方正仿宋_GBK" w:hint="eastAsia"/>
          <w:color w:val="333333"/>
          <w:sz w:val="32"/>
          <w:szCs w:val="32"/>
        </w:rPr>
        <w:t>支撑单位：奉节</w:t>
      </w:r>
      <w:r>
        <w:rPr>
          <w:rFonts w:ascii="方正仿宋_GBK" w:eastAsia="方正仿宋_GBK" w:hAnsi="楷体" w:cs="方正仿宋_GBK" w:hint="eastAsia"/>
          <w:color w:val="333333"/>
          <w:sz w:val="32"/>
          <w:szCs w:val="32"/>
        </w:rPr>
        <w:t>县畜牧业发展中心</w:t>
      </w:r>
    </w:p>
    <w:p w:rsidR="00024BCA" w:rsidRDefault="00024BCA" w:rsidP="00024BCA">
      <w:pPr>
        <w:pStyle w:val="Default"/>
        <w:ind w:firstLineChars="200" w:firstLine="640"/>
        <w:rPr>
          <w:rFonts w:hint="eastAsia"/>
        </w:rPr>
      </w:pPr>
      <w:r>
        <w:rPr>
          <w:rFonts w:hAnsi="黑体" w:cs="方正仿宋_GBK" w:hint="eastAsia"/>
          <w:color w:val="333333"/>
          <w:sz w:val="32"/>
          <w:szCs w:val="32"/>
        </w:rPr>
        <w:t>联 系 人：赖纯明（电话：13594489898）</w:t>
      </w: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rPr>
          <w:rFonts w:ascii="方正仿宋_GBK" w:eastAsia="方正仿宋_GBK"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pStyle w:val="Default"/>
        <w:rPr>
          <w:rFonts w:hAnsi="Arial" w:cs="方正仿宋_GBK"/>
          <w:color w:val="333333"/>
          <w:sz w:val="32"/>
          <w:szCs w:val="32"/>
        </w:rPr>
      </w:pPr>
    </w:p>
    <w:p w:rsidR="00024BCA" w:rsidRDefault="00024BCA" w:rsidP="00024BCA">
      <w:pPr>
        <w:spacing w:line="600" w:lineRule="exact"/>
        <w:rPr>
          <w:rFonts w:hint="eastAsia"/>
        </w:rPr>
      </w:pPr>
      <w:r>
        <w:rPr>
          <w:rFonts w:ascii="方正黑体_GBK" w:eastAsia="方正黑体_GBK" w:hAnsi="Arial" w:cs="Arial" w:hint="eastAsia"/>
          <w:sz w:val="32"/>
          <w:szCs w:val="32"/>
        </w:rPr>
        <w:t>附件4</w:t>
      </w:r>
    </w:p>
    <w:p w:rsidR="00024BCA" w:rsidRDefault="00024BCA" w:rsidP="00024BCA">
      <w:pPr>
        <w:spacing w:line="480" w:lineRule="exact"/>
        <w:jc w:val="center"/>
        <w:rPr>
          <w:rFonts w:ascii="方正小标宋简体" w:eastAsia="方正小标宋简体" w:cs="方正小标宋_GBK"/>
          <w:bCs/>
          <w:color w:val="000000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bCs/>
          <w:color w:val="000000"/>
          <w:sz w:val="44"/>
          <w:szCs w:val="44"/>
        </w:rPr>
        <w:t>池塘养殖尾水综合治理技术</w:t>
      </w:r>
    </w:p>
    <w:p w:rsidR="00024BCA" w:rsidRDefault="00024BCA" w:rsidP="00024BCA">
      <w:pPr>
        <w:spacing w:line="480" w:lineRule="exact"/>
        <w:jc w:val="center"/>
        <w:rPr>
          <w:rFonts w:ascii="方正小标宋简体" w:eastAsia="方正小标宋简体" w:cs="方正小标宋_GBK"/>
          <w:b/>
          <w:color w:val="000000"/>
          <w:sz w:val="32"/>
          <w:szCs w:val="32"/>
        </w:rPr>
      </w:pPr>
    </w:p>
    <w:p w:rsidR="00024BCA" w:rsidRDefault="00024BCA" w:rsidP="00024BCA">
      <w:pPr>
        <w:ind w:firstLineChars="200" w:firstLine="640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一、技术内容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池塘养殖尾水治理综合技术是一种人为设计、生态工程化的废水处理技术，采取进排水改造、池塘底排污、生物净化、人工曝气、人工湿地、生态沟渠等技术措施，开展对集中连片池塘养殖区域和工厂化养殖尾水治理，推动养殖尾水资源化循环利用或达标排放。该技术融合了池塘鱼菜共生综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合种养、池塘底排污生态化改造技术、多级人工湿地、生态沟渠净水、多级沉淀池等多种技术，能显著去除养殖尾水中的氮、磷以及降低化学需氧量，具有成本低、维护少、用途广等特点。</w:t>
      </w:r>
    </w:p>
    <w:p w:rsidR="00024BCA" w:rsidRDefault="00024BCA" w:rsidP="00024BCA">
      <w:pPr>
        <w:ind w:firstLineChars="200" w:firstLine="640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二、技术要点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（一）养殖池塘架设生物浮床面积不超过池塘面积的15%，浮床包括PVC管浮床、竹子浮床、集装箱式浮床等，水上种植空心菜、水稻、花卉等水生植物，养殖塘中放养一定比例的鲢鳙等滤食性鱼类。</w:t>
      </w:r>
    </w:p>
    <w:p w:rsidR="00024BCA" w:rsidRDefault="00024BCA" w:rsidP="00024BCA">
      <w:pPr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10175" cy="2476500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476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CA" w:rsidRDefault="00024BCA" w:rsidP="00024BCA">
      <w:pPr>
        <w:ind w:firstLineChars="200" w:firstLine="420"/>
        <w:jc w:val="center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/>
        </w:rPr>
        <w:t>1  PVC</w:t>
      </w:r>
      <w:r>
        <w:rPr>
          <w:rFonts w:ascii="Times New Roman" w:hAnsi="Times New Roman"/>
        </w:rPr>
        <w:t>管浮床制作方法</w:t>
      </w:r>
    </w:p>
    <w:p w:rsidR="00024BCA" w:rsidRDefault="00024BCA" w:rsidP="00024BCA">
      <w:pPr>
        <w:ind w:firstLineChars="200" w:firstLine="420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>表层疏网：用</w:t>
      </w:r>
      <w:r>
        <w:rPr>
          <w:rFonts w:ascii="Times New Roman" w:hAnsi="Times New Roman"/>
        </w:rPr>
        <w:t>2-4cm</w:t>
      </w:r>
      <w:r>
        <w:rPr>
          <w:rFonts w:ascii="Times New Roman" w:hAnsi="Times New Roman"/>
        </w:rPr>
        <w:t>聚乙烯网片制作。</w:t>
      </w:r>
    </w:p>
    <w:p w:rsidR="00024BCA" w:rsidRDefault="00024BCA" w:rsidP="00024BCA">
      <w:pPr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>底层密网：用</w:t>
      </w:r>
      <w:r>
        <w:rPr>
          <w:rFonts w:ascii="Times New Roman" w:hAnsi="Times New Roman"/>
        </w:rPr>
        <w:t>&lt;0.5cm</w:t>
      </w:r>
      <w:r>
        <w:rPr>
          <w:rFonts w:ascii="Times New Roman" w:hAnsi="Times New Roman"/>
        </w:rPr>
        <w:t>的聚乙烯网片制作。</w:t>
      </w:r>
    </w:p>
    <w:p w:rsidR="00024BCA" w:rsidRDefault="00024BCA" w:rsidP="00024BCA">
      <w:pPr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3. PVC</w:t>
      </w:r>
      <w:r>
        <w:rPr>
          <w:rFonts w:ascii="Times New Roman" w:hAnsi="Times New Roman"/>
        </w:rPr>
        <w:t>管框架：直径</w:t>
      </w:r>
      <w:r>
        <w:rPr>
          <w:rFonts w:ascii="Times New Roman" w:hAnsi="Times New Roman"/>
        </w:rPr>
        <w:t>50-90mm</w:t>
      </w:r>
      <w:r>
        <w:rPr>
          <w:rFonts w:ascii="Times New Roman" w:hAnsi="Times New Roman"/>
        </w:rPr>
        <w:t>的</w:t>
      </w:r>
      <w:r>
        <w:rPr>
          <w:rFonts w:ascii="Times New Roman" w:hAnsi="Times New Roman"/>
        </w:rPr>
        <w:t>PVC</w:t>
      </w:r>
      <w:r>
        <w:rPr>
          <w:rFonts w:ascii="Times New Roman" w:hAnsi="Times New Roman"/>
        </w:rPr>
        <w:t>管。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二）池塘底排污改造：池塘底排污系统主要由底排污口、排污管道、排污出口竖井以及排污阀门等组成。排污口为方形，长×宽×深=80cm×80cm×40cm（以上），周围固化面积大于6m2，呈15～30°的锅底形；排污管为PVC管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通常小于30亩的池塘，排污管直径为110～160cm；大于30亩的池塘，排污管直径为200cm；排污出口竖井围绕较近池塘区域修建，池塘底排污口与竖井内出污口（竖井接口）有1～2%的坡度；采用自然沉淀法将排出的养殖沉积物进行固液分离，分离后固形物和分离液的比例约为1:9。</w:t>
      </w:r>
    </w:p>
    <w:p w:rsidR="00024BCA" w:rsidRDefault="00024BCA" w:rsidP="00024BCA">
      <w:pPr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105400" cy="2714625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146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CA" w:rsidRDefault="00024BCA" w:rsidP="00024BCA">
      <w:pPr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/>
        </w:rPr>
        <w:t xml:space="preserve">2  </w:t>
      </w:r>
      <w:r>
        <w:rPr>
          <w:rFonts w:ascii="Times New Roman" w:hAnsi="Times New Roman" w:hint="eastAsia"/>
        </w:rPr>
        <w:t>池塘底排污管道</w:t>
      </w:r>
      <w:r>
        <w:rPr>
          <w:rFonts w:ascii="Times New Roman" w:hAnsi="Times New Roman"/>
        </w:rPr>
        <w:t>设计图</w:t>
      </w:r>
    </w:p>
    <w:p w:rsidR="00024BCA" w:rsidRDefault="00024BCA" w:rsidP="00024BCA">
      <w:pPr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086350" cy="2781300"/>
            <wp:effectExtent l="1905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81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CA" w:rsidRDefault="00024BCA" w:rsidP="00024BCA">
      <w:pPr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/>
        </w:rPr>
        <w:t>3</w:t>
      </w:r>
      <w:r>
        <w:rPr>
          <w:rFonts w:ascii="Times New Roman" w:hAnsi="Times New Roman" w:hint="eastAsia"/>
        </w:rPr>
        <w:t>池塘底</w:t>
      </w:r>
      <w:r>
        <w:rPr>
          <w:rFonts w:ascii="Times New Roman" w:hAnsi="Times New Roman"/>
        </w:rPr>
        <w:t>排水</w:t>
      </w:r>
      <w:r>
        <w:rPr>
          <w:rFonts w:ascii="Times New Roman" w:hAnsi="Times New Roman" w:hint="eastAsia"/>
        </w:rPr>
        <w:t>设施</w:t>
      </w:r>
      <w:r>
        <w:rPr>
          <w:rFonts w:ascii="Times New Roman" w:hAnsi="Times New Roman"/>
        </w:rPr>
        <w:t>示意图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（三）生态沟渠：新建生态沟渠按照倒等腰梯形建设，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一般上部宽度为2-2.5m，底部宽度为1-1.5m，深度为1.3-1.5m。沟壁为混凝土多孔板结构，沟壁下增设3维植物网，沟底仍为土质。每50亩配备生态沟渠100m以上，通过加宽和挖深等方式提高排水渠道的排放水功能，渠道内种植水生植物，水面可架设生物浮床，可通过水生植物的吸收作用对养殖尾水进行初步处理，最终通过生态渠道将养殖尾水汇集至沉淀池。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四）多级沉淀池：多级沉淀池建设面积占养殖面积的3-5%左右，池深2.0-2.5m，由进水端的表流湿地（沉淀区）及深水区组成。其中表面流湿地宽10m，作为预处理单元，对水体中的粪便、残饵、底泥等固体颗粒物进行沉淀处理，设计有效水深为0.5m，种植常绿水生鸢尾、香蒲、苦草、金鱼藻、轮叶黑藻等挺、沉水植物。沉淀池深水区配置生态浮床，覆盖面达水面30%-50%，构建生物吸附网膜或安装生物毛刷，间隔5cm一根，底端有坠石，布设方向与水流方向垂直，对水体中的悬浮物进行拦截，实现悬浮污染物的高效去除。根据水质情况合理投放芽孢杆菌等微生物制剂，以吸收利用水体中氮磷营养物质。</w:t>
      </w:r>
    </w:p>
    <w:p w:rsidR="00024BCA" w:rsidRDefault="00024BCA" w:rsidP="00024BCA">
      <w:pPr>
        <w:ind w:firstLineChars="200" w:firstLine="4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448175" cy="2733675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733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CA" w:rsidRDefault="00024BCA" w:rsidP="00024BCA">
      <w:pPr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/>
        </w:rPr>
        <w:t xml:space="preserve">4 </w:t>
      </w:r>
      <w:r>
        <w:rPr>
          <w:rFonts w:ascii="Times New Roman" w:hAnsi="Times New Roman"/>
        </w:rPr>
        <w:t>多级沉淀池结构图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五）多级人工湿地：人工湿地的构建包含了人工湿地的基本结构、设计要点、人工湿地植物的选择与配置。一般由5部分组成：①具有透水性的基质，如土壤、砂、砾石、陶粒；②适合于在不同含水量环境生活的植物，如芦苇、美人蕉、空心菜；③水体（在基质表面之上或之下流动的水），湿地床的进水系统一般采用多孔管和三角堰等配水装置；④无脊椎或脊椎动物；⑤好氧或厌氧微生物群落。</w:t>
      </w:r>
    </w:p>
    <w:p w:rsidR="00024BCA" w:rsidRDefault="00024BCA" w:rsidP="00024BCA">
      <w:pPr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790950" cy="2752725"/>
            <wp:effectExtent l="1905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52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BCA" w:rsidRDefault="00024BCA" w:rsidP="00024BCA">
      <w:pPr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图</w:t>
      </w:r>
      <w:r>
        <w:rPr>
          <w:rFonts w:ascii="Times New Roman" w:hAnsi="Times New Roman"/>
        </w:rPr>
        <w:t xml:space="preserve">5 </w:t>
      </w:r>
      <w:r>
        <w:rPr>
          <w:rFonts w:ascii="Times New Roman" w:hAnsi="Times New Roman" w:hint="eastAsia"/>
        </w:rPr>
        <w:t>多级</w:t>
      </w:r>
      <w:r>
        <w:rPr>
          <w:rFonts w:ascii="Times New Roman" w:hAnsi="Times New Roman"/>
        </w:rPr>
        <w:t>人工湿地效果图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（六）过滤坝：过滤坝宽度不小于1m，长度不小于5m，采用空心砖主体结构，内铺设不同粒径的鹅卵石或碎石，鹅卵石表面种植美人蕉、鸢尾、冬麦等水生植物，以起到人工湿地的过滤、分解的作用。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七）曝气池：曝气池面积为总面积5%左右，约130㎡，可分割为多级，池内安装微孔增氧装置，配备1.5-3KW罗茨鼓风机，安装曝气头，使空气中的氧气充分溶解于水中，将水中不需要的气体或挥发性物质放逐到空气中。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八）生物净化池：生物净化池面积为尾水治理设施总面积50%左右，约2亩，种植沉水、挺水、浮叶等各类水生植物，以吸收利用水体中的氮磷营养盐；放养少量的鲢鳙鱼和河蚌、螺蛳、青虾等水生动物，一般每亩放养20-30尾鳙鱼、125尾鲢鱼，以滤食水体中的浮游动植物。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（九）水生植物的种类选择：沉水植物：选择狐尾藻、眼子菜、金鱼藻和伊乐藻等；挺水植物：香蒲、水芹菜、藕和美人蕉等；浮叶植物可选择菖蒲、睡莲、凤眼莲和空心菜等。</w:t>
      </w:r>
    </w:p>
    <w:p w:rsidR="00024BCA" w:rsidRDefault="00024BCA" w:rsidP="00024BCA">
      <w:pPr>
        <w:adjustRightInd w:val="0"/>
        <w:snapToGrid w:val="0"/>
        <w:spacing w:line="560" w:lineRule="exact"/>
        <w:ind w:firstLineChars="200" w:firstLine="640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三、适宜区域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广泛适用于普通精养池塘，特别适宜于山区老旧池塘。</w:t>
      </w:r>
    </w:p>
    <w:p w:rsidR="00024BCA" w:rsidRDefault="00024BCA" w:rsidP="00024BCA">
      <w:pPr>
        <w:adjustRightInd w:val="0"/>
        <w:snapToGrid w:val="0"/>
        <w:spacing w:line="560" w:lineRule="exact"/>
        <w:ind w:firstLineChars="200" w:firstLine="640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四、增产增效情况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通过推广该模式，能实现养殖尾水的资源化利用或达标排放，对破解渔业发展瓶颈、解决渔业提质增效与水环境保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护之间的矛盾、开启渔业绿色高质量发展具有重要作用。</w:t>
      </w:r>
    </w:p>
    <w:p w:rsidR="00024BCA" w:rsidRDefault="00024BCA" w:rsidP="00024BCA">
      <w:pPr>
        <w:adjustRightInd w:val="0"/>
        <w:snapToGrid w:val="0"/>
        <w:spacing w:line="560" w:lineRule="exact"/>
        <w:ind w:firstLineChars="200" w:firstLine="640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五、注意事项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该项技术综合性强、专业性强、技术量高，实施该项技术需专业技术人员需做好方案、图纸设计。</w:t>
      </w:r>
    </w:p>
    <w:p w:rsidR="00024BCA" w:rsidRDefault="00024BCA" w:rsidP="00024BCA">
      <w:pPr>
        <w:adjustRightInd w:val="0"/>
        <w:snapToGrid w:val="0"/>
        <w:spacing w:line="560" w:lineRule="exact"/>
        <w:ind w:firstLineChars="200" w:firstLine="640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六、支撑单位及专家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重庆市水产技术推广总站，重庆市生态渔产业技术体系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联系地址：重庆市北碚区悦复大道8号两江健康科技城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联系人：薛洋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联系电话：86716361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技术支撑单位：奉节县水产发展中心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联 系 人：刘竹鸣；李林</w:t>
      </w:r>
    </w:p>
    <w:p w:rsidR="00024BCA" w:rsidRDefault="00024BCA" w:rsidP="00024BCA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联系电话：023-56555157。</w:t>
      </w:r>
    </w:p>
    <w:p w:rsidR="00A92DFF" w:rsidRDefault="00A92DFF"/>
    <w:sectPr w:rsidR="00A92DFF" w:rsidSect="00A92D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方正黑体_GBK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_GBK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微软雅黑"/>
    <w:charset w:val="86"/>
    <w:family w:val="script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1" w:csb1="00000000"/>
  </w:font>
  <w:font w:name="方正小标宋简体">
    <w:altName w:val="黑体"/>
    <w:charset w:val="86"/>
    <w:family w:val="auto"/>
    <w:pitch w:val="default"/>
    <w:sig w:usb0="00000000" w:usb1="00000000" w:usb2="00000012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4E7984C"/>
    <w:multiLevelType w:val="singleLevel"/>
    <w:tmpl w:val="A4E7984C"/>
    <w:lvl w:ilvl="0">
      <w:start w:val="1"/>
      <w:numFmt w:val="decimal"/>
      <w:suff w:val="space"/>
      <w:lvlText w:val="%1."/>
      <w:lvlJc w:val="left"/>
    </w:lvl>
  </w:abstractNum>
  <w:abstractNum w:abstractNumId="1">
    <w:nsid w:val="DAE2D74A"/>
    <w:multiLevelType w:val="singleLevel"/>
    <w:tmpl w:val="DAE2D74A"/>
    <w:lvl w:ilvl="0">
      <w:start w:val="1"/>
      <w:numFmt w:val="decimal"/>
      <w:suff w:val="space"/>
      <w:lvlText w:val="%1."/>
      <w:lvlJc w:val="left"/>
    </w:lvl>
  </w:abstractNum>
  <w:abstractNum w:abstractNumId="2">
    <w:nsid w:val="E483EF41"/>
    <w:multiLevelType w:val="singleLevel"/>
    <w:tmpl w:val="E483EF4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E7406D23"/>
    <w:multiLevelType w:val="singleLevel"/>
    <w:tmpl w:val="E7406D23"/>
    <w:lvl w:ilvl="0">
      <w:start w:val="1"/>
      <w:numFmt w:val="decimal"/>
      <w:suff w:val="space"/>
      <w:lvlText w:val="%1."/>
      <w:lvlJc w:val="left"/>
    </w:lvl>
  </w:abstractNum>
  <w:abstractNum w:abstractNumId="4">
    <w:nsid w:val="16660EA3"/>
    <w:multiLevelType w:val="singleLevel"/>
    <w:tmpl w:val="16660EA3"/>
    <w:lvl w:ilvl="0">
      <w:start w:val="1"/>
      <w:numFmt w:val="decimal"/>
      <w:suff w:val="space"/>
      <w:lvlText w:val="%1."/>
      <w:lvlJc w:val="left"/>
    </w:lvl>
  </w:abstractNum>
  <w:abstractNum w:abstractNumId="5">
    <w:nsid w:val="23C3A42E"/>
    <w:multiLevelType w:val="singleLevel"/>
    <w:tmpl w:val="23C3A42E"/>
    <w:lvl w:ilvl="0">
      <w:start w:val="2"/>
      <w:numFmt w:val="chineseCounting"/>
      <w:suff w:val="space"/>
      <w:lvlText w:val="（%1）"/>
      <w:lvlJc w:val="left"/>
      <w:rPr>
        <w:rFonts w:hint="eastAsia"/>
      </w:rPr>
    </w:lvl>
  </w:abstractNum>
  <w:abstractNum w:abstractNumId="6">
    <w:nsid w:val="385957C7"/>
    <w:multiLevelType w:val="singleLevel"/>
    <w:tmpl w:val="385957C7"/>
    <w:lvl w:ilvl="0">
      <w:start w:val="1"/>
      <w:numFmt w:val="decimal"/>
      <w:suff w:val="space"/>
      <w:lvlText w:val="%1."/>
      <w:lvlJc w:val="left"/>
    </w:lvl>
  </w:abstractNum>
  <w:abstractNum w:abstractNumId="7">
    <w:nsid w:val="427041FC"/>
    <w:multiLevelType w:val="singleLevel"/>
    <w:tmpl w:val="427041FC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24BCA"/>
    <w:rsid w:val="00024BCA"/>
    <w:rsid w:val="00484AB1"/>
    <w:rsid w:val="00A92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24BCA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"/>
    <w:uiPriority w:val="99"/>
    <w:qFormat/>
    <w:rsid w:val="00024BCA"/>
    <w:pPr>
      <w:ind w:firstLineChars="200" w:firstLine="200"/>
    </w:pPr>
  </w:style>
  <w:style w:type="paragraph" w:styleId="a5">
    <w:name w:val="Normal (Web)"/>
    <w:basedOn w:val="a"/>
    <w:unhideWhenUsed/>
    <w:qFormat/>
    <w:rsid w:val="00024BCA"/>
    <w:pPr>
      <w:widowControl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1"/>
    <w:uiPriority w:val="22"/>
    <w:qFormat/>
    <w:rsid w:val="00024BCA"/>
    <w:rPr>
      <w:b/>
      <w:bCs w:val="0"/>
    </w:rPr>
  </w:style>
  <w:style w:type="paragraph" w:customStyle="1" w:styleId="Default">
    <w:name w:val="Default"/>
    <w:next w:val="a"/>
    <w:qFormat/>
    <w:rsid w:val="00024BCA"/>
    <w:pPr>
      <w:widowControl w:val="0"/>
      <w:autoSpaceDE w:val="0"/>
      <w:autoSpaceDN w:val="0"/>
      <w:adjustRightInd w:val="0"/>
    </w:pPr>
    <w:rPr>
      <w:rFonts w:ascii="方正仿宋_GBK" w:eastAsia="方正仿宋_GBK" w:hAnsi="Calibri" w:cs="Times New Roman"/>
      <w:color w:val="000000"/>
      <w:kern w:val="0"/>
      <w:sz w:val="24"/>
      <w:szCs w:val="24"/>
    </w:rPr>
  </w:style>
  <w:style w:type="paragraph" w:styleId="a0">
    <w:name w:val="Body Text"/>
    <w:basedOn w:val="a"/>
    <w:link w:val="Char"/>
    <w:uiPriority w:val="99"/>
    <w:semiHidden/>
    <w:unhideWhenUsed/>
    <w:rsid w:val="00024BCA"/>
    <w:pPr>
      <w:spacing w:after="120"/>
    </w:pPr>
  </w:style>
  <w:style w:type="character" w:customStyle="1" w:styleId="Char">
    <w:name w:val="正文文本 Char"/>
    <w:basedOn w:val="a1"/>
    <w:link w:val="a0"/>
    <w:uiPriority w:val="99"/>
    <w:semiHidden/>
    <w:rsid w:val="00024BCA"/>
    <w:rPr>
      <w:rFonts w:ascii="Calibri" w:eastAsia="宋体" w:hAnsi="Calibri" w:cs="Times New Roman"/>
      <w:szCs w:val="24"/>
    </w:rPr>
  </w:style>
  <w:style w:type="paragraph" w:styleId="a7">
    <w:name w:val="Balloon Text"/>
    <w:basedOn w:val="a"/>
    <w:link w:val="Char0"/>
    <w:uiPriority w:val="99"/>
    <w:semiHidden/>
    <w:unhideWhenUsed/>
    <w:rsid w:val="00024BCA"/>
    <w:rPr>
      <w:sz w:val="18"/>
      <w:szCs w:val="18"/>
    </w:rPr>
  </w:style>
  <w:style w:type="character" w:customStyle="1" w:styleId="Char0">
    <w:name w:val="批注框文本 Char"/>
    <w:basedOn w:val="a1"/>
    <w:link w:val="a7"/>
    <w:uiPriority w:val="99"/>
    <w:semiHidden/>
    <w:rsid w:val="00024BC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1262</Words>
  <Characters>7194</Characters>
  <Application>Microsoft Office Word</Application>
  <DocSecurity>0</DocSecurity>
  <Lines>59</Lines>
  <Paragraphs>16</Paragraphs>
  <ScaleCrop>false</ScaleCrop>
  <Company/>
  <LinksUpToDate>false</LinksUpToDate>
  <CharactersWithSpaces>8440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${userName!}</dc:creator>
  <cp:lastModifiedBy>${userName!}</cp:lastModifiedBy>
  <cp:revision>1</cp:revision>
  <dcterms:created xsi:type="dcterms:W3CDTF">2022-06-29T06:20:00Z</dcterms:created>
  <dcterms:modified xsi:type="dcterms:W3CDTF">2022-06-29T06:20:00Z</dcterms:modified>
</cp:coreProperties>
</file>