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9022" w:type="dxa"/>
        <w:tblInd w:w="93" w:type="dxa"/>
        <w:tblBorders>
          <w:top w:val="single" w:color="auto" w:sz="40" w:space="0"/>
          <w:left w:val="single" w:color="auto" w:sz="40" w:space="0"/>
          <w:bottom w:val="single" w:color="auto" w:sz="40" w:space="0"/>
          <w:right w:val="single" w:color="auto" w:sz="40" w:space="0"/>
          <w:insideH w:val="single" w:color="auto" w:sz="40" w:space="0"/>
          <w:insideV w:val="single" w:color="auto" w:sz="4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0"/>
        <w:gridCol w:w="1080"/>
        <w:gridCol w:w="901"/>
        <w:gridCol w:w="1695"/>
        <w:gridCol w:w="990"/>
        <w:gridCol w:w="690"/>
        <w:gridCol w:w="1096"/>
        <w:gridCol w:w="228"/>
        <w:gridCol w:w="108"/>
        <w:gridCol w:w="262"/>
        <w:gridCol w:w="570"/>
        <w:gridCol w:w="782"/>
      </w:tblGrid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9022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40"/>
                <w:szCs w:val="40"/>
              </w:rPr>
            </w:pPr>
            <w:bookmarkStart w:id="0" w:name="_GoBack"/>
            <w:bookmarkEnd w:id="0"/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40"/>
                <w:szCs w:val="40"/>
                <w:lang w:eastAsia="zh-CN"/>
              </w:rPr>
              <w:t>项目支出预算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40"/>
                <w:szCs w:val="40"/>
              </w:rPr>
              <w:t>绩效</w:t>
            </w:r>
          </w:p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40"/>
                <w:szCs w:val="4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40"/>
                <w:szCs w:val="40"/>
              </w:rPr>
              <w:t>目标自评表</w:t>
            </w: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022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 xml:space="preserve">（ 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  <w:lang w:val="en-US" w:eastAsia="zh-CN"/>
              </w:rPr>
              <w:t>2023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 xml:space="preserve"> 年度）</w:t>
            </w: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项目名称</w:t>
            </w:r>
          </w:p>
        </w:tc>
        <w:tc>
          <w:tcPr>
            <w:tcW w:w="358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both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eastAsia="zh-CN"/>
              </w:rPr>
              <w:t>集约化搬迁</w:t>
            </w: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201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项目负责人</w:t>
            </w:r>
          </w:p>
        </w:tc>
        <w:tc>
          <w:tcPr>
            <w:tcW w:w="172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eastAsia="zh-CN"/>
              </w:rPr>
              <w:t>张敏</w:t>
            </w: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　</w:t>
            </w: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主管部门</w:t>
            </w:r>
          </w:p>
        </w:tc>
        <w:tc>
          <w:tcPr>
            <w:tcW w:w="358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eastAsia="zh-CN"/>
              </w:rPr>
              <w:t>奉节县经济和信息化委员会</w:t>
            </w: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201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实施单位</w:t>
            </w:r>
          </w:p>
        </w:tc>
        <w:tc>
          <w:tcPr>
            <w:tcW w:w="172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eastAsia="zh-CN"/>
              </w:rPr>
              <w:t>县经信委</w:t>
            </w: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　</w:t>
            </w: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资金情况（万元）</w:t>
            </w:r>
          </w:p>
        </w:tc>
        <w:tc>
          <w:tcPr>
            <w:tcW w:w="25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类       别</w:t>
            </w:r>
          </w:p>
        </w:tc>
        <w:tc>
          <w:tcPr>
            <w:tcW w:w="9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分值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5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9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49.9992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10分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5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  其中：财政拨款</w:t>
            </w:r>
          </w:p>
        </w:tc>
        <w:tc>
          <w:tcPr>
            <w:tcW w:w="9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49.9992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10分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5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        其他资金</w:t>
            </w:r>
          </w:p>
        </w:tc>
        <w:tc>
          <w:tcPr>
            <w:tcW w:w="9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年初设定目标</w:t>
            </w:r>
          </w:p>
        </w:tc>
        <w:tc>
          <w:tcPr>
            <w:tcW w:w="304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年度总体完成情况综述</w:t>
            </w: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2" w:hRule="exact"/>
        </w:trPr>
        <w:tc>
          <w:tcPr>
            <w:tcW w:w="170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确保全年OA信息系统畅通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304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确保全年OA信息系统畅通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-69215</wp:posOffset>
                      </wp:positionH>
                      <wp:positionV relativeFrom="paragraph">
                        <wp:posOffset>6350</wp:posOffset>
                      </wp:positionV>
                      <wp:extent cx="0" cy="180975"/>
                      <wp:effectExtent l="4445" t="0" r="14605" b="9525"/>
                      <wp:wrapNone/>
                      <wp:docPr id="1" name="直接箭头连接符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80975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2" type="#_x0000_t32" style="position:absolute;left:0pt;margin-left:-5.45pt;margin-top:0.5pt;height:14.25pt;width:0pt;z-index:251659264;mso-width-relative:page;mso-height-relative:page;" filled="f" stroked="t" coordsize="21600,21600" o:gfxdata="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exact"/>
        </w:trPr>
        <w:tc>
          <w:tcPr>
            <w:tcW w:w="62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绩效指标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9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both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年度指标值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分值</w:t>
            </w:r>
          </w:p>
        </w:tc>
        <w:tc>
          <w:tcPr>
            <w:tcW w:w="109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实际完成值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得分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未完成原因及拟采取的措施</w:t>
            </w: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9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产出指标（50分）</w:t>
            </w:r>
          </w:p>
        </w:tc>
        <w:tc>
          <w:tcPr>
            <w:tcW w:w="90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接入宽带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20条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109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20条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8分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9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方正仿宋_GBK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数据专线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4条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109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4条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方正仿宋_GBK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物理设备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100台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109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100台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9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搬迁完成率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＝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09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方正仿宋_GBK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质量合格率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=100%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09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6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按时完成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率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＝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109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  <w:lang w:val="en-US"/>
              </w:rPr>
            </w:pP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效益指标</w:t>
            </w:r>
          </w:p>
          <w:p>
            <w:pPr>
              <w:pStyle w:val="2"/>
              <w:rPr>
                <w:rFonts w:hint="eastAsia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30分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9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经济效益指标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9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社会效益指标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9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方正仿宋_GBK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基本保障率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方正仿宋_GBK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=100%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109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=100%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9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9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9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9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满意度指标（10分）</w:t>
            </w:r>
          </w:p>
        </w:tc>
        <w:tc>
          <w:tcPr>
            <w:tcW w:w="90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9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服务对象满意率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＝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09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9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numPr>
                <w:ilvl w:val="0"/>
                <w:numId w:val="0"/>
              </w:numPr>
              <w:spacing w:line="300" w:lineRule="exact"/>
              <w:ind w:leftChars="0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合计</w:t>
            </w:r>
          </w:p>
        </w:tc>
        <w:tc>
          <w:tcPr>
            <w:tcW w:w="901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09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1614" w:type="dxa"/>
          <w:trHeight w:val="330" w:hRule="atLeast"/>
        </w:trPr>
        <w:tc>
          <w:tcPr>
            <w:tcW w:w="7408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hint="default" w:ascii="宋体" w:hAnsi="宋体" w:eastAsia="方正仿宋_GBK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填报单位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负责人：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李俊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        填表人：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古海枚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      填报日期：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2023.12.17</w:t>
            </w: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1614" w:type="dxa"/>
          <w:trHeight w:val="330" w:hRule="atLeast"/>
        </w:trPr>
        <w:tc>
          <w:tcPr>
            <w:tcW w:w="7408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2"/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85D09D4"/>
    <w:rsid w:val="085D09D4"/>
    <w:rsid w:val="136334AE"/>
    <w:rsid w:val="677874D0"/>
    <w:rsid w:val="6FA336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nhideWhenUsed/>
    <w:qFormat/>
    <w:uiPriority w:val="99"/>
    <w:pPr>
      <w:spacing w:after="120"/>
    </w:pPr>
    <w:rPr>
      <w:rFonts w:ascii="Times New Roman" w:hAnsi="Times New Roman" w:eastAsia="宋体" w:cs="Times New Roman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Office_11.1.0.7989_F1E327BC-269C-435d-A152-05C5408002CA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2024-04-19T06:28:00Z</dcterms:created>
  <dc:creator>Administrator</dc:creator>
  <cp:lastModifiedBy>Administrator</cp:lastModifiedBy>
  <dcterms:modified xsi:type="dcterms:W3CDTF">2024-12-24T05:38:44Z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2052-11.1.0.7989</vt:lpwstr>
  </property>
</Properties>
</file>