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奉节县人民政府办公室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关于印发《构建招商新格局十项工作机制》的通知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/>
        <w:jc w:val="both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/>
        <w:jc w:val="both"/>
        <w:textAlignment w:val="auto"/>
        <w:rPr>
          <w:rFonts w:hint="eastAsia" w:ascii="Times New Roman" w:hAnsi="Times New Roman" w:eastAsia="方正楷体_GBK" w:cs="方正楷体_GBK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kern w:val="2"/>
          <w:sz w:val="32"/>
          <w:szCs w:val="32"/>
          <w:lang w:eastAsia="zh-CN"/>
        </w:rPr>
        <w:t>各乡镇人民政府、各街道办事处，县政府</w:t>
      </w:r>
      <w:r>
        <w:rPr>
          <w:rFonts w:hint="eastAsia" w:ascii="Times New Roman" w:hAnsi="Times New Roman" w:eastAsia="方正楷体_GBK" w:cs="方正楷体_GBK"/>
          <w:snapToGrid/>
          <w:kern w:val="2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楷体_GBK" w:cs="方正楷体_GBK"/>
          <w:snapToGrid/>
          <w:kern w:val="2"/>
          <w:sz w:val="32"/>
          <w:szCs w:val="32"/>
          <w:lang w:eastAsia="zh-CN"/>
        </w:rPr>
        <w:t>部门，有关单位：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kern w:val="2"/>
          <w:sz w:val="32"/>
          <w:szCs w:val="32"/>
          <w:lang w:eastAsia="zh-CN"/>
        </w:rPr>
        <w:t>经县政府研究同意，现将《构建招商新格局十项工作机制》印发给你们，请结合实际，抓好贯彻落实。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/>
        <w:jc w:val="lef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/>
        <w:jc w:val="lef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firstLine="4800" w:firstLineChars="1500"/>
        <w:jc w:val="lef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奉节县人民政府办公室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firstLine="5440" w:firstLineChars="1700"/>
        <w:jc w:val="left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2025年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94" w:lineRule="exact"/>
        <w:ind w:left="0" w:leftChars="0" w:firstLine="0" w:firstLine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94" w:lineRule="exact"/>
        <w:ind w:left="0" w:leftChars="0" w:firstLine="0" w:firstLine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leftChars="0" w:firstLine="0" w:firstLine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94" w:lineRule="exact"/>
        <w:ind w:left="0" w:leftChars="0" w:firstLine="0" w:firstLine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left="0" w:leftChars="0" w:firstLine="0" w:firstLineChars="0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center"/>
        <w:textAlignment w:val="baseline"/>
        <w:rPr>
          <w:rFonts w:ascii="Times New Roman" w:hAnsi="Times New Roman" w:eastAsia="方正小标宋_GBK" w:cs="方正小标宋_GBK"/>
          <w:spacing w:val="0"/>
          <w:sz w:val="43"/>
          <w:szCs w:val="43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center"/>
        <w:textAlignment w:val="baseline"/>
        <w:rPr>
          <w:rFonts w:ascii="Times New Roman" w:hAnsi="Times New Roman" w:eastAsia="方正小标宋_GBK" w:cs="方正小标宋_GBK"/>
          <w:spacing w:val="0"/>
          <w:sz w:val="43"/>
          <w:szCs w:val="43"/>
        </w:rPr>
      </w:pPr>
      <w:r>
        <w:rPr>
          <w:rFonts w:ascii="Times New Roman" w:hAnsi="Times New Roman" w:eastAsia="方正小标宋_GBK" w:cs="方正小标宋_GBK"/>
          <w:spacing w:val="0"/>
          <w:sz w:val="43"/>
          <w:szCs w:val="43"/>
        </w:rPr>
        <w:t>构建招商新格局十项工作机制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ascii="Times New Roman" w:hAnsi="Times New Roman" w:eastAsia="方正楷体_GBK" w:cs="方正楷体_GBK"/>
          <w:spacing w:val="0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ascii="Times New Roman" w:hAnsi="Times New Roman"/>
          <w:spacing w:val="0"/>
          <w:sz w:val="32"/>
          <w:szCs w:val="32"/>
        </w:rPr>
        <w:t>根据全市提升招商引资工作系统性、协同性、实效性要求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为进一步加强招商工作规范化、制度化建设和管理，促进招商引资工作合规、高效、跨越式发展，构建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招商链条、招商品牌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/>
          <w:spacing w:val="0"/>
          <w:sz w:val="32"/>
          <w:szCs w:val="32"/>
        </w:rPr>
        <w:t>统筹调度、扶持政策、信息共享、项目策划、投资决策、要素服务、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履约监管、</w:t>
      </w:r>
      <w:r>
        <w:rPr>
          <w:rFonts w:ascii="Times New Roman" w:hAnsi="Times New Roman"/>
          <w:spacing w:val="0"/>
          <w:sz w:val="32"/>
          <w:szCs w:val="32"/>
        </w:rPr>
        <w:t>工作保障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招商新格局十项工作机制。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一、 迭代招商体系，构建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产业链招商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工作机制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72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迭代工作体系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。</w:t>
      </w:r>
      <w:r>
        <w:rPr>
          <w:rFonts w:ascii="Times New Roman" w:hAnsi="Times New Roman"/>
          <w:spacing w:val="0"/>
          <w:sz w:val="32"/>
          <w:szCs w:val="32"/>
        </w:rPr>
        <w:t>建立由县领导分别担任产业链链长、行业部门归口管理、乡镇（街道）联合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服务</w:t>
      </w:r>
      <w:r>
        <w:rPr>
          <w:rFonts w:ascii="Times New Roman" w:hAnsi="Times New Roman"/>
          <w:spacing w:val="0"/>
          <w:sz w:val="32"/>
          <w:szCs w:val="32"/>
        </w:rPr>
        <w:t>的招商工作机制。明确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重点产业链招商专班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+</w:t>
      </w:r>
      <w:r>
        <w:rPr>
          <w:rFonts w:ascii="Times New Roman" w:hAnsi="Times New Roman"/>
          <w:spacing w:val="0"/>
          <w:sz w:val="32"/>
          <w:szCs w:val="32"/>
        </w:rPr>
        <w:t>驻外招商办事处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+</w:t>
      </w:r>
      <w:r>
        <w:rPr>
          <w:rFonts w:ascii="Times New Roman" w:hAnsi="Times New Roman"/>
          <w:spacing w:val="0"/>
          <w:sz w:val="32"/>
          <w:szCs w:val="32"/>
        </w:rPr>
        <w:t>主要经济部门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+</w:t>
      </w:r>
      <w:r>
        <w:rPr>
          <w:rFonts w:ascii="Times New Roman" w:hAnsi="Times New Roman"/>
          <w:spacing w:val="0"/>
          <w:sz w:val="32"/>
          <w:szCs w:val="32"/>
        </w:rPr>
        <w:t>乡镇（街道）服务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招商责任主体，构建聚集投资热点、行业优势、产业链条、专业运作、全程服务的招商体系。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县发展改革委、县科技局、县交通运输委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县农业农村委、县商务委、县文化旅游委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县投资促进中心、县脐橙产业中心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20"/>
        <w:jc w:val="both"/>
        <w:textAlignment w:val="baseline"/>
        <w:rPr>
          <w:rFonts w:hint="eastAsia" w:ascii="Times New Roman" w:hAnsi="Times New Roman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推进精准招商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楷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产业链招商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”要</w:t>
      </w:r>
      <w:r>
        <w:rPr>
          <w:rFonts w:ascii="Times New Roman" w:hAnsi="Times New Roman"/>
          <w:spacing w:val="0"/>
          <w:sz w:val="32"/>
          <w:szCs w:val="32"/>
        </w:rPr>
        <w:t>分别聚焦产业链核心项目和关键环节，绘制产业链招商图谱，招引行业标杆、龙头企业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围绕产业链上下游强链补链，促进企业集群融合发展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县发展改革委、县科技局、县交通运输委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县农业农村委、县商务委、县文化旅游委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县投资促进中心、县脐橙产业中心</w:t>
      </w:r>
    </w:p>
    <w:p>
      <w:pPr>
        <w:pStyle w:val="2"/>
        <w:keepNext w:val="0"/>
        <w:keepLines w:val="0"/>
        <w:pageBreakBefore w:val="0"/>
        <w:widowControl/>
        <w:tabs>
          <w:tab w:val="left" w:pos="915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）推进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招才引智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。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招商引资与招才引智</w:t>
      </w:r>
      <w:r>
        <w:rPr>
          <w:rFonts w:ascii="Times New Roman" w:hAnsi="Times New Roman"/>
          <w:spacing w:val="0"/>
          <w:sz w:val="32"/>
          <w:szCs w:val="32"/>
        </w:rPr>
        <w:t>同步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结合经济发展和企业需求，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方正仿宋_GBK"/>
          <w:color w:val="000000"/>
          <w:spacing w:val="0"/>
          <w:sz w:val="32"/>
          <w:szCs w:val="32"/>
        </w:rPr>
        <w:t>创业人才回引、技能人才回归、高校毕业生回乡</w:t>
      </w:r>
      <w:r>
        <w:rPr>
          <w:rFonts w:hint="eastAsia" w:ascii="Times New Roman" w:hAnsi="Times New Roman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实现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项目＋人才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同时落地，营造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来奉节、创未来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浓厚氛围。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县人力社保局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县教委、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二、打造招商品牌，构建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一体化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产业宣传机制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50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打造投资奉节品牌矩阵。</w:t>
      </w:r>
      <w:r>
        <w:rPr>
          <w:rFonts w:ascii="Times New Roman" w:hAnsi="Times New Roman"/>
          <w:spacing w:val="0"/>
          <w:sz w:val="32"/>
          <w:szCs w:val="32"/>
        </w:rPr>
        <w:t>构建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1+3+N</w:t>
      </w:r>
      <w:r>
        <w:rPr>
          <w:rFonts w:hint="eastAsia" w:ascii="Times New Roman" w:hAnsi="Times New Roman" w:eastAsia="宋体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招商工作品牌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打造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投资奉节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招商主品牌、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千企奉节行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</w:t>
      </w:r>
      <w:r>
        <w:rPr>
          <w:rFonts w:ascii="Times New Roman" w:hAnsi="Times New Roman"/>
          <w:spacing w:val="0"/>
          <w:sz w:val="32"/>
          <w:szCs w:val="32"/>
        </w:rPr>
        <w:t>返乡兴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奉节”“</w:t>
      </w:r>
      <w:r>
        <w:rPr>
          <w:rFonts w:ascii="Times New Roman" w:hAnsi="Times New Roman"/>
          <w:spacing w:val="0"/>
          <w:sz w:val="32"/>
          <w:szCs w:val="32"/>
        </w:rPr>
        <w:t>奉上好品上新品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等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3</w:t>
      </w:r>
      <w:r>
        <w:rPr>
          <w:rFonts w:ascii="Times New Roman" w:hAnsi="Times New Roman"/>
          <w:spacing w:val="0"/>
          <w:sz w:val="32"/>
          <w:szCs w:val="32"/>
        </w:rPr>
        <w:t>个招商子品牌，培育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奉节脐橙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”“奉节</w:t>
      </w:r>
      <w:r>
        <w:rPr>
          <w:rFonts w:ascii="Times New Roman" w:hAnsi="Times New Roman"/>
          <w:spacing w:val="0"/>
          <w:sz w:val="32"/>
          <w:szCs w:val="32"/>
        </w:rPr>
        <w:t>肉兔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”“奉节</w:t>
      </w:r>
      <w:r>
        <w:rPr>
          <w:rFonts w:ascii="Times New Roman" w:hAnsi="Times New Roman"/>
          <w:spacing w:val="0"/>
          <w:sz w:val="32"/>
          <w:szCs w:val="32"/>
        </w:rPr>
        <w:t>中药材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</w:t>
      </w:r>
      <w:r>
        <w:rPr>
          <w:rFonts w:ascii="Times New Roman" w:hAnsi="Times New Roman"/>
          <w:spacing w:val="0"/>
          <w:sz w:val="32"/>
          <w:szCs w:val="32"/>
        </w:rPr>
        <w:t>奉节眼镜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等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N</w:t>
      </w:r>
      <w:r>
        <w:rPr>
          <w:rFonts w:ascii="Times New Roman" w:hAnsi="Times New Roman"/>
          <w:spacing w:val="0"/>
          <w:sz w:val="32"/>
          <w:szCs w:val="32"/>
        </w:rPr>
        <w:t>个具有奉节辨识度和投资价值的产业品牌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形成各具特色、形式多样的招商品牌矩阵。与行业协会、重庆驻外商会、投资机构、落地企业等建立联合推广机制，强化推介宣传合作。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楷体_GBK" w:cs="方正楷体_GBK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县发展改革委、县经济信息委、县农业农村委、县商务委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县工商联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28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打造立体招商宣传矩阵。</w:t>
      </w:r>
      <w:r>
        <w:rPr>
          <w:rFonts w:ascii="Times New Roman" w:hAnsi="Times New Roman"/>
          <w:spacing w:val="0"/>
          <w:sz w:val="32"/>
          <w:szCs w:val="32"/>
        </w:rPr>
        <w:t>依托官方主阵地、短视频平台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/>
          <w:spacing w:val="0"/>
          <w:sz w:val="32"/>
          <w:szCs w:val="32"/>
        </w:rPr>
        <w:t>新闻客户端、社交互动端、线下实体端等定期发布招商动态。借助行业展会、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西洽会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</w:t>
      </w:r>
      <w:r>
        <w:rPr>
          <w:rFonts w:ascii="Times New Roman" w:hAnsi="Times New Roman"/>
          <w:spacing w:val="0"/>
          <w:sz w:val="32"/>
          <w:szCs w:val="32"/>
        </w:rPr>
        <w:t>智博会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</w:t>
      </w:r>
      <w:r>
        <w:rPr>
          <w:rFonts w:ascii="Times New Roman" w:hAnsi="Times New Roman"/>
          <w:spacing w:val="0"/>
          <w:sz w:val="32"/>
          <w:szCs w:val="32"/>
        </w:rPr>
        <w:t>广交会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等大型平台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加强招商专题宣传造势。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牵头单位：县委宣传部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仿宋_GBK" w:cs="方正仿宋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责任单位：县经济信息委、县商务委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县融媒体中心、县投资促进中心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三、加强统筹谋划，构建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一盘棋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招商调度机制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3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统筹调度全县招商工作。</w:t>
      </w:r>
      <w:r>
        <w:rPr>
          <w:rFonts w:ascii="Times New Roman" w:hAnsi="Times New Roman"/>
          <w:spacing w:val="0"/>
          <w:sz w:val="32"/>
          <w:szCs w:val="32"/>
        </w:rPr>
        <w:t>由县委、县政府主要领导牵头，每季度集中调度全县招商引资整体进展情况，集中解决重大招商项目落地难点、堵点问题。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牵头单位：县委办公室、县政府办公室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责任单位：各乡镇（街道）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县经济信息委、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县交通运输委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县农业农村委、县商务委、县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文化旅游委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县投资促进中心、县脐橙产业中心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2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链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式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调度产业链招商。</w:t>
      </w:r>
      <w:r>
        <w:rPr>
          <w:rFonts w:ascii="Times New Roman" w:hAnsi="Times New Roman"/>
          <w:spacing w:val="0"/>
          <w:sz w:val="32"/>
          <w:szCs w:val="32"/>
        </w:rPr>
        <w:t>由各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产业链招商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链长负责统筹协调产业链招商的政策、资金、项目和专业人员，落实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一专班一链条一方案一政策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，对标年度总体目标，每个产业链招商专班抽调业务骨干不少于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5</w:t>
      </w:r>
      <w:r>
        <w:rPr>
          <w:rFonts w:ascii="Times New Roman" w:hAnsi="Times New Roman"/>
          <w:spacing w:val="0"/>
          <w:sz w:val="32"/>
          <w:szCs w:val="32"/>
        </w:rPr>
        <w:t>名，协调招商项目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洽谈、签约、开工、投产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全过程跟踪和企业全生命周期服务，构建全周期、全流程、全环节、全要素的闭环管控机制。全方位跟进重点区域、重点行业、重点项目为主的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三类对象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运行；通过运行监测、原因剖析、问题化解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三种方式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，形成每月监测、每季调度、每年评价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三项机制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，推动全县招商引资提质增效。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牵头单位：县经济信息委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责任单位：各乡镇（街道）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县发展改革委、县科技局、县交通运输委、县农业农村委、县商务委、县文化旅游委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县投资促进中心、县脐橙产业中心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21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完善招商引资质效评价。</w:t>
      </w:r>
      <w:r>
        <w:rPr>
          <w:rFonts w:ascii="Times New Roman" w:hAnsi="Times New Roman"/>
          <w:spacing w:val="0"/>
          <w:sz w:val="32"/>
          <w:szCs w:val="32"/>
        </w:rPr>
        <w:t>按市级统一要求，结合我县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产业链招商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机制，完善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周收集、月调度、季会商、年激励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招商引资运行调度机制，发挥真抓实干激励举措作用，强化招商项目投资效果评价评估。定期汇总分析研判全县招商情况，编发《招商工作专报》。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牵头单位：县投资促进中心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319" w:leftChars="152" w:right="0" w:firstLine="320" w:firstLineChars="100"/>
        <w:jc w:val="left"/>
        <w:textAlignment w:val="baseline"/>
        <w:rPr>
          <w:rFonts w:hint="eastAsia" w:ascii="Times New Roman" w:hAnsi="Times New Roman" w:eastAsia="方正楷体_GBK" w:cs="方正楷体_GBK"/>
          <w:snapToGrid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napToGrid/>
          <w:spacing w:val="0"/>
          <w:sz w:val="32"/>
          <w:szCs w:val="32"/>
        </w:rPr>
        <w:t>责任单位：县发展改革委、县经济信息委、县农业农</w:t>
      </w:r>
      <w:r>
        <w:rPr>
          <w:rFonts w:hint="eastAsia" w:ascii="Times New Roman" w:hAnsi="Times New Roman" w:eastAsia="方正楷体_GBK" w:cs="方正楷体_GBK"/>
          <w:snapToGrid/>
          <w:spacing w:val="0"/>
          <w:sz w:val="32"/>
          <w:szCs w:val="32"/>
          <w:lang w:eastAsia="zh-CN"/>
        </w:rPr>
        <w:t>村委、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left"/>
        <w:textAlignment w:val="baseline"/>
        <w:rPr>
          <w:rFonts w:hint="eastAsia" w:ascii="Times New Roman" w:hAnsi="Times New Roman" w:eastAsia="方正楷体_GBK" w:cs="方正楷体_GBK"/>
          <w:snapToGrid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napToGrid/>
          <w:spacing w:val="0"/>
          <w:sz w:val="32"/>
          <w:szCs w:val="32"/>
        </w:rPr>
        <w:t>县商务委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</w:rPr>
        <w:t>严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守红线底线，构建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规范化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政策扶持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机制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baseline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（一）规范优化招商政策体系。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进一步强化法治观念，严</w:t>
      </w:r>
    </w:p>
    <w:p>
      <w:pPr>
        <w:keepNext w:val="0"/>
        <w:keepLines w:val="0"/>
        <w:pageBreakBefore w:val="0"/>
        <w:widowControl/>
        <w:tabs>
          <w:tab w:val="left" w:pos="165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both"/>
        <w:textAlignment w:val="baseline"/>
        <w:rPr>
          <w:rFonts w:hint="eastAsia" w:ascii="Times New Roman" w:hAnsi="Times New Roman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格禁止突破国家法律法规和超越自身承受能力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“</w:t>
      </w:r>
      <w:r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拼政策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”“</w:t>
      </w:r>
      <w:r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拼补贴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”</w:t>
      </w:r>
      <w:r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。迭代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“</w:t>
      </w:r>
      <w:r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中长期招商规划、产业规划、年度招商工作要点、1+N支持政策体系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”</w:t>
      </w:r>
      <w:r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，规范优化《奉节县产业政策汇编》，及时研究制定发布招商投资扶持政策落实措施，提高政策落实的实效性、精准性和效率。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县发展改革委、县农业农村委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37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规范招商政策兑现。</w:t>
      </w:r>
      <w:r>
        <w:rPr>
          <w:rFonts w:ascii="Times New Roman" w:hAnsi="Times New Roman"/>
          <w:spacing w:val="0"/>
          <w:sz w:val="32"/>
          <w:szCs w:val="32"/>
        </w:rPr>
        <w:t>贯彻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亩均论英雄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及投资平衡理念，形成招商一本账，算清招商项目投入产出账、权利义务账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/>
          <w:spacing w:val="0"/>
          <w:sz w:val="32"/>
          <w:szCs w:val="32"/>
        </w:rPr>
        <w:t>成本效益账，进一步完善政策兑付机制。依托市级部门招商引资政策执行监管平台，对招商引资项目实施备案和动态监测，定期追踪承诺事项兑付情况。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县发展改革委、县农业农村委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五、注重集成赋能，构建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互通式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信息共享机制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57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工具包集成赋能。</w:t>
      </w:r>
      <w:r>
        <w:rPr>
          <w:rFonts w:ascii="Times New Roman" w:hAnsi="Times New Roman"/>
          <w:spacing w:val="0"/>
          <w:sz w:val="32"/>
          <w:szCs w:val="32"/>
        </w:rPr>
        <w:t>完善以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企业家资源库、高校校友资源库、乡情资源库、驻外招商资源库、招商知识库、招商项目资金需求库、可招商土地库、招商专家库，应用场景清单、产业高质量发展机会清单，产业链招商手册、招商网络手册，产业链招商图谱，奉节县投资指南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等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八库两清单两册一图一指南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招商工具包，为全县招商工作赋能。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各乡镇（街道），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55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优化信息互通机制。</w:t>
      </w:r>
      <w:r>
        <w:rPr>
          <w:rFonts w:ascii="Times New Roman" w:hAnsi="Times New Roman"/>
          <w:snapToGrid/>
          <w:spacing w:val="0"/>
          <w:sz w:val="32"/>
          <w:szCs w:val="32"/>
        </w:rPr>
        <w:t>每季度组织相关产业链责任部门召开专题会议，实现信息共享、项目互动、共同研判、统筹招商，共同研究制定推进全县招商工作的具体举措。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98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共享投资机会清单。</w:t>
      </w:r>
      <w:r>
        <w:rPr>
          <w:rFonts w:ascii="Times New Roman" w:hAnsi="Times New Roman"/>
          <w:spacing w:val="0"/>
          <w:sz w:val="32"/>
          <w:szCs w:val="32"/>
        </w:rPr>
        <w:t>立足产业基础、资源禀赋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定期组织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行业部门、乡镇（街道）</w:t>
      </w:r>
      <w:r>
        <w:rPr>
          <w:rFonts w:ascii="Times New Roman" w:hAnsi="Times New Roman"/>
          <w:spacing w:val="0"/>
          <w:sz w:val="32"/>
          <w:szCs w:val="32"/>
        </w:rPr>
        <w:t>挖掘投资机会，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策划</w:t>
      </w:r>
      <w:r>
        <w:rPr>
          <w:rFonts w:ascii="Times New Roman" w:hAnsi="Times New Roman"/>
          <w:spacing w:val="0"/>
          <w:sz w:val="32"/>
          <w:szCs w:val="32"/>
        </w:rPr>
        <w:t>招商项目、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开放</w:t>
      </w:r>
      <w:r>
        <w:rPr>
          <w:rFonts w:ascii="Times New Roman" w:hAnsi="Times New Roman"/>
          <w:spacing w:val="0"/>
          <w:sz w:val="32"/>
          <w:szCs w:val="32"/>
        </w:rPr>
        <w:t>应用场景，发布《奉节产业高质量发展机会清单》《奉节场景机会清单》，主动释放资源要素，让企业知道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奉节需要什么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/>
          <w:spacing w:val="0"/>
          <w:sz w:val="32"/>
          <w:szCs w:val="32"/>
        </w:rPr>
        <w:t>企业能投什么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”，</w:t>
      </w:r>
      <w:r>
        <w:rPr>
          <w:rFonts w:ascii="Times New Roman" w:hAnsi="Times New Roman"/>
          <w:spacing w:val="0"/>
          <w:sz w:val="32"/>
          <w:szCs w:val="32"/>
        </w:rPr>
        <w:t>推动由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政府给优惠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向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政府给机会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转变，争取资源配置最优化、招商效益最大化。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县经济信息委、县科技局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六、强化产业布局，构建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全周期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项目策划机制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58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强化产业布局统筹。</w:t>
      </w:r>
      <w:r>
        <w:rPr>
          <w:rFonts w:ascii="Times New Roman" w:hAnsi="Times New Roman"/>
          <w:spacing w:val="0"/>
          <w:sz w:val="32"/>
          <w:szCs w:val="32"/>
        </w:rPr>
        <w:t>加强产业规划布局，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依据</w:t>
      </w:r>
      <w:r>
        <w:rPr>
          <w:rFonts w:ascii="Times New Roman" w:hAnsi="Times New Roman"/>
          <w:spacing w:val="0"/>
          <w:sz w:val="32"/>
          <w:szCs w:val="32"/>
        </w:rPr>
        <w:t>《重庆市先进制造业发展产业地图》和全县产业发展现状，结合资源禀赋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/>
          <w:spacing w:val="0"/>
          <w:sz w:val="32"/>
          <w:szCs w:val="32"/>
        </w:rPr>
        <w:t>产业基础、特色优势进行错位招商。加强对招商策划项目的审核管理，确保推出的项目符合产业规划布局、具备要素保障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条件、具备</w:t>
      </w:r>
      <w:r>
        <w:rPr>
          <w:rFonts w:ascii="Times New Roman" w:hAnsi="Times New Roman"/>
          <w:spacing w:val="0"/>
          <w:sz w:val="32"/>
          <w:szCs w:val="32"/>
        </w:rPr>
        <w:t>实施可行性、能够吸引企业投资。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方正楷体_GBK" w:cs="方正楷体_GBK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县规划自然资源局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县农业农村委、县商务委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outlineLvl w:val="0"/>
        <w:rPr>
          <w:rFonts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七、注重项目研判，构建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全流程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投资决策机制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64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综合研判项目。</w:t>
      </w:r>
      <w:r>
        <w:rPr>
          <w:rFonts w:ascii="Times New Roman" w:hAnsi="Times New Roman"/>
          <w:spacing w:val="0"/>
          <w:sz w:val="32"/>
          <w:szCs w:val="32"/>
        </w:rPr>
        <w:t>建立重大项目引进评估机制，全面掌握项目投资基本情况，拟投资落地项目的投资规模、投入产出强度、产出效益、发展前景、产业匹配度、政策诉求，必要时可委托第三方机构开展尽职调查。同步核查项目用地规划、能耗指标及环境承载力，在立项阶段开展前置审查，重点核查用地布局是否符合国土空间规划及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三区三线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管控要求、能耗强度是否低于区域平均水平、污染物排放是否满足环境承载力阈值。招引责任单位要组织相关领域专家对招商引资项目进行全面评估，形成项目落地可行性评估意见，为项目招引提供科学决策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县发展改革委、县规划自然资源局、县农业农村委、县商务委、县林业局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59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集体审议决策。</w:t>
      </w:r>
      <w:r>
        <w:rPr>
          <w:rFonts w:ascii="Times New Roman" w:hAnsi="Times New Roman"/>
          <w:spacing w:val="0"/>
          <w:sz w:val="32"/>
          <w:szCs w:val="32"/>
        </w:rPr>
        <w:t>招引责任单位根据议事规则，将拟定的双方协议内容、项目预评估结论及相关职能部门意见，按照县级、行业和园区三级审批原则，提交相对应的决策机构集体审议。通过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现场踏勘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+</w:t>
      </w:r>
      <w:r>
        <w:rPr>
          <w:rFonts w:ascii="Times New Roman" w:hAnsi="Times New Roman"/>
          <w:spacing w:val="0"/>
          <w:sz w:val="32"/>
          <w:szCs w:val="32"/>
        </w:rPr>
        <w:t>材料审核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+</w:t>
      </w:r>
      <w:r>
        <w:rPr>
          <w:rFonts w:ascii="Times New Roman" w:hAnsi="Times New Roman"/>
          <w:spacing w:val="0"/>
          <w:sz w:val="32"/>
          <w:szCs w:val="32"/>
        </w:rPr>
        <w:t>质询答辩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等方式开展综合评估，重点审查能耗指标匹配度、融资方案可行性及政策合规性。集体审议后形成会议纪要等正式意见，杜绝重大事项集体决策流于形式。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县发展改革委、县科技局、县交通运输委、县农业农村委、县商务委、县文化旅游委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outlineLvl w:val="0"/>
        <w:rPr>
          <w:rFonts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八、形成联动合力，构建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全县域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要素服务机制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61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要素保障协调联动。</w:t>
      </w:r>
      <w:r>
        <w:rPr>
          <w:rFonts w:ascii="Times New Roman" w:hAnsi="Times New Roman"/>
          <w:spacing w:val="0"/>
          <w:sz w:val="32"/>
          <w:szCs w:val="32"/>
        </w:rPr>
        <w:t>强化全县招商项目要素保障协调联动，集中解决土地、资金、环保等困难问题。加强土地资源统筹调配，优先保障重大招商项目用地。加大对招商项目的资金支持力度，拓宽融资渠道。优化环保等行政审批服务，提高审批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楷体_GBK" w:cs="方正楷体_GBK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各乡镇（街道）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县发展改革委、县财政局、县人力社保局、县规划自然资源局、县生态环境局、县住房城乡建委、县交通运输委、县卫生健康委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县林业局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74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产业基金协同招商。</w:t>
      </w:r>
      <w:r>
        <w:rPr>
          <w:rFonts w:ascii="Times New Roman" w:hAnsi="Times New Roman"/>
          <w:spacing w:val="0"/>
          <w:sz w:val="32"/>
          <w:szCs w:val="32"/>
        </w:rPr>
        <w:t>发挥投资机构渠道作用，深挖投资机构及被投企业资源，吸引来奉交流合作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/>
          <w:spacing w:val="0"/>
          <w:sz w:val="32"/>
          <w:szCs w:val="32"/>
        </w:rPr>
        <w:t>开展投资。全力争取市级产业母基金建立奉节产业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子基金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”，“</w:t>
      </w:r>
      <w:r>
        <w:rPr>
          <w:rFonts w:ascii="Times New Roman" w:hAnsi="Times New Roman"/>
          <w:spacing w:val="0"/>
          <w:sz w:val="32"/>
          <w:szCs w:val="32"/>
        </w:rPr>
        <w:t>以投促引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</w:t>
      </w:r>
      <w:r>
        <w:rPr>
          <w:rFonts w:ascii="Times New Roman" w:hAnsi="Times New Roman"/>
          <w:spacing w:val="0"/>
          <w:sz w:val="32"/>
          <w:szCs w:val="32"/>
        </w:rPr>
        <w:t>招投联动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”“</w:t>
      </w:r>
      <w:r>
        <w:rPr>
          <w:rFonts w:ascii="Times New Roman" w:hAnsi="Times New Roman"/>
          <w:spacing w:val="0"/>
          <w:sz w:val="32"/>
          <w:szCs w:val="32"/>
        </w:rPr>
        <w:t>投孵结合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，引导资本投早、投小、投长期、投硬科技。充分挖掘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专精特新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直投基金作用，围绕人工智能、低空经济等领域，支持优质招商项目落地。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县经济信息委、县国资管理中心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ascii="Times New Roman" w:hAnsi="Times New Roman" w:eastAsia="方正楷体_GBK" w:cs="方正楷体_GBK"/>
          <w:spacing w:val="-6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县发展改革委、县科技局、县财政局、县商务委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59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强化助企服务工作。</w:t>
      </w:r>
      <w:r>
        <w:rPr>
          <w:rFonts w:hint="eastAsia" w:ascii="Times New Roman" w:hAnsi="Times New Roman" w:eastAsia="方正仿宋_GB18030" w:cs="方正仿宋_GB18030"/>
          <w:spacing w:val="0"/>
          <w:sz w:val="32"/>
          <w:szCs w:val="32"/>
          <w:lang w:eastAsia="zh-CN"/>
        </w:rPr>
        <w:t>全面落实“领导联系企业”清单，</w:t>
      </w:r>
      <w:r>
        <w:rPr>
          <w:rFonts w:ascii="Times New Roman" w:hAnsi="Times New Roman"/>
          <w:spacing w:val="0"/>
          <w:sz w:val="32"/>
          <w:szCs w:val="32"/>
        </w:rPr>
        <w:t>强化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线下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企业服务专员制度，把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高效办成一件事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作为服务企业的重要抓手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0"/>
          <w:sz w:val="32"/>
          <w:szCs w:val="32"/>
        </w:rPr>
        <w:t>完善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最多跑一次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”、“办事不出园”</w:t>
      </w:r>
      <w:r>
        <w:rPr>
          <w:rFonts w:ascii="Times New Roman" w:hAnsi="Times New Roman"/>
          <w:spacing w:val="0"/>
          <w:sz w:val="32"/>
          <w:szCs w:val="32"/>
        </w:rPr>
        <w:t>等服务模式。运用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快帮快办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平台和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企业码上服务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综合场景应用，着力打通惠企政策落地落实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最后一公里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各乡镇（街道），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县发展改革委、县财政局、县商务委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县民营经济促进中心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outlineLvl w:val="0"/>
        <w:rPr>
          <w:rFonts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九、强化跟踪监测，构建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全过程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履约监管机制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29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完善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双履约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实时监管。</w:t>
      </w:r>
      <w:r>
        <w:rPr>
          <w:rFonts w:ascii="Times New Roman" w:hAnsi="Times New Roman"/>
          <w:spacing w:val="0"/>
          <w:sz w:val="32"/>
          <w:szCs w:val="32"/>
        </w:rPr>
        <w:t>由链长牵头、行业部门负责对政企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双履约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情况进行全程跟踪监测，依托平台线上企业申报、线下定期对接等方式，对政企双方承诺事项实时监管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。</w:t>
      </w:r>
      <w:r>
        <w:rPr>
          <w:rFonts w:ascii="Times New Roman" w:hAnsi="Times New Roman"/>
          <w:spacing w:val="0"/>
          <w:sz w:val="32"/>
          <w:szCs w:val="32"/>
        </w:rPr>
        <w:t>出现违约的，由行业部门提出企业违约监管书面意见和限时整改意见，必要时由第三方中介机构进行评估，并监督限时整改。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县发展改革委、县农业农村委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29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（二）规范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项目清理清退。</w:t>
      </w:r>
      <w:r>
        <w:rPr>
          <w:rFonts w:ascii="Times New Roman" w:hAnsi="Times New Roman"/>
          <w:spacing w:val="0"/>
          <w:sz w:val="32"/>
          <w:szCs w:val="32"/>
        </w:rPr>
        <w:t>实施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招商项目专项清理行动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，建立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履约能力动态评估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+</w:t>
      </w:r>
      <w:r>
        <w:rPr>
          <w:rFonts w:ascii="Times New Roman" w:hAnsi="Times New Roman"/>
          <w:spacing w:val="0"/>
          <w:sz w:val="32"/>
          <w:szCs w:val="32"/>
        </w:rPr>
        <w:t>僵尸项目分类退出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0"/>
          <w:sz w:val="32"/>
          <w:szCs w:val="32"/>
        </w:rPr>
        <w:t>制度，对借投资之名行融资之实，不履行合同、不按期开工，慢建久拖等圈地、囤地行为或逾期开工、多次催促无实质性进展的项目，以及企业违约且未达限时整改目标的，通过约谈、协议终止、法律途径等方式及时调整退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县发展改革委、县农业农村委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黑体_GBK" w:cs="方正黑体_GBK"/>
          <w:spacing w:val="0"/>
          <w:sz w:val="32"/>
          <w:szCs w:val="32"/>
        </w:rPr>
      </w:pP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十、强化激励措施，构建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全方位</w:t>
      </w:r>
      <w:r>
        <w:rPr>
          <w:rFonts w:hint="eastAsia" w:ascii="Times New Roman" w:hAnsi="Times New Roman" w:eastAsia="方正黑体_GBK" w:cs="方正黑体_GBK"/>
          <w:spacing w:val="0"/>
          <w:sz w:val="32"/>
          <w:szCs w:val="32"/>
          <w:lang w:eastAsia="zh-CN"/>
        </w:rPr>
        <w:t>”</w:t>
      </w:r>
      <w:r>
        <w:rPr>
          <w:rFonts w:ascii="Times New Roman" w:hAnsi="Times New Roman" w:eastAsia="方正黑体_GBK" w:cs="方正黑体_GBK"/>
          <w:spacing w:val="0"/>
          <w:sz w:val="32"/>
          <w:szCs w:val="32"/>
        </w:rPr>
        <w:t>招商保障机制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="方正楷体_GBK" w:cs="方正楷体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（一）探索市场化招商。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  <w:t>组建、引进专业化、市场化招商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right="0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ascii="Times New Roman" w:hAnsi="Times New Roman"/>
          <w:spacing w:val="0"/>
          <w:sz w:val="32"/>
          <w:szCs w:val="32"/>
        </w:rPr>
        <w:t>引资服务公司，承接各类招商活动，为目标企业提供政策咨询、项目融资、项目落地开工等各项服务。建立招商引资中介机构库，加强与国内外知名投资促进机构建立招商合作关系，鼓励其引导组织企业来奉考察投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县经济信息委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县发展改革委、县农业农村委、县商务委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生态工业园区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33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优化驻外招商激励。</w:t>
      </w:r>
      <w:r>
        <w:rPr>
          <w:rFonts w:ascii="Times New Roman" w:hAnsi="Times New Roman"/>
          <w:spacing w:val="0"/>
          <w:sz w:val="32"/>
          <w:szCs w:val="32"/>
        </w:rPr>
        <w:t>依托市级驻外招商机构，打造全县专业化驻外招商队伍，以长三角、粤港澳大湾区、京津冀和中部地区</w:t>
      </w:r>
      <w:r>
        <w:rPr>
          <w:rFonts w:ascii="Times New Roman" w:hAnsi="Times New Roman" w:eastAsia="Times New Roman" w:cs="Times New Roman"/>
          <w:spacing w:val="0"/>
          <w:sz w:val="32"/>
          <w:szCs w:val="32"/>
        </w:rPr>
        <w:t>4</w:t>
      </w:r>
      <w:r>
        <w:rPr>
          <w:rFonts w:ascii="Times New Roman" w:hAnsi="Times New Roman"/>
          <w:spacing w:val="0"/>
          <w:sz w:val="32"/>
          <w:szCs w:val="32"/>
        </w:rPr>
        <w:t>个重点区域作为招商常驻点，常态化派驻招商团队驻点招商。组织人事部门强化招商干部选、配、用工作，以科学的选人、用人激励机制勉励驻外招商干部干事创业。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牵头单位：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县委组织部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</w:pP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县经济信息委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县人力社保局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17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加强招商队伍建设。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加强</w:t>
      </w:r>
      <w:r>
        <w:rPr>
          <w:rFonts w:ascii="Times New Roman" w:hAnsi="Times New Roman"/>
          <w:spacing w:val="0"/>
          <w:sz w:val="32"/>
          <w:szCs w:val="32"/>
        </w:rPr>
        <w:t>招商部门人员配备，选拔引进一批熟悉产业政策、了解经济规律、擅长商务洽谈的专业化人才，强化专业招商团队。研究制定招商引资人才培训计划，分批对领导干部、招商骨干、一线招商人员进行专业化培训，打造专家型、实战型的招商队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牵头单位：县委组织部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责任单位：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县经济信息委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县人力社保局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-6"/>
          <w:sz w:val="32"/>
          <w:szCs w:val="32"/>
        </w:rPr>
        <w:t>县投资促进中心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26"/>
        <w:jc w:val="both"/>
        <w:textAlignment w:val="baseline"/>
        <w:rPr>
          <w:rFonts w:ascii="Times New Roman" w:hAnsi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楷体_GBK" w:cs="方正楷体_GBK"/>
          <w:spacing w:val="0"/>
          <w:sz w:val="32"/>
          <w:szCs w:val="32"/>
        </w:rPr>
        <w:t>强化招商经费保障。</w:t>
      </w:r>
      <w:r>
        <w:rPr>
          <w:rFonts w:ascii="Times New Roman" w:hAnsi="Times New Roman"/>
          <w:spacing w:val="0"/>
          <w:sz w:val="32"/>
          <w:szCs w:val="32"/>
        </w:rPr>
        <w:t>由财政统筹安排，保障年度招商引资工作经费支出预算额度，统筹安排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0"/>
          <w:sz w:val="32"/>
          <w:szCs w:val="32"/>
        </w:rPr>
        <w:t>产业链招商</w:t>
      </w:r>
      <w:r>
        <w:rPr>
          <w:rFonts w:hint="eastAsia" w:ascii="Times New Roman" w:hAnsi="Times New Roman"/>
          <w:spacing w:val="0"/>
          <w:sz w:val="32"/>
          <w:szCs w:val="32"/>
          <w:lang w:eastAsia="zh-CN"/>
        </w:rPr>
        <w:t>”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专班</w:t>
      </w:r>
      <w:r>
        <w:rPr>
          <w:rFonts w:ascii="Times New Roman" w:hAnsi="Times New Roman"/>
          <w:spacing w:val="0"/>
          <w:sz w:val="32"/>
          <w:szCs w:val="32"/>
        </w:rPr>
        <w:t>、驻外招商和重大招商活动费用，</w:t>
      </w:r>
      <w:r>
        <w:rPr>
          <w:rFonts w:hint="eastAsia" w:ascii="Times New Roman" w:hAnsi="Times New Roman"/>
          <w:spacing w:val="0"/>
          <w:sz w:val="32"/>
          <w:szCs w:val="32"/>
          <w:lang w:val="en-US" w:eastAsia="zh-CN"/>
        </w:rPr>
        <w:t>并</w:t>
      </w:r>
      <w:r>
        <w:rPr>
          <w:rFonts w:ascii="Times New Roman" w:hAnsi="Times New Roman"/>
          <w:spacing w:val="0"/>
          <w:sz w:val="32"/>
          <w:szCs w:val="32"/>
        </w:rPr>
        <w:t>对招商经费使用情况进行年度效益评估。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牵头单位：县财政局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责任单位：县发展改革委、县经济信息委、县农业农村委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县商务委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  <w:t>县投资促进中心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 w:firstLine="640" w:firstLineChars="20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tbl>
      <w:tblPr>
        <w:tblStyle w:val="8"/>
        <w:tblpPr w:leftFromText="180" w:rightFromText="180" w:vertAnchor="text" w:horzAnchor="page" w:tblpX="1622" w:tblpY="1687"/>
        <w:tblOverlap w:val="never"/>
        <w:tblW w:w="88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6" w:type="dxa"/>
            <w:tcBorders>
              <w:tl2br w:val="nil"/>
              <w:tr2bl w:val="nil"/>
            </w:tcBorders>
            <w:noWrap w:val="0"/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4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position w:val="6"/>
                <w:sz w:val="28"/>
                <w:szCs w:val="28"/>
              </w:rPr>
              <w:t>奉节县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position w:val="6"/>
                <w:sz w:val="28"/>
                <w:szCs w:val="28"/>
                <w:lang w:eastAsia="zh-CN"/>
              </w:rPr>
              <w:t>人民政府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position w:val="6"/>
                <w:sz w:val="28"/>
                <w:szCs w:val="28"/>
              </w:rPr>
              <w:t>办公室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position w:val="6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eastAsia="方正仿宋_GBK" w:cs="方正仿宋_GBK"/>
                <w:b w:val="0"/>
                <w:bCs w:val="0"/>
                <w:position w:val="6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position w:val="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position w:val="6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cs="Times New Roman"/>
                <w:b w:val="0"/>
                <w:bCs w:val="0"/>
                <w:position w:val="6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position w:val="6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position w:val="6"/>
                <w:sz w:val="28"/>
                <w:szCs w:val="28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position w:val="6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 w:right="0"/>
        <w:jc w:val="both"/>
        <w:textAlignment w:val="baseline"/>
        <w:rPr>
          <w:rFonts w:hint="eastAsia" w:ascii="Times New Roman" w:hAnsi="Times New Roman" w:eastAsia="方正楷体_GBK" w:cs="方正楷体_GBK"/>
          <w:spacing w:val="0"/>
          <w:sz w:val="31"/>
          <w:szCs w:val="31"/>
          <w:lang w:val="en-US" w:eastAsia="zh-CN"/>
        </w:rPr>
      </w:pPr>
    </w:p>
    <w:sectPr>
      <w:footerReference r:id="rId5" w:type="default"/>
      <w:footerReference r:id="rId6" w:type="even"/>
      <w:pgSz w:w="11906" w:h="16839"/>
      <w:pgMar w:top="2098" w:right="1474" w:bottom="1984" w:left="1587" w:header="850" w:footer="147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4863465</wp:posOffset>
              </wp:positionH>
              <wp:positionV relativeFrom="paragraph">
                <wp:posOffset>-189865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right="210" w:rightChars="100"/>
                            <w:textAlignment w:val="baseline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2.95pt;margin-top:-14.9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7sN2itkAAAAMAQAADwAAAAAAAAABACAAAAA4AAAAZHJzL2Rvd25yZXYu&#10;eG1sUEsBAhQAFAAAAAgAh07iQPXvojAdAgAAKQQAAA4AAAAAAAAAAQAgAAAAP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right="210" w:rightChars="100"/>
                      <w:textAlignment w:val="baseline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8890</wp:posOffset>
              </wp:positionH>
              <wp:positionV relativeFrom="paragraph">
                <wp:posOffset>-182245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10" w:leftChars="100"/>
                            <w:textAlignment w:val="baseline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7pt;margin-top:-14.3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Dt1CZu1gAAAAkBAAAPAAAAAAAAAAEAIAAAADgAAABkcnMvZG93bnJldi54bWxQ&#10;SwECFAAUAAAACACHTuJASQizEBwCAAAp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10" w:leftChars="100"/>
                      <w:textAlignment w:val="baseline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TrueTypeFonts/>
  <w:saveSubsetFonts/>
  <w:documentProtection w:enforcement="0"/>
  <w:evenAndOddHeaders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B0391A"/>
    <w:rsid w:val="02C937F4"/>
    <w:rsid w:val="06F32C79"/>
    <w:rsid w:val="070B1A3B"/>
    <w:rsid w:val="09550F6B"/>
    <w:rsid w:val="09B82B2B"/>
    <w:rsid w:val="0D3C17D5"/>
    <w:rsid w:val="0E116234"/>
    <w:rsid w:val="0ECF6008"/>
    <w:rsid w:val="1427043B"/>
    <w:rsid w:val="17864A64"/>
    <w:rsid w:val="18BC68EB"/>
    <w:rsid w:val="1A2B626E"/>
    <w:rsid w:val="1C890801"/>
    <w:rsid w:val="1D1D083D"/>
    <w:rsid w:val="204E750E"/>
    <w:rsid w:val="22D53817"/>
    <w:rsid w:val="23323C58"/>
    <w:rsid w:val="282F2C9B"/>
    <w:rsid w:val="2A606275"/>
    <w:rsid w:val="31B52534"/>
    <w:rsid w:val="34C422FF"/>
    <w:rsid w:val="369A7021"/>
    <w:rsid w:val="37D65A76"/>
    <w:rsid w:val="387410A4"/>
    <w:rsid w:val="3DF036D7"/>
    <w:rsid w:val="3E214905"/>
    <w:rsid w:val="3E5B23BB"/>
    <w:rsid w:val="40955117"/>
    <w:rsid w:val="45641BD8"/>
    <w:rsid w:val="45CE1EAB"/>
    <w:rsid w:val="47127DFE"/>
    <w:rsid w:val="489D5E07"/>
    <w:rsid w:val="48BD6383"/>
    <w:rsid w:val="4C244F8C"/>
    <w:rsid w:val="4CBB6CA0"/>
    <w:rsid w:val="51DC4084"/>
    <w:rsid w:val="54643E51"/>
    <w:rsid w:val="548F0544"/>
    <w:rsid w:val="56CC50C5"/>
    <w:rsid w:val="575E7370"/>
    <w:rsid w:val="587C30BB"/>
    <w:rsid w:val="5964586E"/>
    <w:rsid w:val="5B7E4430"/>
    <w:rsid w:val="5CD109B4"/>
    <w:rsid w:val="5DB43885"/>
    <w:rsid w:val="5F7C05C5"/>
    <w:rsid w:val="5F8255C5"/>
    <w:rsid w:val="62282542"/>
    <w:rsid w:val="63051C74"/>
    <w:rsid w:val="65054395"/>
    <w:rsid w:val="65A1403E"/>
    <w:rsid w:val="69997779"/>
    <w:rsid w:val="6BB828D2"/>
    <w:rsid w:val="70246F47"/>
    <w:rsid w:val="73B250BD"/>
    <w:rsid w:val="779243CA"/>
    <w:rsid w:val="781759C7"/>
    <w:rsid w:val="7C6B424A"/>
    <w:rsid w:val="7D0C6BEC"/>
    <w:rsid w:val="7DCD024C"/>
    <w:rsid w:val="7FF070ED"/>
    <w:rsid w:val="FE5F1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ind w:right="-2" w:rightChars="-1" w:firstLine="948" w:firstLineChars="300"/>
    </w:pPr>
    <w:rPr>
      <w:rFonts w:ascii="仿宋_GB2312" w:hAnsi="Times New Roman" w:eastAsia="仿宋_GB2312" w:cs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spacing w:after="120"/>
      <w:ind w:left="420" w:leftChars="20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 正文首行缩进 2 + 首行缩进:  2 字符"/>
    <w:basedOn w:val="1"/>
    <w:next w:val="1"/>
    <w:qFormat/>
    <w:uiPriority w:val="0"/>
    <w:pPr>
      <w:ind w:firstLine="480" w:firstLineChars="200"/>
    </w:pPr>
    <w:rPr>
      <w:rFonts w:cs="宋体"/>
      <w:sz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6751</Words>
  <Characters>6763</Characters>
  <TotalTime>2</TotalTime>
  <ScaleCrop>false</ScaleCrop>
  <LinksUpToDate>false</LinksUpToDate>
  <CharactersWithSpaces>6809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2025-06-14T19:03:00Z</dcterms:created>
  <dc:creator>guest</dc:creator>
  <cp:lastModifiedBy>guest</cp:lastModifiedBy>
  <dcterms:modified xsi:type="dcterms:W3CDTF">2025-07-17T10:24:07Z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2025-06-14T11:05:20Z</vt:filetime>
  </property>
  <property fmtid="{D5CDD505-2E9C-101B-9397-08002B2CF9AE}" pid="4" name="KSOProductBuildVer">
    <vt:lpwstr>2052-11.8.2.9695</vt:lpwstr>
  </property>
  <property fmtid="{D5CDD505-2E9C-101B-9397-08002B2CF9AE}" pid="5" name="ICV">
    <vt:lpwstr>A479DF2D1C37459AA25C2C67EEF1FE80_13</vt:lpwstr>
  </property>
  <property fmtid="{D5CDD505-2E9C-101B-9397-08002B2CF9AE}" pid="6" name="KSOTemplateDocerSaveRecord">
    <vt:lpwstr>eyJoZGlkIjoiZmEwN2NkZTBhMTRhY2RiNjRmZTY4NjQzMDViMDlkZDgiLCJ1c2VySWQiOiIxNjk0MTk2NDQ1In0=</vt:lpwstr>
  </property>
</Properties>
</file>