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240" w:lineRule="atLeast"/>
        <w:jc w:val="center"/>
        <w:rPr>
          <w:rFonts w:ascii="仿宋" w:hAnsi="仿宋" w:eastAsia="仿宋"/>
          <w:color w:val="FF0000"/>
          <w:sz w:val="44"/>
          <w:szCs w:val="44"/>
          <w:shd w:val="clear" w:color="auto" w:fill="FFFFFF"/>
        </w:rPr>
      </w:pPr>
      <w:r>
        <w:rPr>
          <w:rFonts w:hint="eastAsia" w:ascii="仿宋" w:hAnsi="仿宋" w:eastAsia="仿宋"/>
          <w:color w:val="FF0000"/>
          <w:sz w:val="44"/>
          <w:szCs w:val="44"/>
          <w:shd w:val="clear" w:color="auto" w:fill="FFFFFF"/>
        </w:rPr>
        <w:t>重庆市建设项目环境影响评价文件批准书</w:t>
      </w:r>
    </w:p>
    <w:p>
      <w:pPr>
        <w:adjustRightInd w:val="0"/>
        <w:snapToGrid w:val="0"/>
        <w:rPr>
          <w:rFonts w:hint="eastAsia" w:ascii="仿宋" w:hAnsi="仿宋" w:eastAsia="仿宋"/>
          <w:dstrike/>
          <w:spacing w:val="50"/>
          <w:sz w:val="28"/>
          <w:szCs w:val="28"/>
        </w:rPr>
      </w:pPr>
      <w:r>
        <w:rPr>
          <w:rFonts w:hint="eastAsia" w:ascii="仿宋" w:hAnsi="仿宋" w:eastAsia="仿宋"/>
          <w:spacing w:val="50"/>
          <w:sz w:val="28"/>
          <w:szCs w:val="28"/>
        </w:rPr>
        <w:t xml:space="preserve"> </w:t>
      </w:r>
      <w:r>
        <w:rPr>
          <w:rFonts w:hint="eastAsia" w:ascii="仿宋" w:hAnsi="仿宋" w:eastAsia="仿宋"/>
          <w:dstrike/>
          <w:spacing w:val="50"/>
          <w:sz w:val="28"/>
          <w:szCs w:val="28"/>
        </w:rPr>
        <w:t xml:space="preserve">                                    </w:t>
      </w:r>
    </w:p>
    <w:p>
      <w:pPr>
        <w:pStyle w:val="2"/>
        <w:snapToGrid w:val="0"/>
        <w:spacing w:line="240" w:lineRule="atLeast"/>
        <w:jc w:val="center"/>
        <w:rPr>
          <w:rFonts w:ascii="方正仿宋_GBK" w:hAnsi="宋体"/>
        </w:rPr>
      </w:pPr>
      <w:r>
        <w:rPr>
          <w:rFonts w:ascii="方正仿宋_GBK" w:hAnsi="方正仿宋_GBK"/>
        </w:rPr>
        <w:t>渝（奉）环准〔</w:t>
      </w:r>
      <w:r>
        <w:rPr>
          <w:rFonts w:ascii="方正仿宋_GBK" w:hAnsi="宋体"/>
        </w:rPr>
        <w:t>2023〕5号</w:t>
      </w:r>
    </w:p>
    <w:p>
      <w:pPr>
        <w:pStyle w:val="9"/>
        <w:spacing w:line="600" w:lineRule="exact"/>
        <w:rPr>
          <w:rFonts w:ascii="仿宋" w:hAnsi="仿宋" w:eastAsia="仿宋"/>
          <w:sz w:val="32"/>
          <w:szCs w:val="32"/>
        </w:rPr>
      </w:pPr>
      <w:r>
        <w:rPr>
          <w:rFonts w:hint="eastAsia" w:ascii="仿宋" w:hAnsi="仿宋" w:eastAsia="仿宋"/>
          <w:sz w:val="32"/>
          <w:szCs w:val="32"/>
        </w:rPr>
        <w:t>重庆奉节路桥有限公司：</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你单位报送的奉节县墨溪河鹤峰乡两河口至五马镇国平公路工程（龙汇花谷至珠海援建桥段）环境影响评价文件审批申报表及相关材料收悉，根据《中华人民共和国环境影响评价法》等法律法规的有关规定，我局原则同意重庆泓泰和正生态环境科技有限公司编制的项目环境影响报告表结论及其提出的环境保护措施。</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一、项目的建设内容和规模：</w:t>
      </w:r>
    </w:p>
    <w:p>
      <w:pPr>
        <w:pStyle w:val="7"/>
        <w:spacing w:line="600" w:lineRule="exact"/>
        <w:ind w:firstLine="640"/>
        <w:rPr>
          <w:rFonts w:hint="eastAsia" w:ascii="仿宋" w:hAnsi="仿宋" w:eastAsia="仿宋"/>
          <w:sz w:val="32"/>
          <w:szCs w:val="32"/>
        </w:rPr>
      </w:pPr>
      <w:r>
        <w:rPr>
          <w:rFonts w:hint="eastAsia" w:ascii="仿宋" w:hAnsi="仿宋" w:eastAsia="仿宋"/>
          <w:sz w:val="32"/>
          <w:szCs w:val="32"/>
        </w:rPr>
        <w:t>奉节县墨溪河鹤峰乡两河口至五马镇国平公路工程(龙汇花谷至珠海援建桥段)起点为龙汇花谷，途经早谷田、四方洞、小弯子、泰顺石料厂、下杨河坝，止于珠海援建桥北桥头。线路全长5.3公里，双向两车道，三级公路标准，沥青混凝土路面。标准路基宽度7.5m (7.5m=0.5m土路肩+3.25m行车道+3.25m行车道+0.5m土路肩〉，设计速度30Km/h。工程内容包括路基工程、路面工程、桥涵工程、交叉工程及沿线设施、绿化工程、其他工程等</w:t>
      </w:r>
      <w:r>
        <w:rPr>
          <w:rFonts w:hint="eastAsia" w:ascii="仿宋" w:hAnsi="仿宋" w:eastAsia="仿宋"/>
          <w:color w:val="000000"/>
          <w:sz w:val="32"/>
          <w:szCs w:val="32"/>
        </w:rPr>
        <w:t>。</w:t>
      </w:r>
      <w:r>
        <w:rPr>
          <w:rFonts w:hint="eastAsia" w:ascii="仿宋" w:hAnsi="仿宋" w:eastAsia="仿宋"/>
          <w:sz w:val="32"/>
          <w:szCs w:val="32"/>
        </w:rPr>
        <w:t>项目总投资</w:t>
      </w:r>
      <w:r>
        <w:rPr>
          <w:rFonts w:hint="eastAsia" w:ascii="仿宋" w:hAnsi="仿宋" w:eastAsia="仿宋"/>
          <w:kern w:val="0"/>
          <w:sz w:val="32"/>
          <w:szCs w:val="32"/>
        </w:rPr>
        <w:t>4707.94</w:t>
      </w:r>
      <w:r>
        <w:rPr>
          <w:rFonts w:hint="eastAsia" w:ascii="仿宋" w:hAnsi="仿宋" w:eastAsia="仿宋"/>
          <w:sz w:val="32"/>
          <w:szCs w:val="32"/>
        </w:rPr>
        <w:t>万元，其中环保投资150万元。</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keepNext/>
        <w:keepLines/>
        <w:spacing w:line="600" w:lineRule="exact"/>
        <w:ind w:firstLine="640" w:firstLineChars="200"/>
        <w:outlineLvl w:val="2"/>
        <w:rPr>
          <w:rFonts w:hint="eastAsia" w:ascii="仿宋" w:hAnsi="仿宋" w:eastAsia="仿宋"/>
          <w:sz w:val="32"/>
          <w:szCs w:val="32"/>
        </w:rPr>
      </w:pPr>
      <w:r>
        <w:rPr>
          <w:rFonts w:hint="eastAsia" w:ascii="仿宋" w:hAnsi="仿宋" w:eastAsia="仿宋"/>
          <w:sz w:val="32"/>
          <w:szCs w:val="32"/>
        </w:rPr>
        <w:t>（一）水污染防治措施。施工过程中产生的场地和车辆冲洗废水、混凝土养护废水以及少量施工机具维护、清洗废水等经隔油、沉淀处理后回用于道路养护和洒水抑尘等，不外排；施工人员生活污水依托泰顺石料厂废弃拌合站遗留的旱厕收集后作农肥，不外排。运营期加强道路清扫、保持路面清洁，避免垃圾、泥土等汇入地表水污染水质；加强排水系统维护，定期检查，确保降水畅通排泄；避免垃圾进入排水系统，造成排水堵塞。</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废气污染治理措施。避免在大风等不利污染物扩散的天气条件下施工；施工车辆出入口路面采用硬地坪，土石方的临时堆放地须硬化。施工时应增加洒水降尘频次；工地四周设围挡封闭施工，土石方、借方、建筑垃圾运输车辆进出施工场地时须保持车身和轮胎清洁；清运建筑渣土必须装载规范，使用密闭式汽车或加盖篷布车辆装载，防止撒漏引起扬尘。使用商品混凝土，禁止施工现场搅拌混凝土；合理配置燃油设备。项目运营后加强绿化建设，加强对公路路基、路面的养护，定期进行洒水和路面清扫，保持路面清洁。</w:t>
      </w:r>
    </w:p>
    <w:p>
      <w:pPr>
        <w:pStyle w:val="6"/>
        <w:spacing w:line="600" w:lineRule="exact"/>
        <w:jc w:val="both"/>
        <w:textAlignment w:val="baseline"/>
        <w:rPr>
          <w:rFonts w:hint="eastAsia" w:ascii="仿宋" w:hAnsi="仿宋" w:eastAsia="仿宋"/>
          <w:sz w:val="32"/>
          <w:szCs w:val="32"/>
        </w:rPr>
      </w:pPr>
      <w:r>
        <w:rPr>
          <w:rFonts w:hint="eastAsia" w:ascii="仿宋" w:hAnsi="仿宋" w:eastAsia="仿宋"/>
          <w:sz w:val="32"/>
          <w:szCs w:val="32"/>
        </w:rPr>
        <w:t xml:space="preserve">  （三）噪声污染防治措施。施工道路边界采用不低于1.8m的施工硬质围挡。加强施工管理，合理安排施工时间；选用低噪声先进设备，同时加强各类施工设备的维护和保养，合理布置施工机具和设备；严禁夜间施工。路段设置禁鸣标志、限速标志。</w:t>
      </w:r>
    </w:p>
    <w:p>
      <w:pPr>
        <w:pStyle w:val="6"/>
        <w:spacing w:line="600" w:lineRule="exact"/>
        <w:jc w:val="both"/>
        <w:textAlignment w:val="baseline"/>
        <w:rPr>
          <w:rFonts w:hint="eastAsia" w:ascii="仿宋" w:hAnsi="仿宋" w:eastAsia="仿宋"/>
          <w:sz w:val="32"/>
          <w:szCs w:val="32"/>
        </w:rPr>
      </w:pPr>
      <w:r>
        <w:rPr>
          <w:rFonts w:hint="eastAsia" w:ascii="仿宋" w:hAnsi="仿宋" w:eastAsia="仿宋"/>
          <w:sz w:val="32"/>
          <w:szCs w:val="32"/>
        </w:rPr>
        <w:t xml:space="preserve">  （四）固体废弃物污染治理措施。施工人员生活垃圾经集中收集后交由当地市政环卫部门统一处理。弃方运至地坝湾弃渣场，不得随意倾倒。</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生态环境保护措施。合理选择施工日期，土建工程尽量避开雨季进行。施工场区范围、临时堆场范围及营地范围设置堆脚土工袋防护；土石方及建筑垃圾利用薄膜遮盖；弃渣场做好截排水沟、临时拦挡措施，减缓水土流失。工程完工后及时恢复施工迹地和补偿植被。严格执行水土保持方案，完善水土保护措施。</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五、请奉节县生态环境保护综合行政执法支队负责该项目环境保护日常监督管理工作。</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9"/>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                            2023年1月30日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r>
        <w:rPr>
          <w:rFonts w:hint="eastAsia" w:ascii="仿宋" w:hAnsi="仿宋" w:eastAsia="仿宋"/>
          <w:spacing w:val="-4"/>
          <w:sz w:val="32"/>
          <w:szCs w:val="32"/>
        </w:rPr>
        <w:t>抄送：</w:t>
      </w:r>
      <w:r>
        <w:rPr>
          <w:rFonts w:hint="eastAsia" w:ascii="仿宋" w:hAnsi="仿宋" w:eastAsia="仿宋"/>
          <w:sz w:val="32"/>
          <w:szCs w:val="32"/>
        </w:rPr>
        <w:t>奉节县生态环境保护综合行政执法支队</w:t>
      </w:r>
      <w:r>
        <w:rPr>
          <w:rFonts w:hint="eastAsia" w:ascii="仿宋" w:hAnsi="仿宋" w:eastAsia="仿宋"/>
          <w:spacing w:val="-4"/>
          <w:sz w:val="32"/>
          <w:szCs w:val="32"/>
        </w:rPr>
        <w:t>，</w:t>
      </w:r>
      <w:r>
        <w:rPr>
          <w:rFonts w:hint="eastAsia" w:ascii="仿宋" w:hAnsi="仿宋" w:eastAsia="仿宋"/>
          <w:sz w:val="32"/>
          <w:szCs w:val="32"/>
        </w:rPr>
        <w:t xml:space="preserve">重庆泓泰和正生态  </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环境科技有限公司</w:t>
      </w:r>
      <w:r>
        <w:rPr>
          <w:rFonts w:hint="eastAsia" w:ascii="仿宋" w:hAnsi="仿宋" w:eastAsia="仿宋"/>
          <w:spacing w:val="-4"/>
          <w:sz w:val="32"/>
          <w:szCs w:val="32"/>
        </w:rPr>
        <w:t>。</w:t>
      </w:r>
    </w:p>
    <w:p>
      <w:pPr>
        <w:rPr>
          <w:rFonts w:hint="eastAsia" w:ascii="方正仿宋_GBK" w:hAnsi="宋体"/>
        </w:rPr>
      </w:pPr>
      <w:r>
        <w:drawing>
          <wp:inline distT="0" distB="0" distL="0" distR="0">
            <wp:extent cx="6057900" cy="9525"/>
            <wp:effectExtent l="19050" t="0" r="0" b="0"/>
            <wp:docPr id="1" name="图片 1" descr="C:\Users\ADMINI~1.SKY\AppData\Local\Temp\ksohtml38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SKY\AppData\Local\Temp\ksohtml3824\wps2.png"/>
                    <pic:cNvPicPr>
                      <a:picLocks noChangeAspect="1" noChangeArrowheads="1"/>
                    </pic:cNvPicPr>
                  </pic:nvPicPr>
                  <pic:blipFill>
                    <a:blip r:embed="rId4"/>
                    <a:srcRect/>
                    <a:stretch>
                      <a:fillRect/>
                    </a:stretch>
                  </pic:blipFill>
                  <pic:spPr>
                    <a:xfrm>
                      <a:off x="0" y="0"/>
                      <a:ext cx="6057900" cy="9525"/>
                    </a:xfrm>
                    <a:prstGeom prst="rect">
                      <a:avLst/>
                    </a:prstGeom>
                    <a:noFill/>
                    <a:ln w="9525">
                      <a:noFill/>
                      <a:miter lim="800000"/>
                      <a:headEnd/>
                      <a:tailEnd/>
                    </a:ln>
                  </pic:spPr>
                </pic:pic>
              </a:graphicData>
            </a:graphic>
          </wp:inline>
        </w:drawing>
      </w:r>
      <w:r>
        <w:rPr>
          <w:rFonts w:ascii="方正仿宋_GBK" w:hAnsi="宋体"/>
        </w:rPr>
        <w:t xml:space="preserve"> </w:t>
      </w:r>
    </w:p>
    <w:p/>
    <w:sectPr>
      <w:pgSz w:w="11906" w:h="16838"/>
      <w:pgMar w:top="1418" w:right="124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1DF5"/>
    <w:rsid w:val="00C734AB"/>
    <w:rsid w:val="00F31DF5"/>
    <w:rsid w:val="7D4F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8"/>
    <w:unhideWhenUsed/>
    <w:uiPriority w:val="99"/>
    <w:pPr>
      <w:widowControl/>
      <w:jc w:val="left"/>
    </w:pPr>
    <w:rPr>
      <w:kern w:val="0"/>
      <w:sz w:val="32"/>
      <w:szCs w:val="32"/>
    </w:rPr>
  </w:style>
  <w:style w:type="paragraph" w:styleId="3">
    <w:name w:val="Balloon Text"/>
    <w:basedOn w:val="1"/>
    <w:link w:val="10"/>
    <w:semiHidden/>
    <w:unhideWhenUsed/>
    <w:qFormat/>
    <w:uiPriority w:val="99"/>
    <w:rPr>
      <w:sz w:val="18"/>
      <w:szCs w:val="18"/>
    </w:rPr>
  </w:style>
  <w:style w:type="paragraph" w:customStyle="1" w:styleId="6">
    <w:name w:val="表内字"/>
    <w:basedOn w:val="1"/>
    <w:uiPriority w:val="0"/>
    <w:pPr>
      <w:autoSpaceDE w:val="0"/>
      <w:autoSpaceDN w:val="0"/>
      <w:adjustRightInd w:val="0"/>
      <w:snapToGrid w:val="0"/>
      <w:jc w:val="center"/>
    </w:pPr>
    <w:rPr>
      <w:rFonts w:ascii="Tahoma" w:hAnsi="Tahoma" w:cs="Tahoma"/>
      <w:kern w:val="0"/>
    </w:rPr>
  </w:style>
  <w:style w:type="paragraph" w:customStyle="1" w:styleId="7">
    <w:name w:val="报告文本"/>
    <w:basedOn w:val="1"/>
    <w:uiPriority w:val="0"/>
    <w:pPr>
      <w:spacing w:line="360" w:lineRule="auto"/>
      <w:ind w:firstLine="420" w:firstLineChars="200"/>
    </w:pPr>
    <w:rPr>
      <w:kern w:val="24"/>
    </w:rPr>
  </w:style>
  <w:style w:type="character" w:customStyle="1" w:styleId="8">
    <w:name w:val="正文文本 Char"/>
    <w:basedOn w:val="5"/>
    <w:link w:val="2"/>
    <w:uiPriority w:val="99"/>
    <w:rPr>
      <w:rFonts w:ascii="Calibri" w:hAnsi="Calibri" w:eastAsia="宋体" w:cs="宋体"/>
      <w:kern w:val="0"/>
      <w:sz w:val="32"/>
      <w:szCs w:val="32"/>
    </w:rPr>
  </w:style>
  <w:style w:type="paragraph" w:customStyle="1" w:styleId="9">
    <w:name w:val="tb"/>
    <w:basedOn w:val="1"/>
    <w:qFormat/>
    <w:uiPriority w:val="0"/>
    <w:pPr>
      <w:spacing w:line="400" w:lineRule="atLeast"/>
    </w:pPr>
    <w:rPr>
      <w:rFonts w:ascii="宋体" w:hAnsi="Arial"/>
      <w:sz w:val="24"/>
      <w:szCs w:val="24"/>
    </w:rPr>
  </w:style>
  <w:style w:type="character" w:customStyle="1" w:styleId="10">
    <w:name w:val="批注框文本 Char"/>
    <w:basedOn w:val="5"/>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248</Words>
  <Characters>1417</Characters>
  <Lines>11</Lines>
  <Paragraphs>3</Paragraphs>
  <TotalTime>1</TotalTime>
  <ScaleCrop>false</ScaleCrop>
  <LinksUpToDate>false</LinksUpToDate>
  <CharactersWithSpaces>1662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2023-01-30T02:08:00Z</dcterms:created>
  <dc:creator>Administrator</dc:creator>
  <cp:lastModifiedBy>Administrator</cp:lastModifiedBy>
  <dcterms:modified xsi:type="dcterms:W3CDTF">2023-01-30T02:19:01Z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