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D8A" w:rsidRDefault="00DE6D8A" w:rsidP="00DE6D8A">
      <w:pPr>
        <w:pStyle w:val="a0"/>
        <w:snapToGrid w:val="0"/>
        <w:spacing w:line="240" w:lineRule="atLeast"/>
        <w:jc w:val="center"/>
        <w:rPr>
          <w:rFonts w:ascii="仿宋" w:eastAsia="仿宋" w:hAnsi="仿宋" w:cs="Arial"/>
          <w:color w:val="FF0000"/>
          <w:sz w:val="44"/>
          <w:szCs w:val="44"/>
          <w:shd w:val="clear" w:color="auto" w:fill="FFFFFF"/>
        </w:rPr>
      </w:pPr>
      <w:r>
        <w:rPr>
          <w:rFonts w:ascii="仿宋" w:eastAsia="仿宋" w:hAnsi="仿宋" w:cs="Arial" w:hint="eastAsia"/>
          <w:color w:val="FF0000"/>
          <w:sz w:val="44"/>
          <w:szCs w:val="44"/>
          <w:shd w:val="clear" w:color="auto" w:fill="FFFFFF"/>
        </w:rPr>
        <w:t>重庆市建设项目环境影响评价文件批准书</w:t>
      </w:r>
    </w:p>
    <w:p w:rsidR="00DE6D8A" w:rsidRDefault="00DE6D8A" w:rsidP="00DE6D8A">
      <w:pPr>
        <w:adjustRightInd w:val="0"/>
        <w:snapToGrid w:val="0"/>
        <w:rPr>
          <w:rFonts w:ascii="仿宋" w:eastAsia="仿宋" w:hAnsi="仿宋" w:cs="宋体" w:hint="eastAsia"/>
          <w:dstrike/>
          <w:spacing w:val="50"/>
          <w:sz w:val="28"/>
          <w:szCs w:val="28"/>
        </w:rPr>
      </w:pPr>
      <w:r>
        <w:rPr>
          <w:rFonts w:ascii="仿宋" w:eastAsia="仿宋" w:hAnsi="仿宋" w:hint="eastAsia"/>
          <w:spacing w:val="50"/>
          <w:sz w:val="28"/>
          <w:szCs w:val="28"/>
        </w:rPr>
        <w:t xml:space="preserve"> </w:t>
      </w:r>
      <w:r>
        <w:rPr>
          <w:rFonts w:ascii="仿宋" w:eastAsia="仿宋" w:hAnsi="仿宋" w:hint="eastAsia"/>
          <w:dstrike/>
          <w:spacing w:val="50"/>
          <w:sz w:val="28"/>
          <w:szCs w:val="28"/>
        </w:rPr>
        <w:t xml:space="preserve">                                    </w:t>
      </w:r>
    </w:p>
    <w:p w:rsidR="00DE6D8A" w:rsidRDefault="00DE6D8A" w:rsidP="00DE6D8A">
      <w:pPr>
        <w:pStyle w:val="a0"/>
        <w:snapToGrid w:val="0"/>
        <w:spacing w:line="240" w:lineRule="atLeast"/>
        <w:jc w:val="center"/>
        <w:rPr>
          <w:rFonts w:ascii="方正仿宋_GBK" w:hAnsi="宋体"/>
        </w:rPr>
      </w:pPr>
      <w:r>
        <w:rPr>
          <w:rFonts w:ascii="方正仿宋_GBK" w:hAnsi="方正仿宋_GBK"/>
        </w:rPr>
        <w:t>渝（奉）环准〔</w:t>
      </w:r>
      <w:r>
        <w:rPr>
          <w:rFonts w:ascii="方正仿宋_GBK" w:hAnsi="宋体"/>
        </w:rPr>
        <w:t>2022</w:t>
      </w:r>
      <w:r>
        <w:rPr>
          <w:rFonts w:ascii="方正仿宋_GBK" w:hAnsi="宋体"/>
        </w:rPr>
        <w:t>〕</w:t>
      </w:r>
      <w:r>
        <w:rPr>
          <w:rFonts w:ascii="方正仿宋_GBK" w:hAnsi="宋体"/>
        </w:rPr>
        <w:t>38</w:t>
      </w:r>
      <w:r>
        <w:rPr>
          <w:rFonts w:ascii="方正仿宋_GBK" w:hAnsi="方正仿宋_GBK"/>
        </w:rPr>
        <w:t>号</w:t>
      </w:r>
    </w:p>
    <w:p w:rsidR="00DE6D8A" w:rsidRDefault="00DE6D8A" w:rsidP="00DE6D8A">
      <w:pPr>
        <w:pStyle w:val="tb"/>
        <w:autoSpaceDE w:val="0"/>
        <w:spacing w:line="620" w:lineRule="exact"/>
        <w:rPr>
          <w:rFonts w:ascii="仿宋" w:eastAsia="仿宋" w:hAnsi="仿宋"/>
          <w:sz w:val="32"/>
          <w:szCs w:val="32"/>
        </w:rPr>
      </w:pPr>
      <w:r>
        <w:rPr>
          <w:rFonts w:ascii="仿宋" w:eastAsia="仿宋" w:hAnsi="仿宋" w:hint="eastAsia"/>
          <w:sz w:val="32"/>
          <w:szCs w:val="32"/>
        </w:rPr>
        <w:t>华电国际电力股份有限公司奉节发电厂：</w:t>
      </w:r>
    </w:p>
    <w:p w:rsidR="00DE6D8A" w:rsidRDefault="00DE6D8A" w:rsidP="00DE6D8A">
      <w:pPr>
        <w:autoSpaceDE w:val="0"/>
        <w:spacing w:line="620" w:lineRule="exact"/>
        <w:ind w:firstLine="640"/>
        <w:rPr>
          <w:rFonts w:ascii="仿宋" w:eastAsia="仿宋" w:hAnsi="仿宋" w:hint="eastAsia"/>
          <w:spacing w:val="-6"/>
          <w:sz w:val="32"/>
          <w:szCs w:val="32"/>
        </w:rPr>
      </w:pPr>
      <w:r>
        <w:rPr>
          <w:rFonts w:ascii="仿宋" w:eastAsia="仿宋" w:hAnsi="仿宋" w:hint="eastAsia"/>
          <w:spacing w:val="-6"/>
          <w:sz w:val="32"/>
          <w:szCs w:val="32"/>
        </w:rPr>
        <w:t>你单位报送的</w:t>
      </w:r>
      <w:r>
        <w:rPr>
          <w:rFonts w:ascii="仿宋" w:eastAsia="仿宋" w:hAnsi="仿宋" w:hint="eastAsia"/>
          <w:sz w:val="32"/>
          <w:szCs w:val="32"/>
        </w:rPr>
        <w:t>奉节县康乐镇奉节发电厂危废暂存间建设</w:t>
      </w:r>
      <w:r>
        <w:rPr>
          <w:rFonts w:ascii="仿宋" w:eastAsia="仿宋" w:hAnsi="仿宋" w:hint="eastAsia"/>
          <w:spacing w:val="-6"/>
          <w:sz w:val="32"/>
          <w:szCs w:val="32"/>
        </w:rPr>
        <w:t>项目环境影响评价文件审批申报表及相关材料收悉，根据《中华人民共和国环境影响评价法》等法律法规的有关规定，我局原则同意重庆开达环保集团有限公司编制的项目环境影响报告表结论及其提出的环境保护措施。</w:t>
      </w:r>
    </w:p>
    <w:p w:rsidR="00DE6D8A" w:rsidRDefault="00DE6D8A" w:rsidP="00DE6D8A">
      <w:pPr>
        <w:pStyle w:val="tb"/>
        <w:autoSpaceDE w:val="0"/>
        <w:spacing w:line="620" w:lineRule="exact"/>
        <w:ind w:firstLineChars="200" w:firstLine="616"/>
        <w:rPr>
          <w:rFonts w:ascii="仿宋" w:eastAsia="仿宋" w:hAnsi="仿宋" w:hint="eastAsia"/>
          <w:spacing w:val="-6"/>
          <w:sz w:val="32"/>
          <w:szCs w:val="32"/>
        </w:rPr>
      </w:pPr>
      <w:r>
        <w:rPr>
          <w:rFonts w:ascii="仿宋" w:eastAsia="仿宋" w:hAnsi="仿宋" w:hint="eastAsia"/>
          <w:spacing w:val="-6"/>
          <w:sz w:val="32"/>
          <w:szCs w:val="32"/>
        </w:rPr>
        <w:t>一、该建设项目的建设内容和建设规模为：</w:t>
      </w:r>
    </w:p>
    <w:p w:rsidR="00DE6D8A" w:rsidRDefault="00DE6D8A" w:rsidP="00DE6D8A">
      <w:pPr>
        <w:autoSpaceDE w:val="0"/>
        <w:snapToGrid w:val="0"/>
        <w:spacing w:line="620" w:lineRule="exact"/>
        <w:rPr>
          <w:rFonts w:ascii="仿宋" w:eastAsia="仿宋" w:hAnsi="仿宋" w:hint="eastAsia"/>
          <w:spacing w:val="-6"/>
          <w:sz w:val="32"/>
          <w:szCs w:val="32"/>
        </w:rPr>
      </w:pPr>
      <w:r>
        <w:rPr>
          <w:rFonts w:ascii="仿宋" w:eastAsia="仿宋" w:hAnsi="仿宋" w:hint="eastAsia"/>
          <w:sz w:val="32"/>
          <w:szCs w:val="32"/>
        </w:rPr>
        <w:t xml:space="preserve">  本项目在奉节县康乐镇横路村一社奉节发电厂内建设2间危废暂存间，建筑面积20m</w:t>
      </w:r>
      <w:r>
        <w:rPr>
          <w:rFonts w:ascii="仿宋" w:eastAsia="仿宋" w:hAnsi="仿宋" w:hint="eastAsia"/>
          <w:sz w:val="32"/>
          <w:szCs w:val="32"/>
          <w:vertAlign w:val="superscript"/>
        </w:rPr>
        <w:t>2</w:t>
      </w:r>
      <w:r>
        <w:rPr>
          <w:rFonts w:ascii="仿宋" w:eastAsia="仿宋" w:hAnsi="仿宋" w:hint="eastAsia"/>
          <w:sz w:val="32"/>
          <w:szCs w:val="32"/>
        </w:rPr>
        <w:t>，危废收集暂存于危废暂存间后定期交资质单位处置。项目总投资为20万元，其中环保投资20万元</w:t>
      </w:r>
      <w:r>
        <w:rPr>
          <w:rFonts w:ascii="仿宋" w:eastAsia="仿宋" w:hAnsi="仿宋" w:hint="eastAsia"/>
          <w:spacing w:val="-6"/>
          <w:sz w:val="32"/>
          <w:szCs w:val="32"/>
        </w:rPr>
        <w:t>。</w:t>
      </w:r>
    </w:p>
    <w:p w:rsidR="00DE6D8A" w:rsidRDefault="00DE6D8A" w:rsidP="00DE6D8A">
      <w:pPr>
        <w:pStyle w:val="tb"/>
        <w:autoSpaceDE w:val="0"/>
        <w:spacing w:line="620" w:lineRule="exact"/>
        <w:ind w:firstLineChars="200" w:firstLine="616"/>
        <w:rPr>
          <w:rFonts w:ascii="仿宋" w:eastAsia="仿宋" w:hAnsi="仿宋" w:hint="eastAsia"/>
          <w:spacing w:val="-6"/>
          <w:sz w:val="32"/>
          <w:szCs w:val="32"/>
        </w:rPr>
      </w:pPr>
      <w:r>
        <w:rPr>
          <w:rFonts w:ascii="仿宋" w:eastAsia="仿宋" w:hAnsi="仿宋" w:hint="eastAsia"/>
          <w:spacing w:val="-6"/>
          <w:sz w:val="32"/>
          <w:szCs w:val="32"/>
        </w:rPr>
        <w:t>二、该项目在设计、建设和运行过程中，应认真落实本项目环境影响报告表中提出的各项生态保护及污染防治措施，严格执行相关污染物排放标准和总量控制的要求，并重点做好以下工作：</w:t>
      </w:r>
    </w:p>
    <w:p w:rsidR="00DE6D8A" w:rsidRDefault="00DE6D8A" w:rsidP="00DE6D8A">
      <w:pPr>
        <w:autoSpaceDE w:val="0"/>
        <w:adjustRightInd w:val="0"/>
        <w:snapToGrid w:val="0"/>
        <w:spacing w:line="620" w:lineRule="exact"/>
        <w:ind w:firstLineChars="200" w:firstLine="616"/>
        <w:jc w:val="left"/>
        <w:rPr>
          <w:rFonts w:ascii="仿宋" w:eastAsia="仿宋" w:hAnsi="仿宋" w:hint="eastAsia"/>
          <w:spacing w:val="-6"/>
          <w:sz w:val="32"/>
          <w:szCs w:val="32"/>
        </w:rPr>
      </w:pPr>
      <w:r>
        <w:rPr>
          <w:rFonts w:ascii="仿宋" w:eastAsia="仿宋" w:hAnsi="仿宋" w:hint="eastAsia"/>
          <w:spacing w:val="-6"/>
          <w:sz w:val="32"/>
          <w:szCs w:val="32"/>
        </w:rPr>
        <w:t>（一）废气污染治理措施。加强通风，</w:t>
      </w:r>
      <w:r>
        <w:rPr>
          <w:rFonts w:ascii="仿宋" w:eastAsia="仿宋" w:hAnsi="仿宋" w:hint="eastAsia"/>
          <w:sz w:val="32"/>
          <w:szCs w:val="32"/>
        </w:rPr>
        <w:t>安装排风扇将废气排出室外，同时加强危险废物暂存间附近的绿化以缓解废气对外围空气的影响。</w:t>
      </w:r>
    </w:p>
    <w:p w:rsidR="00DE6D8A" w:rsidRDefault="00DE6D8A" w:rsidP="00DE6D8A">
      <w:pPr>
        <w:autoSpaceDE w:val="0"/>
        <w:adjustRightInd w:val="0"/>
        <w:snapToGrid w:val="0"/>
        <w:spacing w:line="620" w:lineRule="exact"/>
        <w:ind w:firstLineChars="200" w:firstLine="616"/>
        <w:jc w:val="left"/>
        <w:rPr>
          <w:rFonts w:ascii="仿宋" w:eastAsia="仿宋" w:hAnsi="仿宋" w:hint="eastAsia"/>
          <w:color w:val="FF0000"/>
          <w:spacing w:val="-6"/>
          <w:sz w:val="32"/>
          <w:szCs w:val="32"/>
        </w:rPr>
      </w:pPr>
      <w:r>
        <w:rPr>
          <w:rFonts w:ascii="仿宋" w:eastAsia="仿宋" w:hAnsi="仿宋" w:hint="eastAsia"/>
          <w:spacing w:val="-6"/>
          <w:sz w:val="32"/>
          <w:szCs w:val="32"/>
        </w:rPr>
        <w:t>（二）噪声污染防治措施。</w:t>
      </w:r>
      <w:r>
        <w:rPr>
          <w:rFonts w:ascii="仿宋" w:eastAsia="仿宋" w:hAnsi="仿宋" w:hint="eastAsia"/>
          <w:sz w:val="32"/>
          <w:szCs w:val="32"/>
        </w:rPr>
        <w:t>项目建成投入使用后，合理安排运输时间，规定</w:t>
      </w:r>
      <w:r>
        <w:rPr>
          <w:rFonts w:ascii="仿宋" w:eastAsia="仿宋" w:hAnsi="仿宋" w:hint="eastAsia"/>
          <w:color w:val="000000"/>
          <w:sz w:val="32"/>
          <w:szCs w:val="32"/>
        </w:rPr>
        <w:t>进出车辆限速行驶</w:t>
      </w:r>
      <w:r>
        <w:rPr>
          <w:rFonts w:ascii="仿宋" w:eastAsia="仿宋" w:hAnsi="仿宋" w:hint="eastAsia"/>
          <w:sz w:val="32"/>
          <w:szCs w:val="32"/>
        </w:rPr>
        <w:t>、禁止鸣笛，并设置标志牌。</w:t>
      </w:r>
    </w:p>
    <w:p w:rsidR="00DE6D8A" w:rsidRDefault="00DE6D8A" w:rsidP="00DE6D8A">
      <w:pPr>
        <w:autoSpaceDE w:val="0"/>
        <w:spacing w:line="620" w:lineRule="exact"/>
        <w:ind w:firstLineChars="200" w:firstLine="616"/>
        <w:rPr>
          <w:rFonts w:ascii="仿宋" w:eastAsia="仿宋" w:hAnsi="仿宋" w:hint="eastAsia"/>
          <w:spacing w:val="-6"/>
          <w:sz w:val="32"/>
          <w:szCs w:val="32"/>
        </w:rPr>
      </w:pPr>
      <w:r>
        <w:rPr>
          <w:rFonts w:ascii="仿宋" w:eastAsia="仿宋" w:hAnsi="仿宋" w:hint="eastAsia"/>
          <w:spacing w:val="-6"/>
          <w:sz w:val="32"/>
          <w:szCs w:val="32"/>
        </w:rPr>
        <w:t>（三）固体废弃物污染治理措施。</w:t>
      </w:r>
      <w:r>
        <w:rPr>
          <w:rFonts w:ascii="仿宋" w:eastAsia="仿宋" w:hAnsi="仿宋" w:hint="eastAsia"/>
          <w:sz w:val="32"/>
          <w:szCs w:val="32"/>
        </w:rPr>
        <w:t>危险废物等在泄漏状况下可能产生废抹布等吸附材料，收集暂存于危废暂存间交由有危废处理资</w:t>
      </w:r>
      <w:r>
        <w:rPr>
          <w:rFonts w:ascii="仿宋" w:eastAsia="仿宋" w:hAnsi="仿宋" w:hint="eastAsia"/>
          <w:sz w:val="32"/>
          <w:szCs w:val="32"/>
        </w:rPr>
        <w:lastRenderedPageBreak/>
        <w:t>质的单位处理。</w:t>
      </w:r>
      <w:r>
        <w:rPr>
          <w:rFonts w:ascii="仿宋" w:eastAsia="仿宋" w:hAnsi="仿宋" w:hint="eastAsia"/>
          <w:spacing w:val="-6"/>
          <w:sz w:val="32"/>
          <w:szCs w:val="32"/>
        </w:rPr>
        <w:t>危废暂存间应符合</w:t>
      </w:r>
      <w:r>
        <w:rPr>
          <w:rFonts w:ascii="仿宋" w:eastAsia="仿宋" w:hAnsi="仿宋" w:hint="eastAsia"/>
          <w:sz w:val="32"/>
          <w:szCs w:val="32"/>
        </w:rPr>
        <w:t>《危险废物贮存污染控制标准》（GB18597-2001）</w:t>
      </w:r>
      <w:r>
        <w:rPr>
          <w:rFonts w:ascii="仿宋" w:eastAsia="仿宋" w:hAnsi="仿宋" w:hint="eastAsia"/>
          <w:color w:val="333333"/>
          <w:sz w:val="32"/>
          <w:szCs w:val="32"/>
        </w:rPr>
        <w:t>（2013年修订）</w:t>
      </w:r>
      <w:r>
        <w:rPr>
          <w:rFonts w:ascii="仿宋" w:eastAsia="仿宋" w:hAnsi="仿宋" w:hint="eastAsia"/>
          <w:spacing w:val="-6"/>
          <w:sz w:val="32"/>
          <w:szCs w:val="32"/>
        </w:rPr>
        <w:t>要求。</w:t>
      </w:r>
    </w:p>
    <w:p w:rsidR="00DE6D8A" w:rsidRDefault="00DE6D8A" w:rsidP="00DE6D8A">
      <w:pPr>
        <w:autoSpaceDE w:val="0"/>
        <w:spacing w:line="620" w:lineRule="exact"/>
        <w:rPr>
          <w:rFonts w:ascii="仿宋" w:eastAsia="仿宋" w:hAnsi="仿宋" w:hint="eastAsia"/>
          <w:spacing w:val="-6"/>
          <w:sz w:val="32"/>
          <w:szCs w:val="32"/>
        </w:rPr>
      </w:pPr>
      <w:r>
        <w:rPr>
          <w:rFonts w:ascii="仿宋" w:eastAsia="仿宋" w:hAnsi="仿宋" w:hint="eastAsia"/>
          <w:spacing w:val="-6"/>
          <w:sz w:val="32"/>
          <w:szCs w:val="32"/>
        </w:rPr>
        <w:t xml:space="preserve">  （四）严格环境风险防范。</w:t>
      </w:r>
      <w:r>
        <w:rPr>
          <w:rFonts w:ascii="仿宋" w:eastAsia="仿宋" w:hAnsi="仿宋" w:hint="eastAsia"/>
          <w:sz w:val="32"/>
          <w:szCs w:val="32"/>
        </w:rPr>
        <w:t>严格岗位操作规程，加强防渗设施检查，配置相应的</w:t>
      </w:r>
      <w:r>
        <w:rPr>
          <w:rFonts w:ascii="仿宋" w:eastAsia="仿宋" w:hAnsi="仿宋" w:hint="eastAsia"/>
          <w:spacing w:val="-6"/>
          <w:sz w:val="32"/>
          <w:szCs w:val="32"/>
        </w:rPr>
        <w:t>消防设施，</w:t>
      </w:r>
      <w:r>
        <w:rPr>
          <w:rFonts w:ascii="仿宋" w:eastAsia="仿宋" w:hAnsi="仿宋" w:hint="eastAsia"/>
          <w:sz w:val="32"/>
          <w:szCs w:val="32"/>
        </w:rPr>
        <w:t>禁止在暂存间内及附近使用明火，危废暂存区地面进行重点防渗，地面最低处设导流沟与收集池。废油漆桶采用原有桶盖密封，废铅蓄电池置于带盖耐酸、耐腐蚀塑料箱内，废矿物油采用密封包装桶进行贮存。</w:t>
      </w:r>
    </w:p>
    <w:p w:rsidR="00DE6D8A" w:rsidRDefault="00DE6D8A" w:rsidP="00DE6D8A">
      <w:pPr>
        <w:pStyle w:val="tb"/>
        <w:autoSpaceDE w:val="0"/>
        <w:spacing w:line="620" w:lineRule="exact"/>
        <w:ind w:firstLineChars="200" w:firstLine="616"/>
        <w:rPr>
          <w:rFonts w:ascii="仿宋" w:eastAsia="仿宋" w:hAnsi="仿宋" w:hint="eastAsia"/>
          <w:spacing w:val="-6"/>
          <w:sz w:val="32"/>
          <w:szCs w:val="32"/>
        </w:rPr>
      </w:pPr>
      <w:r>
        <w:rPr>
          <w:rFonts w:ascii="仿宋" w:eastAsia="仿宋" w:hAnsi="仿宋" w:hint="eastAsia"/>
          <w:spacing w:val="-6"/>
          <w:sz w:val="32"/>
          <w:szCs w:val="32"/>
        </w:rPr>
        <w:t>三、该项目建设必须严格执行环境保护设施与主体工程同时设计、同时施工、同时投入使用的环境保护“三同时”制度。项目竣工后，建设单位应按照有关规定对配套建设的环境保护设施进行验收。</w:t>
      </w:r>
    </w:p>
    <w:p w:rsidR="00DE6D8A" w:rsidRDefault="00DE6D8A" w:rsidP="00DE6D8A">
      <w:pPr>
        <w:pStyle w:val="tb"/>
        <w:autoSpaceDE w:val="0"/>
        <w:spacing w:line="620" w:lineRule="exact"/>
        <w:ind w:firstLineChars="200" w:firstLine="616"/>
        <w:rPr>
          <w:rFonts w:ascii="仿宋" w:eastAsia="仿宋" w:hAnsi="仿宋" w:hint="eastAsia"/>
          <w:spacing w:val="-6"/>
          <w:sz w:val="32"/>
          <w:szCs w:val="32"/>
        </w:rPr>
      </w:pPr>
      <w:r>
        <w:rPr>
          <w:rFonts w:ascii="仿宋" w:eastAsia="仿宋" w:hAnsi="仿宋" w:hint="eastAsia"/>
          <w:spacing w:val="-6"/>
          <w:sz w:val="32"/>
          <w:szCs w:val="32"/>
        </w:rPr>
        <w:t>四、该项目的性质、规模、地点、采用的生产工艺或者防治污染、防止生态破坏的措施发生重大变动的，应当重新报批该项目的环境影响评价文件。自批准之日起超过５年方决定该项目开工建设的，其环境影响评价文件应当报我局重新审核。</w:t>
      </w:r>
    </w:p>
    <w:p w:rsidR="00DE6D8A" w:rsidRDefault="00DE6D8A" w:rsidP="00DE6D8A">
      <w:pPr>
        <w:pStyle w:val="tb"/>
        <w:autoSpaceDE w:val="0"/>
        <w:spacing w:line="620" w:lineRule="exact"/>
        <w:ind w:firstLineChars="200" w:firstLine="616"/>
        <w:rPr>
          <w:rFonts w:ascii="仿宋" w:eastAsia="仿宋" w:hAnsi="仿宋" w:hint="eastAsia"/>
          <w:spacing w:val="-6"/>
          <w:sz w:val="32"/>
          <w:szCs w:val="32"/>
        </w:rPr>
      </w:pPr>
      <w:r>
        <w:rPr>
          <w:rFonts w:ascii="仿宋" w:eastAsia="仿宋" w:hAnsi="仿宋" w:hint="eastAsia"/>
          <w:spacing w:val="-6"/>
          <w:sz w:val="32"/>
          <w:szCs w:val="32"/>
        </w:rPr>
        <w:t>五、请</w:t>
      </w:r>
      <w:r>
        <w:rPr>
          <w:rFonts w:ascii="仿宋" w:eastAsia="仿宋" w:hAnsi="仿宋" w:hint="eastAsia"/>
          <w:sz w:val="32"/>
          <w:szCs w:val="32"/>
        </w:rPr>
        <w:t>奉节县生态环境保护综合行政执法支队</w:t>
      </w:r>
      <w:r>
        <w:rPr>
          <w:rFonts w:ascii="仿宋" w:eastAsia="仿宋" w:hAnsi="仿宋" w:hint="eastAsia"/>
          <w:spacing w:val="-6"/>
          <w:sz w:val="32"/>
          <w:szCs w:val="32"/>
        </w:rPr>
        <w:t xml:space="preserve">负责该项目环境保护日常监督管理工作。                </w:t>
      </w:r>
    </w:p>
    <w:p w:rsidR="00DE6D8A" w:rsidRDefault="00DE6D8A" w:rsidP="00DE6D8A">
      <w:pPr>
        <w:pStyle w:val="tb"/>
        <w:spacing w:line="640" w:lineRule="exact"/>
        <w:ind w:firstLineChars="1550" w:firstLine="4774"/>
        <w:rPr>
          <w:rFonts w:ascii="仿宋" w:eastAsia="仿宋" w:hAnsi="仿宋" w:hint="eastAsia"/>
          <w:spacing w:val="-6"/>
          <w:sz w:val="32"/>
          <w:szCs w:val="32"/>
        </w:rPr>
      </w:pPr>
      <w:r>
        <w:rPr>
          <w:rFonts w:ascii="仿宋" w:eastAsia="仿宋" w:hAnsi="仿宋" w:hint="eastAsia"/>
          <w:spacing w:val="-6"/>
          <w:sz w:val="32"/>
          <w:szCs w:val="32"/>
        </w:rPr>
        <w:t xml:space="preserve"> </w:t>
      </w:r>
    </w:p>
    <w:p w:rsidR="00DE6D8A" w:rsidRDefault="00DE6D8A" w:rsidP="00DE6D8A">
      <w:pPr>
        <w:pStyle w:val="tb"/>
        <w:spacing w:line="640" w:lineRule="exact"/>
        <w:ind w:firstLineChars="1550" w:firstLine="4774"/>
        <w:rPr>
          <w:rFonts w:ascii="仿宋" w:eastAsia="仿宋" w:hAnsi="仿宋" w:hint="eastAsia"/>
          <w:spacing w:val="-6"/>
          <w:sz w:val="32"/>
          <w:szCs w:val="32"/>
        </w:rPr>
      </w:pPr>
      <w:r>
        <w:rPr>
          <w:rFonts w:ascii="仿宋" w:eastAsia="仿宋" w:hAnsi="仿宋" w:hint="eastAsia"/>
          <w:spacing w:val="-6"/>
          <w:sz w:val="32"/>
          <w:szCs w:val="32"/>
        </w:rPr>
        <w:t>2022年11月1日</w:t>
      </w:r>
    </w:p>
    <w:p w:rsidR="00DE6D8A" w:rsidRDefault="00DE6D8A" w:rsidP="00DE6D8A">
      <w:pPr>
        <w:spacing w:line="560" w:lineRule="exact"/>
        <w:rPr>
          <w:rFonts w:ascii="仿宋" w:eastAsia="仿宋" w:hAnsi="仿宋" w:hint="eastAsia"/>
          <w:spacing w:val="-6"/>
          <w:sz w:val="32"/>
          <w:szCs w:val="32"/>
        </w:rPr>
      </w:pPr>
      <w:r>
        <w:rPr>
          <w:rFonts w:ascii="仿宋" w:eastAsia="仿宋" w:hAnsi="仿宋" w:hint="eastAsia"/>
          <w:spacing w:val="-6"/>
          <w:sz w:val="32"/>
          <w:szCs w:val="32"/>
        </w:rPr>
        <w:t xml:space="preserve"> </w:t>
      </w:r>
    </w:p>
    <w:p w:rsidR="00DE6D8A" w:rsidRDefault="00DE6D8A" w:rsidP="00DE6D8A">
      <w:pPr>
        <w:rPr>
          <w:rFonts w:ascii="仿宋" w:eastAsia="仿宋" w:hAnsi="仿宋" w:hint="eastAsia"/>
          <w:spacing w:val="-6"/>
          <w:sz w:val="32"/>
          <w:szCs w:val="32"/>
        </w:rPr>
      </w:pPr>
      <w:r>
        <w:rPr>
          <w:rFonts w:ascii="仿宋" w:eastAsia="仿宋" w:hAnsi="仿宋" w:hint="eastAsia"/>
          <w:spacing w:val="-6"/>
          <w:sz w:val="32"/>
          <w:szCs w:val="32"/>
        </w:rPr>
        <w:t>抄送：</w:t>
      </w:r>
      <w:r>
        <w:rPr>
          <w:rFonts w:ascii="仿宋" w:eastAsia="仿宋" w:hAnsi="仿宋" w:hint="eastAsia"/>
          <w:sz w:val="32"/>
          <w:szCs w:val="32"/>
        </w:rPr>
        <w:t>奉节县生态环境保护综合行政执法支队</w:t>
      </w:r>
      <w:r>
        <w:rPr>
          <w:rFonts w:ascii="仿宋" w:eastAsia="仿宋" w:hAnsi="仿宋" w:hint="eastAsia"/>
          <w:spacing w:val="-6"/>
          <w:sz w:val="32"/>
          <w:szCs w:val="32"/>
        </w:rPr>
        <w:t xml:space="preserve">，重庆开达环保集团  </w:t>
      </w:r>
    </w:p>
    <w:p w:rsidR="00DE6D8A" w:rsidRDefault="00DE6D8A" w:rsidP="00DE6D8A">
      <w:pPr>
        <w:rPr>
          <w:rFonts w:ascii="仿宋" w:eastAsia="仿宋" w:hAnsi="仿宋" w:hint="eastAsia"/>
          <w:spacing w:val="-6"/>
          <w:sz w:val="32"/>
          <w:szCs w:val="32"/>
        </w:rPr>
      </w:pPr>
      <w:r>
        <w:rPr>
          <w:rFonts w:ascii="仿宋" w:eastAsia="仿宋" w:hAnsi="仿宋" w:hint="eastAsia"/>
          <w:spacing w:val="-6"/>
          <w:sz w:val="32"/>
          <w:szCs w:val="32"/>
        </w:rPr>
        <w:t xml:space="preserve">       有限公司。</w:t>
      </w:r>
    </w:p>
    <w:p w:rsidR="00DE6D8A" w:rsidRDefault="00DE6D8A" w:rsidP="00DE6D8A">
      <w:pPr>
        <w:pStyle w:val="a0"/>
        <w:snapToGrid w:val="0"/>
        <w:spacing w:line="240" w:lineRule="atLeast"/>
        <w:jc w:val="both"/>
        <w:rPr>
          <w:rFonts w:ascii="方正仿宋_GBK" w:hAnsi="宋体" w:hint="eastAsia"/>
        </w:rPr>
      </w:pPr>
      <w:r>
        <w:rPr>
          <w:noProof/>
        </w:rPr>
        <w:drawing>
          <wp:inline distT="0" distB="0" distL="0" distR="0">
            <wp:extent cx="6029325" cy="19050"/>
            <wp:effectExtent l="19050" t="0" r="9525" b="0"/>
            <wp:docPr id="1" name="图片 1" descr="C:\Users\ADMINI~1.SKY\AppData\Local\Temp\ksohtml254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SKY\AppData\Local\Temp\ksohtml2544\wps1.png"/>
                    <pic:cNvPicPr>
                      <a:picLocks noChangeAspect="1" noChangeArrowheads="1"/>
                    </pic:cNvPicPr>
                  </pic:nvPicPr>
                  <pic:blipFill>
                    <a:blip r:embed="rId4" cstate="print"/>
                    <a:srcRect/>
                    <a:stretch>
                      <a:fillRect/>
                    </a:stretch>
                  </pic:blipFill>
                  <pic:spPr bwMode="auto">
                    <a:xfrm>
                      <a:off x="0" y="0"/>
                      <a:ext cx="6029325" cy="19050"/>
                    </a:xfrm>
                    <a:prstGeom prst="rect">
                      <a:avLst/>
                    </a:prstGeom>
                    <a:noFill/>
                    <a:ln w="9525">
                      <a:noFill/>
                      <a:miter lim="800000"/>
                      <a:headEnd/>
                      <a:tailEnd/>
                    </a:ln>
                  </pic:spPr>
                </pic:pic>
              </a:graphicData>
            </a:graphic>
          </wp:inline>
        </w:drawing>
      </w:r>
      <w:r>
        <w:rPr>
          <w:rFonts w:ascii="方正仿宋_GBK" w:hAnsi="宋体"/>
        </w:rPr>
        <w:t xml:space="preserve"> </w:t>
      </w:r>
    </w:p>
    <w:p w:rsidR="00B33933" w:rsidRDefault="00B33933"/>
    <w:sectPr w:rsidR="00B33933" w:rsidSect="00DE6D8A">
      <w:pgSz w:w="11906" w:h="16838"/>
      <w:pgMar w:top="1418" w:right="1247" w:bottom="1247"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6D8A"/>
    <w:rsid w:val="00B33933"/>
    <w:rsid w:val="00DE6D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E6D8A"/>
    <w:pPr>
      <w:widowControl w:val="0"/>
      <w:jc w:val="both"/>
    </w:pPr>
    <w:rPr>
      <w:rFonts w:ascii="Times New Roman" w:eastAsia="宋体" w:hAnsi="Times New Roman"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rsid w:val="00DE6D8A"/>
    <w:pPr>
      <w:widowControl/>
      <w:jc w:val="left"/>
    </w:pPr>
    <w:rPr>
      <w:kern w:val="0"/>
      <w:sz w:val="32"/>
      <w:szCs w:val="32"/>
    </w:rPr>
  </w:style>
  <w:style w:type="character" w:customStyle="1" w:styleId="Char">
    <w:name w:val="正文文本 Char"/>
    <w:basedOn w:val="a1"/>
    <w:link w:val="a0"/>
    <w:uiPriority w:val="99"/>
    <w:rsid w:val="00DE6D8A"/>
    <w:rPr>
      <w:rFonts w:ascii="Times New Roman" w:eastAsia="宋体" w:hAnsi="Times New Roman" w:cs="Times New Roman"/>
      <w:kern w:val="0"/>
      <w:sz w:val="32"/>
      <w:szCs w:val="32"/>
    </w:rPr>
  </w:style>
  <w:style w:type="paragraph" w:customStyle="1" w:styleId="tb">
    <w:name w:val="tb"/>
    <w:basedOn w:val="a"/>
    <w:rsid w:val="00DE6D8A"/>
    <w:pPr>
      <w:spacing w:line="400" w:lineRule="atLeast"/>
    </w:pPr>
    <w:rPr>
      <w:rFonts w:ascii="宋体" w:hAnsi="Arial" w:cs="宋体"/>
      <w:sz w:val="24"/>
      <w:szCs w:val="24"/>
    </w:rPr>
  </w:style>
  <w:style w:type="paragraph" w:styleId="a4">
    <w:name w:val="Balloon Text"/>
    <w:basedOn w:val="a"/>
    <w:link w:val="Char0"/>
    <w:uiPriority w:val="99"/>
    <w:semiHidden/>
    <w:unhideWhenUsed/>
    <w:rsid w:val="00DE6D8A"/>
    <w:rPr>
      <w:sz w:val="18"/>
      <w:szCs w:val="18"/>
    </w:rPr>
  </w:style>
  <w:style w:type="character" w:customStyle="1" w:styleId="Char0">
    <w:name w:val="批注框文本 Char"/>
    <w:basedOn w:val="a1"/>
    <w:link w:val="a4"/>
    <w:uiPriority w:val="99"/>
    <w:semiHidden/>
    <w:rsid w:val="00DE6D8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316805496">
      <w:bodyDiv w:val="1"/>
      <w:marLeft w:val="0"/>
      <w:marRight w:val="0"/>
      <w:marTop w:val="0"/>
      <w:marBottom w:val="0"/>
      <w:divBdr>
        <w:top w:val="none" w:sz="0" w:space="0" w:color="auto"/>
        <w:left w:val="none" w:sz="0" w:space="0" w:color="auto"/>
        <w:bottom w:val="none" w:sz="0" w:space="0" w:color="auto"/>
        <w:right w:val="none" w:sz="0" w:space="0" w:color="auto"/>
      </w:divBdr>
    </w:div>
    <w:div w:id="42607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2022-11-01T01:36:00Z</dcterms:created>
  <dcterms:modified xsi:type="dcterms:W3CDTF">2022-11-01T01:38:00Z</dcterms:modified>
</cp:coreProperties>
</file>