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94" w:rsidRDefault="002E3994" w:rsidP="002E3994">
      <w:pPr>
        <w:pStyle w:val="a4"/>
        <w:snapToGrid w:val="0"/>
        <w:spacing w:line="240" w:lineRule="atLeast"/>
        <w:jc w:val="center"/>
        <w:rPr>
          <w:rFonts w:ascii="仿宋" w:eastAsia="仿宋" w:hAnsi="仿宋" w:cs="Arial"/>
          <w:color w:val="FF0000"/>
          <w:sz w:val="44"/>
          <w:szCs w:val="44"/>
          <w:shd w:val="clear" w:color="auto" w:fill="FFFFFF"/>
        </w:rPr>
      </w:pPr>
      <w:r>
        <w:rPr>
          <w:rFonts w:ascii="仿宋" w:eastAsia="仿宋" w:hAnsi="仿宋" w:cs="Arial" w:hint="eastAsia"/>
          <w:color w:val="FF0000"/>
          <w:sz w:val="44"/>
          <w:szCs w:val="44"/>
          <w:shd w:val="clear" w:color="auto" w:fill="FFFFFF"/>
        </w:rPr>
        <w:t>重庆市建设项目环境影响评价文件批准书</w:t>
      </w:r>
    </w:p>
    <w:p w:rsidR="002E3994" w:rsidRDefault="002E3994" w:rsidP="002E3994">
      <w:pPr>
        <w:adjustRightInd w:val="0"/>
        <w:snapToGrid w:val="0"/>
        <w:rPr>
          <w:rFonts w:ascii="仿宋" w:eastAsia="仿宋" w:hAnsi="仿宋" w:cs="宋体"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2E3994" w:rsidRDefault="002E3994" w:rsidP="002E3994">
      <w:pPr>
        <w:pStyle w:val="a4"/>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37</w:t>
      </w:r>
      <w:r>
        <w:rPr>
          <w:rFonts w:ascii="方正仿宋_GBK" w:hAnsi="方正仿宋_GBK"/>
        </w:rPr>
        <w:t>号</w:t>
      </w:r>
    </w:p>
    <w:p w:rsidR="002E3994" w:rsidRDefault="002E3994" w:rsidP="002E3994">
      <w:pPr>
        <w:pStyle w:val="tb"/>
        <w:autoSpaceDE w:val="0"/>
        <w:spacing w:line="620" w:lineRule="exact"/>
        <w:rPr>
          <w:rFonts w:ascii="仿宋" w:eastAsia="仿宋" w:hAnsi="仿宋"/>
          <w:sz w:val="32"/>
          <w:szCs w:val="32"/>
        </w:rPr>
      </w:pPr>
      <w:r>
        <w:rPr>
          <w:rFonts w:ascii="仿宋" w:eastAsia="仿宋" w:hAnsi="仿宋" w:hint="eastAsia"/>
          <w:color w:val="000000"/>
          <w:sz w:val="32"/>
          <w:szCs w:val="32"/>
        </w:rPr>
        <w:t>重庆西禾新材料科技有限公司</w:t>
      </w:r>
      <w:r>
        <w:rPr>
          <w:rFonts w:ascii="仿宋" w:eastAsia="仿宋" w:hAnsi="仿宋" w:hint="eastAsia"/>
          <w:sz w:val="32"/>
          <w:szCs w:val="32"/>
        </w:rPr>
        <w:t>：</w:t>
      </w:r>
    </w:p>
    <w:p w:rsidR="002E3994" w:rsidRDefault="002E3994" w:rsidP="002E3994">
      <w:pPr>
        <w:autoSpaceDE w:val="0"/>
        <w:spacing w:line="620" w:lineRule="exact"/>
        <w:ind w:firstLine="640"/>
        <w:rPr>
          <w:rFonts w:ascii="仿宋" w:eastAsia="仿宋" w:hAnsi="仿宋" w:hint="eastAsia"/>
          <w:spacing w:val="-6"/>
          <w:sz w:val="32"/>
          <w:szCs w:val="32"/>
        </w:rPr>
      </w:pPr>
      <w:r>
        <w:rPr>
          <w:rFonts w:ascii="仿宋" w:eastAsia="仿宋" w:hAnsi="仿宋" w:hint="eastAsia"/>
          <w:spacing w:val="-6"/>
          <w:sz w:val="32"/>
          <w:szCs w:val="32"/>
        </w:rPr>
        <w:t>你单位报送的</w:t>
      </w:r>
      <w:r>
        <w:rPr>
          <w:rFonts w:ascii="仿宋" w:eastAsia="仿宋" w:hAnsi="仿宋" w:hint="eastAsia"/>
          <w:sz w:val="32"/>
          <w:szCs w:val="32"/>
        </w:rPr>
        <w:t>眼镜制造及原材料加工</w:t>
      </w:r>
      <w:r>
        <w:rPr>
          <w:rFonts w:ascii="仿宋" w:eastAsia="仿宋" w:hAnsi="仿宋" w:hint="eastAsia"/>
          <w:spacing w:val="-6"/>
          <w:sz w:val="32"/>
          <w:szCs w:val="32"/>
        </w:rPr>
        <w:t>项目环境影响评价文件审批申报表及相关材料收悉，根据《中华人民共和国环境影响评价法》等法律法规的有关规定，我局原则同意重庆开达环保集团有限公司编制的项目环境影响报告表结论及其提出的环境保护措施。</w:t>
      </w:r>
    </w:p>
    <w:p w:rsidR="002E3994" w:rsidRDefault="002E3994" w:rsidP="002E3994">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一、该建设项目的建设内容和建设规模为：</w:t>
      </w:r>
    </w:p>
    <w:p w:rsidR="002E3994" w:rsidRDefault="002E3994" w:rsidP="002E3994">
      <w:pPr>
        <w:widowControl/>
        <w:autoSpaceDE w:val="0"/>
        <w:spacing w:line="620" w:lineRule="exact"/>
        <w:jc w:val="left"/>
        <w:rPr>
          <w:rFonts w:ascii="仿宋" w:eastAsia="仿宋" w:hAnsi="仿宋" w:hint="eastAsia"/>
          <w:spacing w:val="-6"/>
          <w:sz w:val="32"/>
          <w:szCs w:val="32"/>
        </w:rPr>
      </w:pPr>
      <w:r>
        <w:rPr>
          <w:rFonts w:ascii="仿宋" w:eastAsia="仿宋" w:hAnsi="仿宋" w:hint="eastAsia"/>
          <w:spacing w:val="-6"/>
          <w:sz w:val="32"/>
          <w:szCs w:val="32"/>
        </w:rPr>
        <w:t xml:space="preserve">  </w:t>
      </w:r>
      <w:r>
        <w:rPr>
          <w:rFonts w:ascii="仿宋" w:eastAsia="仿宋" w:hAnsi="仿宋" w:hint="eastAsia"/>
          <w:sz w:val="32"/>
          <w:szCs w:val="32"/>
        </w:rPr>
        <w:t>重庆西禾新材料科技有限公司购买奉节县草堂镇生态工业园区兴园路65号工业用地建设标准厂房，一期购地20亩，建设生产厂房13000平方米，建设PC眼镜原材料生产线1条，</w:t>
      </w:r>
      <w:r>
        <w:rPr>
          <w:rFonts w:ascii="仿宋" w:eastAsia="仿宋" w:hAnsi="仿宋" w:hint="eastAsia"/>
          <w:spacing w:val="-6"/>
          <w:sz w:val="32"/>
          <w:szCs w:val="32"/>
        </w:rPr>
        <w:t>并配套建设相应的公用工程、辅助工程、</w:t>
      </w:r>
      <w:r>
        <w:rPr>
          <w:rFonts w:ascii="仿宋" w:eastAsia="仿宋" w:hAnsi="仿宋" w:hint="eastAsia"/>
          <w:sz w:val="32"/>
          <w:szCs w:val="32"/>
        </w:rPr>
        <w:t>储运工程</w:t>
      </w:r>
      <w:r>
        <w:rPr>
          <w:rFonts w:ascii="仿宋" w:eastAsia="仿宋" w:hAnsi="仿宋" w:hint="eastAsia"/>
          <w:spacing w:val="-6"/>
          <w:sz w:val="32"/>
          <w:szCs w:val="32"/>
        </w:rPr>
        <w:t>和环保工程；</w:t>
      </w:r>
      <w:r>
        <w:rPr>
          <w:rFonts w:ascii="仿宋" w:eastAsia="仿宋" w:hAnsi="仿宋" w:hint="eastAsia"/>
          <w:sz w:val="32"/>
          <w:szCs w:val="32"/>
        </w:rPr>
        <w:t>建成后年产眼镜原材料20000吨以上。本次环评仅为一期项目。项目总投资为40000万元，其中环保投资1000万元</w:t>
      </w:r>
      <w:r>
        <w:rPr>
          <w:rFonts w:ascii="仿宋" w:eastAsia="仿宋" w:hAnsi="仿宋" w:hint="eastAsia"/>
          <w:spacing w:val="-6"/>
          <w:sz w:val="32"/>
          <w:szCs w:val="32"/>
        </w:rPr>
        <w:t>。</w:t>
      </w:r>
    </w:p>
    <w:p w:rsidR="002E3994" w:rsidRDefault="002E3994" w:rsidP="002E3994">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2E3994" w:rsidRDefault="002E3994" w:rsidP="002E3994">
      <w:pPr>
        <w:autoSpaceDE w:val="0"/>
        <w:adjustRightInd w:val="0"/>
        <w:snapToGrid w:val="0"/>
        <w:spacing w:line="620" w:lineRule="exact"/>
        <w:ind w:firstLineChars="200" w:firstLine="616"/>
        <w:jc w:val="left"/>
        <w:rPr>
          <w:rFonts w:ascii="仿宋" w:eastAsia="仿宋" w:hAnsi="仿宋" w:hint="eastAsia"/>
          <w:spacing w:val="-6"/>
          <w:sz w:val="32"/>
          <w:szCs w:val="32"/>
        </w:rPr>
      </w:pPr>
      <w:r>
        <w:rPr>
          <w:rFonts w:ascii="仿宋" w:eastAsia="仿宋" w:hAnsi="仿宋" w:hint="eastAsia"/>
          <w:spacing w:val="-6"/>
          <w:sz w:val="32"/>
          <w:szCs w:val="32"/>
        </w:rPr>
        <w:t>（一）水污染防治措施。</w:t>
      </w:r>
      <w:r>
        <w:rPr>
          <w:rFonts w:ascii="仿宋" w:eastAsia="仿宋" w:hAnsi="仿宋" w:hint="eastAsia"/>
          <w:kern w:val="0"/>
          <w:sz w:val="32"/>
          <w:szCs w:val="32"/>
        </w:rPr>
        <w:t>施工场地四周设排水沟，施工含油废水与混凝土养护废水经沉淀、隔油后回用，不外排。</w:t>
      </w:r>
      <w:r>
        <w:rPr>
          <w:rFonts w:ascii="仿宋" w:eastAsia="仿宋" w:hAnsi="仿宋" w:hint="eastAsia"/>
          <w:spacing w:val="-6"/>
          <w:sz w:val="32"/>
          <w:szCs w:val="32"/>
        </w:rPr>
        <w:t>项目生产废水和生活污水进入厂区污水处理设施经处理达标后，排入污水管网进入园区污水处理厂处理。</w:t>
      </w:r>
    </w:p>
    <w:p w:rsidR="002E3994" w:rsidRDefault="002E3994" w:rsidP="002E3994">
      <w:pPr>
        <w:autoSpaceDE w:val="0"/>
        <w:adjustRightInd w:val="0"/>
        <w:snapToGrid w:val="0"/>
        <w:spacing w:line="620" w:lineRule="exact"/>
        <w:ind w:firstLineChars="200" w:firstLine="616"/>
        <w:jc w:val="left"/>
        <w:rPr>
          <w:rFonts w:ascii="仿宋" w:eastAsia="仿宋" w:hAnsi="仿宋" w:hint="eastAsia"/>
          <w:color w:val="FF0000"/>
          <w:spacing w:val="-6"/>
          <w:sz w:val="32"/>
          <w:szCs w:val="32"/>
        </w:rPr>
      </w:pPr>
      <w:r>
        <w:rPr>
          <w:rFonts w:ascii="仿宋" w:eastAsia="仿宋" w:hAnsi="仿宋" w:hint="eastAsia"/>
          <w:spacing w:val="-6"/>
          <w:sz w:val="32"/>
          <w:szCs w:val="32"/>
        </w:rPr>
        <w:t>（二）废气污染治理措施。</w:t>
      </w:r>
      <w:r>
        <w:rPr>
          <w:rFonts w:ascii="仿宋" w:eastAsia="仿宋" w:hAnsi="仿宋" w:hint="eastAsia"/>
          <w:kern w:val="0"/>
          <w:sz w:val="32"/>
          <w:szCs w:val="32"/>
        </w:rPr>
        <w:t>设置围挡封闭施工，硬化进出口及</w:t>
      </w:r>
      <w:r>
        <w:rPr>
          <w:rFonts w:ascii="仿宋" w:eastAsia="仿宋" w:hAnsi="仿宋" w:hint="eastAsia"/>
          <w:kern w:val="0"/>
          <w:sz w:val="32"/>
          <w:szCs w:val="32"/>
        </w:rPr>
        <w:lastRenderedPageBreak/>
        <w:t>场内道路并采取冲洗、洒水等措施控制扬尘，对驶出工地的车辆进行冲洗。</w:t>
      </w:r>
      <w:r>
        <w:rPr>
          <w:rFonts w:ascii="仿宋" w:eastAsia="仿宋" w:hAnsi="仿宋" w:hint="eastAsia"/>
          <w:sz w:val="32"/>
          <w:szCs w:val="32"/>
        </w:rPr>
        <w:t>项目破碎粉尘经集气罩收集后通过布袋除尘器处理后引至15m高排气筒排放；酸洗气体经集气罩收集后通过碱水溶液处理后引至15m高排气筒排放；项目造粒废气由集气罩收集经一套废气治理系统进行处理，废气治理采用“布袋除尘器+UV光解+活性炭吸附”工艺，最终经15m高排气筒排放；污水处理臭气经专用管道引至高空排放。加强车间通风，加快废气扩散。</w:t>
      </w:r>
    </w:p>
    <w:p w:rsidR="002E3994" w:rsidRDefault="002E3994" w:rsidP="002E3994">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（三）噪声污染防治措施。合理布局生产区域，选用低噪声设备，加强设备维护和保养，采取有效的减振、隔声等降噪措施；严禁夜间生产。</w:t>
      </w:r>
    </w:p>
    <w:p w:rsidR="002E3994" w:rsidRDefault="002E3994" w:rsidP="002E3994">
      <w:pPr>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（四）固体废弃物污染治理措施。生活垃圾分类集中收集后交环卫部门统一处理</w:t>
      </w:r>
      <w:r>
        <w:rPr>
          <w:rFonts w:ascii="仿宋" w:eastAsia="仿宋" w:hAnsi="仿宋" w:hint="eastAsia"/>
          <w:sz w:val="32"/>
          <w:szCs w:val="32"/>
        </w:rPr>
        <w:t>；造粒过程产生的废料破碎后回用于生产；杂物、废过滤网、除尘灰暂存在一般工业固废间，定期送一般固废处置场处置；</w:t>
      </w:r>
      <w:r>
        <w:rPr>
          <w:rFonts w:ascii="仿宋" w:eastAsia="仿宋" w:hAnsi="仿宋" w:hint="eastAsia"/>
          <w:spacing w:val="-6"/>
          <w:sz w:val="32"/>
          <w:szCs w:val="32"/>
        </w:rPr>
        <w:t>设置危废暂存间，将危险废物分类收集后暂存，定期交具有危废处理资质单位处置。</w:t>
      </w:r>
    </w:p>
    <w:p w:rsidR="002E3994" w:rsidRDefault="002E3994" w:rsidP="002E3994">
      <w:pPr>
        <w:autoSpaceDE w:val="0"/>
        <w:spacing w:line="620" w:lineRule="exact"/>
        <w:rPr>
          <w:rFonts w:ascii="仿宋" w:eastAsia="仿宋" w:hAnsi="仿宋" w:hint="eastAsia"/>
          <w:spacing w:val="-6"/>
          <w:sz w:val="32"/>
          <w:szCs w:val="32"/>
        </w:rPr>
      </w:pPr>
      <w:r>
        <w:rPr>
          <w:rFonts w:ascii="仿宋" w:eastAsia="仿宋" w:hAnsi="仿宋" w:hint="eastAsia"/>
          <w:spacing w:val="-6"/>
          <w:sz w:val="32"/>
          <w:szCs w:val="32"/>
        </w:rPr>
        <w:t xml:space="preserve">  （五）严格环境风险防范。厂区按有关要求做好分区防渗；危废暂存间应符合</w:t>
      </w:r>
      <w:r>
        <w:rPr>
          <w:rFonts w:ascii="仿宋" w:eastAsia="仿宋" w:hAnsi="仿宋" w:hint="eastAsia"/>
          <w:sz w:val="32"/>
          <w:szCs w:val="32"/>
        </w:rPr>
        <w:t>《危险废物贮存污染控制标准》（GB18597-2001）</w:t>
      </w:r>
      <w:r>
        <w:rPr>
          <w:rFonts w:ascii="仿宋" w:eastAsia="仿宋" w:hAnsi="仿宋" w:hint="eastAsia"/>
          <w:color w:val="333333"/>
          <w:sz w:val="32"/>
          <w:szCs w:val="32"/>
        </w:rPr>
        <w:t>（2013年修订）</w:t>
      </w:r>
      <w:r>
        <w:rPr>
          <w:rFonts w:ascii="仿宋" w:eastAsia="仿宋" w:hAnsi="仿宋" w:hint="eastAsia"/>
          <w:spacing w:val="-6"/>
          <w:sz w:val="32"/>
          <w:szCs w:val="32"/>
        </w:rPr>
        <w:t>要求；</w:t>
      </w:r>
      <w:r>
        <w:rPr>
          <w:rFonts w:ascii="仿宋" w:eastAsia="仿宋" w:hAnsi="仿宋" w:hint="eastAsia"/>
          <w:sz w:val="32"/>
          <w:szCs w:val="32"/>
        </w:rPr>
        <w:t>涉及液体物料储存区设置堵截泄漏的裙脚，设置环形收集沟和收集池，液态原料设置托盘；氢氧化钠储存于干燥清洁的仓库间，与易燃或可燃物及酸类分开存放；针对硫酸本身的危险特性，运输硫酸车辆需严格执行《机动车辆七大禁令》，硫酸运输需委托有相应运输资质的单位运输，且运输车辆持有危化品车辆运</w:t>
      </w:r>
      <w:r>
        <w:rPr>
          <w:rFonts w:ascii="仿宋" w:eastAsia="仿宋" w:hAnsi="仿宋" w:hint="eastAsia"/>
          <w:sz w:val="32"/>
          <w:szCs w:val="32"/>
        </w:rPr>
        <w:lastRenderedPageBreak/>
        <w:t>输许可证，并配备安全设施。制定相应的应急预案，并认真落实各项风险防范措施。</w:t>
      </w:r>
    </w:p>
    <w:p w:rsidR="002E3994" w:rsidRDefault="002E3994" w:rsidP="002E3994">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2E3994" w:rsidRDefault="002E3994" w:rsidP="002E3994">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2E3994" w:rsidRDefault="002E3994" w:rsidP="002E3994">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五、请</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 xml:space="preserve">负责该项目环境保护日常监督管理工作。                </w:t>
      </w:r>
    </w:p>
    <w:p w:rsidR="002E3994" w:rsidRDefault="002E3994" w:rsidP="002E3994">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2E3994" w:rsidRDefault="002E3994" w:rsidP="002E3994">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2E3994" w:rsidRDefault="002E3994" w:rsidP="002E3994">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2E3994" w:rsidRDefault="002E3994" w:rsidP="002E3994">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2022年11月1日</w:t>
      </w:r>
    </w:p>
    <w:p w:rsidR="002E3994" w:rsidRDefault="002E3994" w:rsidP="002E3994">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2E3994" w:rsidRDefault="002E3994" w:rsidP="002E3994">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2E3994" w:rsidRDefault="002E3994" w:rsidP="002E3994">
      <w:pPr>
        <w:pStyle w:val="a0"/>
        <w:rPr>
          <w:rFonts w:hint="eastAsia"/>
        </w:rPr>
      </w:pPr>
      <w:r>
        <w:rPr>
          <w:rFonts w:hint="eastAsia"/>
        </w:rPr>
        <w:t xml:space="preserve"> </w:t>
      </w:r>
    </w:p>
    <w:p w:rsidR="002E3994" w:rsidRDefault="002E3994" w:rsidP="002E3994">
      <w:pPr>
        <w:spacing w:line="560" w:lineRule="exact"/>
        <w:rPr>
          <w:rFonts w:ascii="仿宋" w:eastAsia="仿宋" w:hAnsi="仿宋" w:hint="eastAsia"/>
          <w:spacing w:val="-6"/>
          <w:sz w:val="32"/>
          <w:szCs w:val="32"/>
        </w:rPr>
      </w:pPr>
      <w:r>
        <w:rPr>
          <w:rFonts w:ascii="仿宋" w:eastAsia="仿宋" w:hAnsi="仿宋" w:hint="eastAsia"/>
          <w:spacing w:val="-6"/>
          <w:sz w:val="32"/>
          <w:szCs w:val="32"/>
        </w:rPr>
        <w:t xml:space="preserve"> </w:t>
      </w:r>
    </w:p>
    <w:p w:rsidR="002E3994" w:rsidRDefault="002E3994" w:rsidP="002E3994">
      <w:pPr>
        <w:rPr>
          <w:rFonts w:ascii="仿宋" w:eastAsia="仿宋" w:hAnsi="仿宋" w:hint="eastAsia"/>
          <w:spacing w:val="-6"/>
          <w:sz w:val="32"/>
          <w:szCs w:val="32"/>
        </w:rPr>
      </w:pPr>
      <w:r>
        <w:rPr>
          <w:rFonts w:ascii="仿宋" w:eastAsia="仿宋" w:hAnsi="仿宋" w:hint="eastAsia"/>
          <w:spacing w:val="-6"/>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 xml:space="preserve">，重庆开达环保集团  </w:t>
      </w:r>
    </w:p>
    <w:p w:rsidR="002E3994" w:rsidRDefault="002E3994" w:rsidP="002E3994">
      <w:pPr>
        <w:rPr>
          <w:rFonts w:ascii="仿宋" w:eastAsia="仿宋" w:hAnsi="仿宋" w:hint="eastAsia"/>
          <w:spacing w:val="-6"/>
          <w:sz w:val="32"/>
          <w:szCs w:val="32"/>
        </w:rPr>
      </w:pPr>
      <w:r>
        <w:rPr>
          <w:rFonts w:ascii="仿宋" w:eastAsia="仿宋" w:hAnsi="仿宋" w:hint="eastAsia"/>
          <w:spacing w:val="-6"/>
          <w:sz w:val="32"/>
          <w:szCs w:val="32"/>
        </w:rPr>
        <w:t xml:space="preserve">       有限公司。</w:t>
      </w:r>
    </w:p>
    <w:p w:rsidR="002E3994" w:rsidRDefault="002E3994" w:rsidP="002E3994">
      <w:pPr>
        <w:rPr>
          <w:rFonts w:hint="eastAsia"/>
        </w:rPr>
      </w:pPr>
      <w:r>
        <w:rPr>
          <w:noProof/>
        </w:rPr>
        <w:drawing>
          <wp:inline distT="0" distB="0" distL="0" distR="0">
            <wp:extent cx="6029325" cy="19050"/>
            <wp:effectExtent l="19050" t="0" r="9525" b="0"/>
            <wp:docPr id="1" name="图片 1" descr="C:\Users\ADMINI~1.SKY\AppData\Local\Temp\ksohtml32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3224\wps1.png"/>
                    <pic:cNvPicPr>
                      <a:picLocks noChangeAspect="1" noChangeArrowheads="1"/>
                    </pic:cNvPicPr>
                  </pic:nvPicPr>
                  <pic:blipFill>
                    <a:blip r:embed="rId4" cstate="print"/>
                    <a:srcRect/>
                    <a:stretch>
                      <a:fillRect/>
                    </a:stretch>
                  </pic:blipFill>
                  <pic:spPr bwMode="auto">
                    <a:xfrm>
                      <a:off x="0" y="0"/>
                      <a:ext cx="6029325" cy="19050"/>
                    </a:xfrm>
                    <a:prstGeom prst="rect">
                      <a:avLst/>
                    </a:prstGeom>
                    <a:noFill/>
                    <a:ln w="9525">
                      <a:noFill/>
                      <a:miter lim="800000"/>
                      <a:headEnd/>
                      <a:tailEnd/>
                    </a:ln>
                  </pic:spPr>
                </pic:pic>
              </a:graphicData>
            </a:graphic>
          </wp:inline>
        </w:drawing>
      </w:r>
      <w:r>
        <w:t xml:space="preserve"> </w:t>
      </w:r>
    </w:p>
    <w:p w:rsidR="00E47FBD" w:rsidRDefault="00E47FBD"/>
    <w:sectPr w:rsidR="00E47FBD" w:rsidSect="002E3994">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994"/>
    <w:rsid w:val="002E3994"/>
    <w:rsid w:val="00E4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E3994"/>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2E3994"/>
    <w:pPr>
      <w:keepNext/>
      <w:spacing w:line="240" w:lineRule="exact"/>
      <w:jc w:val="center"/>
      <w:outlineLvl w:val="0"/>
    </w:pPr>
    <w:rPr>
      <w:rFonts w:ascii="仿宋_GB2312" w:eastAsia="仿宋_GB2312" w:hAnsi="宋体" w:cs="宋体"/>
      <w:b/>
      <w:bCs/>
      <w:color w:val="000000"/>
      <w:sz w:val="24"/>
      <w:szCs w:val="24"/>
    </w:rPr>
  </w:style>
  <w:style w:type="paragraph" w:styleId="4">
    <w:name w:val="heading 4"/>
    <w:basedOn w:val="a"/>
    <w:next w:val="a"/>
    <w:link w:val="4Char"/>
    <w:uiPriority w:val="9"/>
    <w:semiHidden/>
    <w:unhideWhenUsed/>
    <w:qFormat/>
    <w:rsid w:val="002E399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2E3994"/>
    <w:rPr>
      <w:rFonts w:ascii="仿宋_GB2312" w:eastAsia="仿宋_GB2312" w:hAnsi="宋体" w:cs="宋体"/>
      <w:b/>
      <w:bCs/>
      <w:color w:val="000000"/>
      <w:sz w:val="24"/>
      <w:szCs w:val="24"/>
    </w:rPr>
  </w:style>
  <w:style w:type="paragraph" w:styleId="a0">
    <w:name w:val="Normal Indent"/>
    <w:basedOn w:val="a"/>
    <w:next w:val="4"/>
    <w:uiPriority w:val="99"/>
    <w:unhideWhenUsed/>
    <w:rsid w:val="002E3994"/>
    <w:pPr>
      <w:adjustRightInd w:val="0"/>
      <w:snapToGrid w:val="0"/>
      <w:spacing w:line="360" w:lineRule="auto"/>
      <w:ind w:firstLine="480"/>
    </w:pPr>
    <w:rPr>
      <w:rFonts w:ascii="仿宋_GB2312" w:eastAsia="仿宋_GB2312" w:hAnsi="宋体" w:cs="宋体"/>
      <w:sz w:val="24"/>
      <w:szCs w:val="24"/>
    </w:rPr>
  </w:style>
  <w:style w:type="paragraph" w:styleId="a4">
    <w:name w:val="Body Text"/>
    <w:basedOn w:val="a"/>
    <w:link w:val="Char"/>
    <w:uiPriority w:val="99"/>
    <w:unhideWhenUsed/>
    <w:rsid w:val="002E3994"/>
    <w:pPr>
      <w:widowControl/>
      <w:jc w:val="left"/>
    </w:pPr>
    <w:rPr>
      <w:kern w:val="0"/>
      <w:sz w:val="32"/>
      <w:szCs w:val="32"/>
    </w:rPr>
  </w:style>
  <w:style w:type="character" w:customStyle="1" w:styleId="Char">
    <w:name w:val="正文文本 Char"/>
    <w:basedOn w:val="a1"/>
    <w:link w:val="a4"/>
    <w:uiPriority w:val="99"/>
    <w:rsid w:val="002E3994"/>
    <w:rPr>
      <w:rFonts w:ascii="Times New Roman" w:eastAsia="宋体" w:hAnsi="Times New Roman" w:cs="Times New Roman"/>
      <w:kern w:val="0"/>
      <w:sz w:val="32"/>
      <w:szCs w:val="32"/>
    </w:rPr>
  </w:style>
  <w:style w:type="paragraph" w:customStyle="1" w:styleId="tb">
    <w:name w:val="tb"/>
    <w:basedOn w:val="a"/>
    <w:rsid w:val="002E3994"/>
    <w:pPr>
      <w:spacing w:line="400" w:lineRule="atLeast"/>
    </w:pPr>
    <w:rPr>
      <w:rFonts w:ascii="宋体" w:hAnsi="Arial" w:cs="宋体"/>
      <w:sz w:val="24"/>
      <w:szCs w:val="24"/>
    </w:rPr>
  </w:style>
  <w:style w:type="character" w:customStyle="1" w:styleId="4Char">
    <w:name w:val="标题 4 Char"/>
    <w:basedOn w:val="a1"/>
    <w:link w:val="4"/>
    <w:uiPriority w:val="9"/>
    <w:semiHidden/>
    <w:rsid w:val="002E3994"/>
    <w:rPr>
      <w:rFonts w:asciiTheme="majorHAnsi" w:eastAsiaTheme="majorEastAsia" w:hAnsiTheme="majorHAnsi" w:cstheme="majorBidi"/>
      <w:b/>
      <w:bCs/>
      <w:sz w:val="28"/>
      <w:szCs w:val="28"/>
    </w:rPr>
  </w:style>
  <w:style w:type="paragraph" w:styleId="a5">
    <w:name w:val="Balloon Text"/>
    <w:basedOn w:val="a"/>
    <w:link w:val="Char0"/>
    <w:uiPriority w:val="99"/>
    <w:semiHidden/>
    <w:unhideWhenUsed/>
    <w:rsid w:val="002E3994"/>
    <w:rPr>
      <w:sz w:val="18"/>
      <w:szCs w:val="18"/>
    </w:rPr>
  </w:style>
  <w:style w:type="character" w:customStyle="1" w:styleId="Char0">
    <w:name w:val="批注框文本 Char"/>
    <w:basedOn w:val="a1"/>
    <w:link w:val="a5"/>
    <w:uiPriority w:val="99"/>
    <w:semiHidden/>
    <w:rsid w:val="002E399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04649787">
      <w:bodyDiv w:val="1"/>
      <w:marLeft w:val="0"/>
      <w:marRight w:val="0"/>
      <w:marTop w:val="0"/>
      <w:marBottom w:val="0"/>
      <w:divBdr>
        <w:top w:val="none" w:sz="0" w:space="0" w:color="auto"/>
        <w:left w:val="none" w:sz="0" w:space="0" w:color="auto"/>
        <w:bottom w:val="none" w:sz="0" w:space="0" w:color="auto"/>
        <w:right w:val="none" w:sz="0" w:space="0" w:color="auto"/>
      </w:divBdr>
    </w:div>
    <w:div w:id="9105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2022-11-01T01:21:00Z</dcterms:created>
  <dcterms:modified xsi:type="dcterms:W3CDTF">2022-11-01T01:25:00Z</dcterms:modified>
</cp:coreProperties>
</file>