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473" w:rsidRDefault="00A27C5E">
      <w:pPr>
        <w:spacing w:line="60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2022</w:t>
      </w:r>
      <w:r>
        <w:rPr>
          <w:b/>
          <w:sz w:val="44"/>
          <w:szCs w:val="44"/>
        </w:rPr>
        <w:t>年地质灾害避险搬迁金土工程项目</w:t>
      </w:r>
    </w:p>
    <w:p w:rsidR="00174473" w:rsidRDefault="00A27C5E">
      <w:pPr>
        <w:spacing w:line="60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支出</w:t>
      </w:r>
      <w:r>
        <w:rPr>
          <w:b/>
          <w:sz w:val="44"/>
          <w:szCs w:val="44"/>
        </w:rPr>
        <w:t>自评报告</w:t>
      </w:r>
    </w:p>
    <w:p w:rsidR="00174473" w:rsidRDefault="00174473">
      <w:pPr>
        <w:spacing w:line="600" w:lineRule="exact"/>
        <w:ind w:firstLineChars="200" w:firstLine="560"/>
        <w:rPr>
          <w:sz w:val="28"/>
          <w:szCs w:val="28"/>
        </w:rPr>
      </w:pPr>
    </w:p>
    <w:p w:rsidR="00174473" w:rsidRDefault="00A27C5E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174473" w:rsidRDefault="00A27C5E">
      <w:pPr>
        <w:spacing w:line="560" w:lineRule="exact"/>
        <w:jc w:val="left"/>
        <w:rPr>
          <w:szCs w:val="32"/>
        </w:rPr>
      </w:pPr>
      <w:r>
        <w:rPr>
          <w:szCs w:val="32"/>
        </w:rPr>
        <w:t>（一）县财政下达</w:t>
      </w:r>
      <w:r>
        <w:rPr>
          <w:szCs w:val="32"/>
        </w:rPr>
        <w:t>项目</w:t>
      </w:r>
      <w:r>
        <w:rPr>
          <w:szCs w:val="32"/>
        </w:rPr>
        <w:t>绩效目标情况。</w:t>
      </w:r>
      <w:r>
        <w:rPr>
          <w:szCs w:val="32"/>
        </w:rPr>
        <w:t>奉节县财政局《关于下达</w:t>
      </w:r>
      <w:r>
        <w:rPr>
          <w:rFonts w:hint="eastAsia"/>
          <w:szCs w:val="32"/>
        </w:rPr>
        <w:t>康乐镇人民政府地质灾害避险搬迁金土工程项目</w:t>
      </w:r>
      <w:r>
        <w:rPr>
          <w:szCs w:val="32"/>
        </w:rPr>
        <w:t>资金预算的通知》（</w:t>
      </w:r>
      <w:proofErr w:type="gramStart"/>
      <w:r>
        <w:rPr>
          <w:szCs w:val="32"/>
        </w:rPr>
        <w:t>奉节财</w:t>
      </w:r>
      <w:r>
        <w:rPr>
          <w:szCs w:val="32"/>
        </w:rPr>
        <w:t>建</w:t>
      </w:r>
      <w:r>
        <w:rPr>
          <w:szCs w:val="32"/>
        </w:rPr>
        <w:t>〔</w:t>
      </w:r>
      <w:r>
        <w:rPr>
          <w:szCs w:val="32"/>
        </w:rPr>
        <w:t>20</w:t>
      </w:r>
      <w:r>
        <w:rPr>
          <w:szCs w:val="32"/>
        </w:rPr>
        <w:t>22</w:t>
      </w:r>
      <w:r>
        <w:rPr>
          <w:szCs w:val="32"/>
        </w:rPr>
        <w:t>〕</w:t>
      </w:r>
      <w:proofErr w:type="gramEnd"/>
      <w:r>
        <w:rPr>
          <w:rFonts w:hint="eastAsia"/>
          <w:szCs w:val="32"/>
        </w:rPr>
        <w:t>140</w:t>
      </w:r>
      <w:r>
        <w:rPr>
          <w:szCs w:val="32"/>
        </w:rPr>
        <w:t>号），在下达资金预算时同步下达了绩效目标。</w:t>
      </w:r>
    </w:p>
    <w:p w:rsidR="00174473" w:rsidRDefault="00A27C5E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:rsidR="00174473" w:rsidRDefault="00A27C5E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:rsidR="00174473" w:rsidRDefault="00A27C5E">
      <w:pPr>
        <w:tabs>
          <w:tab w:val="left" w:pos="6765"/>
        </w:tabs>
        <w:spacing w:line="540" w:lineRule="exact"/>
        <w:jc w:val="left"/>
        <w:rPr>
          <w:color w:val="000000" w:themeColor="text1"/>
          <w:szCs w:val="32"/>
        </w:rPr>
      </w:pPr>
      <w:r>
        <w:rPr>
          <w:szCs w:val="32"/>
        </w:rPr>
        <w:t>项目资金到位情况</w:t>
      </w:r>
      <w:r>
        <w:rPr>
          <w:color w:val="000000" w:themeColor="text1"/>
          <w:szCs w:val="32"/>
        </w:rPr>
        <w:t>（</w:t>
      </w:r>
      <w:r>
        <w:rPr>
          <w:rFonts w:hint="eastAsia"/>
          <w:color w:val="000000" w:themeColor="text1"/>
          <w:szCs w:val="32"/>
        </w:rPr>
        <w:t>2023</w:t>
      </w:r>
      <w:r>
        <w:rPr>
          <w:rFonts w:hint="eastAsia"/>
          <w:color w:val="000000" w:themeColor="text1"/>
          <w:szCs w:val="32"/>
        </w:rPr>
        <w:t>年</w:t>
      </w:r>
      <w:r>
        <w:rPr>
          <w:rFonts w:hint="eastAsia"/>
          <w:color w:val="000000" w:themeColor="text1"/>
          <w:szCs w:val="32"/>
        </w:rPr>
        <w:t>3</w:t>
      </w:r>
      <w:r>
        <w:rPr>
          <w:rFonts w:hint="eastAsia"/>
          <w:color w:val="000000" w:themeColor="text1"/>
          <w:szCs w:val="32"/>
        </w:rPr>
        <w:t>月</w:t>
      </w:r>
      <w:r>
        <w:rPr>
          <w:rFonts w:hint="eastAsia"/>
          <w:color w:val="000000" w:themeColor="text1"/>
          <w:szCs w:val="32"/>
        </w:rPr>
        <w:t>12</w:t>
      </w:r>
      <w:r>
        <w:rPr>
          <w:rFonts w:hint="eastAsia"/>
          <w:color w:val="000000" w:themeColor="text1"/>
          <w:szCs w:val="32"/>
        </w:rPr>
        <w:t>日</w:t>
      </w:r>
      <w:r>
        <w:rPr>
          <w:color w:val="000000" w:themeColor="text1"/>
          <w:szCs w:val="32"/>
        </w:rPr>
        <w:t>收到项目资金</w:t>
      </w:r>
      <w:r>
        <w:rPr>
          <w:rFonts w:hint="eastAsia"/>
          <w:color w:val="000000" w:themeColor="text1"/>
          <w:szCs w:val="32"/>
        </w:rPr>
        <w:t>184.5</w:t>
      </w:r>
      <w:r>
        <w:rPr>
          <w:rFonts w:hint="eastAsia"/>
          <w:color w:val="000000" w:themeColor="text1"/>
          <w:szCs w:val="32"/>
        </w:rPr>
        <w:t>万元</w:t>
      </w:r>
      <w:r>
        <w:rPr>
          <w:color w:val="000000" w:themeColor="text1"/>
          <w:szCs w:val="32"/>
        </w:rPr>
        <w:t>，共计到位</w:t>
      </w:r>
      <w:r>
        <w:rPr>
          <w:rFonts w:hint="eastAsia"/>
          <w:color w:val="000000" w:themeColor="text1"/>
          <w:szCs w:val="32"/>
        </w:rPr>
        <w:t>184.5</w:t>
      </w:r>
      <w:r>
        <w:rPr>
          <w:rFonts w:hint="eastAsia"/>
          <w:color w:val="000000" w:themeColor="text1"/>
          <w:szCs w:val="32"/>
        </w:rPr>
        <w:t>万元</w:t>
      </w:r>
      <w:r>
        <w:rPr>
          <w:color w:val="000000" w:themeColor="text1"/>
          <w:szCs w:val="32"/>
        </w:rPr>
        <w:t>）；</w:t>
      </w:r>
      <w:r>
        <w:rPr>
          <w:color w:val="000000" w:themeColor="text1"/>
          <w:szCs w:val="32"/>
        </w:rPr>
        <w:t>项目资金执行情况</w:t>
      </w:r>
      <w:r>
        <w:rPr>
          <w:color w:val="000000" w:themeColor="text1"/>
          <w:szCs w:val="32"/>
        </w:rPr>
        <w:t>（</w:t>
      </w:r>
      <w:r>
        <w:rPr>
          <w:rFonts w:hint="eastAsia"/>
          <w:color w:val="000000" w:themeColor="text1"/>
          <w:szCs w:val="32"/>
        </w:rPr>
        <w:t>2023</w:t>
      </w:r>
      <w:r>
        <w:rPr>
          <w:rFonts w:hint="eastAsia"/>
          <w:color w:val="000000" w:themeColor="text1"/>
          <w:szCs w:val="32"/>
        </w:rPr>
        <w:t>年</w:t>
      </w:r>
      <w:r>
        <w:rPr>
          <w:rFonts w:hint="eastAsia"/>
          <w:color w:val="000000" w:themeColor="text1"/>
          <w:szCs w:val="32"/>
        </w:rPr>
        <w:t>3</w:t>
      </w:r>
      <w:r>
        <w:rPr>
          <w:rFonts w:hint="eastAsia"/>
          <w:color w:val="000000" w:themeColor="text1"/>
          <w:szCs w:val="32"/>
        </w:rPr>
        <w:t>月</w:t>
      </w:r>
      <w:r>
        <w:rPr>
          <w:rFonts w:hint="eastAsia"/>
          <w:color w:val="000000" w:themeColor="text1"/>
          <w:szCs w:val="32"/>
        </w:rPr>
        <w:t>13</w:t>
      </w:r>
      <w:r>
        <w:rPr>
          <w:rFonts w:hint="eastAsia"/>
          <w:color w:val="000000" w:themeColor="text1"/>
          <w:szCs w:val="32"/>
        </w:rPr>
        <w:t>日</w:t>
      </w:r>
      <w:r>
        <w:rPr>
          <w:color w:val="000000" w:themeColor="text1"/>
          <w:szCs w:val="32"/>
        </w:rPr>
        <w:t>支付项目资金</w:t>
      </w:r>
      <w:r>
        <w:rPr>
          <w:rFonts w:hint="eastAsia"/>
          <w:color w:val="000000" w:themeColor="text1"/>
          <w:szCs w:val="32"/>
        </w:rPr>
        <w:t>184.5</w:t>
      </w:r>
      <w:r>
        <w:rPr>
          <w:rFonts w:hint="eastAsia"/>
          <w:color w:val="000000" w:themeColor="text1"/>
          <w:szCs w:val="32"/>
        </w:rPr>
        <w:t>万元</w:t>
      </w:r>
      <w:r>
        <w:rPr>
          <w:color w:val="000000" w:themeColor="text1"/>
          <w:szCs w:val="32"/>
        </w:rPr>
        <w:t>，共计支付</w:t>
      </w:r>
      <w:r>
        <w:rPr>
          <w:rFonts w:hint="eastAsia"/>
          <w:color w:val="000000" w:themeColor="text1"/>
          <w:szCs w:val="32"/>
        </w:rPr>
        <w:t>184.5</w:t>
      </w:r>
      <w:r>
        <w:rPr>
          <w:rFonts w:hint="eastAsia"/>
          <w:color w:val="000000" w:themeColor="text1"/>
          <w:szCs w:val="32"/>
        </w:rPr>
        <w:t>万元</w:t>
      </w:r>
      <w:r>
        <w:rPr>
          <w:color w:val="000000" w:themeColor="text1"/>
          <w:szCs w:val="32"/>
        </w:rPr>
        <w:t>）；</w:t>
      </w:r>
      <w:r>
        <w:rPr>
          <w:color w:val="000000" w:themeColor="text1"/>
          <w:szCs w:val="32"/>
        </w:rPr>
        <w:t>项目资金管理情况</w:t>
      </w:r>
      <w:r>
        <w:rPr>
          <w:color w:val="000000" w:themeColor="text1"/>
          <w:szCs w:val="32"/>
        </w:rPr>
        <w:t>（</w:t>
      </w:r>
      <w:r>
        <w:rPr>
          <w:rFonts w:hint="eastAsia"/>
          <w:color w:val="000000" w:themeColor="text1"/>
          <w:szCs w:val="32"/>
        </w:rPr>
        <w:t>根据</w:t>
      </w:r>
      <w:r>
        <w:rPr>
          <w:rFonts w:hint="eastAsia"/>
          <w:color w:val="000000" w:themeColor="text1"/>
          <w:szCs w:val="32"/>
        </w:rPr>
        <w:t>《</w:t>
      </w:r>
      <w:r>
        <w:rPr>
          <w:color w:val="000000" w:themeColor="text1"/>
          <w:szCs w:val="32"/>
        </w:rPr>
        <w:t>奉节县财政局关于下达</w:t>
      </w:r>
      <w:r>
        <w:rPr>
          <w:rFonts w:hint="eastAsia"/>
          <w:color w:val="000000" w:themeColor="text1"/>
          <w:szCs w:val="32"/>
        </w:rPr>
        <w:t>康乐</w:t>
      </w:r>
      <w:r>
        <w:rPr>
          <w:rFonts w:hint="eastAsia"/>
          <w:color w:val="000000" w:themeColor="text1"/>
          <w:szCs w:val="32"/>
        </w:rPr>
        <w:t>镇人民政府地质灾害避</w:t>
      </w:r>
      <w:r>
        <w:rPr>
          <w:rFonts w:hint="eastAsia"/>
          <w:szCs w:val="32"/>
        </w:rPr>
        <w:t>险搬迁金土工程项目</w:t>
      </w:r>
      <w:r>
        <w:rPr>
          <w:szCs w:val="32"/>
        </w:rPr>
        <w:t>资金预算的通知</w:t>
      </w:r>
      <w:r>
        <w:rPr>
          <w:rFonts w:hint="eastAsia"/>
          <w:szCs w:val="32"/>
        </w:rPr>
        <w:t>》</w:t>
      </w:r>
      <w:proofErr w:type="gramStart"/>
      <w:r>
        <w:rPr>
          <w:color w:val="000000"/>
          <w:szCs w:val="32"/>
        </w:rPr>
        <w:t>奉节财</w:t>
      </w:r>
      <w:r>
        <w:rPr>
          <w:color w:val="000000"/>
          <w:szCs w:val="32"/>
        </w:rPr>
        <w:t>建</w:t>
      </w:r>
      <w:r>
        <w:rPr>
          <w:color w:val="000000"/>
          <w:szCs w:val="32"/>
        </w:rPr>
        <w:t>〔</w:t>
      </w:r>
      <w:r>
        <w:rPr>
          <w:color w:val="000000"/>
          <w:szCs w:val="32"/>
        </w:rPr>
        <w:t>20</w:t>
      </w:r>
      <w:r>
        <w:rPr>
          <w:color w:val="000000"/>
          <w:szCs w:val="32"/>
        </w:rPr>
        <w:t>22</w:t>
      </w:r>
      <w:r>
        <w:rPr>
          <w:color w:val="000000"/>
          <w:szCs w:val="32"/>
        </w:rPr>
        <w:t>〕</w:t>
      </w:r>
      <w:proofErr w:type="gramEnd"/>
      <w:r>
        <w:rPr>
          <w:rFonts w:hint="eastAsia"/>
          <w:color w:val="000000"/>
          <w:szCs w:val="32"/>
        </w:rPr>
        <w:t>140</w:t>
      </w:r>
      <w:r>
        <w:rPr>
          <w:color w:val="000000"/>
          <w:szCs w:val="32"/>
        </w:rPr>
        <w:t>号</w:t>
      </w:r>
      <w:r>
        <w:rPr>
          <w:rFonts w:hint="eastAsia"/>
          <w:color w:val="000000"/>
          <w:szCs w:val="32"/>
        </w:rPr>
        <w:t>文件要求，</w:t>
      </w:r>
      <w:r>
        <w:rPr>
          <w:rFonts w:hint="eastAsia"/>
          <w:color w:val="000000" w:themeColor="text1"/>
          <w:szCs w:val="32"/>
        </w:rPr>
        <w:t>本单位收到该项目资金后，在</w:t>
      </w:r>
      <w:r>
        <w:rPr>
          <w:rFonts w:hint="eastAsia"/>
          <w:color w:val="000000" w:themeColor="text1"/>
          <w:szCs w:val="32"/>
        </w:rPr>
        <w:t>5</w:t>
      </w:r>
      <w:r>
        <w:rPr>
          <w:rFonts w:hint="eastAsia"/>
          <w:color w:val="000000" w:themeColor="text1"/>
          <w:szCs w:val="32"/>
        </w:rPr>
        <w:t>个工作日拨付至搬迁农户账上</w:t>
      </w:r>
      <w:r>
        <w:rPr>
          <w:color w:val="000000" w:themeColor="text1"/>
          <w:szCs w:val="32"/>
        </w:rPr>
        <w:t>）</w:t>
      </w:r>
      <w:r>
        <w:rPr>
          <w:color w:val="000000" w:themeColor="text1"/>
          <w:szCs w:val="32"/>
        </w:rPr>
        <w:t>。</w:t>
      </w:r>
    </w:p>
    <w:p w:rsidR="00174473" w:rsidRDefault="00A27C5E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bCs/>
          <w:szCs w:val="32"/>
        </w:rPr>
        <w:t>（二）总体绩效目标完成情况分析。根据</w:t>
      </w:r>
      <w:r>
        <w:rPr>
          <w:bCs/>
          <w:szCs w:val="32"/>
        </w:rPr>
        <w:t>“</w:t>
      </w:r>
      <w:r>
        <w:rPr>
          <w:bCs/>
          <w:szCs w:val="32"/>
        </w:rPr>
        <w:t>奉节县规划和自然资源局关于实施</w:t>
      </w:r>
      <w:r>
        <w:rPr>
          <w:bCs/>
          <w:szCs w:val="32"/>
        </w:rPr>
        <w:t>2022</w:t>
      </w:r>
      <w:r>
        <w:rPr>
          <w:bCs/>
          <w:szCs w:val="32"/>
        </w:rPr>
        <w:t>年地质灾害防治金土工程搬迁避让项目的通知</w:t>
      </w:r>
      <w:r>
        <w:rPr>
          <w:bCs/>
          <w:szCs w:val="32"/>
        </w:rPr>
        <w:t>”</w:t>
      </w:r>
      <w:r>
        <w:rPr>
          <w:bCs/>
          <w:szCs w:val="32"/>
        </w:rPr>
        <w:t>的要求对康乐镇内地</w:t>
      </w:r>
      <w:r>
        <w:rPr>
          <w:rFonts w:hint="eastAsia"/>
          <w:bCs/>
          <w:szCs w:val="32"/>
        </w:rPr>
        <w:t>质</w:t>
      </w:r>
      <w:bookmarkStart w:id="0" w:name="_GoBack"/>
      <w:bookmarkEnd w:id="0"/>
      <w:r>
        <w:rPr>
          <w:bCs/>
          <w:szCs w:val="32"/>
        </w:rPr>
        <w:t>灾</w:t>
      </w:r>
      <w:r>
        <w:rPr>
          <w:bCs/>
          <w:szCs w:val="32"/>
        </w:rPr>
        <w:t>害威胁的</w:t>
      </w:r>
      <w:r>
        <w:rPr>
          <w:bCs/>
          <w:szCs w:val="32"/>
        </w:rPr>
        <w:t>31</w:t>
      </w:r>
      <w:r>
        <w:rPr>
          <w:bCs/>
          <w:szCs w:val="32"/>
        </w:rPr>
        <w:t>户</w:t>
      </w:r>
      <w:r>
        <w:rPr>
          <w:bCs/>
          <w:szCs w:val="32"/>
        </w:rPr>
        <w:t>123</w:t>
      </w:r>
      <w:r>
        <w:rPr>
          <w:bCs/>
          <w:szCs w:val="32"/>
        </w:rPr>
        <w:t>人进行搬迁，目前已经全部竣工</w:t>
      </w:r>
      <w:r>
        <w:rPr>
          <w:rFonts w:hint="eastAsia"/>
          <w:bCs/>
          <w:szCs w:val="32"/>
        </w:rPr>
        <w:t>并</w:t>
      </w:r>
      <w:r>
        <w:rPr>
          <w:bCs/>
          <w:szCs w:val="32"/>
        </w:rPr>
        <w:t>搬迁入住。</w:t>
      </w:r>
    </w:p>
    <w:p w:rsidR="00174473" w:rsidRDefault="00A27C5E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  <w:r>
        <w:rPr>
          <w:szCs w:val="32"/>
        </w:rPr>
        <w:t>完成康乐镇</w:t>
      </w:r>
      <w:r>
        <w:rPr>
          <w:szCs w:val="32"/>
        </w:rPr>
        <w:t>2022</w:t>
      </w:r>
      <w:r>
        <w:rPr>
          <w:szCs w:val="32"/>
        </w:rPr>
        <w:t>年金</w:t>
      </w:r>
      <w:proofErr w:type="gramStart"/>
      <w:r>
        <w:rPr>
          <w:szCs w:val="32"/>
        </w:rPr>
        <w:t>土地金</w:t>
      </w:r>
      <w:proofErr w:type="gramEnd"/>
      <w:r>
        <w:rPr>
          <w:szCs w:val="32"/>
        </w:rPr>
        <w:t>土搬迁资金拨付；消除安全隐患，保障人民生命财产安全，保障搬迁居民安居乐业。</w:t>
      </w:r>
    </w:p>
    <w:p w:rsidR="00174473" w:rsidRDefault="00A27C5E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</w:p>
    <w:p w:rsidR="00174473" w:rsidRDefault="00A27C5E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szCs w:val="32"/>
        </w:rPr>
        <w:t>2022</w:t>
      </w:r>
      <w:r>
        <w:rPr>
          <w:szCs w:val="32"/>
        </w:rPr>
        <w:t>年金土地搬迁工作已经结束，完成对搬迁户</w:t>
      </w:r>
      <w:r>
        <w:rPr>
          <w:szCs w:val="32"/>
        </w:rPr>
        <w:lastRenderedPageBreak/>
        <w:t>的搬迁补助</w:t>
      </w:r>
      <w:r>
        <w:rPr>
          <w:rFonts w:hint="eastAsia"/>
          <w:szCs w:val="32"/>
        </w:rPr>
        <w:t>，主要对地质</w:t>
      </w:r>
      <w:r>
        <w:rPr>
          <w:rFonts w:hint="eastAsia"/>
          <w:szCs w:val="32"/>
        </w:rPr>
        <w:t>灾害威胁严重的</w:t>
      </w:r>
      <w:r>
        <w:rPr>
          <w:rFonts w:hint="eastAsia"/>
          <w:szCs w:val="32"/>
        </w:rPr>
        <w:t>31</w:t>
      </w:r>
      <w:r>
        <w:rPr>
          <w:rFonts w:hint="eastAsia"/>
          <w:szCs w:val="32"/>
        </w:rPr>
        <w:t>户</w:t>
      </w:r>
      <w:r>
        <w:rPr>
          <w:rFonts w:hint="eastAsia"/>
          <w:szCs w:val="32"/>
        </w:rPr>
        <w:t>123</w:t>
      </w:r>
      <w:r>
        <w:rPr>
          <w:rFonts w:hint="eastAsia"/>
          <w:szCs w:val="32"/>
        </w:rPr>
        <w:t>人进行了搬迁。</w:t>
      </w:r>
    </w:p>
    <w:p w:rsidR="00174473" w:rsidRDefault="00A27C5E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szCs w:val="32"/>
        </w:rPr>
        <w:t>50</w:t>
      </w:r>
      <w:r>
        <w:rPr>
          <w:szCs w:val="32"/>
        </w:rPr>
        <w:t>年内安全保障，不会再受地质灾害威胁。搬迁到安全地，远离地</w:t>
      </w:r>
      <w:r>
        <w:rPr>
          <w:rFonts w:hint="eastAsia"/>
          <w:szCs w:val="32"/>
        </w:rPr>
        <w:t>质</w:t>
      </w:r>
      <w:r>
        <w:rPr>
          <w:szCs w:val="32"/>
        </w:rPr>
        <w:t>灾害威胁</w:t>
      </w:r>
    </w:p>
    <w:p w:rsidR="00174473" w:rsidRDefault="00A27C5E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）时效指标。搬迁工程在</w:t>
      </w:r>
      <w:r>
        <w:rPr>
          <w:szCs w:val="32"/>
        </w:rPr>
        <w:t>2022</w:t>
      </w:r>
      <w:r>
        <w:rPr>
          <w:szCs w:val="32"/>
        </w:rPr>
        <w:t>年一年内完成</w:t>
      </w:r>
    </w:p>
    <w:p w:rsidR="00174473" w:rsidRDefault="00A27C5E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4</w:t>
      </w:r>
      <w:r>
        <w:rPr>
          <w:szCs w:val="32"/>
        </w:rPr>
        <w:t>）成本指标。严格资金管理，不出现超预算、概算投资情况。</w:t>
      </w:r>
    </w:p>
    <w:p w:rsidR="00174473" w:rsidRDefault="00A27C5E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</w:p>
    <w:p w:rsidR="00174473" w:rsidRDefault="00A27C5E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）社会效益。威胁群众安全隐</w:t>
      </w:r>
      <w:r>
        <w:rPr>
          <w:szCs w:val="32"/>
        </w:rPr>
        <w:t>患完全消除，不会再发生。通过搬迁，人民生命财产能完全得到保障。</w:t>
      </w:r>
    </w:p>
    <w:p w:rsidR="00174473" w:rsidRDefault="00A27C5E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2</w:t>
      </w:r>
      <w:r>
        <w:rPr>
          <w:szCs w:val="32"/>
        </w:rPr>
        <w:t>）生态效益。</w:t>
      </w:r>
      <w:proofErr w:type="gramStart"/>
      <w:r>
        <w:rPr>
          <w:szCs w:val="32"/>
        </w:rPr>
        <w:t>迁区域</w:t>
      </w:r>
      <w:proofErr w:type="gramEnd"/>
      <w:r>
        <w:rPr>
          <w:szCs w:val="32"/>
        </w:rPr>
        <w:t>提高生态环境优化，群众生态意识提高。</w:t>
      </w:r>
    </w:p>
    <w:p w:rsidR="00174473" w:rsidRDefault="00A27C5E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满意度指标完成情况分析。搬迁效果显著，群众对治理工程满意度较高。</w:t>
      </w:r>
    </w:p>
    <w:p w:rsidR="00174473" w:rsidRDefault="00A27C5E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174473" w:rsidRDefault="00A27C5E">
      <w:pPr>
        <w:ind w:firstLineChars="200" w:firstLine="64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eastAsia="仿宋_GB2312" w:hint="eastAsia"/>
          <w:color w:val="000000"/>
          <w:szCs w:val="32"/>
        </w:rPr>
        <w:t>100</w:t>
      </w:r>
      <w:r>
        <w:rPr>
          <w:rFonts w:eastAsia="仿宋_GB2312"/>
          <w:color w:val="000000"/>
          <w:szCs w:val="32"/>
        </w:rPr>
        <w:t>分，评价结果为（</w:t>
      </w:r>
      <w:r>
        <w:rPr>
          <w:rFonts w:eastAsia="仿宋_GB2312"/>
          <w:color w:val="0000FF"/>
          <w:szCs w:val="32"/>
        </w:rPr>
        <w:t>优</w:t>
      </w:r>
      <w:r>
        <w:rPr>
          <w:rFonts w:eastAsia="仿宋_GB2312"/>
          <w:color w:val="000000"/>
          <w:szCs w:val="32"/>
        </w:rPr>
        <w:t>）。</w:t>
      </w:r>
    </w:p>
    <w:p w:rsidR="00174473" w:rsidRDefault="00174473">
      <w:pPr>
        <w:spacing w:line="600" w:lineRule="exact"/>
        <w:rPr>
          <w:szCs w:val="32"/>
        </w:rPr>
      </w:pPr>
    </w:p>
    <w:p w:rsidR="00174473" w:rsidRDefault="00A27C5E">
      <w:pPr>
        <w:spacing w:line="600" w:lineRule="exact"/>
        <w:rPr>
          <w:szCs w:val="32"/>
        </w:rPr>
      </w:pPr>
      <w:r>
        <w:rPr>
          <w:szCs w:val="32"/>
        </w:rPr>
        <w:t>附</w:t>
      </w:r>
      <w:r>
        <w:rPr>
          <w:szCs w:val="32"/>
        </w:rPr>
        <w:t>件</w:t>
      </w:r>
      <w:r>
        <w:rPr>
          <w:szCs w:val="32"/>
        </w:rPr>
        <w:t>：</w:t>
      </w:r>
      <w:r>
        <w:rPr>
          <w:szCs w:val="32"/>
        </w:rPr>
        <w:t>项目支出预算绩效目标自评</w:t>
      </w:r>
      <w:r>
        <w:rPr>
          <w:szCs w:val="32"/>
        </w:rPr>
        <w:t>表</w:t>
      </w:r>
    </w:p>
    <w:p w:rsidR="00174473" w:rsidRDefault="00174473">
      <w:pPr>
        <w:pStyle w:val="Default"/>
        <w:rPr>
          <w:rFonts w:ascii="Times New Roman"/>
          <w:sz w:val="32"/>
          <w:szCs w:val="32"/>
        </w:rPr>
      </w:pPr>
    </w:p>
    <w:p w:rsidR="00174473" w:rsidRDefault="00174473">
      <w:pPr>
        <w:rPr>
          <w:szCs w:val="32"/>
        </w:rPr>
      </w:pPr>
    </w:p>
    <w:p w:rsidR="00174473" w:rsidRDefault="00174473">
      <w:pPr>
        <w:pStyle w:val="Default"/>
      </w:pPr>
    </w:p>
    <w:p w:rsidR="00174473" w:rsidRDefault="00174473">
      <w:pPr>
        <w:pStyle w:val="Default"/>
        <w:rPr>
          <w:rFonts w:ascii="Times New Roman"/>
          <w:sz w:val="32"/>
          <w:szCs w:val="32"/>
        </w:rPr>
      </w:pPr>
    </w:p>
    <w:p w:rsidR="00174473" w:rsidRDefault="00174473">
      <w:pPr>
        <w:rPr>
          <w:szCs w:val="32"/>
        </w:rPr>
      </w:pPr>
    </w:p>
    <w:p w:rsidR="00174473" w:rsidRDefault="00174473">
      <w:pPr>
        <w:pStyle w:val="Default"/>
        <w:rPr>
          <w:rFonts w:ascii="Times New Roman"/>
          <w:sz w:val="32"/>
          <w:szCs w:val="32"/>
        </w:rPr>
      </w:pPr>
    </w:p>
    <w:tbl>
      <w:tblPr>
        <w:tblW w:w="95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1080"/>
        <w:gridCol w:w="1080"/>
        <w:gridCol w:w="1741"/>
        <w:gridCol w:w="825"/>
        <w:gridCol w:w="705"/>
        <w:gridCol w:w="1155"/>
        <w:gridCol w:w="105"/>
        <w:gridCol w:w="555"/>
        <w:gridCol w:w="374"/>
        <w:gridCol w:w="1321"/>
      </w:tblGrid>
      <w:tr w:rsidR="00174473">
        <w:trPr>
          <w:trHeight w:val="510"/>
        </w:trPr>
        <w:tc>
          <w:tcPr>
            <w:tcW w:w="956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473" w:rsidRDefault="00174473"/>
          <w:p w:rsidR="00174473" w:rsidRDefault="00174473">
            <w:pPr>
              <w:widowControl/>
              <w:rPr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174473" w:rsidRDefault="00A27C5E">
            <w:pPr>
              <w:widowControl/>
              <w:jc w:val="center"/>
              <w:rPr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b/>
                <w:bCs/>
                <w:color w:val="000000"/>
                <w:kern w:val="0"/>
                <w:sz w:val="40"/>
                <w:szCs w:val="40"/>
              </w:rPr>
              <w:t>项目支出预算</w:t>
            </w:r>
            <w:r>
              <w:rPr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 w:rsidR="00174473">
        <w:trPr>
          <w:trHeight w:val="270"/>
        </w:trPr>
        <w:tc>
          <w:tcPr>
            <w:tcW w:w="956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/>
                <w:b/>
                <w:bCs/>
                <w:color w:val="000000"/>
                <w:kern w:val="0"/>
                <w:sz w:val="22"/>
                <w:szCs w:val="22"/>
              </w:rPr>
              <w:t>2022</w:t>
            </w: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174473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2022</w:t>
            </w:r>
            <w:r>
              <w:rPr>
                <w:color w:val="000000"/>
                <w:kern w:val="0"/>
                <w:sz w:val="16"/>
                <w:szCs w:val="16"/>
              </w:rPr>
              <w:t xml:space="preserve">年地质灾害避险搬迁金土工程　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 xml:space="preserve">唐可人　</w:t>
            </w:r>
          </w:p>
        </w:tc>
      </w:tr>
      <w:tr w:rsidR="00174473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 xml:space="preserve">奉节县规划和自然资源局　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奉节县康乐镇人民政</w:t>
            </w:r>
            <w:r>
              <w:rPr>
                <w:rFonts w:hint="eastAsia"/>
                <w:color w:val="000000"/>
                <w:kern w:val="0"/>
                <w:sz w:val="16"/>
                <w:szCs w:val="16"/>
              </w:rPr>
              <w:t>府府</w:t>
            </w:r>
            <w:proofErr w:type="gramStart"/>
            <w:r>
              <w:rPr>
                <w:color w:val="000000"/>
                <w:kern w:val="0"/>
                <w:sz w:val="16"/>
                <w:szCs w:val="16"/>
              </w:rPr>
              <w:t>府</w:t>
            </w:r>
            <w:proofErr w:type="gramEnd"/>
            <w:r>
              <w:rPr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174473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184.5</w:t>
            </w: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184.5</w:t>
            </w: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184.5</w:t>
            </w: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174473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noProof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57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完成搬迁工作相关经费拨付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完成金土地搬迁工程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户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搬迁工程防治结构设计基准期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9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搬迁地撤出地质灾害威胁地带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5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在一年内完成搬迁工作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63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严格按文件要求完成搬迁户的修建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消除威胁群众安全隐患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 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保障人民生命财产安全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 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869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搬迁区域提高生态环境优化，群众提高环境保护意识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继续提高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继续提高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62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地质灾害威胁群众满意度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74473">
        <w:trPr>
          <w:trHeight w:hRule="exact" w:val="284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A27C5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473" w:rsidRDefault="00174473">
            <w:pPr>
              <w:widowControl/>
              <w:spacing w:line="30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174473">
        <w:trPr>
          <w:trHeight w:val="330"/>
        </w:trPr>
        <w:tc>
          <w:tcPr>
            <w:tcW w:w="956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473" w:rsidRDefault="00174473">
            <w:pPr>
              <w:widowControl/>
              <w:jc w:val="left"/>
              <w:rPr>
                <w:kern w:val="0"/>
                <w:sz w:val="20"/>
              </w:rPr>
            </w:pPr>
          </w:p>
          <w:p w:rsidR="00174473" w:rsidRDefault="00A27C5E"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填报单位</w:t>
            </w:r>
            <w:r>
              <w:rPr>
                <w:kern w:val="0"/>
                <w:sz w:val="20"/>
              </w:rPr>
              <w:t>负责人：</w:t>
            </w:r>
            <w:r>
              <w:rPr>
                <w:rFonts w:hint="eastAsia"/>
                <w:kern w:val="0"/>
                <w:sz w:val="20"/>
              </w:rPr>
              <w:t>唐可人</w:t>
            </w:r>
            <w:r>
              <w:rPr>
                <w:kern w:val="0"/>
                <w:sz w:val="20"/>
              </w:rPr>
              <w:t xml:space="preserve">                 </w:t>
            </w:r>
            <w:r>
              <w:rPr>
                <w:kern w:val="0"/>
                <w:sz w:val="20"/>
              </w:rPr>
              <w:t>填表人：</w:t>
            </w:r>
            <w:r>
              <w:rPr>
                <w:kern w:val="0"/>
                <w:sz w:val="20"/>
              </w:rPr>
              <w:t xml:space="preserve"> </w:t>
            </w:r>
            <w:r>
              <w:rPr>
                <w:rFonts w:hint="eastAsia"/>
                <w:kern w:val="0"/>
                <w:sz w:val="20"/>
              </w:rPr>
              <w:t>杨军</w:t>
            </w:r>
            <w:r>
              <w:rPr>
                <w:kern w:val="0"/>
                <w:sz w:val="20"/>
              </w:rPr>
              <w:t xml:space="preserve">                    </w:t>
            </w:r>
            <w:r>
              <w:rPr>
                <w:kern w:val="0"/>
                <w:sz w:val="20"/>
              </w:rPr>
              <w:t>填报日期：</w:t>
            </w:r>
            <w:r>
              <w:rPr>
                <w:rFonts w:hint="eastAsia"/>
                <w:kern w:val="0"/>
                <w:sz w:val="20"/>
              </w:rPr>
              <w:t>2023.3.15</w:t>
            </w:r>
          </w:p>
        </w:tc>
      </w:tr>
    </w:tbl>
    <w:p w:rsidR="00174473" w:rsidRDefault="00174473"/>
    <w:sectPr w:rsidR="0017447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iYjkyOGE2NzQ5MTcyNTBmNjJiZmMyMzBmNTA2N2YifQ=="/>
  </w:docVars>
  <w:rsids>
    <w:rsidRoot w:val="3F176741"/>
    <w:rsid w:val="00174473"/>
    <w:rsid w:val="00A27C5E"/>
    <w:rsid w:val="035F7252"/>
    <w:rsid w:val="043B7EA1"/>
    <w:rsid w:val="085552AA"/>
    <w:rsid w:val="1BF84A92"/>
    <w:rsid w:val="3F176741"/>
    <w:rsid w:val="41693D22"/>
    <w:rsid w:val="453E18DA"/>
    <w:rsid w:val="513D15DF"/>
    <w:rsid w:val="6B236A9A"/>
    <w:rsid w:val="74CC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梁洪国</cp:lastModifiedBy>
  <cp:revision>3</cp:revision>
  <dcterms:created xsi:type="dcterms:W3CDTF">2023-03-06T08:56:00Z</dcterms:created>
  <dcterms:modified xsi:type="dcterms:W3CDTF">2024-12-23T03:36:00Z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FF385F0646F04A46BD3939B3FC668DA2</vt:lpwstr>
  </property>
</Properties>
</file>