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640" w:firstLine="723"/>
        <w:jc w:val="center"/>
        <w:rPr>
          <w:rFonts w:eastAsia="仿宋"/>
          <w:b/>
          <w:sz w:val="36"/>
          <w:szCs w:val="36"/>
        </w:rPr>
      </w:pPr>
      <w:bookmarkStart w:id="283" w:name="_GoBack"/>
      <w:bookmarkEnd w:id="283"/>
    </w:p>
    <w:p>
      <w:pPr>
        <w:spacing w:line="360" w:lineRule="auto"/>
        <w:ind w:left="640" w:firstLine="723"/>
        <w:jc w:val="center"/>
        <w:rPr>
          <w:rFonts w:eastAsia="仿宋"/>
          <w:b/>
          <w:sz w:val="36"/>
          <w:szCs w:val="36"/>
        </w:rPr>
      </w:pPr>
    </w:p>
    <w:p>
      <w:pPr>
        <w:spacing w:line="360" w:lineRule="auto"/>
        <w:ind w:left="640" w:firstLine="723"/>
        <w:jc w:val="center"/>
        <w:rPr>
          <w:rFonts w:ascii="黑体" w:hAnsi="黑体" w:eastAsia="黑体" w:cs="黑体"/>
          <w:b/>
          <w:sz w:val="36"/>
          <w:szCs w:val="36"/>
        </w:rPr>
      </w:pPr>
    </w:p>
    <w:p>
      <w:pPr>
        <w:spacing w:line="360" w:lineRule="auto"/>
        <w:ind w:left="640" w:firstLine="723"/>
        <w:jc w:val="center"/>
        <w:rPr>
          <w:rFonts w:eastAsia="仿宋"/>
          <w:b/>
          <w:sz w:val="36"/>
          <w:szCs w:val="36"/>
        </w:rPr>
      </w:pPr>
    </w:p>
    <w:p>
      <w:pPr>
        <w:spacing w:line="360" w:lineRule="auto"/>
        <w:jc w:val="center"/>
        <w:rPr>
          <w:rFonts w:eastAsia="黑体"/>
          <w:b/>
          <w:sz w:val="44"/>
          <w:szCs w:val="44"/>
        </w:rPr>
      </w:pPr>
      <w:r>
        <w:rPr>
          <w:rFonts w:eastAsia="黑体"/>
          <w:b/>
          <w:sz w:val="44"/>
          <w:szCs w:val="44"/>
        </w:rPr>
        <w:t>奉节县工业和信息化“十四五”</w:t>
      </w:r>
    </w:p>
    <w:p>
      <w:pPr>
        <w:spacing w:line="360" w:lineRule="auto"/>
        <w:jc w:val="center"/>
        <w:rPr>
          <w:rFonts w:eastAsia="黑体"/>
          <w:b/>
          <w:sz w:val="44"/>
          <w:szCs w:val="44"/>
        </w:rPr>
      </w:pPr>
      <w:r>
        <w:rPr>
          <w:rFonts w:eastAsia="黑体"/>
          <w:b/>
          <w:sz w:val="44"/>
          <w:szCs w:val="44"/>
        </w:rPr>
        <w:t>高质量发展规划</w:t>
      </w: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ind w:left="640" w:firstLine="723"/>
        <w:jc w:val="center"/>
        <w:rPr>
          <w:rFonts w:eastAsia="仿宋"/>
          <w:b/>
          <w:sz w:val="36"/>
          <w:szCs w:val="36"/>
        </w:rPr>
      </w:pPr>
    </w:p>
    <w:p>
      <w:pPr>
        <w:spacing w:line="360" w:lineRule="auto"/>
        <w:jc w:val="center"/>
        <w:rPr>
          <w:rFonts w:eastAsia="仿宋"/>
          <w:b/>
          <w:sz w:val="36"/>
          <w:szCs w:val="36"/>
        </w:rPr>
      </w:pPr>
      <w:r>
        <w:rPr>
          <w:rFonts w:eastAsia="仿宋"/>
          <w:b/>
          <w:sz w:val="36"/>
          <w:szCs w:val="36"/>
        </w:rPr>
        <w:t>奉节县经济和信息化委员会</w:t>
      </w:r>
    </w:p>
    <w:p>
      <w:pPr>
        <w:spacing w:line="360" w:lineRule="auto"/>
        <w:jc w:val="center"/>
        <w:rPr>
          <w:rFonts w:eastAsia="仿宋"/>
          <w:b/>
          <w:sz w:val="36"/>
          <w:szCs w:val="36"/>
        </w:rPr>
      </w:pPr>
      <w:r>
        <w:rPr>
          <w:rFonts w:eastAsia="仿宋"/>
          <w:b/>
          <w:sz w:val="36"/>
          <w:szCs w:val="36"/>
        </w:rPr>
        <w:t>中国国际工程咨询有限公司</w:t>
      </w:r>
    </w:p>
    <w:p>
      <w:pPr>
        <w:spacing w:line="360" w:lineRule="auto"/>
        <w:jc w:val="center"/>
        <w:rPr>
          <w:rFonts w:eastAsia="仿宋"/>
          <w:b/>
          <w:sz w:val="36"/>
          <w:szCs w:val="36"/>
        </w:rPr>
      </w:pPr>
      <w:r>
        <w:rPr>
          <w:rFonts w:eastAsia="仿宋"/>
          <w:b/>
          <w:sz w:val="36"/>
          <w:szCs w:val="36"/>
        </w:rPr>
        <w:t>2022年</w:t>
      </w:r>
      <w:r>
        <w:rPr>
          <w:rFonts w:hint="eastAsia" w:eastAsia="仿宋"/>
          <w:b/>
          <w:sz w:val="36"/>
          <w:szCs w:val="36"/>
        </w:rPr>
        <w:t>4</w:t>
      </w:r>
      <w:r>
        <w:rPr>
          <w:rFonts w:eastAsia="仿宋"/>
          <w:b/>
          <w:sz w:val="36"/>
          <w:szCs w:val="36"/>
        </w:rPr>
        <w:t>月</w:t>
      </w:r>
    </w:p>
    <w:p>
      <w:pPr>
        <w:spacing w:line="360" w:lineRule="auto"/>
        <w:ind w:left="640" w:firstLine="723"/>
        <w:jc w:val="center"/>
        <w:rPr>
          <w:rFonts w:eastAsia="仿宋"/>
          <w:b/>
          <w:sz w:val="36"/>
          <w:szCs w:val="36"/>
        </w:rPr>
        <w:sectPr>
          <w:pgSz w:w="11906" w:h="16838"/>
          <w:pgMar w:top="1440" w:right="1800" w:bottom="1440" w:left="1800" w:header="851" w:footer="992" w:gutter="0"/>
          <w:cols w:space="425" w:num="1"/>
          <w:docGrid w:type="lines" w:linePitch="312" w:charSpace="0"/>
        </w:sectPr>
      </w:pPr>
    </w:p>
    <w:p>
      <w:pPr>
        <w:spacing w:line="360" w:lineRule="auto"/>
        <w:jc w:val="center"/>
        <w:rPr>
          <w:rFonts w:eastAsia="黑体"/>
          <w:b/>
          <w:sz w:val="36"/>
          <w:szCs w:val="36"/>
        </w:rPr>
      </w:pPr>
      <w:r>
        <w:rPr>
          <w:rFonts w:eastAsia="黑体"/>
          <w:b/>
          <w:sz w:val="36"/>
          <w:szCs w:val="36"/>
        </w:rPr>
        <w:tab/>
      </w:r>
      <w:r>
        <w:rPr>
          <w:rFonts w:eastAsia="黑体"/>
          <w:b/>
          <w:sz w:val="36"/>
          <w:szCs w:val="36"/>
        </w:rPr>
        <w:t>目  录</w:t>
      </w:r>
      <w:r>
        <w:rPr>
          <w:rFonts w:eastAsia="黑体"/>
          <w:b/>
          <w:sz w:val="36"/>
          <w:szCs w:val="36"/>
        </w:rPr>
        <w:tab/>
      </w:r>
    </w:p>
    <w:sdt>
      <w:sdtPr>
        <w:rPr>
          <w:rFonts w:eastAsia="宋体"/>
          <w:b w:val="0"/>
          <w:bCs w:val="0"/>
          <w:caps w:val="0"/>
          <w:sz w:val="21"/>
          <w:szCs w:val="22"/>
          <w:lang w:val="zh-CN"/>
        </w:rPr>
        <w:id w:val="71933759"/>
        <w:docPartObj>
          <w:docPartGallery w:val="Table of Contents"/>
          <w:docPartUnique/>
        </w:docPartObj>
      </w:sdtPr>
      <w:sdtEndPr>
        <w:rPr>
          <w:rFonts w:eastAsia="宋体"/>
          <w:b/>
          <w:bCs/>
          <w:caps w:val="0"/>
          <w:sz w:val="21"/>
          <w:szCs w:val="22"/>
          <w:lang w:val="zh-CN"/>
        </w:rPr>
      </w:sdtEndPr>
      <w:sdtContent>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TOC \o "1-3" \h \z \u </w:instrText>
          </w:r>
          <w:r>
            <w:fldChar w:fldCharType="separate"/>
          </w:r>
          <w:r>
            <w:fldChar w:fldCharType="begin"/>
          </w:r>
          <w:r>
            <w:instrText xml:space="preserve"> HYPERLINK \l "_Toc103805217" </w:instrText>
          </w:r>
          <w:r>
            <w:fldChar w:fldCharType="separate"/>
          </w:r>
          <w:r>
            <w:rPr>
              <w:rStyle w:val="32"/>
              <w:rFonts w:hint="eastAsia"/>
              <w:color w:val="auto"/>
            </w:rPr>
            <w:t>第一章</w:t>
          </w:r>
          <w:r>
            <w:rPr>
              <w:rStyle w:val="32"/>
              <w:color w:val="auto"/>
            </w:rPr>
            <w:t xml:space="preserve"> </w:t>
          </w:r>
          <w:r>
            <w:rPr>
              <w:rStyle w:val="32"/>
              <w:rFonts w:hint="eastAsia"/>
              <w:color w:val="auto"/>
            </w:rPr>
            <w:t>发展基础与环境</w:t>
          </w:r>
          <w:r>
            <w:tab/>
          </w:r>
          <w:r>
            <w:fldChar w:fldCharType="begin"/>
          </w:r>
          <w:r>
            <w:instrText xml:space="preserve"> PAGEREF _Toc103805217 \h </w:instrText>
          </w:r>
          <w:r>
            <w:fldChar w:fldCharType="separate"/>
          </w:r>
          <w:r>
            <w:t>1</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"_Toc103805218"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发展成就</w:t>
          </w:r>
          <w:r>
            <w:tab/>
          </w:r>
          <w:r>
            <w:fldChar w:fldCharType="begin"/>
          </w:r>
          <w:r>
            <w:instrText xml:space="preserve"> PAGEREF _Toc103805218 \h </w:instrText>
          </w:r>
          <w:r>
            <w:fldChar w:fldCharType="separate"/>
          </w:r>
          <w:r>
            <w:t>1</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"_Toc103805219"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存在问题</w:t>
          </w:r>
          <w:r>
            <w:tab/>
          </w:r>
          <w:r>
            <w:fldChar w:fldCharType="begin"/>
          </w:r>
          <w:r>
            <w:instrText xml:space="preserve"> PAGEREF _Toc103805219 \h </w:instrText>
          </w:r>
          <w:r>
            <w:fldChar w:fldCharType="separate"/>
          </w:r>
          <w:r>
            <w:t>4</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"_Toc103805220" </w:instrText>
          </w:r>
          <w:r>
            <w:fldChar w:fldCharType="separate"/>
          </w:r>
          <w:r>
            <w:rPr>
              <w:rStyle w:val="32"/>
              <w:rFonts w:hint="eastAsia" w:eastAsia="楷体_GB2312"/>
              <w:color w:val="auto"/>
            </w:rPr>
            <w:t>第三节</w:t>
          </w:r>
          <w:r>
            <w:rPr>
              <w:rStyle w:val="32"/>
              <w:rFonts w:eastAsia="楷体_GB2312"/>
              <w:color w:val="auto"/>
            </w:rPr>
            <w:t xml:space="preserve"> </w:t>
          </w:r>
          <w:r>
            <w:rPr>
              <w:rStyle w:val="32"/>
              <w:rFonts w:hint="eastAsia" w:eastAsia="楷体_GB2312"/>
              <w:color w:val="auto"/>
            </w:rPr>
            <w:t>发展机遇</w:t>
          </w:r>
          <w:r>
            <w:tab/>
          </w:r>
          <w:r>
            <w:fldChar w:fldCharType="begin"/>
          </w:r>
          <w:r>
            <w:instrText xml:space="preserve"> PAGEREF _Toc103805220 \h </w:instrText>
          </w:r>
          <w:r>
            <w:fldChar w:fldCharType="separate"/>
          </w:r>
          <w:r>
            <w:t>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"_Toc103805221" </w:instrText>
          </w:r>
          <w:r>
            <w:fldChar w:fldCharType="separate"/>
          </w:r>
          <w:r>
            <w:rPr>
              <w:rStyle w:val="32"/>
              <w:rFonts w:hint="eastAsia" w:eastAsia="楷体_GB2312"/>
              <w:color w:val="auto"/>
            </w:rPr>
            <w:t>第四节</w:t>
          </w:r>
          <w:r>
            <w:rPr>
              <w:rStyle w:val="32"/>
              <w:rFonts w:eastAsia="楷体_GB2312"/>
              <w:color w:val="auto"/>
            </w:rPr>
            <w:t xml:space="preserve"> </w:t>
          </w:r>
          <w:r>
            <w:rPr>
              <w:rStyle w:val="32"/>
              <w:rFonts w:hint="eastAsia" w:eastAsia="楷体_GB2312"/>
              <w:color w:val="auto"/>
            </w:rPr>
            <w:t>面临挑战</w:t>
          </w:r>
          <w:r>
            <w:tab/>
          </w:r>
          <w:r>
            <w:fldChar w:fldCharType="begin"/>
          </w:r>
          <w:r>
            <w:instrText xml:space="preserve"> PAGEREF _Toc103805221 \h </w:instrText>
          </w:r>
          <w:r>
            <w:fldChar w:fldCharType="separate"/>
          </w:r>
          <w:r>
            <w:t>7</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"_Toc103805222" </w:instrText>
          </w:r>
          <w:r>
            <w:fldChar w:fldCharType="separate"/>
          </w:r>
          <w:r>
            <w:rPr>
              <w:rStyle w:val="32"/>
              <w:rFonts w:hint="eastAsia"/>
              <w:color w:val="auto"/>
            </w:rPr>
            <w:t>第二章</w:t>
          </w:r>
          <w:r>
            <w:rPr>
              <w:rStyle w:val="32"/>
              <w:color w:val="auto"/>
            </w:rPr>
            <w:t xml:space="preserve"> </w:t>
          </w:r>
          <w:r>
            <w:rPr>
              <w:rStyle w:val="32"/>
              <w:rFonts w:hint="eastAsia"/>
              <w:color w:val="auto"/>
            </w:rPr>
            <w:t>总体要求</w:t>
          </w:r>
          <w:r>
            <w:tab/>
          </w:r>
          <w:r>
            <w:fldChar w:fldCharType="begin"/>
          </w:r>
          <w:r>
            <w:instrText xml:space="preserve"> PAGEREF _Toc103805222 \h </w:instrText>
          </w:r>
          <w:r>
            <w:fldChar w:fldCharType="separate"/>
          </w:r>
          <w:r>
            <w:t>8</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"_Toc103805223"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指导思想</w:t>
          </w:r>
          <w:r>
            <w:tab/>
          </w:r>
          <w:r>
            <w:fldChar w:fldCharType="begin"/>
          </w:r>
          <w:r>
            <w:instrText xml:space="preserve"> PAGEREF _Toc103805223 \h </w:instrText>
          </w:r>
          <w:r>
            <w:fldChar w:fldCharType="separate"/>
          </w:r>
          <w:r>
            <w:t>8</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"_Toc103805224"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基本原则</w:t>
          </w:r>
          <w:r>
            <w:tab/>
          </w:r>
          <w:r>
            <w:fldChar w:fldCharType="begin"/>
          </w:r>
          <w:r>
            <w:instrText xml:space="preserve"> PAGEREF _Toc103805224 \h </w:instrText>
          </w:r>
          <w:r>
            <w:fldChar w:fldCharType="separate"/>
          </w:r>
          <w:r>
            <w:t>9</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"_Toc103805225" </w:instrText>
          </w:r>
          <w:r>
            <w:fldChar w:fldCharType="separate"/>
          </w:r>
          <w:r>
            <w:rPr>
              <w:rStyle w:val="32"/>
              <w:rFonts w:hint="eastAsia" w:eastAsia="楷体_GB2312"/>
              <w:color w:val="auto"/>
            </w:rPr>
            <w:t>第三节</w:t>
          </w:r>
          <w:r>
            <w:rPr>
              <w:rStyle w:val="32"/>
              <w:rFonts w:eastAsia="楷体_GB2312"/>
              <w:color w:val="auto"/>
            </w:rPr>
            <w:t xml:space="preserve"> </w:t>
          </w:r>
          <w:r>
            <w:rPr>
              <w:rStyle w:val="32"/>
              <w:rFonts w:hint="eastAsia" w:eastAsia="楷体_GB2312"/>
              <w:color w:val="auto"/>
            </w:rPr>
            <w:t>发展目标</w:t>
          </w:r>
          <w:r>
            <w:tab/>
          </w:r>
          <w:r>
            <w:fldChar w:fldCharType="begin"/>
          </w:r>
          <w:r>
            <w:instrText xml:space="preserve"> PAGEREF _Toc103805225 \h </w:instrText>
          </w:r>
          <w:r>
            <w:fldChar w:fldCharType="separate"/>
          </w:r>
          <w:r>
            <w:t>10</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"_Toc103805226" </w:instrText>
          </w:r>
          <w:r>
            <w:fldChar w:fldCharType="separate"/>
          </w:r>
          <w:r>
            <w:rPr>
              <w:rStyle w:val="32"/>
              <w:rFonts w:hint="eastAsia"/>
              <w:color w:val="auto"/>
            </w:rPr>
            <w:t>第三章</w:t>
          </w:r>
          <w:r>
            <w:rPr>
              <w:rStyle w:val="32"/>
              <w:color w:val="auto"/>
            </w:rPr>
            <w:t xml:space="preserve"> </w:t>
          </w:r>
          <w:r>
            <w:rPr>
              <w:rStyle w:val="32"/>
              <w:rFonts w:hint="eastAsia"/>
              <w:color w:val="auto"/>
            </w:rPr>
            <w:t>着力优化空间布局</w:t>
          </w:r>
          <w:r>
            <w:tab/>
          </w:r>
          <w:r>
            <w:fldChar w:fldCharType="begin"/>
          </w:r>
          <w:r>
            <w:instrText xml:space="preserve"> PAGEREF _Toc103805226 \h </w:instrText>
          </w:r>
          <w:r>
            <w:fldChar w:fldCharType="separate"/>
          </w:r>
          <w:r>
            <w:t>12</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"_Toc103805227" </w:instrText>
          </w:r>
          <w:r>
            <w:fldChar w:fldCharType="separate"/>
          </w:r>
          <w:r>
            <w:rPr>
              <w:rStyle w:val="32"/>
              <w:rFonts w:hint="eastAsia"/>
              <w:color w:val="auto"/>
            </w:rPr>
            <w:t>第四章</w:t>
          </w:r>
          <w:r>
            <w:rPr>
              <w:rStyle w:val="32"/>
              <w:color w:val="auto"/>
            </w:rPr>
            <w:t xml:space="preserve"> </w:t>
          </w:r>
          <w:r>
            <w:rPr>
              <w:rStyle w:val="32"/>
              <w:rFonts w:hint="eastAsia"/>
              <w:color w:val="auto"/>
            </w:rPr>
            <w:t>产业发展重点与方向</w:t>
          </w:r>
          <w:r>
            <w:tab/>
          </w:r>
          <w:r>
            <w:fldChar w:fldCharType="begin"/>
          </w:r>
          <w:r>
            <w:instrText xml:space="preserve"> PAGEREF _Toc103805227 \h </w:instrText>
          </w:r>
          <w:r>
            <w:fldChar w:fldCharType="separate"/>
          </w:r>
          <w:r>
            <w:t>15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"_Toc103805228"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打造渝东北绿色能源基地</w:t>
          </w:r>
          <w:r>
            <w:tab/>
          </w:r>
          <w:r>
            <w:fldChar w:fldCharType="begin"/>
          </w:r>
          <w:r>
            <w:instrText xml:space="preserve"> PAGEREF _Toc103805228 \h </w:instrText>
          </w:r>
          <w:r>
            <w:fldChar w:fldCharType="separate"/>
          </w:r>
          <w:r>
            <w:t>15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"_Toc103805229"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_Toc103805229 \h </w:instrText>
          </w:r>
          <w:r>
            <w:fldChar w:fldCharType="separate"/>
          </w:r>
          <w:r>
            <w:t>15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"_Toc103805230"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_Toc103805230 \h </w:instrText>
          </w:r>
          <w:r>
            <w:fldChar w:fldCharType="separate"/>
          </w:r>
          <w:r>
            <w:t>15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"_Toc103805231"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_Toc103805231 \h </w:instrText>
          </w:r>
          <w:r>
            <w:fldChar w:fldCharType="separate"/>
          </w:r>
          <w:r>
            <w:t>15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"_Toc103805232"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_Toc103805232 \h </w:instrText>
          </w:r>
          <w:r>
            <w:fldChar w:fldCharType="separate"/>
          </w:r>
          <w:r>
            <w:t>17</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"_Toc103805233"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打造中国西部（重庆）眼镜产业园</w:t>
          </w:r>
          <w:r>
            <w:tab/>
          </w:r>
          <w:r>
            <w:fldChar w:fldCharType="begin"/>
          </w:r>
          <w:r>
            <w:instrText xml:space="preserve"> PAGEREF _Toc103805233 \h </w:instrText>
          </w:r>
          <w:r>
            <w:fldChar w:fldCharType="separate"/>
          </w:r>
          <w:r>
            <w:t>18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"_Toc103805234"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_Toc103805234 \h </w:instrText>
          </w:r>
          <w:r>
            <w:fldChar w:fldCharType="separate"/>
          </w:r>
          <w:r>
            <w:t>18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"_Toc103805235"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_Toc103805235 \h </w:instrText>
          </w:r>
          <w:r>
            <w:fldChar w:fldCharType="separate"/>
          </w:r>
          <w:r>
            <w:t>19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"_Toc103805236"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_Toc103805236 \h </w:instrText>
          </w:r>
          <w:r>
            <w:fldChar w:fldCharType="separate"/>
          </w:r>
          <w:r>
            <w:t>19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"_Toc103805237"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_Toc103805237 \h </w:instrText>
          </w:r>
          <w:r>
            <w:fldChar w:fldCharType="separate"/>
          </w:r>
          <w:r>
            <w:t>20</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"_Toc103805238" </w:instrText>
          </w:r>
          <w:r>
            <w:fldChar w:fldCharType="separate"/>
          </w:r>
          <w:r>
            <w:rPr>
              <w:rStyle w:val="32"/>
              <w:rFonts w:hint="eastAsia" w:eastAsia="楷体_GB2312"/>
              <w:color w:val="auto"/>
            </w:rPr>
            <w:t>第三节</w:t>
          </w:r>
          <w:r>
            <w:rPr>
              <w:rStyle w:val="32"/>
              <w:rFonts w:eastAsia="楷体_GB2312"/>
              <w:color w:val="auto"/>
            </w:rPr>
            <w:t xml:space="preserve"> </w:t>
          </w:r>
          <w:r>
            <w:rPr>
              <w:rStyle w:val="32"/>
              <w:rFonts w:hint="eastAsia" w:eastAsia="楷体_GB2312"/>
              <w:color w:val="auto"/>
            </w:rPr>
            <w:t>打造三峡库区有影响力的特色农产品加工基地</w:t>
          </w:r>
          <w:r>
            <w:tab/>
          </w:r>
          <w:r>
            <w:fldChar w:fldCharType="begin"/>
          </w:r>
          <w:r>
            <w:instrText xml:space="preserve"> PAGEREF _Toc103805238 \h </w:instrText>
          </w:r>
          <w:r>
            <w:fldChar w:fldCharType="separate"/>
          </w:r>
          <w:r>
            <w:t>22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"_Toc103805239"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_Toc103805239 \h </w:instrText>
          </w:r>
          <w:r>
            <w:fldChar w:fldCharType="separate"/>
          </w:r>
          <w:r>
            <w:t>22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"_Toc103805240"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_Toc103805240 \h </w:instrText>
          </w:r>
          <w:r>
            <w:fldChar w:fldCharType="separate"/>
          </w:r>
          <w:r>
            <w:t>23</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"_Toc103805241"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_Toc103805241 \h </w:instrText>
          </w:r>
          <w:r>
            <w:fldChar w:fldCharType="separate"/>
          </w:r>
          <w:r>
            <w:t>23</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"_Toc103805242"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_Toc103805242 \h </w:instrText>
          </w:r>
          <w:r>
            <w:fldChar w:fldCharType="separate"/>
          </w:r>
          <w:r>
            <w:t>24</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"_Toc103805243" </w:instrText>
          </w:r>
          <w:r>
            <w:fldChar w:fldCharType="separate"/>
          </w:r>
          <w:r>
            <w:rPr>
              <w:rStyle w:val="32"/>
              <w:rFonts w:hint="eastAsia" w:eastAsia="楷体_GB2312"/>
              <w:color w:val="auto"/>
            </w:rPr>
            <w:t>第四节</w:t>
          </w:r>
          <w:r>
            <w:rPr>
              <w:rStyle w:val="32"/>
              <w:rFonts w:eastAsia="楷体_GB2312"/>
              <w:color w:val="auto"/>
            </w:rPr>
            <w:t xml:space="preserve"> </w:t>
          </w:r>
          <w:r>
            <w:rPr>
              <w:rStyle w:val="32"/>
              <w:rFonts w:hint="eastAsia" w:eastAsia="楷体_GB2312"/>
              <w:color w:val="auto"/>
            </w:rPr>
            <w:t>打造三峡库区特色生物制药研发生产基地</w:t>
          </w:r>
          <w:r>
            <w:tab/>
          </w:r>
          <w:r>
            <w:fldChar w:fldCharType="begin"/>
          </w:r>
          <w:r>
            <w:instrText xml:space="preserve"> PAGEREF _Toc103805243 \h </w:instrText>
          </w:r>
          <w:r>
            <w:fldChar w:fldCharType="separate"/>
          </w:r>
          <w:r>
            <w:t>26</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"_Toc103805244"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_Toc103805244 \h </w:instrText>
          </w:r>
          <w:r>
            <w:fldChar w:fldCharType="separate"/>
          </w:r>
          <w:r>
            <w:t>26</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"_Toc103805245"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_Toc103805245 \h </w:instrText>
          </w:r>
          <w:r>
            <w:fldChar w:fldCharType="separate"/>
          </w:r>
          <w:r>
            <w:t>27</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"_Toc103805246"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_Toc103805246 \h </w:instrText>
          </w:r>
          <w:r>
            <w:fldChar w:fldCharType="separate"/>
          </w:r>
          <w:r>
            <w:t>27</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"_Toc103805247"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_Toc103805247 \h </w:instrText>
          </w:r>
          <w:r>
            <w:fldChar w:fldCharType="separate"/>
          </w:r>
          <w:r>
            <w:t>28</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"_Toc103805248" </w:instrText>
          </w:r>
          <w:r>
            <w:fldChar w:fldCharType="separate"/>
          </w:r>
          <w:r>
            <w:rPr>
              <w:rStyle w:val="32"/>
              <w:rFonts w:hint="eastAsia" w:eastAsia="楷体_GB2312"/>
              <w:color w:val="auto"/>
            </w:rPr>
            <w:t>第五节</w:t>
          </w:r>
          <w:r>
            <w:rPr>
              <w:rStyle w:val="32"/>
              <w:rFonts w:eastAsia="楷体_GB2312"/>
              <w:color w:val="auto"/>
            </w:rPr>
            <w:t xml:space="preserve"> </w:t>
          </w:r>
          <w:r>
            <w:rPr>
              <w:rStyle w:val="32"/>
              <w:rFonts w:hint="eastAsia" w:eastAsia="楷体_GB2312"/>
              <w:color w:val="auto"/>
            </w:rPr>
            <w:t>打造节能环保新型材料产业集群</w:t>
          </w:r>
          <w:r>
            <w:tab/>
          </w:r>
          <w:r>
            <w:fldChar w:fldCharType="begin"/>
          </w:r>
          <w:r>
            <w:instrText xml:space="preserve"> PAGEREF _Toc103805248 \h </w:instrText>
          </w:r>
          <w:r>
            <w:fldChar w:fldCharType="separate"/>
          </w:r>
          <w:r>
            <w:t>29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"_Toc103805249"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_Toc103805249 \h </w:instrText>
          </w:r>
          <w:r>
            <w:fldChar w:fldCharType="separate"/>
          </w:r>
          <w:r>
            <w:t>29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"_Toc103805250"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_Toc103805250 \h </w:instrText>
          </w:r>
          <w:r>
            <w:fldChar w:fldCharType="separate"/>
          </w:r>
          <w:r>
            <w:t>29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"_Toc103805251"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_Toc103805251 \h </w:instrText>
          </w:r>
          <w:r>
            <w:fldChar w:fldCharType="separate"/>
          </w:r>
          <w:r>
            <w:t>30</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"_Toc103805252"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_Toc103805252 \h </w:instrText>
          </w:r>
          <w:r>
            <w:fldChar w:fldCharType="separate"/>
          </w:r>
          <w:r>
            <w:t>30</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"_Toc103805253" </w:instrText>
          </w:r>
          <w:r>
            <w:fldChar w:fldCharType="separate"/>
          </w:r>
          <w:r>
            <w:rPr>
              <w:rStyle w:val="32"/>
              <w:rFonts w:hint="eastAsia" w:eastAsia="楷体_GB2312"/>
              <w:color w:val="auto"/>
            </w:rPr>
            <w:t>第六节</w:t>
          </w:r>
          <w:r>
            <w:rPr>
              <w:rStyle w:val="32"/>
              <w:rFonts w:eastAsia="楷体_GB2312"/>
              <w:color w:val="auto"/>
            </w:rPr>
            <w:t xml:space="preserve"> </w:t>
          </w:r>
          <w:r>
            <w:rPr>
              <w:rStyle w:val="32"/>
              <w:rFonts w:hint="eastAsia" w:eastAsia="楷体_GB2312"/>
              <w:color w:val="auto"/>
            </w:rPr>
            <w:t>打造西部装配式建筑产业与技术高地</w:t>
          </w:r>
          <w:r>
            <w:tab/>
          </w:r>
          <w:r>
            <w:fldChar w:fldCharType="begin"/>
          </w:r>
          <w:r>
            <w:instrText xml:space="preserve"> PAGEREF _Toc103805253 \h </w:instrText>
          </w:r>
          <w:r>
            <w:fldChar w:fldCharType="separate"/>
          </w:r>
          <w:r>
            <w:t>31</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"_Toc103805254"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_Toc103805254 \h </w:instrText>
          </w:r>
          <w:r>
            <w:fldChar w:fldCharType="separate"/>
          </w:r>
          <w:r>
            <w:t>31</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"_Toc103805255"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_Toc103805255 \h </w:instrText>
          </w:r>
          <w:r>
            <w:fldChar w:fldCharType="separate"/>
          </w:r>
          <w:r>
            <w:t>32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"_Toc103805256"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_Toc103805256 \h </w:instrText>
          </w:r>
          <w:r>
            <w:fldChar w:fldCharType="separate"/>
          </w:r>
          <w:r>
            <w:t>32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"_Toc103805257" </w:instrText>
          </w:r>
          <w:r>
            <w:fldChar w:fldCharType="separate"/>
          </w:r>
          <w:r>
            <w:rPr>
              <w:rStyle w:val="32"/>
              <w:color w:val="auto"/>
            </w:rPr>
            <w:t>4.</w:t>
          </w:r>
          <w:r>
            <w:rPr>
              <w:rStyle w:val="32"/>
              <w:rFonts w:hint="eastAsia"/>
              <w:color w:val="auto"/>
            </w:rPr>
            <w:t>主要任务</w:t>
          </w:r>
          <w:r>
            <w:tab/>
          </w:r>
          <w:r>
            <w:fldChar w:fldCharType="begin"/>
          </w:r>
          <w:r>
            <w:instrText xml:space="preserve"> PAGEREF _Toc103805257 \h </w:instrText>
          </w:r>
          <w:r>
            <w:fldChar w:fldCharType="separate"/>
          </w:r>
          <w:r>
            <w:t>33</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"_Toc103805258" </w:instrText>
          </w:r>
          <w:r>
            <w:fldChar w:fldCharType="separate"/>
          </w:r>
          <w:r>
            <w:rPr>
              <w:rStyle w:val="32"/>
              <w:rFonts w:hint="eastAsia"/>
              <w:color w:val="auto"/>
            </w:rPr>
            <w:t>第五章</w:t>
          </w:r>
          <w:r>
            <w:rPr>
              <w:rStyle w:val="32"/>
              <w:color w:val="auto"/>
            </w:rPr>
            <w:t xml:space="preserve"> </w:t>
          </w:r>
          <w:r>
            <w:rPr>
              <w:rStyle w:val="32"/>
              <w:rFonts w:hint="eastAsia"/>
              <w:color w:val="auto"/>
            </w:rPr>
            <w:t>推动两化两业深度融合</w:t>
          </w:r>
          <w:r>
            <w:tab/>
          </w:r>
          <w:r>
            <w:fldChar w:fldCharType="begin"/>
          </w:r>
          <w:r>
            <w:instrText xml:space="preserve"> PAGEREF _Toc103805258 \h </w:instrText>
          </w:r>
          <w:r>
            <w:fldChar w:fldCharType="separate"/>
          </w:r>
          <w:r>
            <w:t>35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"_Toc103805259"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打造数字经济发展新高地</w:t>
          </w:r>
          <w:r>
            <w:tab/>
          </w:r>
          <w:r>
            <w:fldChar w:fldCharType="begin"/>
          </w:r>
          <w:r>
            <w:instrText xml:space="preserve"> PAGEREF _Toc103805259 \h </w:instrText>
          </w:r>
          <w:r>
            <w:fldChar w:fldCharType="separate"/>
          </w:r>
          <w:r>
            <w:t>35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"_Toc103805260"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_Toc103805260 \h </w:instrText>
          </w:r>
          <w:r>
            <w:fldChar w:fldCharType="separate"/>
          </w:r>
          <w:r>
            <w:t>35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"_Toc103805261"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_Toc103805261 \h </w:instrText>
          </w:r>
          <w:r>
            <w:fldChar w:fldCharType="separate"/>
          </w:r>
          <w:r>
            <w:t>35</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"_Toc103805262"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_Toc103805262 \h </w:instrText>
          </w:r>
          <w:r>
            <w:fldChar w:fldCharType="separate"/>
          </w:r>
          <w:r>
            <w:t>35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"_Toc103805263"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健全生态工业服务体系</w:t>
          </w:r>
          <w:r>
            <w:tab/>
          </w:r>
          <w:r>
            <w:fldChar w:fldCharType="begin"/>
          </w:r>
          <w:r>
            <w:instrText xml:space="preserve"> PAGEREF _Toc103805263 \h </w:instrText>
          </w:r>
          <w:r>
            <w:fldChar w:fldCharType="separate"/>
          </w:r>
          <w:r>
            <w:t>38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"_Toc103805264" </w:instrText>
          </w:r>
          <w:r>
            <w:fldChar w:fldCharType="separate"/>
          </w:r>
          <w:r>
            <w:rPr>
              <w:rStyle w:val="32"/>
              <w:color w:val="auto"/>
            </w:rPr>
            <w:t>1.</w:t>
          </w:r>
          <w:r>
            <w:rPr>
              <w:rStyle w:val="32"/>
              <w:rFonts w:hint="eastAsia"/>
              <w:color w:val="auto"/>
            </w:rPr>
            <w:t>发展思路</w:t>
          </w:r>
          <w:r>
            <w:tab/>
          </w:r>
          <w:r>
            <w:fldChar w:fldCharType="begin"/>
          </w:r>
          <w:r>
            <w:instrText xml:space="preserve"> PAGEREF _Toc103805264 \h </w:instrText>
          </w:r>
          <w:r>
            <w:fldChar w:fldCharType="separate"/>
          </w:r>
          <w:r>
            <w:t>38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"_Toc103805265" </w:instrText>
          </w:r>
          <w:r>
            <w:fldChar w:fldCharType="separate"/>
          </w:r>
          <w:r>
            <w:rPr>
              <w:rStyle w:val="32"/>
              <w:color w:val="auto"/>
            </w:rPr>
            <w:t>2.</w:t>
          </w:r>
          <w:r>
            <w:rPr>
              <w:rStyle w:val="32"/>
              <w:rFonts w:hint="eastAsia"/>
              <w:color w:val="auto"/>
            </w:rPr>
            <w:t>发展目标</w:t>
          </w:r>
          <w:r>
            <w:tab/>
          </w:r>
          <w:r>
            <w:fldChar w:fldCharType="begin"/>
          </w:r>
          <w:r>
            <w:instrText xml:space="preserve"> PAGEREF _Toc103805265 \h </w:instrText>
          </w:r>
          <w:r>
            <w:fldChar w:fldCharType="separate"/>
          </w:r>
          <w:r>
            <w:t>38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"_Toc103805266" </w:instrText>
          </w:r>
          <w:r>
            <w:fldChar w:fldCharType="separate"/>
          </w:r>
          <w:r>
            <w:rPr>
              <w:rStyle w:val="32"/>
              <w:color w:val="auto"/>
            </w:rPr>
            <w:t>3.</w:t>
          </w:r>
          <w:r>
            <w:rPr>
              <w:rStyle w:val="32"/>
              <w:rFonts w:hint="eastAsia"/>
              <w:color w:val="auto"/>
            </w:rPr>
            <w:t>发展重点</w:t>
          </w:r>
          <w:r>
            <w:tab/>
          </w:r>
          <w:r>
            <w:fldChar w:fldCharType="begin"/>
          </w:r>
          <w:r>
            <w:instrText xml:space="preserve"> PAGEREF _Toc103805266 \h </w:instrText>
          </w:r>
          <w:r>
            <w:fldChar w:fldCharType="separate"/>
          </w:r>
          <w:r>
            <w:t>39</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"_Toc103805267" </w:instrText>
          </w:r>
          <w:r>
            <w:fldChar w:fldCharType="separate"/>
          </w:r>
          <w:r>
            <w:rPr>
              <w:rStyle w:val="32"/>
              <w:rFonts w:hint="eastAsia"/>
              <w:color w:val="auto"/>
            </w:rPr>
            <w:t>第六章</w:t>
          </w:r>
          <w:r>
            <w:rPr>
              <w:rStyle w:val="32"/>
              <w:color w:val="auto"/>
            </w:rPr>
            <w:t xml:space="preserve"> </w:t>
          </w:r>
          <w:r>
            <w:rPr>
              <w:rStyle w:val="32"/>
              <w:rFonts w:hint="eastAsia"/>
              <w:color w:val="auto"/>
            </w:rPr>
            <w:t>实施工业高质量发展的主要任务</w:t>
          </w:r>
          <w:r>
            <w:tab/>
          </w:r>
          <w:r>
            <w:fldChar w:fldCharType="begin"/>
          </w:r>
          <w:r>
            <w:instrText xml:space="preserve"> PAGEREF _Toc103805267 \h </w:instrText>
          </w:r>
          <w:r>
            <w:fldChar w:fldCharType="separate"/>
          </w:r>
          <w:r>
            <w:t>41</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"_Toc103805268"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工业园区提档升级行动</w:t>
          </w:r>
          <w:r>
            <w:tab/>
          </w:r>
          <w:r>
            <w:fldChar w:fldCharType="begin"/>
          </w:r>
          <w:r>
            <w:instrText xml:space="preserve"> PAGEREF _Toc103805268 \h </w:instrText>
          </w:r>
          <w:r>
            <w:fldChar w:fldCharType="separate"/>
          </w:r>
          <w:r>
            <w:t>41</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"_Toc103805269" </w:instrText>
          </w:r>
          <w:r>
            <w:fldChar w:fldCharType="separate"/>
          </w:r>
          <w:r>
            <w:rPr>
              <w:rStyle w:val="32"/>
              <w:color w:val="auto"/>
            </w:rPr>
            <w:t>1.</w:t>
          </w:r>
          <w:r>
            <w:rPr>
              <w:rStyle w:val="32"/>
              <w:rFonts w:hint="eastAsia"/>
              <w:color w:val="auto"/>
            </w:rPr>
            <w:t>提升园区承载能力</w:t>
          </w:r>
          <w:r>
            <w:tab/>
          </w:r>
          <w:r>
            <w:fldChar w:fldCharType="begin"/>
          </w:r>
          <w:r>
            <w:instrText xml:space="preserve"> PAGEREF _Toc103805269 \h </w:instrText>
          </w:r>
          <w:r>
            <w:fldChar w:fldCharType="separate"/>
          </w:r>
          <w:r>
            <w:t>41</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"_Toc103805270" </w:instrText>
          </w:r>
          <w:r>
            <w:fldChar w:fldCharType="separate"/>
          </w:r>
          <w:r>
            <w:rPr>
              <w:rStyle w:val="32"/>
              <w:color w:val="auto"/>
            </w:rPr>
            <w:t>2.</w:t>
          </w:r>
          <w:r>
            <w:rPr>
              <w:rStyle w:val="32"/>
              <w:rFonts w:hint="eastAsia"/>
              <w:color w:val="auto"/>
            </w:rPr>
            <w:t>推进智慧园区建设</w:t>
          </w:r>
          <w:r>
            <w:tab/>
          </w:r>
          <w:r>
            <w:fldChar w:fldCharType="begin"/>
          </w:r>
          <w:r>
            <w:instrText xml:space="preserve"> PAGEREF _Toc103805270 \h </w:instrText>
          </w:r>
          <w:r>
            <w:fldChar w:fldCharType="separate"/>
          </w:r>
          <w:r>
            <w:t>42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"_Toc103805271" </w:instrText>
          </w:r>
          <w:r>
            <w:fldChar w:fldCharType="separate"/>
          </w:r>
          <w:r>
            <w:rPr>
              <w:rStyle w:val="32"/>
              <w:color w:val="auto"/>
            </w:rPr>
            <w:t>3.</w:t>
          </w:r>
          <w:r>
            <w:rPr>
              <w:rStyle w:val="32"/>
              <w:rFonts w:hint="eastAsia"/>
              <w:color w:val="auto"/>
            </w:rPr>
            <w:t>完善园区发展机制</w:t>
          </w:r>
          <w:r>
            <w:tab/>
          </w:r>
          <w:r>
            <w:fldChar w:fldCharType="begin"/>
          </w:r>
          <w:r>
            <w:instrText xml:space="preserve"> PAGEREF _Toc103805271 \h </w:instrText>
          </w:r>
          <w:r>
            <w:fldChar w:fldCharType="separate"/>
          </w:r>
          <w:r>
            <w:t>43</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"_Toc103805272"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产业链供应链建设行动</w:t>
          </w:r>
          <w:r>
            <w:tab/>
          </w:r>
          <w:r>
            <w:fldChar w:fldCharType="begin"/>
          </w:r>
          <w:r>
            <w:instrText xml:space="preserve"> PAGEREF _Toc103805272 \h </w:instrText>
          </w:r>
          <w:r>
            <w:fldChar w:fldCharType="separate"/>
          </w:r>
          <w:r>
            <w:t>44</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"_Toc103805273" </w:instrText>
          </w:r>
          <w:r>
            <w:fldChar w:fldCharType="separate"/>
          </w:r>
          <w:r>
            <w:rPr>
              <w:rStyle w:val="32"/>
              <w:color w:val="auto"/>
            </w:rPr>
            <w:t>1.</w:t>
          </w:r>
          <w:r>
            <w:rPr>
              <w:rStyle w:val="32"/>
              <w:rFonts w:hint="eastAsia"/>
              <w:color w:val="auto"/>
            </w:rPr>
            <w:t>加强产业链延链补链强链</w:t>
          </w:r>
          <w:r>
            <w:tab/>
          </w:r>
          <w:r>
            <w:fldChar w:fldCharType="begin"/>
          </w:r>
          <w:r>
            <w:instrText xml:space="preserve"> PAGEREF _Toc103805273 \h </w:instrText>
          </w:r>
          <w:r>
            <w:fldChar w:fldCharType="separate"/>
          </w:r>
          <w:r>
            <w:t>44</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"_Toc103805274" </w:instrText>
          </w:r>
          <w:r>
            <w:fldChar w:fldCharType="separate"/>
          </w:r>
          <w:r>
            <w:rPr>
              <w:rStyle w:val="32"/>
              <w:color w:val="auto"/>
            </w:rPr>
            <w:t>2.</w:t>
          </w:r>
          <w:r>
            <w:rPr>
              <w:rStyle w:val="32"/>
              <w:rFonts w:hint="eastAsia"/>
              <w:color w:val="auto"/>
            </w:rPr>
            <w:t>保障重点企业供应链稳定</w:t>
          </w:r>
          <w:r>
            <w:tab/>
          </w:r>
          <w:r>
            <w:fldChar w:fldCharType="begin"/>
          </w:r>
          <w:r>
            <w:instrText xml:space="preserve"> PAGEREF _Toc103805274 \h </w:instrText>
          </w:r>
          <w:r>
            <w:fldChar w:fldCharType="separate"/>
          </w:r>
          <w:r>
            <w:t>44</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"_Toc103805275" </w:instrText>
          </w:r>
          <w:r>
            <w:fldChar w:fldCharType="separate"/>
          </w:r>
          <w:r>
            <w:rPr>
              <w:rStyle w:val="32"/>
              <w:color w:val="auto"/>
            </w:rPr>
            <w:t>3.</w:t>
          </w:r>
          <w:r>
            <w:rPr>
              <w:rStyle w:val="32"/>
              <w:rFonts w:hint="eastAsia"/>
              <w:color w:val="auto"/>
            </w:rPr>
            <w:t>实施产业链精准招商引资</w:t>
          </w:r>
          <w:r>
            <w:tab/>
          </w:r>
          <w:r>
            <w:fldChar w:fldCharType="begin"/>
          </w:r>
          <w:r>
            <w:instrText xml:space="preserve"> PAGEREF _Toc103805275 \h </w:instrText>
          </w:r>
          <w:r>
            <w:fldChar w:fldCharType="separate"/>
          </w:r>
          <w:r>
            <w:t>45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"_Toc103805276" </w:instrText>
          </w:r>
          <w:r>
            <w:fldChar w:fldCharType="separate"/>
          </w:r>
          <w:r>
            <w:rPr>
              <w:rStyle w:val="32"/>
              <w:rFonts w:hint="eastAsia" w:eastAsia="楷体_GB2312"/>
              <w:color w:val="auto"/>
            </w:rPr>
            <w:t>第三节</w:t>
          </w:r>
          <w:r>
            <w:rPr>
              <w:rStyle w:val="32"/>
              <w:rFonts w:eastAsia="楷体_GB2312"/>
              <w:color w:val="auto"/>
            </w:rPr>
            <w:t xml:space="preserve"> </w:t>
          </w:r>
          <w:r>
            <w:rPr>
              <w:rStyle w:val="32"/>
              <w:rFonts w:hint="eastAsia" w:eastAsia="楷体_GB2312"/>
              <w:color w:val="auto"/>
            </w:rPr>
            <w:t>绿色制造体系构建行动</w:t>
          </w:r>
          <w:r>
            <w:tab/>
          </w:r>
          <w:r>
            <w:fldChar w:fldCharType="begin"/>
          </w:r>
          <w:r>
            <w:instrText xml:space="preserve"> PAGEREF _Toc103805276 \h </w:instrText>
          </w:r>
          <w:r>
            <w:fldChar w:fldCharType="separate"/>
          </w:r>
          <w:r>
            <w:t>46</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"_Toc103805277" </w:instrText>
          </w:r>
          <w:r>
            <w:fldChar w:fldCharType="separate"/>
          </w:r>
          <w:r>
            <w:rPr>
              <w:rStyle w:val="32"/>
              <w:color w:val="auto"/>
            </w:rPr>
            <w:t>1.</w:t>
          </w:r>
          <w:r>
            <w:rPr>
              <w:rStyle w:val="32"/>
              <w:rFonts w:hint="eastAsia"/>
              <w:color w:val="auto"/>
            </w:rPr>
            <w:t>严格落实绿色发展要求</w:t>
          </w:r>
          <w:r>
            <w:tab/>
          </w:r>
          <w:r>
            <w:fldChar w:fldCharType="begin"/>
          </w:r>
          <w:r>
            <w:instrText xml:space="preserve"> PAGEREF _Toc103805277 \h </w:instrText>
          </w:r>
          <w:r>
            <w:fldChar w:fldCharType="separate"/>
          </w:r>
          <w:r>
            <w:t>46</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"_Toc103805278" </w:instrText>
          </w:r>
          <w:r>
            <w:fldChar w:fldCharType="separate"/>
          </w:r>
          <w:r>
            <w:rPr>
              <w:rStyle w:val="32"/>
              <w:color w:val="auto"/>
            </w:rPr>
            <w:t>2.</w:t>
          </w:r>
          <w:r>
            <w:rPr>
              <w:rStyle w:val="32"/>
              <w:rFonts w:hint="eastAsia"/>
              <w:color w:val="auto"/>
            </w:rPr>
            <w:t>建设绿色工厂绿色园区</w:t>
          </w:r>
          <w:r>
            <w:tab/>
          </w:r>
          <w:r>
            <w:fldChar w:fldCharType="begin"/>
          </w:r>
          <w:r>
            <w:instrText xml:space="preserve"> PAGEREF _Toc103805278 \h </w:instrText>
          </w:r>
          <w:r>
            <w:fldChar w:fldCharType="separate"/>
          </w:r>
          <w:r>
            <w:t>46</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"_Toc103805279" </w:instrText>
          </w:r>
          <w:r>
            <w:fldChar w:fldCharType="separate"/>
          </w:r>
          <w:r>
            <w:rPr>
              <w:rStyle w:val="32"/>
              <w:color w:val="auto"/>
            </w:rPr>
            <w:t>3.</w:t>
          </w:r>
          <w:r>
            <w:rPr>
              <w:rStyle w:val="32"/>
              <w:rFonts w:hint="eastAsia"/>
              <w:color w:val="auto"/>
            </w:rPr>
            <w:t>推动工业资源循环利用</w:t>
          </w:r>
          <w:r>
            <w:tab/>
          </w:r>
          <w:r>
            <w:fldChar w:fldCharType="begin"/>
          </w:r>
          <w:r>
            <w:instrText xml:space="preserve"> PAGEREF _Toc103805279 \h </w:instrText>
          </w:r>
          <w:r>
            <w:fldChar w:fldCharType="separate"/>
          </w:r>
          <w:r>
            <w:t>47</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"_Toc103805280" </w:instrText>
          </w:r>
          <w:r>
            <w:fldChar w:fldCharType="separate"/>
          </w:r>
          <w:r>
            <w:rPr>
              <w:rStyle w:val="32"/>
              <w:rFonts w:hint="eastAsia" w:eastAsia="楷体_GB2312"/>
              <w:color w:val="auto"/>
            </w:rPr>
            <w:t>第四节</w:t>
          </w:r>
          <w:r>
            <w:rPr>
              <w:rStyle w:val="32"/>
              <w:rFonts w:eastAsia="楷体_GB2312"/>
              <w:color w:val="auto"/>
            </w:rPr>
            <w:t xml:space="preserve"> </w:t>
          </w:r>
          <w:r>
            <w:rPr>
              <w:rStyle w:val="32"/>
              <w:rFonts w:hint="eastAsia" w:eastAsia="楷体_GB2312"/>
              <w:color w:val="auto"/>
            </w:rPr>
            <w:t>科技创新能力提升行动</w:t>
          </w:r>
          <w:r>
            <w:tab/>
          </w:r>
          <w:r>
            <w:fldChar w:fldCharType="begin"/>
          </w:r>
          <w:r>
            <w:instrText xml:space="preserve"> PAGEREF _Toc103805280 \h </w:instrText>
          </w:r>
          <w:r>
            <w:fldChar w:fldCharType="separate"/>
          </w:r>
          <w:r>
            <w:t>48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"_Toc103805281" </w:instrText>
          </w:r>
          <w:r>
            <w:fldChar w:fldCharType="separate"/>
          </w:r>
          <w:r>
            <w:rPr>
              <w:rStyle w:val="32"/>
              <w:color w:val="auto"/>
            </w:rPr>
            <w:t>1.</w:t>
          </w:r>
          <w:r>
            <w:rPr>
              <w:rStyle w:val="32"/>
              <w:rFonts w:hint="eastAsia"/>
              <w:color w:val="auto"/>
            </w:rPr>
            <w:t>突破产业关键核心技术</w:t>
          </w:r>
          <w:r>
            <w:tab/>
          </w:r>
          <w:r>
            <w:fldChar w:fldCharType="begin"/>
          </w:r>
          <w:r>
            <w:instrText xml:space="preserve"> PAGEREF _Toc103805281 \h </w:instrText>
          </w:r>
          <w:r>
            <w:fldChar w:fldCharType="separate"/>
          </w:r>
          <w:r>
            <w:t>48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"_Toc103805282" </w:instrText>
          </w:r>
          <w:r>
            <w:fldChar w:fldCharType="separate"/>
          </w:r>
          <w:r>
            <w:rPr>
              <w:rStyle w:val="32"/>
              <w:color w:val="auto"/>
            </w:rPr>
            <w:t>2.</w:t>
          </w:r>
          <w:r>
            <w:rPr>
              <w:rStyle w:val="32"/>
              <w:rFonts w:hint="eastAsia"/>
              <w:color w:val="auto"/>
            </w:rPr>
            <w:t>提升企业技术创新能力</w:t>
          </w:r>
          <w:r>
            <w:tab/>
          </w:r>
          <w:r>
            <w:fldChar w:fldCharType="begin"/>
          </w:r>
          <w:r>
            <w:instrText xml:space="preserve"> PAGEREF _Toc103805282 \h </w:instrText>
          </w:r>
          <w:r>
            <w:fldChar w:fldCharType="separate"/>
          </w:r>
          <w:r>
            <w:t>48</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"_Toc103805283" </w:instrText>
          </w:r>
          <w:r>
            <w:fldChar w:fldCharType="separate"/>
          </w:r>
          <w:r>
            <w:rPr>
              <w:rStyle w:val="32"/>
              <w:color w:val="auto"/>
            </w:rPr>
            <w:t>3.</w:t>
          </w:r>
          <w:r>
            <w:rPr>
              <w:rStyle w:val="32"/>
              <w:rFonts w:hint="eastAsia"/>
              <w:color w:val="auto"/>
            </w:rPr>
            <w:t>加强科技创新平台建设</w:t>
          </w:r>
          <w:r>
            <w:tab/>
          </w:r>
          <w:r>
            <w:fldChar w:fldCharType="begin"/>
          </w:r>
          <w:r>
            <w:instrText xml:space="preserve"> PAGEREF _Toc103805283 \h </w:instrText>
          </w:r>
          <w:r>
            <w:fldChar w:fldCharType="separate"/>
          </w:r>
          <w:r>
            <w:t>49</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"_Toc103805284" </w:instrText>
          </w:r>
          <w:r>
            <w:fldChar w:fldCharType="separate"/>
          </w:r>
          <w:r>
            <w:rPr>
              <w:rStyle w:val="32"/>
              <w:color w:val="auto"/>
            </w:rPr>
            <w:t>4.</w:t>
          </w:r>
          <w:r>
            <w:rPr>
              <w:rStyle w:val="32"/>
              <w:rFonts w:hint="eastAsia"/>
              <w:color w:val="auto"/>
            </w:rPr>
            <w:t>推动科技成果转移转化</w:t>
          </w:r>
          <w:r>
            <w:tab/>
          </w:r>
          <w:r>
            <w:fldChar w:fldCharType="begin"/>
          </w:r>
          <w:r>
            <w:instrText xml:space="preserve"> PAGEREF _Toc103805284 \h </w:instrText>
          </w:r>
          <w:r>
            <w:fldChar w:fldCharType="separate"/>
          </w:r>
          <w:r>
            <w:t>49</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"_Toc103805285" </w:instrText>
          </w:r>
          <w:r>
            <w:fldChar w:fldCharType="separate"/>
          </w:r>
          <w:r>
            <w:rPr>
              <w:rStyle w:val="32"/>
              <w:rFonts w:hint="eastAsia" w:eastAsia="楷体_GB2312"/>
              <w:color w:val="auto"/>
            </w:rPr>
            <w:t>第五节</w:t>
          </w:r>
          <w:r>
            <w:rPr>
              <w:rStyle w:val="32"/>
              <w:rFonts w:eastAsia="楷体_GB2312"/>
              <w:color w:val="auto"/>
            </w:rPr>
            <w:t xml:space="preserve"> </w:t>
          </w:r>
          <w:r>
            <w:rPr>
              <w:rStyle w:val="32"/>
              <w:rFonts w:hint="eastAsia" w:eastAsia="楷体_GB2312"/>
              <w:color w:val="auto"/>
            </w:rPr>
            <w:t>质量标准品牌建设行动</w:t>
          </w:r>
          <w:r>
            <w:tab/>
          </w:r>
          <w:r>
            <w:fldChar w:fldCharType="begin"/>
          </w:r>
          <w:r>
            <w:instrText xml:space="preserve"> PAGEREF _Toc103805285 \h </w:instrText>
          </w:r>
          <w:r>
            <w:fldChar w:fldCharType="separate"/>
          </w:r>
          <w:r>
            <w:t>50</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"_Toc103805286" </w:instrText>
          </w:r>
          <w:r>
            <w:fldChar w:fldCharType="separate"/>
          </w:r>
          <w:r>
            <w:rPr>
              <w:rStyle w:val="32"/>
              <w:color w:val="auto"/>
            </w:rPr>
            <w:t>1.</w:t>
          </w:r>
          <w:r>
            <w:rPr>
              <w:rStyle w:val="32"/>
              <w:rFonts w:hint="eastAsia"/>
              <w:color w:val="auto"/>
            </w:rPr>
            <w:t>推动工业产品质量提升</w:t>
          </w:r>
          <w:r>
            <w:tab/>
          </w:r>
          <w:r>
            <w:fldChar w:fldCharType="begin"/>
          </w:r>
          <w:r>
            <w:instrText xml:space="preserve"> PAGEREF _Toc103805286 \h </w:instrText>
          </w:r>
          <w:r>
            <w:fldChar w:fldCharType="separate"/>
          </w:r>
          <w:r>
            <w:t>50</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"_Toc103805287" </w:instrText>
          </w:r>
          <w:r>
            <w:fldChar w:fldCharType="separate"/>
          </w:r>
          <w:r>
            <w:rPr>
              <w:rStyle w:val="32"/>
              <w:color w:val="auto"/>
            </w:rPr>
            <w:t>2.</w:t>
          </w:r>
          <w:r>
            <w:rPr>
              <w:rStyle w:val="32"/>
              <w:rFonts w:hint="eastAsia"/>
              <w:color w:val="auto"/>
            </w:rPr>
            <w:t>完善主导产业标准体系</w:t>
          </w:r>
          <w:r>
            <w:tab/>
          </w:r>
          <w:r>
            <w:fldChar w:fldCharType="begin"/>
          </w:r>
          <w:r>
            <w:instrText xml:space="preserve"> PAGEREF _Toc103805287 \h </w:instrText>
          </w:r>
          <w:r>
            <w:fldChar w:fldCharType="separate"/>
          </w:r>
          <w:r>
            <w:t>51</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"_Toc103805288" </w:instrText>
          </w:r>
          <w:r>
            <w:fldChar w:fldCharType="separate"/>
          </w:r>
          <w:r>
            <w:rPr>
              <w:rStyle w:val="32"/>
              <w:color w:val="auto"/>
            </w:rPr>
            <w:t>3.</w:t>
          </w:r>
          <w:r>
            <w:rPr>
              <w:rStyle w:val="32"/>
              <w:rFonts w:hint="eastAsia"/>
              <w:color w:val="auto"/>
            </w:rPr>
            <w:t>加强知名品牌培育宣传</w:t>
          </w:r>
          <w:r>
            <w:tab/>
          </w:r>
          <w:r>
            <w:fldChar w:fldCharType="begin"/>
          </w:r>
          <w:r>
            <w:instrText xml:space="preserve"> PAGEREF _Toc103805288 \h </w:instrText>
          </w:r>
          <w:r>
            <w:fldChar w:fldCharType="separate"/>
          </w:r>
          <w:r>
            <w:t>51</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"_Toc103805289" </w:instrText>
          </w:r>
          <w:r>
            <w:fldChar w:fldCharType="separate"/>
          </w:r>
          <w:r>
            <w:rPr>
              <w:rStyle w:val="32"/>
              <w:rFonts w:hint="eastAsia" w:eastAsia="楷体_GB2312"/>
              <w:color w:val="auto"/>
            </w:rPr>
            <w:t>第六节</w:t>
          </w:r>
          <w:r>
            <w:rPr>
              <w:rStyle w:val="32"/>
              <w:rFonts w:eastAsia="楷体_GB2312"/>
              <w:color w:val="auto"/>
            </w:rPr>
            <w:t xml:space="preserve"> </w:t>
          </w:r>
          <w:r>
            <w:rPr>
              <w:rStyle w:val="32"/>
              <w:rFonts w:hint="eastAsia" w:eastAsia="楷体_GB2312"/>
              <w:color w:val="auto"/>
            </w:rPr>
            <w:t>培育壮大市场主体行动</w:t>
          </w:r>
          <w:r>
            <w:tab/>
          </w:r>
          <w:r>
            <w:fldChar w:fldCharType="begin"/>
          </w:r>
          <w:r>
            <w:instrText xml:space="preserve"> PAGEREF _Toc103805289 \h </w:instrText>
          </w:r>
          <w:r>
            <w:fldChar w:fldCharType="separate"/>
          </w:r>
          <w:r>
            <w:t>52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"_Toc103805290" </w:instrText>
          </w:r>
          <w:r>
            <w:fldChar w:fldCharType="separate"/>
          </w:r>
          <w:r>
            <w:rPr>
              <w:rStyle w:val="32"/>
              <w:color w:val="auto"/>
            </w:rPr>
            <w:t>1.</w:t>
          </w:r>
          <w:r>
            <w:rPr>
              <w:rStyle w:val="32"/>
              <w:rFonts w:hint="eastAsia"/>
              <w:color w:val="auto"/>
            </w:rPr>
            <w:t>推动龙头企业做大做强</w:t>
          </w:r>
          <w:r>
            <w:tab/>
          </w:r>
          <w:r>
            <w:fldChar w:fldCharType="begin"/>
          </w:r>
          <w:r>
            <w:instrText xml:space="preserve"> PAGEREF _Toc103805290 \h </w:instrText>
          </w:r>
          <w:r>
            <w:fldChar w:fldCharType="separate"/>
          </w:r>
          <w:r>
            <w:t>52</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"_Toc103805291" </w:instrText>
          </w:r>
          <w:r>
            <w:fldChar w:fldCharType="separate"/>
          </w:r>
          <w:r>
            <w:rPr>
              <w:rStyle w:val="32"/>
              <w:color w:val="auto"/>
            </w:rPr>
            <w:t>2.</w:t>
          </w:r>
          <w:r>
            <w:rPr>
              <w:rStyle w:val="32"/>
              <w:rFonts w:hint="eastAsia"/>
              <w:color w:val="auto"/>
            </w:rPr>
            <w:t>中小企业聚焦“专精特新”</w:t>
          </w:r>
          <w:r>
            <w:tab/>
          </w:r>
          <w:r>
            <w:fldChar w:fldCharType="begin"/>
          </w:r>
          <w:r>
            <w:instrText xml:space="preserve"> PAGEREF _Toc103805291 \h </w:instrText>
          </w:r>
          <w:r>
            <w:fldChar w:fldCharType="separate"/>
          </w:r>
          <w:r>
            <w:t>53</w:t>
          </w:r>
          <w:r>
            <w:fldChar w:fldCharType="end"/>
          </w:r>
          <w:r>
            <w:fldChar w:fldCharType="end"/>
          </w:r>
        </w:p>
        <w:p>
          <w:pPr>
            <w:pStyle w:val="14"/>
            <w:rPr>
              <w:rFonts w:asciiTheme="minorHAnsi" w:hAnsiTheme="minorHAnsi" w:eastAsiaTheme="minorEastAsia" w:cstheme="minorBidi"/>
              <w:spacing w:val="0"/>
              <w:sz w:val="21"/>
            </w:rPr>
          </w:pPr>
          <w:r>
            <w:fldChar w:fldCharType="begin"/>
          </w:r>
          <w:r>
            <w:instrText xml:space="preserve"> HYPERLINK \l "_Toc103805292" </w:instrText>
          </w:r>
          <w:r>
            <w:fldChar w:fldCharType="separate"/>
          </w:r>
          <w:r>
            <w:rPr>
              <w:rStyle w:val="32"/>
              <w:color w:val="auto"/>
            </w:rPr>
            <w:t>3.</w:t>
          </w:r>
          <w:r>
            <w:rPr>
              <w:rStyle w:val="32"/>
              <w:rFonts w:hint="eastAsia"/>
              <w:color w:val="auto"/>
            </w:rPr>
            <w:t>促进各类企业融通发展</w:t>
          </w:r>
          <w:r>
            <w:tab/>
          </w:r>
          <w:r>
            <w:fldChar w:fldCharType="begin"/>
          </w:r>
          <w:r>
            <w:instrText xml:space="preserve"> PAGEREF _Toc103805292 \h </w:instrText>
          </w:r>
          <w:r>
            <w:fldChar w:fldCharType="separate"/>
          </w:r>
          <w:r>
            <w:t>53</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"_Toc103805293" </w:instrText>
          </w:r>
          <w:r>
            <w:fldChar w:fldCharType="separate"/>
          </w:r>
          <w:r>
            <w:rPr>
              <w:rStyle w:val="32"/>
              <w:rFonts w:hint="eastAsia"/>
              <w:color w:val="auto"/>
            </w:rPr>
            <w:t>第七章</w:t>
          </w:r>
          <w:r>
            <w:rPr>
              <w:rStyle w:val="32"/>
              <w:color w:val="auto"/>
            </w:rPr>
            <w:t xml:space="preserve"> </w:t>
          </w:r>
          <w:r>
            <w:rPr>
              <w:rStyle w:val="32"/>
              <w:rFonts w:hint="eastAsia"/>
              <w:color w:val="auto"/>
            </w:rPr>
            <w:t>保障措施</w:t>
          </w:r>
          <w:r>
            <w:tab/>
          </w:r>
          <w:r>
            <w:fldChar w:fldCharType="begin"/>
          </w:r>
          <w:r>
            <w:instrText xml:space="preserve"> PAGEREF _Toc103805293 \h </w:instrText>
          </w:r>
          <w:r>
            <w:fldChar w:fldCharType="separate"/>
          </w:r>
          <w:r>
            <w:t>54</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"_Toc103805294" </w:instrText>
          </w:r>
          <w:r>
            <w:fldChar w:fldCharType="separate"/>
          </w:r>
          <w:r>
            <w:rPr>
              <w:rStyle w:val="32"/>
              <w:rFonts w:hint="eastAsia" w:eastAsia="楷体_GB2312"/>
              <w:color w:val="auto"/>
            </w:rPr>
            <w:t>第一节</w:t>
          </w:r>
          <w:r>
            <w:rPr>
              <w:rStyle w:val="32"/>
              <w:rFonts w:eastAsia="楷体_GB2312"/>
              <w:color w:val="auto"/>
            </w:rPr>
            <w:t xml:space="preserve"> </w:t>
          </w:r>
          <w:r>
            <w:rPr>
              <w:rStyle w:val="32"/>
              <w:rFonts w:hint="eastAsia" w:eastAsia="楷体_GB2312"/>
              <w:color w:val="auto"/>
            </w:rPr>
            <w:t>加强实施组织领导</w:t>
          </w:r>
          <w:r>
            <w:tab/>
          </w:r>
          <w:r>
            <w:fldChar w:fldCharType="begin"/>
          </w:r>
          <w:r>
            <w:instrText xml:space="preserve"> PAGEREF _Toc103805294 \h </w:instrText>
          </w:r>
          <w:r>
            <w:fldChar w:fldCharType="separate"/>
          </w:r>
          <w:r>
            <w:t>54</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"_Toc103805295" </w:instrText>
          </w:r>
          <w:r>
            <w:fldChar w:fldCharType="separate"/>
          </w:r>
          <w:r>
            <w:rPr>
              <w:rStyle w:val="32"/>
              <w:rFonts w:hint="eastAsia" w:eastAsia="楷体_GB2312"/>
              <w:color w:val="auto"/>
            </w:rPr>
            <w:t>第二节</w:t>
          </w:r>
          <w:r>
            <w:rPr>
              <w:rStyle w:val="32"/>
              <w:rFonts w:eastAsia="楷体_GB2312"/>
              <w:color w:val="auto"/>
            </w:rPr>
            <w:t xml:space="preserve"> </w:t>
          </w:r>
          <w:r>
            <w:rPr>
              <w:rStyle w:val="32"/>
              <w:rFonts w:hint="eastAsia" w:eastAsia="楷体_GB2312"/>
              <w:color w:val="auto"/>
            </w:rPr>
            <w:t>增强资金保障能力</w:t>
          </w:r>
          <w:r>
            <w:tab/>
          </w:r>
          <w:r>
            <w:fldChar w:fldCharType="begin"/>
          </w:r>
          <w:r>
            <w:instrText xml:space="preserve"> PAGEREF _Toc103805295 \h </w:instrText>
          </w:r>
          <w:r>
            <w:fldChar w:fldCharType="separate"/>
          </w:r>
          <w:r>
            <w:t>54</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"_Toc103805296" </w:instrText>
          </w:r>
          <w:r>
            <w:fldChar w:fldCharType="separate"/>
          </w:r>
          <w:r>
            <w:rPr>
              <w:rStyle w:val="32"/>
              <w:rFonts w:hint="eastAsia" w:eastAsia="楷体_GB2312"/>
              <w:color w:val="auto"/>
            </w:rPr>
            <w:t>第三节</w:t>
          </w:r>
          <w:r>
            <w:rPr>
              <w:rStyle w:val="32"/>
              <w:rFonts w:eastAsia="楷体_GB2312"/>
              <w:color w:val="auto"/>
            </w:rPr>
            <w:t xml:space="preserve"> </w:t>
          </w:r>
          <w:r>
            <w:rPr>
              <w:rStyle w:val="32"/>
              <w:rFonts w:hint="eastAsia" w:eastAsia="楷体_GB2312"/>
              <w:color w:val="auto"/>
            </w:rPr>
            <w:t>加大政策扶持力度</w:t>
          </w:r>
          <w:r>
            <w:tab/>
          </w:r>
          <w:r>
            <w:fldChar w:fldCharType="begin"/>
          </w:r>
          <w:r>
            <w:instrText xml:space="preserve"> PAGEREF _Toc103805296 \h </w:instrText>
          </w:r>
          <w:r>
            <w:fldChar w:fldCharType="separate"/>
          </w:r>
          <w:r>
            <w:t>55</w:t>
          </w:r>
          <w:r>
            <w:fldChar w:fldCharType="end"/>
          </w:r>
          <w:r>
            <w:fldChar w:fldCharType="end"/>
          </w:r>
        </w:p>
        <w:p>
          <w:pPr>
            <w:pStyle w:val="22"/>
            <w:tabs>
              <w:tab w:val="right" w:leader="dot" w:pos="8296"/>
            </w:tabs>
            <w:rPr>
              <w:rFonts w:asciiTheme="minorHAnsi" w:hAnsiTheme="minorHAnsi" w:eastAsiaTheme="minorEastAsia" w:cstheme="minorBidi"/>
              <w:smallCaps w:val="0"/>
              <w:sz w:val="21"/>
              <w:szCs w:val="22"/>
            </w:rPr>
          </w:pPr>
          <w:r>
            <w:fldChar w:fldCharType="begin"/>
          </w:r>
          <w:r>
            <w:instrText xml:space="preserve"> HYPERLINK \l "_Toc103805297" </w:instrText>
          </w:r>
          <w:r>
            <w:fldChar w:fldCharType="separate"/>
          </w:r>
          <w:r>
            <w:rPr>
              <w:rStyle w:val="32"/>
              <w:rFonts w:hint="eastAsia" w:eastAsia="楷体_GB2312"/>
              <w:color w:val="auto"/>
            </w:rPr>
            <w:t>第四节</w:t>
          </w:r>
          <w:r>
            <w:rPr>
              <w:rStyle w:val="32"/>
              <w:rFonts w:eastAsia="楷体_GB2312"/>
              <w:color w:val="auto"/>
            </w:rPr>
            <w:t xml:space="preserve"> </w:t>
          </w:r>
          <w:r>
            <w:rPr>
              <w:rStyle w:val="32"/>
              <w:rFonts w:hint="eastAsia" w:eastAsia="楷体_GB2312"/>
              <w:color w:val="auto"/>
            </w:rPr>
            <w:t>持续优化营商环境</w:t>
          </w:r>
          <w:r>
            <w:tab/>
          </w:r>
          <w:r>
            <w:fldChar w:fldCharType="begin"/>
          </w:r>
          <w:r>
            <w:instrText xml:space="preserve"> PAGEREF _Toc103805297 \h </w:instrText>
          </w:r>
          <w:r>
            <w:fldChar w:fldCharType="separate"/>
          </w:r>
          <w:r>
            <w:t>56</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"_Toc103805298" </w:instrText>
          </w:r>
          <w:r>
            <w:fldChar w:fldCharType="separate"/>
          </w:r>
          <w:r>
            <w:rPr>
              <w:rStyle w:val="32"/>
              <w:rFonts w:hint="eastAsia"/>
              <w:color w:val="auto"/>
            </w:rPr>
            <w:t>附件一</w:t>
          </w:r>
          <w:r>
            <w:rPr>
              <w:rStyle w:val="32"/>
              <w:color w:val="auto"/>
            </w:rPr>
            <w:t xml:space="preserve"> </w:t>
          </w:r>
          <w:r>
            <w:rPr>
              <w:rStyle w:val="32"/>
              <w:rFonts w:hint="eastAsia"/>
              <w:color w:val="auto"/>
            </w:rPr>
            <w:t>奉节县工业和信息化“十四五”规划重点项目</w:t>
          </w:r>
          <w:r>
            <w:tab/>
          </w:r>
          <w:r>
            <w:fldChar w:fldCharType="begin"/>
          </w:r>
          <w:r>
            <w:instrText xml:space="preserve"> PAGEREF _Toc103805298 \h </w:instrText>
          </w:r>
          <w:r>
            <w:fldChar w:fldCharType="separate"/>
          </w:r>
          <w:r>
            <w:t>58</w:t>
          </w:r>
          <w:r>
            <w:fldChar w:fldCharType="end"/>
          </w:r>
          <w:r>
            <w:fldChar w:fldCharType="end"/>
          </w:r>
        </w:p>
        <w:p>
          <w:pPr>
            <w:pStyle w:val="19"/>
            <w:tabs>
              <w:tab w:val="right" w:leader="dot" w:pos="8296"/>
            </w:tabs>
            <w:rPr>
              <w:rFonts w:asciiTheme="minorHAnsi" w:hAnsiTheme="minorHAnsi" w:eastAsiaTheme="minorEastAsia" w:cstheme="minorBidi"/>
              <w:b w:val="0"/>
              <w:bCs w:val="0"/>
              <w:caps w:val="0"/>
              <w:sz w:val="21"/>
              <w:szCs w:val="22"/>
            </w:rPr>
          </w:pPr>
          <w:r>
            <w:fldChar w:fldCharType="begin"/>
          </w:r>
          <w:r>
            <w:instrText xml:space="preserve"> HYPERLINK \l "_Toc103805299" </w:instrText>
          </w:r>
          <w:r>
            <w:fldChar w:fldCharType="separate"/>
          </w:r>
          <w:r>
            <w:rPr>
              <w:rStyle w:val="32"/>
              <w:rFonts w:hint="eastAsia" w:ascii="黑体" w:hAnsi="黑体"/>
              <w:color w:val="auto"/>
            </w:rPr>
            <w:t>附件二</w:t>
          </w:r>
          <w:r>
            <w:rPr>
              <w:rStyle w:val="32"/>
              <w:rFonts w:ascii="黑体" w:hAnsi="黑体"/>
              <w:color w:val="auto"/>
            </w:rPr>
            <w:t xml:space="preserve"> </w:t>
          </w:r>
          <w:r>
            <w:rPr>
              <w:rStyle w:val="32"/>
              <w:rFonts w:hint="eastAsia" w:ascii="黑体" w:hAnsi="黑体"/>
              <w:color w:val="auto"/>
            </w:rPr>
            <w:t>奉节县工业和信息化“十四五”重大项目布局</w:t>
          </w:r>
          <w:r>
            <w:tab/>
          </w:r>
          <w:r>
            <w:fldChar w:fldCharType="begin"/>
          </w:r>
          <w:r>
            <w:instrText xml:space="preserve"> PAGEREF _Toc103805299 \h </w:instrText>
          </w:r>
          <w:r>
            <w:fldChar w:fldCharType="separate"/>
          </w:r>
          <w:r>
            <w:t>74</w:t>
          </w:r>
          <w:r>
            <w:fldChar w:fldCharType="end"/>
          </w:r>
          <w:r>
            <w:fldChar w:fldCharType="end"/>
          </w:r>
        </w:p>
        <w:p>
          <w:r>
            <w:rPr>
              <w:b/>
              <w:bCs/>
              <w:lang w:val="zh-CN"/>
            </w:rPr>
            <w:fldChar w:fldCharType="end"/>
          </w:r>
        </w:p>
      </w:sdtContent>
    </w:sdt>
    <w:p>
      <w:pPr>
        <w:pStyle w:val="19"/>
        <w:tabs>
          <w:tab w:val="right" w:leader="dot" w:pos="8296"/>
        </w:tabs>
        <w:rPr>
          <w:rFonts w:eastAsiaTheme="minorEastAsia"/>
          <w:smallCaps/>
          <w:sz w:val="21"/>
          <w:szCs w:val="22"/>
        </w:rPr>
      </w:pPr>
      <w:r>
        <w:rPr>
          <w:bCs w:val="0"/>
          <w:caps w:val="0"/>
          <w:sz w:val="36"/>
          <w:szCs w:val="36"/>
        </w:rPr>
        <w:fldChar w:fldCharType="begin"/>
      </w:r>
      <w:r>
        <w:rPr>
          <w:bCs w:val="0"/>
          <w:caps w:val="0"/>
          <w:sz w:val="36"/>
          <w:szCs w:val="36"/>
        </w:rPr>
        <w:instrText xml:space="preserve"> TOC \o "1-3" \h \z \u </w:instrText>
      </w:r>
      <w:r>
        <w:rPr>
          <w:bCs w:val="0"/>
          <w:caps w:val="0"/>
          <w:sz w:val="36"/>
          <w:szCs w:val="36"/>
        </w:rPr>
        <w:fldChar w:fldCharType="separate"/>
      </w:r>
    </w:p>
    <w:p>
      <w:pPr>
        <w:spacing w:line="360" w:lineRule="auto"/>
        <w:jc w:val="center"/>
        <w:rPr>
          <w:rFonts w:eastAsia="黑体"/>
          <w:b/>
          <w:sz w:val="36"/>
          <w:szCs w:val="36"/>
        </w:rPr>
      </w:pPr>
      <w:r>
        <w:rPr>
          <w:rFonts w:eastAsia="黑体"/>
          <w:bCs/>
          <w:caps/>
          <w:sz w:val="36"/>
          <w:szCs w:val="36"/>
        </w:rPr>
        <w:fldChar w:fldCharType="end"/>
      </w:r>
    </w:p>
    <w:p>
      <w:pPr>
        <w:spacing w:line="360" w:lineRule="auto"/>
        <w:jc w:val="center"/>
        <w:rPr>
          <w:rFonts w:eastAsia="黑体"/>
          <w:b/>
          <w:sz w:val="36"/>
          <w:szCs w:val="36"/>
        </w:rPr>
        <w:sectPr>
          <w:footerReference r:id="rId3" w:type="default"/>
          <w:pgSz w:w="11906" w:h="16838"/>
          <w:pgMar w:top="1440" w:right="1800" w:bottom="1440" w:left="1800" w:header="851" w:footer="992" w:gutter="0"/>
          <w:pgNumType w:start="1"/>
          <w:cols w:space="425" w:num="1"/>
          <w:docGrid w:type="lines" w:linePitch="312" w:charSpace="0"/>
        </w:sectPr>
      </w:pPr>
    </w:p>
    <w:p>
      <w:pPr>
        <w:pStyle w:val="4"/>
        <w:spacing w:before="100" w:beforeAutospacing="1" w:after="100" w:afterAutospacing="1" w:line="240" w:lineRule="auto"/>
        <w:jc w:val="center"/>
        <w:rPr>
          <w:rFonts w:eastAsia="黑体"/>
          <w:sz w:val="36"/>
          <w:szCs w:val="36"/>
        </w:rPr>
      </w:pPr>
      <w:bookmarkStart w:id="0" w:name="_Toc57368021"/>
      <w:bookmarkStart w:id="1" w:name="_Toc89087798"/>
      <w:bookmarkStart w:id="2" w:name="_Toc103805217"/>
      <w:r>
        <w:rPr>
          <w:rFonts w:hint="eastAsia" w:eastAsia="黑体"/>
          <w:sz w:val="36"/>
          <w:szCs w:val="36"/>
        </w:rPr>
        <w:t>第一章</w:t>
      </w:r>
      <w:r>
        <w:rPr>
          <w:rFonts w:eastAsia="黑体"/>
          <w:sz w:val="36"/>
          <w:szCs w:val="36"/>
        </w:rPr>
        <w:t xml:space="preserve"> </w:t>
      </w:r>
      <w:r>
        <w:rPr>
          <w:rFonts w:hint="eastAsia" w:eastAsia="黑体"/>
          <w:sz w:val="36"/>
          <w:szCs w:val="36"/>
        </w:rPr>
        <w:t>发展基础与环境</w:t>
      </w:r>
      <w:bookmarkEnd w:id="0"/>
      <w:bookmarkEnd w:id="1"/>
      <w:bookmarkEnd w:id="2"/>
    </w:p>
    <w:p>
      <w:pPr>
        <w:pStyle w:val="5"/>
        <w:spacing w:before="156" w:beforeLines="50" w:after="156" w:afterLines="50" w:line="360" w:lineRule="auto"/>
        <w:jc w:val="center"/>
        <w:rPr>
          <w:rFonts w:ascii="Times New Roman" w:hAnsi="Times New Roman" w:eastAsia="楷体_GB2312"/>
        </w:rPr>
      </w:pPr>
      <w:bookmarkStart w:id="3" w:name="_Toc57368022"/>
      <w:bookmarkStart w:id="4" w:name="_Toc103805218"/>
      <w:bookmarkStart w:id="5" w:name="_Toc89087799"/>
      <w:r>
        <w:rPr>
          <w:rFonts w:hint="eastAsia" w:ascii="Times New Roman" w:hAnsi="Times New Roman" w:eastAsia="楷体_GB2312"/>
        </w:rPr>
        <w:t>第一节</w:t>
      </w:r>
      <w:r>
        <w:rPr>
          <w:rFonts w:ascii="Times New Roman" w:hAnsi="Times New Roman" w:eastAsia="楷体_GB2312"/>
        </w:rPr>
        <w:t xml:space="preserve"> </w:t>
      </w:r>
      <w:r>
        <w:rPr>
          <w:rFonts w:hint="eastAsia" w:ascii="Times New Roman" w:hAnsi="Times New Roman" w:eastAsia="楷体_GB2312"/>
        </w:rPr>
        <w:t>发展成就</w:t>
      </w:r>
      <w:bookmarkEnd w:id="3"/>
      <w:bookmarkEnd w:id="4"/>
      <w:bookmarkEnd w:id="5"/>
    </w:p>
    <w:p>
      <w:pPr>
        <w:pStyle w:val="12"/>
        <w:ind w:firstLine="643"/>
      </w:pPr>
      <w:bookmarkStart w:id="6" w:name="_Toc89087800"/>
      <w:bookmarkStart w:id="7" w:name="_Toc57368023"/>
      <w:r>
        <w:rPr>
          <w:rFonts w:hint="eastAsia"/>
          <w:b/>
        </w:rPr>
        <w:t>工业持续稳步增长</w:t>
      </w:r>
      <w:bookmarkEnd w:id="6"/>
      <w:bookmarkEnd w:id="7"/>
      <w:r>
        <w:rPr>
          <w:rFonts w:hint="eastAsia"/>
          <w:b/>
        </w:rPr>
        <w:t>。</w:t>
      </w:r>
      <w:r>
        <w:t>“</w:t>
      </w:r>
      <w:r>
        <w:rPr>
          <w:rFonts w:hint="eastAsia"/>
        </w:rPr>
        <w:t>十三五</w:t>
      </w:r>
      <w:r>
        <w:t>”</w:t>
      </w:r>
      <w:r>
        <w:rPr>
          <w:rFonts w:hint="eastAsia"/>
        </w:rPr>
        <w:t>期间，全县工业经济保持持续高速增长，</w:t>
      </w:r>
      <w:r>
        <w:t>2020</w:t>
      </w:r>
      <w:r>
        <w:rPr>
          <w:rFonts w:hint="eastAsia"/>
        </w:rPr>
        <w:t>年全县规模以上工业总产值达51.65亿元，是</w:t>
      </w:r>
      <w:r>
        <w:t>2015</w:t>
      </w:r>
      <w:r>
        <w:rPr>
          <w:rFonts w:hint="eastAsia"/>
        </w:rPr>
        <w:t>年的</w:t>
      </w:r>
      <w:r>
        <w:t>2.05</w:t>
      </w:r>
      <w:r>
        <w:rPr>
          <w:rFonts w:hint="eastAsia"/>
        </w:rPr>
        <w:t>倍；工业增加值达</w:t>
      </w:r>
      <w:r>
        <w:t>24.92</w:t>
      </w:r>
      <w:r>
        <w:rPr>
          <w:rFonts w:hint="eastAsia"/>
        </w:rPr>
        <w:t>亿元，是</w:t>
      </w:r>
      <w:r>
        <w:t>2015</w:t>
      </w:r>
      <w:r>
        <w:rPr>
          <w:rFonts w:hint="eastAsia"/>
        </w:rPr>
        <w:t>年的</w:t>
      </w:r>
      <w:r>
        <w:t>1.28</w:t>
      </w:r>
      <w:r>
        <w:rPr>
          <w:rFonts w:hint="eastAsia"/>
        </w:rPr>
        <w:t>倍，</w:t>
      </w:r>
      <w:r>
        <w:t>“</w:t>
      </w:r>
      <w:r>
        <w:rPr>
          <w:rFonts w:hint="eastAsia"/>
        </w:rPr>
        <w:t>十三五</w:t>
      </w:r>
      <w:r>
        <w:t>”</w:t>
      </w:r>
      <w:r>
        <w:rPr>
          <w:rFonts w:hint="eastAsia"/>
        </w:rPr>
        <w:t>时期年均增长</w:t>
      </w:r>
      <w:r>
        <w:t>6.3%</w:t>
      </w:r>
      <w:r>
        <w:rPr>
          <w:rFonts w:hint="eastAsia"/>
        </w:rPr>
        <w:t>，对经济增长的平均贡献率达</w:t>
      </w:r>
      <w:r>
        <w:t>6.1%</w:t>
      </w:r>
      <w:r>
        <w:rPr>
          <w:rFonts w:hint="eastAsia"/>
        </w:rPr>
        <w:t>；全县规模以上工业企业数达</w:t>
      </w:r>
      <w:r>
        <w:t>61</w:t>
      </w:r>
      <w:r>
        <w:rPr>
          <w:rFonts w:hint="eastAsia"/>
        </w:rPr>
        <w:t>户，较</w:t>
      </w:r>
      <w:r>
        <w:t>2015</w:t>
      </w:r>
      <w:r>
        <w:rPr>
          <w:rFonts w:hint="eastAsia"/>
        </w:rPr>
        <w:t>年增加</w:t>
      </w:r>
      <w:r>
        <w:t>29</w:t>
      </w:r>
      <w:r>
        <w:rPr>
          <w:rFonts w:hint="eastAsia"/>
        </w:rPr>
        <w:t>户；工业纳税主体完成税收</w:t>
      </w:r>
      <w:r>
        <w:t>1.5</w:t>
      </w:r>
      <w:r>
        <w:rPr>
          <w:rFonts w:hint="eastAsia"/>
        </w:rPr>
        <w:t>亿元，占全县税收总额的</w:t>
      </w:r>
      <w:r>
        <w:t>8.92%</w:t>
      </w:r>
      <w:r>
        <w:rPr>
          <w:rFonts w:hint="eastAsia"/>
        </w:rPr>
        <w:t>，规上工业企业提供就业岗位</w:t>
      </w:r>
      <w:r>
        <w:t>6900</w:t>
      </w:r>
      <w:r>
        <w:rPr>
          <w:rFonts w:hint="eastAsia"/>
        </w:rPr>
        <w:t>余个。</w:t>
      </w:r>
    </w:p>
    <w:p>
      <w:pPr>
        <w:pStyle w:val="12"/>
        <w:ind w:firstLine="643"/>
        <w:rPr>
          <w:bCs/>
        </w:rPr>
      </w:pPr>
      <w:bookmarkStart w:id="8" w:name="_Toc89087801"/>
      <w:bookmarkStart w:id="9" w:name="_Toc57368024"/>
      <w:r>
        <w:rPr>
          <w:rFonts w:hint="eastAsia"/>
          <w:b/>
        </w:rPr>
        <w:t>产业结构不断优化</w:t>
      </w:r>
      <w:bookmarkEnd w:id="8"/>
      <w:bookmarkEnd w:id="9"/>
      <w:r>
        <w:rPr>
          <w:rFonts w:hint="eastAsia"/>
          <w:b/>
        </w:rPr>
        <w:t>。</w:t>
      </w:r>
      <w:r>
        <w:rPr>
          <w:rFonts w:hint="eastAsia"/>
        </w:rPr>
        <w:t>到</w:t>
      </w:r>
      <w:r>
        <w:t>“</w:t>
      </w:r>
      <w:r>
        <w:rPr>
          <w:rFonts w:hint="eastAsia"/>
        </w:rPr>
        <w:t>十三五</w:t>
      </w:r>
      <w:r>
        <w:t>”</w:t>
      </w:r>
      <w:r>
        <w:rPr>
          <w:rFonts w:hint="eastAsia"/>
        </w:rPr>
        <w:t>末，全县形成眼镜制造、绿色能源、特色农产品加工、生物制药、新材料、新型建材等六大生态工业体系。眼镜产业强劲增长，实现产值达</w:t>
      </w:r>
      <w:r>
        <w:t>13</w:t>
      </w:r>
      <w:r>
        <w:rPr>
          <w:rFonts w:hint="eastAsia"/>
        </w:rPr>
        <w:t>亿元，奉节县生态工业园区被确定为重庆市特色产业（眼镜）建设基地。</w:t>
      </w:r>
      <w:r>
        <w:rPr>
          <w:rFonts w:hint="eastAsia"/>
          <w:bCs/>
        </w:rPr>
        <w:t>绿色能源产业快速发展，实现产值</w:t>
      </w:r>
      <w:r>
        <w:rPr>
          <w:bCs/>
        </w:rPr>
        <w:t>22.96</w:t>
      </w:r>
      <w:r>
        <w:rPr>
          <w:rFonts w:hint="eastAsia"/>
          <w:bCs/>
        </w:rPr>
        <w:t>亿元，</w:t>
      </w:r>
      <w:r>
        <w:rPr>
          <w:rFonts w:hint="eastAsia"/>
        </w:rPr>
        <w:t>华电奉节电厂开启奉节</w:t>
      </w:r>
      <w:r>
        <w:t>10</w:t>
      </w:r>
      <w:r>
        <w:rPr>
          <w:rFonts w:hint="eastAsia"/>
        </w:rPr>
        <w:t>亿级工业企业先河。</w:t>
      </w:r>
      <w:r>
        <w:rPr>
          <w:rFonts w:hint="eastAsia"/>
          <w:bCs/>
        </w:rPr>
        <w:t>特色农产品加工产业有序推进，农副产品加工行业实现产值</w:t>
      </w:r>
      <w:r>
        <w:rPr>
          <w:bCs/>
        </w:rPr>
        <w:t>5.83</w:t>
      </w:r>
      <w:r>
        <w:rPr>
          <w:rFonts w:hint="eastAsia"/>
          <w:bCs/>
        </w:rPr>
        <w:t>亿元。生物制药取得新突破，建成</w:t>
      </w:r>
      <w:r>
        <w:rPr>
          <w:rFonts w:hint="eastAsia"/>
        </w:rPr>
        <w:t>红杉醇、紫杉醇等特色中药材生产线，实现产值</w:t>
      </w:r>
      <w:r>
        <w:t>0.8</w:t>
      </w:r>
      <w:r>
        <w:rPr>
          <w:rFonts w:hint="eastAsia"/>
        </w:rPr>
        <w:t>亿元。</w:t>
      </w:r>
      <w:r>
        <w:rPr>
          <w:rFonts w:hint="eastAsia"/>
          <w:bCs/>
        </w:rPr>
        <w:t>新材料产业稳步增长，建成</w:t>
      </w:r>
      <w:r>
        <w:rPr>
          <w:rFonts w:hint="eastAsia"/>
        </w:rPr>
        <w:t>微纳米纤维高效低阻新材料、防雾霾口罩、高性能复合材料陶瓷先驱体等各类生产线，实现产值</w:t>
      </w:r>
      <w:r>
        <w:t>2.4</w:t>
      </w:r>
      <w:r>
        <w:rPr>
          <w:rFonts w:hint="eastAsia"/>
        </w:rPr>
        <w:t>亿元。</w:t>
      </w:r>
    </w:p>
    <w:p>
      <w:pPr>
        <w:pStyle w:val="12"/>
        <w:ind w:firstLine="643"/>
      </w:pPr>
      <w:bookmarkStart w:id="10" w:name="_Toc57368025"/>
      <w:bookmarkStart w:id="11" w:name="_Toc89087802"/>
      <w:r>
        <w:rPr>
          <w:rFonts w:hint="eastAsia"/>
          <w:b/>
        </w:rPr>
        <w:t>园区建设加快推进</w:t>
      </w:r>
      <w:bookmarkEnd w:id="10"/>
      <w:bookmarkEnd w:id="11"/>
      <w:r>
        <w:rPr>
          <w:rFonts w:hint="eastAsia"/>
          <w:b/>
        </w:rPr>
        <w:t>。</w:t>
      </w:r>
      <w:r>
        <w:rPr>
          <w:rFonts w:hint="eastAsia"/>
        </w:rPr>
        <w:t>园区建设成效显著，初步形成</w:t>
      </w:r>
      <w:r>
        <w:t>“</w:t>
      </w:r>
      <w:r>
        <w:rPr>
          <w:rFonts w:hint="eastAsia"/>
        </w:rPr>
        <w:t>一园两组团</w:t>
      </w:r>
      <w:r>
        <w:t>”</w:t>
      </w:r>
      <w:r>
        <w:rPr>
          <w:rFonts w:hint="eastAsia"/>
        </w:rPr>
        <w:t>生态工业格局。到</w:t>
      </w:r>
      <w:r>
        <w:t>2020</w:t>
      </w:r>
      <w:r>
        <w:rPr>
          <w:rFonts w:hint="eastAsia"/>
        </w:rPr>
        <w:t>年底，园区累计入驻企业达</w:t>
      </w:r>
      <w:r>
        <w:t>59</w:t>
      </w:r>
      <w:r>
        <w:rPr>
          <w:rFonts w:hint="eastAsia"/>
        </w:rPr>
        <w:t>户，其中，眼镜制造类企业</w:t>
      </w:r>
      <w:r>
        <w:t>33</w:t>
      </w:r>
      <w:r>
        <w:rPr>
          <w:rFonts w:hint="eastAsia"/>
        </w:rPr>
        <w:t>户，特色农产品加工类企业</w:t>
      </w:r>
      <w:r>
        <w:t>5</w:t>
      </w:r>
      <w:r>
        <w:rPr>
          <w:rFonts w:hint="eastAsia"/>
        </w:rPr>
        <w:t>户，新材料类企业</w:t>
      </w:r>
      <w:r>
        <w:t>4</w:t>
      </w:r>
      <w:r>
        <w:rPr>
          <w:rFonts w:hint="eastAsia"/>
        </w:rPr>
        <w:t>户，生物制药类企业</w:t>
      </w:r>
      <w:r>
        <w:t>2</w:t>
      </w:r>
      <w:r>
        <w:rPr>
          <w:rFonts w:hint="eastAsia"/>
        </w:rPr>
        <w:t>户。</w:t>
      </w:r>
      <w:r>
        <w:t>2020</w:t>
      </w:r>
      <w:r>
        <w:rPr>
          <w:rFonts w:hint="eastAsia"/>
        </w:rPr>
        <w:t>年园区实现总产值</w:t>
      </w:r>
      <w:r>
        <w:t>28.16</w:t>
      </w:r>
      <w:r>
        <w:rPr>
          <w:rFonts w:hint="eastAsia"/>
        </w:rPr>
        <w:t>亿元，规上企业实现产值</w:t>
      </w:r>
      <w:r>
        <w:t>25.6</w:t>
      </w:r>
      <w:r>
        <w:rPr>
          <w:rFonts w:hint="eastAsia"/>
        </w:rPr>
        <w:t>亿元，产出强度达到</w:t>
      </w:r>
      <w:r>
        <w:t>67.6</w:t>
      </w:r>
      <w:r>
        <w:rPr>
          <w:rFonts w:hint="eastAsia"/>
        </w:rPr>
        <w:t>亿元</w:t>
      </w:r>
      <w:r>
        <w:t>/</w:t>
      </w:r>
      <w:r>
        <w:rPr>
          <w:rFonts w:hint="eastAsia"/>
        </w:rPr>
        <w:t>平方公里，提供就业岗位</w:t>
      </w:r>
      <w:r>
        <w:t>1844</w:t>
      </w:r>
      <w:r>
        <w:rPr>
          <w:rFonts w:hint="eastAsia"/>
        </w:rPr>
        <w:t>个。</w:t>
      </w:r>
      <w:r>
        <w:rPr>
          <w:rFonts w:hint="eastAsia"/>
          <w:bCs/>
        </w:rPr>
        <w:t>园区工业层次不断提高，</w:t>
      </w:r>
      <w:r>
        <w:rPr>
          <w:rFonts w:hint="eastAsia"/>
        </w:rPr>
        <w:t>先后引进了华电奉节电厂、中纳科技、渝玻科技、眼镜制造等一批项目入驻工业园区。康乐组团已启动建设，华电国际奉节发电厂已落户，建成</w:t>
      </w:r>
      <w:r>
        <w:t>2*60</w:t>
      </w:r>
      <w:r>
        <w:rPr>
          <w:rFonts w:hint="eastAsia"/>
        </w:rPr>
        <w:t>万千瓦发电机组。</w:t>
      </w:r>
    </w:p>
    <w:p>
      <w:pPr>
        <w:pStyle w:val="12"/>
        <w:ind w:firstLine="643"/>
      </w:pPr>
      <w:bookmarkStart w:id="12" w:name="_Toc57368026"/>
      <w:bookmarkStart w:id="13" w:name="_Toc89087803"/>
      <w:r>
        <w:rPr>
          <w:rFonts w:hint="eastAsia"/>
          <w:b/>
        </w:rPr>
        <w:t>绿色发展取得成效</w:t>
      </w:r>
      <w:bookmarkEnd w:id="12"/>
      <w:bookmarkEnd w:id="13"/>
      <w:r>
        <w:rPr>
          <w:rFonts w:hint="eastAsia"/>
          <w:b/>
        </w:rPr>
        <w:t>。</w:t>
      </w:r>
      <w:r>
        <w:t>“</w:t>
      </w:r>
      <w:r>
        <w:rPr>
          <w:rFonts w:hint="eastAsia"/>
        </w:rPr>
        <w:t>十三五</w:t>
      </w:r>
      <w:r>
        <w:t>”</w:t>
      </w:r>
      <w:r>
        <w:rPr>
          <w:rFonts w:hint="eastAsia"/>
        </w:rPr>
        <w:t>期间，全县工业经济走出了一条</w:t>
      </w:r>
      <w:r>
        <w:t>“</w:t>
      </w:r>
      <w:r>
        <w:rPr>
          <w:rFonts w:hint="eastAsia"/>
        </w:rPr>
        <w:t>弃煤启美</w:t>
      </w:r>
      <w:r>
        <w:t>”</w:t>
      </w:r>
      <w:r>
        <w:rPr>
          <w:rFonts w:hint="eastAsia"/>
        </w:rPr>
        <w:t>蝶变之路，实现从煤炭经济向生态经济、美丽经济、富民经济的强势转型。坚决退出低端资源型产业，关闭落后煤矿，全县原煤产量连续下降，</w:t>
      </w:r>
      <w:r>
        <w:t>2016</w:t>
      </w:r>
      <w:r>
        <w:rPr>
          <w:rFonts w:hint="eastAsia"/>
        </w:rPr>
        <w:t>年原煤</w:t>
      </w:r>
      <w:r>
        <w:t>46.82</w:t>
      </w:r>
      <w:r>
        <w:rPr>
          <w:rFonts w:hint="eastAsia"/>
        </w:rPr>
        <w:t>万吨，</w:t>
      </w:r>
      <w:r>
        <w:t>2020</w:t>
      </w:r>
      <w:r>
        <w:rPr>
          <w:rFonts w:hint="eastAsia"/>
        </w:rPr>
        <w:t>年下降为</w:t>
      </w:r>
      <w:r>
        <w:t>14.68</w:t>
      </w:r>
      <w:r>
        <w:rPr>
          <w:rFonts w:hint="eastAsia"/>
        </w:rPr>
        <w:t>万吨，下降</w:t>
      </w:r>
      <w:r>
        <w:t>69%</w:t>
      </w:r>
      <w:r>
        <w:rPr>
          <w:rFonts w:hint="eastAsia"/>
        </w:rPr>
        <w:t>；清洁能源产业产值占规上工业总产值的比例达</w:t>
      </w:r>
      <w:r>
        <w:t>44%</w:t>
      </w:r>
      <w:r>
        <w:rPr>
          <w:rFonts w:hint="eastAsia"/>
        </w:rPr>
        <w:t>；生态经济占</w:t>
      </w:r>
      <w:r>
        <w:t>GDP</w:t>
      </w:r>
      <w:r>
        <w:rPr>
          <w:rFonts w:hint="eastAsia"/>
        </w:rPr>
        <w:t>的比重达</w:t>
      </w:r>
      <w:r>
        <w:t>68.3%</w:t>
      </w:r>
      <w:r>
        <w:rPr>
          <w:rFonts w:hint="eastAsia"/>
        </w:rPr>
        <w:t>；绿色发展成为奉节工业发展的主旋律。</w:t>
      </w:r>
    </w:p>
    <w:p>
      <w:pPr>
        <w:pStyle w:val="12"/>
        <w:ind w:firstLine="643"/>
      </w:pPr>
      <w:bookmarkStart w:id="14" w:name="_Toc89087804"/>
      <w:bookmarkStart w:id="15" w:name="_Toc57368027"/>
      <w:r>
        <w:rPr>
          <w:rFonts w:hint="eastAsia"/>
          <w:b/>
        </w:rPr>
        <w:t>创新能力不断提高</w:t>
      </w:r>
      <w:bookmarkEnd w:id="14"/>
      <w:bookmarkEnd w:id="15"/>
      <w:r>
        <w:rPr>
          <w:rFonts w:hint="eastAsia"/>
          <w:b/>
        </w:rPr>
        <w:t>。</w:t>
      </w:r>
      <w:r>
        <w:rPr>
          <w:rFonts w:hint="eastAsia"/>
        </w:rPr>
        <w:t>科技研发能力和信息化水平不断提高，</w:t>
      </w:r>
      <w:r>
        <w:t>2018</w:t>
      </w:r>
      <w:r>
        <w:rPr>
          <w:rFonts w:hint="eastAsia"/>
        </w:rPr>
        <w:t>年被列入科技部首批</w:t>
      </w:r>
      <w:r>
        <w:t>52</w:t>
      </w:r>
      <w:r>
        <w:rPr>
          <w:rFonts w:hint="eastAsia"/>
        </w:rPr>
        <w:t>个创新型县（市）建设名单，重庆市唯有奉节入选。积极培育科技创新主体，</w:t>
      </w:r>
      <w:r>
        <w:rPr>
          <w:rFonts w:hint="eastAsia" w:ascii="仿宋_GB2312" w:cs="方正仿宋_GBK"/>
          <w:szCs w:val="32"/>
        </w:rPr>
        <w:t>到2020年底，全县工业企业有科技型企业62家，高新技术企业13家，市中小企业技术研发中心28家。大力推进科技研发平台建设，建成重庆市油橄榄研究院、重庆纳川新材料研究院等研发平台6个，</w:t>
      </w:r>
      <w:r>
        <w:rPr>
          <w:rFonts w:hint="eastAsia"/>
        </w:rPr>
        <w:t>建成农业科技园区</w:t>
      </w:r>
      <w:r>
        <w:t>1</w:t>
      </w:r>
      <w:r>
        <w:rPr>
          <w:rFonts w:hint="eastAsia"/>
        </w:rPr>
        <w:t>个、众创空间</w:t>
      </w:r>
      <w:r>
        <w:t>2</w:t>
      </w:r>
      <w:r>
        <w:rPr>
          <w:rFonts w:hint="eastAsia"/>
        </w:rPr>
        <w:t>个、专家大院</w:t>
      </w:r>
      <w:r>
        <w:t>4</w:t>
      </w:r>
      <w:r>
        <w:rPr>
          <w:rFonts w:hint="eastAsia"/>
        </w:rPr>
        <w:t>个、特派员工作站</w:t>
      </w:r>
      <w:r>
        <w:t>2</w:t>
      </w:r>
      <w:r>
        <w:rPr>
          <w:rFonts w:hint="eastAsia"/>
        </w:rPr>
        <w:t>个、</w:t>
      </w:r>
      <w:r>
        <w:t>“</w:t>
      </w:r>
      <w:r>
        <w:rPr>
          <w:rFonts w:hint="eastAsia"/>
        </w:rPr>
        <w:t>星创天地</w:t>
      </w:r>
      <w:r>
        <w:t>”3</w:t>
      </w:r>
      <w:r>
        <w:rPr>
          <w:rFonts w:hint="eastAsia"/>
        </w:rPr>
        <w:t>个。着力培育引进科技人才，建成人才智库</w:t>
      </w:r>
      <w:r>
        <w:t>“</w:t>
      </w:r>
      <w:r>
        <w:rPr>
          <w:rFonts w:hint="eastAsia"/>
        </w:rPr>
        <w:t>夔智库</w:t>
      </w:r>
      <w:r>
        <w:t>”</w:t>
      </w:r>
      <w:r>
        <w:rPr>
          <w:rFonts w:hint="eastAsia"/>
        </w:rPr>
        <w:t>，将院士等高层次人才纳入其中，发挥科技智库支撑作用。</w:t>
      </w:r>
    </w:p>
    <w:p>
      <w:pPr>
        <w:pStyle w:val="12"/>
        <w:ind w:firstLine="643"/>
      </w:pPr>
      <w:bookmarkStart w:id="16" w:name="_Toc57368028"/>
      <w:bookmarkStart w:id="17" w:name="_Toc89087805"/>
      <w:r>
        <w:rPr>
          <w:rFonts w:hint="eastAsia"/>
          <w:b/>
        </w:rPr>
        <w:t>两化建设稳步推进</w:t>
      </w:r>
      <w:bookmarkEnd w:id="16"/>
      <w:bookmarkEnd w:id="17"/>
      <w:r>
        <w:rPr>
          <w:rFonts w:hint="eastAsia"/>
          <w:b/>
        </w:rPr>
        <w:t>。</w:t>
      </w:r>
      <w:r>
        <w:rPr>
          <w:rFonts w:hint="eastAsia"/>
        </w:rPr>
        <w:t>积极推动数字化装备普及、企业上云、智能制造新模式应用等智能化改造项目，到</w:t>
      </w:r>
      <w:r>
        <w:t>2020</w:t>
      </w:r>
      <w:r>
        <w:rPr>
          <w:rFonts w:hint="eastAsia"/>
        </w:rPr>
        <w:t>年底，全县累计完成</w:t>
      </w:r>
      <w:r>
        <w:t>19</w:t>
      </w:r>
      <w:r>
        <w:rPr>
          <w:rFonts w:hint="eastAsia"/>
        </w:rPr>
        <w:t>个智能化改造项目，投资金额达</w:t>
      </w:r>
      <w:r>
        <w:t>1.7</w:t>
      </w:r>
      <w:r>
        <w:rPr>
          <w:rFonts w:hint="eastAsia"/>
        </w:rPr>
        <w:t>亿元，</w:t>
      </w:r>
      <w:r>
        <w:t>40%</w:t>
      </w:r>
      <w:r>
        <w:rPr>
          <w:rFonts w:hint="eastAsia"/>
        </w:rPr>
        <w:t>以上的规模工业企业开展了两化融合建设，信息软件系统及数控机床等一批智能化装备在各企业得到不同程度的应用。亚洲第二台智能钢化炉</w:t>
      </w:r>
      <w:r>
        <w:t>—</w:t>
      </w:r>
      <w:r>
        <w:rPr>
          <w:rFonts w:hint="eastAsia"/>
        </w:rPr>
        <w:t>渝玻科技公司国产</w:t>
      </w:r>
      <w:r>
        <w:t>T</w:t>
      </w:r>
      <w:r>
        <w:rPr>
          <w:rFonts w:hint="eastAsia"/>
        </w:rPr>
        <w:t>系列全智能钢化玻璃炉，全自动智能玻璃冷加工线和全智能节能玻璃合片线已投入生产。祥飞茧丝绸公司研发的全球首创智能蚕桑系统将养蚕从第一产业过渡到第二产业。深入实施大数据智能化、</w:t>
      </w:r>
      <w:r>
        <w:t>5G</w:t>
      </w:r>
      <w:r>
        <w:rPr>
          <w:rFonts w:hint="eastAsia"/>
        </w:rPr>
        <w:t>基站、城区千兆光宽带小区等信息化建设，实现了城区和景区沿线、重点场镇等</w:t>
      </w:r>
      <w:r>
        <w:t>5G</w:t>
      </w:r>
      <w:r>
        <w:rPr>
          <w:rFonts w:hint="eastAsia"/>
        </w:rPr>
        <w:t>信号连续覆盖。</w:t>
      </w:r>
    </w:p>
    <w:p>
      <w:pPr>
        <w:jc w:val="center"/>
        <w:rPr>
          <w:rFonts w:eastAsia="黑体"/>
          <w:sz w:val="28"/>
          <w:szCs w:val="28"/>
        </w:rPr>
      </w:pPr>
      <w:r>
        <w:rPr>
          <w:rFonts w:hint="eastAsia" w:eastAsia="黑体"/>
          <w:sz w:val="28"/>
          <w:szCs w:val="28"/>
        </w:rPr>
        <w:t>表</w:t>
      </w:r>
      <w:r>
        <w:rPr>
          <w:rFonts w:eastAsia="黑体"/>
          <w:sz w:val="28"/>
          <w:szCs w:val="28"/>
        </w:rPr>
        <w:t xml:space="preserve">1  </w:t>
      </w:r>
      <w:r>
        <w:rPr>
          <w:rFonts w:hint="eastAsia" w:eastAsia="黑体"/>
          <w:sz w:val="28"/>
          <w:szCs w:val="28"/>
        </w:rPr>
        <w:t>奉节县</w:t>
      </w:r>
      <w:r>
        <w:rPr>
          <w:rFonts w:eastAsia="黑体"/>
          <w:sz w:val="28"/>
          <w:szCs w:val="28"/>
        </w:rPr>
        <w:t>“</w:t>
      </w:r>
      <w:r>
        <w:rPr>
          <w:rFonts w:hint="eastAsia" w:eastAsia="黑体"/>
          <w:sz w:val="28"/>
          <w:szCs w:val="28"/>
        </w:rPr>
        <w:t>十三五</w:t>
      </w:r>
      <w:r>
        <w:rPr>
          <w:rFonts w:eastAsia="黑体"/>
          <w:sz w:val="28"/>
          <w:szCs w:val="28"/>
        </w:rPr>
        <w:t>”</w:t>
      </w:r>
      <w:r>
        <w:rPr>
          <w:rFonts w:hint="eastAsia" w:eastAsia="黑体"/>
          <w:sz w:val="28"/>
          <w:szCs w:val="28"/>
        </w:rPr>
        <w:t>工业指标完成情况</w:t>
      </w:r>
    </w:p>
    <w:tbl>
      <w:tblPr>
        <w:tblStyle w:val="26"/>
        <w:tblW w:w="10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55"/>
        <w:gridCol w:w="1261"/>
        <w:gridCol w:w="1404"/>
        <w:gridCol w:w="1180"/>
        <w:gridCol w:w="1231"/>
        <w:gridCol w:w="117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jc w:val="center"/>
              <w:rPr>
                <w:rFonts w:eastAsia="仿宋_GB2312"/>
                <w:b/>
                <w:bCs/>
                <w:szCs w:val="21"/>
              </w:rPr>
            </w:pPr>
            <w:r>
              <w:rPr>
                <w:rFonts w:hint="eastAsia" w:eastAsia="仿宋_GB2312"/>
                <w:b/>
                <w:bCs/>
                <w:szCs w:val="21"/>
              </w:rPr>
              <w:t>指标</w:t>
            </w:r>
          </w:p>
        </w:tc>
        <w:tc>
          <w:tcPr>
            <w:tcW w:w="1261" w:type="dxa"/>
            <w:vAlign w:val="center"/>
          </w:tcPr>
          <w:p>
            <w:pPr>
              <w:spacing w:line="400" w:lineRule="exact"/>
              <w:jc w:val="center"/>
              <w:rPr>
                <w:rFonts w:eastAsia="仿宋_GB2312"/>
                <w:b/>
                <w:bCs/>
                <w:szCs w:val="21"/>
              </w:rPr>
            </w:pPr>
            <w:r>
              <w:rPr>
                <w:rFonts w:eastAsia="仿宋_GB2312"/>
                <w:b/>
                <w:bCs/>
                <w:szCs w:val="21"/>
              </w:rPr>
              <w:t>2015</w:t>
            </w:r>
          </w:p>
        </w:tc>
        <w:tc>
          <w:tcPr>
            <w:tcW w:w="1404" w:type="dxa"/>
            <w:vAlign w:val="center"/>
          </w:tcPr>
          <w:p>
            <w:pPr>
              <w:spacing w:line="400" w:lineRule="exact"/>
              <w:jc w:val="center"/>
              <w:rPr>
                <w:rFonts w:eastAsia="仿宋_GB2312"/>
                <w:b/>
                <w:bCs/>
                <w:szCs w:val="21"/>
              </w:rPr>
            </w:pPr>
            <w:r>
              <w:rPr>
                <w:rFonts w:eastAsia="仿宋_GB2312"/>
                <w:b/>
                <w:bCs/>
                <w:szCs w:val="21"/>
              </w:rPr>
              <w:t>2020</w:t>
            </w:r>
            <w:r>
              <w:rPr>
                <w:rFonts w:hint="eastAsia" w:eastAsia="仿宋_GB2312"/>
                <w:b/>
                <w:bCs/>
                <w:szCs w:val="21"/>
              </w:rPr>
              <w:t>年（规划）</w:t>
            </w:r>
          </w:p>
        </w:tc>
        <w:tc>
          <w:tcPr>
            <w:tcW w:w="1180" w:type="dxa"/>
            <w:vAlign w:val="center"/>
          </w:tcPr>
          <w:p>
            <w:pPr>
              <w:spacing w:line="400" w:lineRule="exact"/>
              <w:jc w:val="center"/>
              <w:rPr>
                <w:rFonts w:eastAsia="仿宋_GB2312"/>
                <w:b/>
                <w:bCs/>
                <w:szCs w:val="21"/>
              </w:rPr>
            </w:pPr>
            <w:r>
              <w:rPr>
                <w:rFonts w:hint="eastAsia" w:eastAsia="仿宋_GB2312"/>
                <w:b/>
                <w:bCs/>
                <w:szCs w:val="21"/>
              </w:rPr>
              <w:t>年均增速（规划）</w:t>
            </w:r>
          </w:p>
        </w:tc>
        <w:tc>
          <w:tcPr>
            <w:tcW w:w="1231" w:type="dxa"/>
          </w:tcPr>
          <w:p>
            <w:pPr>
              <w:spacing w:line="400" w:lineRule="exact"/>
              <w:jc w:val="center"/>
              <w:rPr>
                <w:rFonts w:eastAsia="仿宋_GB2312"/>
                <w:b/>
                <w:bCs/>
                <w:szCs w:val="21"/>
              </w:rPr>
            </w:pPr>
            <w:r>
              <w:rPr>
                <w:rFonts w:eastAsia="仿宋_GB2312"/>
                <w:b/>
                <w:bCs/>
                <w:szCs w:val="21"/>
              </w:rPr>
              <w:t>2020</w:t>
            </w:r>
            <w:r>
              <w:rPr>
                <w:rFonts w:hint="eastAsia" w:eastAsia="仿宋_GB2312"/>
                <w:b/>
                <w:bCs/>
                <w:szCs w:val="21"/>
              </w:rPr>
              <w:t>年（实际）</w:t>
            </w:r>
          </w:p>
        </w:tc>
        <w:tc>
          <w:tcPr>
            <w:tcW w:w="1177" w:type="dxa"/>
          </w:tcPr>
          <w:p>
            <w:pPr>
              <w:spacing w:line="400" w:lineRule="exact"/>
              <w:jc w:val="center"/>
              <w:rPr>
                <w:rFonts w:eastAsia="仿宋_GB2312"/>
                <w:b/>
                <w:bCs/>
                <w:szCs w:val="21"/>
              </w:rPr>
            </w:pPr>
            <w:r>
              <w:rPr>
                <w:rFonts w:hint="eastAsia" w:eastAsia="仿宋_GB2312"/>
                <w:b/>
                <w:bCs/>
                <w:szCs w:val="21"/>
              </w:rPr>
              <w:t>年均增速（实际）</w:t>
            </w:r>
          </w:p>
        </w:tc>
        <w:tc>
          <w:tcPr>
            <w:tcW w:w="1177" w:type="dxa"/>
            <w:vAlign w:val="center"/>
          </w:tcPr>
          <w:p>
            <w:pPr>
              <w:spacing w:line="400" w:lineRule="exact"/>
              <w:jc w:val="center"/>
              <w:rPr>
                <w:rFonts w:eastAsia="仿宋_GB2312"/>
                <w:b/>
                <w:bCs/>
                <w:szCs w:val="21"/>
              </w:rPr>
            </w:pPr>
            <w:r>
              <w:rPr>
                <w:rFonts w:hint="eastAsia" w:eastAsia="仿宋_GB2312"/>
                <w:b/>
                <w:bCs/>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rPr>
                <w:rFonts w:eastAsia="仿宋_GB2312"/>
                <w:szCs w:val="21"/>
              </w:rPr>
            </w:pPr>
            <w:r>
              <w:rPr>
                <w:rFonts w:hint="eastAsia" w:eastAsia="仿宋_GB2312"/>
                <w:szCs w:val="21"/>
              </w:rPr>
              <w:t>一、工业经济规模指标（亿元）</w:t>
            </w:r>
          </w:p>
        </w:tc>
        <w:tc>
          <w:tcPr>
            <w:tcW w:w="1261" w:type="dxa"/>
            <w:vAlign w:val="center"/>
          </w:tcPr>
          <w:p>
            <w:pPr>
              <w:spacing w:line="400" w:lineRule="exact"/>
              <w:jc w:val="center"/>
              <w:rPr>
                <w:rFonts w:eastAsia="仿宋_GB2312"/>
                <w:szCs w:val="21"/>
              </w:rPr>
            </w:pPr>
          </w:p>
        </w:tc>
        <w:tc>
          <w:tcPr>
            <w:tcW w:w="1404" w:type="dxa"/>
            <w:vAlign w:val="center"/>
          </w:tcPr>
          <w:p>
            <w:pPr>
              <w:spacing w:line="400" w:lineRule="exact"/>
              <w:jc w:val="center"/>
              <w:rPr>
                <w:rFonts w:eastAsia="仿宋_GB2312"/>
                <w:szCs w:val="21"/>
              </w:rPr>
            </w:pPr>
          </w:p>
        </w:tc>
        <w:tc>
          <w:tcPr>
            <w:tcW w:w="1180" w:type="dxa"/>
          </w:tcPr>
          <w:p>
            <w:pPr>
              <w:spacing w:line="400" w:lineRule="exact"/>
              <w:jc w:val="center"/>
              <w:rPr>
                <w:rFonts w:eastAsia="仿宋_GB2312"/>
                <w:szCs w:val="21"/>
              </w:rPr>
            </w:pP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p>
        </w:tc>
        <w:tc>
          <w:tcPr>
            <w:tcW w:w="1177" w:type="dxa"/>
            <w:vAlign w:val="center"/>
          </w:tcPr>
          <w:p>
            <w:pPr>
              <w:spacing w:line="40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1.</w:t>
            </w:r>
            <w:r>
              <w:rPr>
                <w:rFonts w:hint="eastAsia" w:eastAsia="仿宋_GB2312"/>
                <w:szCs w:val="21"/>
              </w:rPr>
              <w:t>工业总产值</w:t>
            </w:r>
          </w:p>
        </w:tc>
        <w:tc>
          <w:tcPr>
            <w:tcW w:w="1261" w:type="dxa"/>
            <w:vAlign w:val="center"/>
          </w:tcPr>
          <w:p>
            <w:pPr>
              <w:spacing w:line="400" w:lineRule="exact"/>
              <w:jc w:val="center"/>
              <w:rPr>
                <w:rFonts w:eastAsia="仿宋_GB2312"/>
                <w:szCs w:val="21"/>
              </w:rPr>
            </w:pPr>
            <w:r>
              <w:rPr>
                <w:rFonts w:eastAsia="仿宋_GB2312"/>
                <w:szCs w:val="21"/>
              </w:rPr>
              <w:t>87.43</w:t>
            </w:r>
          </w:p>
        </w:tc>
        <w:tc>
          <w:tcPr>
            <w:tcW w:w="1404" w:type="dxa"/>
            <w:vAlign w:val="center"/>
          </w:tcPr>
          <w:p>
            <w:pPr>
              <w:spacing w:line="400" w:lineRule="exact"/>
              <w:jc w:val="center"/>
              <w:rPr>
                <w:rFonts w:eastAsia="仿宋_GB2312"/>
                <w:szCs w:val="21"/>
              </w:rPr>
            </w:pPr>
            <w:r>
              <w:rPr>
                <w:rFonts w:eastAsia="仿宋_GB2312"/>
                <w:szCs w:val="21"/>
              </w:rPr>
              <w:t>320</w:t>
            </w:r>
          </w:p>
        </w:tc>
        <w:tc>
          <w:tcPr>
            <w:tcW w:w="1180" w:type="dxa"/>
            <w:vAlign w:val="center"/>
          </w:tcPr>
          <w:p>
            <w:pPr>
              <w:spacing w:line="400" w:lineRule="exact"/>
              <w:jc w:val="center"/>
              <w:rPr>
                <w:rFonts w:eastAsia="仿宋_GB2312"/>
                <w:szCs w:val="21"/>
              </w:rPr>
            </w:pPr>
            <w:r>
              <w:rPr>
                <w:rFonts w:eastAsia="仿宋_GB2312"/>
                <w:szCs w:val="21"/>
              </w:rPr>
              <w:t>29.6</w:t>
            </w:r>
          </w:p>
        </w:tc>
        <w:tc>
          <w:tcPr>
            <w:tcW w:w="1231" w:type="dxa"/>
          </w:tcPr>
          <w:p>
            <w:pPr>
              <w:spacing w:line="400" w:lineRule="exact"/>
              <w:jc w:val="center"/>
              <w:rPr>
                <w:rFonts w:eastAsia="仿宋_GB2312"/>
                <w:szCs w:val="21"/>
              </w:rPr>
            </w:pPr>
            <w:r>
              <w:rPr>
                <w:rFonts w:hint="eastAsia" w:eastAsia="仿宋_GB2312"/>
                <w:szCs w:val="21"/>
              </w:rPr>
              <w:t>137</w:t>
            </w:r>
          </w:p>
        </w:tc>
        <w:tc>
          <w:tcPr>
            <w:tcW w:w="1177" w:type="dxa"/>
          </w:tcPr>
          <w:p>
            <w:pPr>
              <w:jc w:val="cente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2.</w:t>
            </w:r>
            <w:r>
              <w:rPr>
                <w:rFonts w:hint="eastAsia" w:eastAsia="仿宋_GB2312"/>
                <w:szCs w:val="21"/>
              </w:rPr>
              <w:t>工业增加值</w:t>
            </w:r>
          </w:p>
        </w:tc>
        <w:tc>
          <w:tcPr>
            <w:tcW w:w="1261" w:type="dxa"/>
            <w:vAlign w:val="center"/>
          </w:tcPr>
          <w:p>
            <w:pPr>
              <w:spacing w:line="400" w:lineRule="exact"/>
              <w:jc w:val="center"/>
              <w:rPr>
                <w:rFonts w:eastAsia="仿宋_GB2312"/>
                <w:szCs w:val="21"/>
              </w:rPr>
            </w:pPr>
            <w:r>
              <w:rPr>
                <w:rFonts w:eastAsia="仿宋_GB2312"/>
                <w:szCs w:val="21"/>
              </w:rPr>
              <w:t>28.01</w:t>
            </w:r>
          </w:p>
        </w:tc>
        <w:tc>
          <w:tcPr>
            <w:tcW w:w="1404" w:type="dxa"/>
            <w:vAlign w:val="center"/>
          </w:tcPr>
          <w:p>
            <w:pPr>
              <w:spacing w:line="400" w:lineRule="exact"/>
              <w:jc w:val="center"/>
              <w:rPr>
                <w:rFonts w:eastAsia="仿宋_GB2312"/>
                <w:szCs w:val="21"/>
              </w:rPr>
            </w:pPr>
            <w:r>
              <w:rPr>
                <w:rFonts w:eastAsia="仿宋_GB2312"/>
                <w:szCs w:val="21"/>
              </w:rPr>
              <w:t>90</w:t>
            </w:r>
          </w:p>
        </w:tc>
        <w:tc>
          <w:tcPr>
            <w:tcW w:w="1180" w:type="dxa"/>
            <w:vAlign w:val="center"/>
          </w:tcPr>
          <w:p>
            <w:pPr>
              <w:spacing w:line="400" w:lineRule="exact"/>
              <w:jc w:val="center"/>
              <w:rPr>
                <w:rFonts w:eastAsia="仿宋_GB2312"/>
                <w:szCs w:val="21"/>
              </w:rPr>
            </w:pPr>
            <w:r>
              <w:rPr>
                <w:rFonts w:eastAsia="仿宋_GB2312"/>
                <w:szCs w:val="21"/>
              </w:rPr>
              <w:t>26.3</w:t>
            </w:r>
          </w:p>
        </w:tc>
        <w:tc>
          <w:tcPr>
            <w:tcW w:w="1231" w:type="dxa"/>
          </w:tcPr>
          <w:p>
            <w:pPr>
              <w:spacing w:line="400" w:lineRule="exact"/>
              <w:jc w:val="center"/>
              <w:rPr>
                <w:rFonts w:eastAsia="仿宋_GB2312"/>
                <w:szCs w:val="21"/>
              </w:rPr>
            </w:pPr>
            <w:r>
              <w:rPr>
                <w:rFonts w:eastAsia="仿宋_GB2312"/>
                <w:szCs w:val="21"/>
              </w:rPr>
              <w:t>24.92</w:t>
            </w:r>
          </w:p>
        </w:tc>
        <w:tc>
          <w:tcPr>
            <w:tcW w:w="1177" w:type="dxa"/>
          </w:tcPr>
          <w:p>
            <w:pPr>
              <w:jc w:val="cente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3.</w:t>
            </w:r>
            <w:r>
              <w:rPr>
                <w:rFonts w:hint="eastAsia" w:eastAsia="仿宋_GB2312"/>
                <w:szCs w:val="21"/>
              </w:rPr>
              <w:t>工业固定资产投资</w:t>
            </w:r>
          </w:p>
        </w:tc>
        <w:tc>
          <w:tcPr>
            <w:tcW w:w="1261" w:type="dxa"/>
            <w:vAlign w:val="center"/>
          </w:tcPr>
          <w:p>
            <w:pPr>
              <w:spacing w:line="400" w:lineRule="exact"/>
              <w:jc w:val="center"/>
              <w:rPr>
                <w:rFonts w:eastAsia="仿宋_GB2312"/>
                <w:szCs w:val="21"/>
              </w:rPr>
            </w:pPr>
            <w:r>
              <w:rPr>
                <w:rFonts w:eastAsia="仿宋_GB2312"/>
                <w:szCs w:val="21"/>
              </w:rPr>
              <w:t>35.80</w:t>
            </w:r>
          </w:p>
        </w:tc>
        <w:tc>
          <w:tcPr>
            <w:tcW w:w="1404" w:type="dxa"/>
            <w:vAlign w:val="center"/>
          </w:tcPr>
          <w:p>
            <w:pPr>
              <w:spacing w:line="400" w:lineRule="exact"/>
              <w:jc w:val="center"/>
              <w:rPr>
                <w:rFonts w:eastAsia="仿宋_GB2312"/>
                <w:szCs w:val="21"/>
              </w:rPr>
            </w:pPr>
            <w:r>
              <w:rPr>
                <w:rFonts w:eastAsia="仿宋_GB2312"/>
                <w:szCs w:val="21"/>
              </w:rPr>
              <w:t>50</w:t>
            </w:r>
          </w:p>
        </w:tc>
        <w:tc>
          <w:tcPr>
            <w:tcW w:w="1180" w:type="dxa"/>
            <w:vAlign w:val="center"/>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29.8</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导向性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4.</w:t>
            </w:r>
            <w:r>
              <w:rPr>
                <w:rFonts w:hint="eastAsia" w:eastAsia="仿宋_GB2312"/>
                <w:szCs w:val="21"/>
              </w:rPr>
              <w:t>利润总额</w:t>
            </w:r>
          </w:p>
        </w:tc>
        <w:tc>
          <w:tcPr>
            <w:tcW w:w="1261" w:type="dxa"/>
            <w:vAlign w:val="center"/>
          </w:tcPr>
          <w:p>
            <w:pPr>
              <w:spacing w:line="400" w:lineRule="exact"/>
              <w:jc w:val="center"/>
              <w:rPr>
                <w:rFonts w:eastAsia="仿宋_GB2312"/>
                <w:szCs w:val="21"/>
              </w:rPr>
            </w:pPr>
            <w:r>
              <w:rPr>
                <w:rFonts w:eastAsia="仿宋_GB2312"/>
                <w:szCs w:val="21"/>
              </w:rPr>
              <w:t>12</w:t>
            </w:r>
          </w:p>
        </w:tc>
        <w:tc>
          <w:tcPr>
            <w:tcW w:w="1404" w:type="dxa"/>
            <w:vAlign w:val="center"/>
          </w:tcPr>
          <w:p>
            <w:pPr>
              <w:spacing w:line="400" w:lineRule="exact"/>
              <w:jc w:val="center"/>
              <w:rPr>
                <w:rFonts w:eastAsia="仿宋_GB2312"/>
                <w:szCs w:val="21"/>
              </w:rPr>
            </w:pPr>
            <w:r>
              <w:rPr>
                <w:rFonts w:eastAsia="仿宋_GB2312"/>
                <w:szCs w:val="21"/>
              </w:rPr>
              <w:t>40</w:t>
            </w:r>
          </w:p>
        </w:tc>
        <w:tc>
          <w:tcPr>
            <w:tcW w:w="1180" w:type="dxa"/>
          </w:tcPr>
          <w:p>
            <w:pPr>
              <w:spacing w:line="400" w:lineRule="exact"/>
              <w:jc w:val="center"/>
              <w:rPr>
                <w:rFonts w:eastAsia="仿宋_GB2312"/>
                <w:szCs w:val="21"/>
              </w:rPr>
            </w:pPr>
          </w:p>
        </w:tc>
        <w:tc>
          <w:tcPr>
            <w:tcW w:w="1231" w:type="dxa"/>
          </w:tcPr>
          <w:p>
            <w:pPr>
              <w:spacing w:line="400" w:lineRule="exact"/>
              <w:jc w:val="center"/>
              <w:rPr>
                <w:rFonts w:eastAsia="仿宋_GB2312"/>
                <w:szCs w:val="21"/>
              </w:rPr>
            </w:pPr>
            <w:r>
              <w:rPr>
                <w:rFonts w:eastAsia="仿宋_GB2312"/>
                <w:szCs w:val="21"/>
              </w:rPr>
              <w:t>4.17</w:t>
            </w:r>
          </w:p>
        </w:tc>
        <w:tc>
          <w:tcPr>
            <w:tcW w:w="1177" w:type="dxa"/>
          </w:tcPr>
          <w:p>
            <w:pPr>
              <w:spacing w:line="400" w:lineRule="exact"/>
              <w:jc w:val="center"/>
              <w:rPr>
                <w:rFonts w:eastAsia="仿宋_GB2312"/>
                <w:szCs w:val="21"/>
              </w:rPr>
            </w:pPr>
          </w:p>
        </w:tc>
        <w:tc>
          <w:tcPr>
            <w:tcW w:w="1177" w:type="dxa"/>
            <w:vAlign w:val="center"/>
          </w:tcPr>
          <w:p>
            <w:pPr>
              <w:spacing w:line="400" w:lineRule="exact"/>
              <w:jc w:val="center"/>
              <w:rPr>
                <w:rFonts w:eastAsia="仿宋_GB2312"/>
                <w:szCs w:val="21"/>
              </w:rPr>
            </w:pPr>
            <w:r>
              <w:rPr>
                <w:rFonts w:hint="eastAsia" w:eastAsia="仿宋_GB2312"/>
                <w:szCs w:val="21"/>
              </w:rPr>
              <w:t>导向性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rPr>
                <w:rFonts w:eastAsia="仿宋_GB2312"/>
                <w:szCs w:val="21"/>
              </w:rPr>
            </w:pPr>
            <w:r>
              <w:rPr>
                <w:rFonts w:hint="eastAsia" w:eastAsia="仿宋_GB2312"/>
                <w:szCs w:val="21"/>
              </w:rPr>
              <w:t>二、工业经济关联指标</w:t>
            </w:r>
          </w:p>
        </w:tc>
        <w:tc>
          <w:tcPr>
            <w:tcW w:w="1261" w:type="dxa"/>
            <w:vAlign w:val="center"/>
          </w:tcPr>
          <w:p>
            <w:pPr>
              <w:spacing w:line="400" w:lineRule="exact"/>
              <w:jc w:val="center"/>
              <w:rPr>
                <w:rFonts w:eastAsia="仿宋_GB2312"/>
                <w:szCs w:val="21"/>
              </w:rPr>
            </w:pPr>
          </w:p>
        </w:tc>
        <w:tc>
          <w:tcPr>
            <w:tcW w:w="1404" w:type="dxa"/>
            <w:vAlign w:val="center"/>
          </w:tcPr>
          <w:p>
            <w:pPr>
              <w:spacing w:line="400" w:lineRule="exact"/>
              <w:jc w:val="center"/>
              <w:rPr>
                <w:rFonts w:eastAsia="仿宋_GB2312"/>
                <w:szCs w:val="21"/>
              </w:rPr>
            </w:pPr>
          </w:p>
        </w:tc>
        <w:tc>
          <w:tcPr>
            <w:tcW w:w="1180" w:type="dxa"/>
          </w:tcPr>
          <w:p>
            <w:pPr>
              <w:spacing w:line="400" w:lineRule="exact"/>
              <w:jc w:val="center"/>
              <w:rPr>
                <w:rFonts w:eastAsia="仿宋_GB2312"/>
                <w:szCs w:val="21"/>
              </w:rPr>
            </w:pP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p>
        </w:tc>
        <w:tc>
          <w:tcPr>
            <w:tcW w:w="1177" w:type="dxa"/>
            <w:vAlign w:val="center"/>
          </w:tcPr>
          <w:p>
            <w:pPr>
              <w:spacing w:line="40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1.</w:t>
            </w:r>
            <w:r>
              <w:rPr>
                <w:rFonts w:hint="eastAsia" w:eastAsia="仿宋_GB2312"/>
                <w:szCs w:val="21"/>
              </w:rPr>
              <w:t>地区生产总值（亿元）</w:t>
            </w:r>
          </w:p>
        </w:tc>
        <w:tc>
          <w:tcPr>
            <w:tcW w:w="1261" w:type="dxa"/>
            <w:vAlign w:val="center"/>
          </w:tcPr>
          <w:p>
            <w:pPr>
              <w:spacing w:line="400" w:lineRule="exact"/>
              <w:jc w:val="center"/>
              <w:rPr>
                <w:rFonts w:eastAsia="仿宋_GB2312"/>
                <w:szCs w:val="21"/>
              </w:rPr>
            </w:pPr>
            <w:r>
              <w:rPr>
                <w:rFonts w:eastAsia="仿宋_GB2312"/>
                <w:szCs w:val="21"/>
              </w:rPr>
              <w:t>197.4</w:t>
            </w:r>
          </w:p>
        </w:tc>
        <w:tc>
          <w:tcPr>
            <w:tcW w:w="1404" w:type="dxa"/>
            <w:vAlign w:val="center"/>
          </w:tcPr>
          <w:p>
            <w:pPr>
              <w:spacing w:line="400" w:lineRule="exact"/>
              <w:jc w:val="center"/>
              <w:rPr>
                <w:rFonts w:eastAsia="仿宋_GB2312"/>
                <w:szCs w:val="21"/>
              </w:rPr>
            </w:pPr>
            <w:r>
              <w:rPr>
                <w:rFonts w:eastAsia="仿宋_GB2312"/>
                <w:szCs w:val="21"/>
              </w:rPr>
              <w:t>300</w:t>
            </w:r>
          </w:p>
        </w:tc>
        <w:tc>
          <w:tcPr>
            <w:tcW w:w="1180" w:type="dxa"/>
          </w:tcPr>
          <w:p>
            <w:pPr>
              <w:spacing w:line="400" w:lineRule="exact"/>
              <w:jc w:val="center"/>
              <w:rPr>
                <w:rFonts w:eastAsia="仿宋_GB2312"/>
                <w:szCs w:val="21"/>
              </w:rPr>
            </w:pPr>
            <w:r>
              <w:rPr>
                <w:rFonts w:eastAsia="仿宋_GB2312"/>
                <w:szCs w:val="21"/>
              </w:rPr>
              <w:t>11%</w:t>
            </w:r>
          </w:p>
        </w:tc>
        <w:tc>
          <w:tcPr>
            <w:tcW w:w="1231" w:type="dxa"/>
          </w:tcPr>
          <w:p>
            <w:pPr>
              <w:spacing w:line="400" w:lineRule="exact"/>
              <w:jc w:val="center"/>
              <w:rPr>
                <w:rFonts w:eastAsia="仿宋_GB2312"/>
                <w:szCs w:val="21"/>
              </w:rPr>
            </w:pPr>
            <w:r>
              <w:rPr>
                <w:rFonts w:eastAsia="仿宋_GB2312"/>
                <w:szCs w:val="21"/>
              </w:rPr>
              <w:t>323.14</w:t>
            </w:r>
          </w:p>
        </w:tc>
        <w:tc>
          <w:tcPr>
            <w:tcW w:w="1177" w:type="dxa"/>
          </w:tcPr>
          <w:p>
            <w:pPr>
              <w:spacing w:line="400" w:lineRule="exact"/>
              <w:jc w:val="center"/>
              <w:rPr>
                <w:rFonts w:eastAsia="仿宋_GB2312"/>
                <w:szCs w:val="21"/>
              </w:rPr>
            </w:pPr>
            <w:r>
              <w:rPr>
                <w:rFonts w:eastAsia="仿宋_GB2312"/>
                <w:szCs w:val="21"/>
              </w:rPr>
              <w:t>8.2</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2.</w:t>
            </w:r>
            <w:r>
              <w:rPr>
                <w:rFonts w:hint="eastAsia" w:eastAsia="仿宋_GB2312"/>
                <w:szCs w:val="21"/>
              </w:rPr>
              <w:t>三次产业结构比重（</w:t>
            </w:r>
            <w:r>
              <w:rPr>
                <w:rFonts w:eastAsia="仿宋_GB2312"/>
                <w:szCs w:val="21"/>
              </w:rPr>
              <w:t>%</w:t>
            </w:r>
            <w:r>
              <w:rPr>
                <w:rFonts w:hint="eastAsia" w:eastAsia="仿宋_GB2312"/>
                <w:szCs w:val="21"/>
              </w:rPr>
              <w:t>）</w:t>
            </w:r>
          </w:p>
        </w:tc>
        <w:tc>
          <w:tcPr>
            <w:tcW w:w="1261" w:type="dxa"/>
            <w:vAlign w:val="center"/>
          </w:tcPr>
          <w:p>
            <w:pPr>
              <w:spacing w:line="400" w:lineRule="exact"/>
              <w:jc w:val="center"/>
              <w:rPr>
                <w:rFonts w:eastAsia="仿宋_GB2312"/>
                <w:szCs w:val="21"/>
              </w:rPr>
            </w:pPr>
            <w:r>
              <w:rPr>
                <w:rFonts w:eastAsia="仿宋_GB2312"/>
                <w:szCs w:val="21"/>
              </w:rPr>
              <w:t>18.2:39.1:42.7</w:t>
            </w:r>
          </w:p>
        </w:tc>
        <w:tc>
          <w:tcPr>
            <w:tcW w:w="1404" w:type="dxa"/>
            <w:vAlign w:val="center"/>
          </w:tcPr>
          <w:p>
            <w:pPr>
              <w:spacing w:line="400" w:lineRule="exact"/>
              <w:jc w:val="center"/>
              <w:rPr>
                <w:rFonts w:eastAsia="仿宋_GB2312"/>
                <w:szCs w:val="21"/>
              </w:rPr>
            </w:pPr>
            <w:r>
              <w:rPr>
                <w:rFonts w:eastAsia="仿宋_GB2312"/>
                <w:szCs w:val="21"/>
              </w:rPr>
              <w:t xml:space="preserve">12.4:38.5:49.1  </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18.1:38.5:43.4</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导向性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3.</w:t>
            </w:r>
            <w:r>
              <w:rPr>
                <w:rFonts w:hint="eastAsia" w:eastAsia="仿宋_GB2312"/>
                <w:szCs w:val="21"/>
              </w:rPr>
              <w:t>工业增加值占</w:t>
            </w:r>
            <w:r>
              <w:rPr>
                <w:rFonts w:eastAsia="仿宋_GB2312"/>
                <w:szCs w:val="21"/>
              </w:rPr>
              <w:t>GDP</w:t>
            </w:r>
            <w:r>
              <w:rPr>
                <w:rFonts w:hint="eastAsia" w:eastAsia="仿宋_GB2312"/>
                <w:szCs w:val="21"/>
              </w:rPr>
              <w:t>比重（</w:t>
            </w:r>
            <w:r>
              <w:rPr>
                <w:rFonts w:eastAsia="仿宋_GB2312"/>
                <w:szCs w:val="21"/>
              </w:rPr>
              <w:t>%</w:t>
            </w:r>
            <w:r>
              <w:rPr>
                <w:rFonts w:hint="eastAsia" w:eastAsia="仿宋_GB2312"/>
                <w:szCs w:val="21"/>
              </w:rPr>
              <w:t>）</w:t>
            </w:r>
          </w:p>
        </w:tc>
        <w:tc>
          <w:tcPr>
            <w:tcW w:w="1261" w:type="dxa"/>
            <w:vAlign w:val="center"/>
          </w:tcPr>
          <w:p>
            <w:pPr>
              <w:spacing w:line="400" w:lineRule="exact"/>
              <w:jc w:val="center"/>
              <w:rPr>
                <w:rFonts w:eastAsia="仿宋_GB2312"/>
                <w:szCs w:val="21"/>
              </w:rPr>
            </w:pPr>
            <w:r>
              <w:rPr>
                <w:rFonts w:eastAsia="仿宋_GB2312"/>
                <w:szCs w:val="21"/>
              </w:rPr>
              <w:t>14.2</w:t>
            </w:r>
          </w:p>
        </w:tc>
        <w:tc>
          <w:tcPr>
            <w:tcW w:w="1404" w:type="dxa"/>
            <w:vAlign w:val="center"/>
          </w:tcPr>
          <w:p>
            <w:pPr>
              <w:spacing w:line="400" w:lineRule="exact"/>
              <w:jc w:val="center"/>
              <w:rPr>
                <w:rFonts w:eastAsia="仿宋_GB2312"/>
                <w:szCs w:val="21"/>
              </w:rPr>
            </w:pPr>
            <w:r>
              <w:rPr>
                <w:rFonts w:eastAsia="仿宋_GB2312"/>
                <w:szCs w:val="21"/>
              </w:rPr>
              <w:t>30</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7.7</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4.</w:t>
            </w:r>
            <w:r>
              <w:rPr>
                <w:rFonts w:hint="eastAsia" w:eastAsia="仿宋_GB2312"/>
                <w:szCs w:val="21"/>
              </w:rPr>
              <w:t>规模以上工业企业户数（个）</w:t>
            </w:r>
          </w:p>
        </w:tc>
        <w:tc>
          <w:tcPr>
            <w:tcW w:w="1261" w:type="dxa"/>
            <w:vAlign w:val="center"/>
          </w:tcPr>
          <w:p>
            <w:pPr>
              <w:spacing w:line="400" w:lineRule="exact"/>
              <w:jc w:val="center"/>
              <w:rPr>
                <w:rFonts w:eastAsia="仿宋_GB2312"/>
                <w:szCs w:val="21"/>
              </w:rPr>
            </w:pPr>
            <w:r>
              <w:rPr>
                <w:rFonts w:eastAsia="仿宋_GB2312"/>
                <w:szCs w:val="21"/>
              </w:rPr>
              <w:t>36</w:t>
            </w:r>
          </w:p>
        </w:tc>
        <w:tc>
          <w:tcPr>
            <w:tcW w:w="1404" w:type="dxa"/>
            <w:vAlign w:val="center"/>
          </w:tcPr>
          <w:p>
            <w:pPr>
              <w:spacing w:line="400" w:lineRule="exact"/>
              <w:jc w:val="center"/>
              <w:rPr>
                <w:rFonts w:eastAsia="仿宋_GB2312"/>
                <w:szCs w:val="21"/>
              </w:rPr>
            </w:pPr>
            <w:r>
              <w:rPr>
                <w:rFonts w:eastAsia="仿宋_GB2312"/>
                <w:szCs w:val="21"/>
              </w:rPr>
              <w:t>100</w:t>
            </w:r>
          </w:p>
        </w:tc>
        <w:tc>
          <w:tcPr>
            <w:tcW w:w="1180" w:type="dxa"/>
            <w:vAlign w:val="center"/>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61</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rPr>
                <w:rFonts w:eastAsia="仿宋_GB2312"/>
                <w:szCs w:val="21"/>
              </w:rPr>
            </w:pPr>
            <w:r>
              <w:rPr>
                <w:rFonts w:hint="eastAsia" w:eastAsia="仿宋_GB2312"/>
                <w:szCs w:val="21"/>
              </w:rPr>
              <w:t>三、工业经济质量效益指标</w:t>
            </w:r>
          </w:p>
        </w:tc>
        <w:tc>
          <w:tcPr>
            <w:tcW w:w="1261" w:type="dxa"/>
            <w:vAlign w:val="center"/>
          </w:tcPr>
          <w:p>
            <w:pPr>
              <w:spacing w:line="400" w:lineRule="exact"/>
              <w:jc w:val="center"/>
              <w:rPr>
                <w:rFonts w:eastAsia="仿宋_GB2312"/>
                <w:szCs w:val="21"/>
              </w:rPr>
            </w:pPr>
          </w:p>
        </w:tc>
        <w:tc>
          <w:tcPr>
            <w:tcW w:w="1404" w:type="dxa"/>
            <w:vAlign w:val="center"/>
          </w:tcPr>
          <w:p>
            <w:pPr>
              <w:spacing w:line="400" w:lineRule="exact"/>
              <w:jc w:val="center"/>
              <w:rPr>
                <w:rFonts w:eastAsia="仿宋_GB2312"/>
                <w:szCs w:val="21"/>
              </w:rPr>
            </w:pPr>
          </w:p>
        </w:tc>
        <w:tc>
          <w:tcPr>
            <w:tcW w:w="1180" w:type="dxa"/>
          </w:tcPr>
          <w:p>
            <w:pPr>
              <w:spacing w:line="400" w:lineRule="exact"/>
              <w:jc w:val="center"/>
              <w:rPr>
                <w:rFonts w:eastAsia="仿宋_GB2312"/>
                <w:szCs w:val="21"/>
              </w:rPr>
            </w:pP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p>
        </w:tc>
        <w:tc>
          <w:tcPr>
            <w:tcW w:w="1177" w:type="dxa"/>
            <w:vAlign w:val="center"/>
          </w:tcPr>
          <w:p>
            <w:pPr>
              <w:spacing w:line="400" w:lineRule="exact"/>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1</w:t>
            </w:r>
            <w:r>
              <w:rPr>
                <w:rFonts w:hint="eastAsia" w:eastAsia="仿宋_GB2312"/>
                <w:szCs w:val="21"/>
              </w:rPr>
              <w:t>、全员劳动生产率（万元</w:t>
            </w:r>
            <w:r>
              <w:rPr>
                <w:rFonts w:eastAsia="仿宋_GB2312"/>
                <w:szCs w:val="21"/>
              </w:rPr>
              <w:t>/</w:t>
            </w:r>
            <w:r>
              <w:rPr>
                <w:rFonts w:hint="eastAsia" w:eastAsia="仿宋_GB2312"/>
                <w:szCs w:val="21"/>
              </w:rPr>
              <w:t>人</w:t>
            </w:r>
            <w:r>
              <w:rPr>
                <w:rFonts w:eastAsia="仿宋_GB2312"/>
                <w:szCs w:val="21"/>
              </w:rPr>
              <w:t>.</w:t>
            </w:r>
            <w:r>
              <w:rPr>
                <w:rFonts w:hint="eastAsia" w:eastAsia="仿宋_GB2312"/>
                <w:szCs w:val="21"/>
              </w:rPr>
              <w:t>年）</w:t>
            </w:r>
          </w:p>
        </w:tc>
        <w:tc>
          <w:tcPr>
            <w:tcW w:w="1261" w:type="dxa"/>
            <w:vAlign w:val="center"/>
          </w:tcPr>
          <w:p>
            <w:pPr>
              <w:spacing w:line="400" w:lineRule="exact"/>
              <w:jc w:val="center"/>
              <w:rPr>
                <w:rFonts w:eastAsia="仿宋_GB2312"/>
                <w:szCs w:val="21"/>
              </w:rPr>
            </w:pPr>
            <w:r>
              <w:rPr>
                <w:rFonts w:eastAsia="仿宋_GB2312"/>
                <w:szCs w:val="21"/>
              </w:rPr>
              <w:t>7.0</w:t>
            </w:r>
          </w:p>
        </w:tc>
        <w:tc>
          <w:tcPr>
            <w:tcW w:w="1404" w:type="dxa"/>
            <w:vAlign w:val="center"/>
          </w:tcPr>
          <w:p>
            <w:pPr>
              <w:spacing w:line="400" w:lineRule="exact"/>
              <w:jc w:val="center"/>
              <w:rPr>
                <w:rFonts w:eastAsia="仿宋_GB2312"/>
                <w:szCs w:val="21"/>
              </w:rPr>
            </w:pPr>
            <w:r>
              <w:rPr>
                <w:rFonts w:eastAsia="仿宋_GB2312"/>
                <w:szCs w:val="21"/>
              </w:rPr>
              <w:t>10.0</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31</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left="420" w:leftChars="100" w:hanging="210" w:hangingChars="100"/>
              <w:rPr>
                <w:rFonts w:eastAsia="仿宋_GB2312"/>
                <w:szCs w:val="21"/>
              </w:rPr>
            </w:pPr>
            <w:r>
              <w:rPr>
                <w:rFonts w:eastAsia="仿宋_GB2312"/>
                <w:szCs w:val="21"/>
              </w:rPr>
              <w:t>2</w:t>
            </w:r>
            <w:r>
              <w:rPr>
                <w:rFonts w:hint="eastAsia" w:eastAsia="仿宋_GB2312"/>
                <w:szCs w:val="21"/>
              </w:rPr>
              <w:t>、万元工业增加值能耗（吨标煤</w:t>
            </w:r>
            <w:r>
              <w:rPr>
                <w:rFonts w:eastAsia="仿宋_GB2312"/>
                <w:szCs w:val="21"/>
              </w:rPr>
              <w:t>/</w:t>
            </w:r>
            <w:r>
              <w:rPr>
                <w:rFonts w:hint="eastAsia" w:eastAsia="仿宋_GB2312"/>
                <w:szCs w:val="21"/>
              </w:rPr>
              <w:t>万元）</w:t>
            </w:r>
          </w:p>
        </w:tc>
        <w:tc>
          <w:tcPr>
            <w:tcW w:w="1261" w:type="dxa"/>
            <w:vAlign w:val="center"/>
          </w:tcPr>
          <w:p>
            <w:pPr>
              <w:spacing w:line="400" w:lineRule="exact"/>
              <w:jc w:val="center"/>
              <w:rPr>
                <w:rFonts w:eastAsia="仿宋_GB2312"/>
                <w:szCs w:val="21"/>
              </w:rPr>
            </w:pPr>
            <w:r>
              <w:rPr>
                <w:rFonts w:eastAsia="仿宋_GB2312"/>
                <w:szCs w:val="21"/>
              </w:rPr>
              <w:t>0.58</w:t>
            </w:r>
          </w:p>
        </w:tc>
        <w:tc>
          <w:tcPr>
            <w:tcW w:w="1404" w:type="dxa"/>
            <w:vAlign w:val="center"/>
          </w:tcPr>
          <w:p>
            <w:pPr>
              <w:spacing w:line="400" w:lineRule="exact"/>
              <w:jc w:val="center"/>
              <w:rPr>
                <w:rFonts w:eastAsia="仿宋_GB2312"/>
                <w:szCs w:val="21"/>
              </w:rPr>
            </w:pPr>
            <w:r>
              <w:rPr>
                <w:rFonts w:eastAsia="仿宋_GB2312"/>
                <w:szCs w:val="21"/>
              </w:rPr>
              <w:t>0.54</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r>
              <w:rPr>
                <w:rFonts w:eastAsia="仿宋_GB2312"/>
                <w:szCs w:val="21"/>
              </w:rPr>
              <w:t>0.36</w:t>
            </w: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3</w:t>
            </w:r>
            <w:r>
              <w:rPr>
                <w:rFonts w:hint="eastAsia" w:eastAsia="仿宋_GB2312"/>
                <w:szCs w:val="21"/>
              </w:rPr>
              <w:t>、二氧化硫排放达标率（</w:t>
            </w:r>
            <w:r>
              <w:rPr>
                <w:rFonts w:eastAsia="仿宋_GB2312"/>
                <w:szCs w:val="21"/>
              </w:rPr>
              <w:t>%</w:t>
            </w:r>
            <w:r>
              <w:rPr>
                <w:rFonts w:hint="eastAsia" w:eastAsia="仿宋_GB2312"/>
                <w:szCs w:val="21"/>
              </w:rPr>
              <w:t>）</w:t>
            </w:r>
          </w:p>
        </w:tc>
        <w:tc>
          <w:tcPr>
            <w:tcW w:w="1261" w:type="dxa"/>
            <w:vAlign w:val="center"/>
          </w:tcPr>
          <w:p>
            <w:pPr>
              <w:spacing w:line="400" w:lineRule="exact"/>
              <w:jc w:val="center"/>
              <w:rPr>
                <w:rFonts w:eastAsia="仿宋_GB2312"/>
                <w:szCs w:val="21"/>
              </w:rPr>
            </w:pPr>
            <w:r>
              <w:rPr>
                <w:rFonts w:eastAsia="仿宋_GB2312"/>
                <w:szCs w:val="21"/>
              </w:rPr>
              <w:t>95</w:t>
            </w:r>
          </w:p>
        </w:tc>
        <w:tc>
          <w:tcPr>
            <w:tcW w:w="1404" w:type="dxa"/>
            <w:vAlign w:val="center"/>
          </w:tcPr>
          <w:p>
            <w:pPr>
              <w:spacing w:line="400" w:lineRule="exact"/>
              <w:jc w:val="center"/>
              <w:rPr>
                <w:rFonts w:eastAsia="仿宋_GB2312"/>
                <w:szCs w:val="21"/>
              </w:rPr>
            </w:pPr>
            <w:r>
              <w:rPr>
                <w:rFonts w:eastAsia="仿宋_GB2312"/>
                <w:szCs w:val="21"/>
              </w:rPr>
              <w:t>99</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4</w:t>
            </w:r>
            <w:r>
              <w:rPr>
                <w:rFonts w:hint="eastAsia" w:eastAsia="仿宋_GB2312"/>
                <w:szCs w:val="21"/>
              </w:rPr>
              <w:t>、工业固废处置利用率（</w:t>
            </w:r>
            <w:r>
              <w:rPr>
                <w:rFonts w:eastAsia="仿宋_GB2312"/>
                <w:szCs w:val="21"/>
              </w:rPr>
              <w:t>%</w:t>
            </w:r>
            <w:r>
              <w:rPr>
                <w:rFonts w:hint="eastAsia" w:eastAsia="仿宋_GB2312"/>
                <w:szCs w:val="21"/>
              </w:rPr>
              <w:t>）</w:t>
            </w:r>
          </w:p>
        </w:tc>
        <w:tc>
          <w:tcPr>
            <w:tcW w:w="1261" w:type="dxa"/>
            <w:vAlign w:val="center"/>
          </w:tcPr>
          <w:p>
            <w:pPr>
              <w:spacing w:line="400" w:lineRule="exact"/>
              <w:jc w:val="center"/>
              <w:rPr>
                <w:rFonts w:eastAsia="仿宋_GB2312"/>
                <w:szCs w:val="21"/>
              </w:rPr>
            </w:pPr>
            <w:r>
              <w:rPr>
                <w:rFonts w:eastAsia="仿宋_GB2312"/>
                <w:szCs w:val="21"/>
              </w:rPr>
              <w:t>90</w:t>
            </w:r>
          </w:p>
        </w:tc>
        <w:tc>
          <w:tcPr>
            <w:tcW w:w="1404" w:type="dxa"/>
            <w:vAlign w:val="center"/>
          </w:tcPr>
          <w:p>
            <w:pPr>
              <w:spacing w:line="400" w:lineRule="exact"/>
              <w:jc w:val="center"/>
              <w:rPr>
                <w:rFonts w:eastAsia="仿宋_GB2312"/>
                <w:szCs w:val="21"/>
              </w:rPr>
            </w:pPr>
            <w:r>
              <w:rPr>
                <w:rFonts w:eastAsia="仿宋_GB2312"/>
                <w:szCs w:val="21"/>
              </w:rPr>
              <w:t>95</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3255" w:type="dxa"/>
            <w:vAlign w:val="center"/>
          </w:tcPr>
          <w:p>
            <w:pPr>
              <w:spacing w:line="400" w:lineRule="exact"/>
              <w:ind w:firstLine="210" w:firstLineChars="100"/>
              <w:rPr>
                <w:rFonts w:eastAsia="仿宋_GB2312"/>
                <w:szCs w:val="21"/>
              </w:rPr>
            </w:pPr>
            <w:r>
              <w:rPr>
                <w:rFonts w:eastAsia="仿宋_GB2312"/>
                <w:szCs w:val="21"/>
              </w:rPr>
              <w:t>5</w:t>
            </w:r>
            <w:r>
              <w:rPr>
                <w:rFonts w:hint="eastAsia" w:eastAsia="仿宋_GB2312"/>
                <w:szCs w:val="21"/>
              </w:rPr>
              <w:t>、工业废水排放达标率（</w:t>
            </w:r>
            <w:r>
              <w:rPr>
                <w:rFonts w:eastAsia="仿宋_GB2312"/>
                <w:szCs w:val="21"/>
              </w:rPr>
              <w:t>%</w:t>
            </w:r>
            <w:r>
              <w:rPr>
                <w:rFonts w:hint="eastAsia" w:eastAsia="仿宋_GB2312"/>
                <w:szCs w:val="21"/>
              </w:rPr>
              <w:t>）</w:t>
            </w:r>
          </w:p>
        </w:tc>
        <w:tc>
          <w:tcPr>
            <w:tcW w:w="1261" w:type="dxa"/>
            <w:vAlign w:val="center"/>
          </w:tcPr>
          <w:p>
            <w:pPr>
              <w:spacing w:line="400" w:lineRule="exact"/>
              <w:jc w:val="center"/>
              <w:rPr>
                <w:rFonts w:eastAsia="仿宋_GB2312"/>
                <w:szCs w:val="21"/>
              </w:rPr>
            </w:pPr>
            <w:r>
              <w:rPr>
                <w:rFonts w:eastAsia="仿宋_GB2312"/>
                <w:szCs w:val="21"/>
              </w:rPr>
              <w:t>90</w:t>
            </w:r>
          </w:p>
        </w:tc>
        <w:tc>
          <w:tcPr>
            <w:tcW w:w="1404" w:type="dxa"/>
            <w:vAlign w:val="center"/>
          </w:tcPr>
          <w:p>
            <w:pPr>
              <w:spacing w:line="400" w:lineRule="exact"/>
              <w:jc w:val="center"/>
              <w:rPr>
                <w:rFonts w:eastAsia="仿宋_GB2312"/>
                <w:szCs w:val="21"/>
              </w:rPr>
            </w:pPr>
            <w:r>
              <w:rPr>
                <w:rFonts w:eastAsia="仿宋_GB2312"/>
                <w:szCs w:val="21"/>
              </w:rPr>
              <w:t>99</w:t>
            </w:r>
          </w:p>
        </w:tc>
        <w:tc>
          <w:tcPr>
            <w:tcW w:w="1180" w:type="dxa"/>
          </w:tcPr>
          <w:p>
            <w:pPr>
              <w:spacing w:line="400" w:lineRule="exact"/>
              <w:jc w:val="center"/>
              <w:rPr>
                <w:rFonts w:eastAsia="仿宋_GB2312"/>
                <w:szCs w:val="21"/>
              </w:rPr>
            </w:pPr>
            <w:r>
              <w:rPr>
                <w:rFonts w:eastAsia="仿宋_GB2312"/>
                <w:szCs w:val="21"/>
              </w:rPr>
              <w:t>——</w:t>
            </w:r>
          </w:p>
        </w:tc>
        <w:tc>
          <w:tcPr>
            <w:tcW w:w="1231" w:type="dxa"/>
          </w:tcPr>
          <w:p>
            <w:pPr>
              <w:spacing w:line="400" w:lineRule="exact"/>
              <w:jc w:val="center"/>
              <w:rPr>
                <w:rFonts w:eastAsia="仿宋_GB2312"/>
                <w:szCs w:val="21"/>
              </w:rPr>
            </w:pPr>
          </w:p>
        </w:tc>
        <w:tc>
          <w:tcPr>
            <w:tcW w:w="1177" w:type="dxa"/>
          </w:tcPr>
          <w:p>
            <w:pPr>
              <w:spacing w:line="400" w:lineRule="exact"/>
              <w:jc w:val="center"/>
              <w:rPr>
                <w:rFonts w:eastAsia="仿宋_GB2312"/>
                <w:szCs w:val="21"/>
              </w:rPr>
            </w:pPr>
            <w:r>
              <w:rPr>
                <w:rFonts w:eastAsia="仿宋_GB2312"/>
                <w:szCs w:val="21"/>
              </w:rPr>
              <w:t>——</w:t>
            </w:r>
          </w:p>
        </w:tc>
        <w:tc>
          <w:tcPr>
            <w:tcW w:w="1177" w:type="dxa"/>
            <w:vAlign w:val="center"/>
          </w:tcPr>
          <w:p>
            <w:pPr>
              <w:spacing w:line="400" w:lineRule="exact"/>
              <w:jc w:val="center"/>
              <w:rPr>
                <w:rFonts w:eastAsia="仿宋_GB2312"/>
                <w:szCs w:val="21"/>
              </w:rPr>
            </w:pPr>
            <w:r>
              <w:rPr>
                <w:rFonts w:hint="eastAsia" w:eastAsia="仿宋_GB2312"/>
                <w:szCs w:val="21"/>
              </w:rPr>
              <w:t>约束性</w:t>
            </w:r>
          </w:p>
        </w:tc>
      </w:tr>
    </w:tbl>
    <w:p>
      <w:pPr>
        <w:pStyle w:val="5"/>
        <w:spacing w:before="156" w:beforeLines="50" w:after="156" w:afterLines="50" w:line="360" w:lineRule="auto"/>
        <w:jc w:val="center"/>
        <w:rPr>
          <w:rFonts w:ascii="Times New Roman" w:hAnsi="Times New Roman" w:eastAsia="楷体_GB2312"/>
        </w:rPr>
      </w:pPr>
      <w:bookmarkStart w:id="18" w:name="_Toc57368029"/>
      <w:bookmarkStart w:id="19" w:name="_Toc103805219"/>
      <w:bookmarkStart w:id="20" w:name="_Toc89087806"/>
      <w:r>
        <w:rPr>
          <w:rFonts w:hint="eastAsia" w:ascii="Times New Roman" w:hAnsi="Times New Roman" w:eastAsia="楷体_GB2312"/>
        </w:rPr>
        <w:t>第二节</w:t>
      </w:r>
      <w:r>
        <w:rPr>
          <w:rFonts w:ascii="Times New Roman" w:hAnsi="Times New Roman" w:eastAsia="楷体_GB2312"/>
        </w:rPr>
        <w:t xml:space="preserve"> </w:t>
      </w:r>
      <w:r>
        <w:rPr>
          <w:rFonts w:hint="eastAsia" w:ascii="Times New Roman" w:hAnsi="Times New Roman" w:eastAsia="楷体_GB2312"/>
        </w:rPr>
        <w:t>存在问题</w:t>
      </w:r>
      <w:bookmarkEnd w:id="18"/>
      <w:bookmarkEnd w:id="19"/>
      <w:bookmarkEnd w:id="20"/>
    </w:p>
    <w:p>
      <w:pPr>
        <w:pStyle w:val="12"/>
        <w:ind w:firstLine="643"/>
      </w:pPr>
      <w:bookmarkStart w:id="21" w:name="_Toc57368030"/>
      <w:bookmarkStart w:id="22" w:name="_Toc89087807"/>
      <w:r>
        <w:rPr>
          <w:rFonts w:hint="eastAsia"/>
          <w:b/>
        </w:rPr>
        <w:t>工业总体实力不强</w:t>
      </w:r>
      <w:bookmarkEnd w:id="21"/>
      <w:bookmarkEnd w:id="22"/>
      <w:r>
        <w:rPr>
          <w:rFonts w:hint="eastAsia"/>
          <w:b/>
        </w:rPr>
        <w:t>。</w:t>
      </w:r>
      <w:r>
        <w:rPr>
          <w:rFonts w:hint="eastAsia"/>
        </w:rPr>
        <w:t>工业起步晚、体量较小、对经济贡献率低，未能在经济结构中占支撑地位。</w:t>
      </w:r>
      <w:r>
        <w:t>2016-2020</w:t>
      </w:r>
      <w:r>
        <w:rPr>
          <w:rFonts w:hint="eastAsia"/>
        </w:rPr>
        <w:t>年，工业增加值占地区生产总值的比例平均为</w:t>
      </w:r>
      <w:r>
        <w:t>10.43%</w:t>
      </w:r>
      <w:r>
        <w:rPr>
          <w:rFonts w:hint="eastAsia"/>
        </w:rPr>
        <w:t>，且占比连续下降，</w:t>
      </w:r>
      <w:r>
        <w:t>2020</w:t>
      </w:r>
      <w:r>
        <w:rPr>
          <w:rFonts w:hint="eastAsia"/>
        </w:rPr>
        <w:t>年仅为</w:t>
      </w:r>
      <w:r>
        <w:t>7.7%</w:t>
      </w:r>
      <w:r>
        <w:rPr>
          <w:rFonts w:hint="eastAsia"/>
        </w:rPr>
        <w:t>，低于云阳（</w:t>
      </w:r>
      <w:r>
        <w:t>18.95%</w:t>
      </w:r>
      <w:r>
        <w:rPr>
          <w:rFonts w:hint="eastAsia"/>
        </w:rPr>
        <w:t>）等周边地区水平，也低于重庆市</w:t>
      </w:r>
      <w:r>
        <w:t>28.2%</w:t>
      </w:r>
      <w:r>
        <w:rPr>
          <w:rFonts w:hint="eastAsia"/>
        </w:rPr>
        <w:t>的水平。工业投资绝对值和占比波动下降，</w:t>
      </w:r>
      <w:r>
        <w:t>2016-2020</w:t>
      </w:r>
      <w:r>
        <w:rPr>
          <w:rFonts w:hint="eastAsia"/>
        </w:rPr>
        <w:t>年，全县工业投资累计实现</w:t>
      </w:r>
      <w:r>
        <w:t>182.2</w:t>
      </w:r>
      <w:r>
        <w:rPr>
          <w:rFonts w:hint="eastAsia"/>
        </w:rPr>
        <w:t>亿元，占固定资产投资比重仅有</w:t>
      </w:r>
      <w:r>
        <w:t>16.89%</w:t>
      </w:r>
      <w:r>
        <w:rPr>
          <w:rFonts w:hint="eastAsia"/>
        </w:rPr>
        <w:t>。工业对社会经济贡献较低，</w:t>
      </w:r>
      <w:r>
        <w:t>2020</w:t>
      </w:r>
      <w:r>
        <w:rPr>
          <w:rFonts w:hint="eastAsia"/>
        </w:rPr>
        <w:t>年全县工业税收占税收总额比例低于</w:t>
      </w:r>
      <w:r>
        <w:t>10%</w:t>
      </w:r>
      <w:r>
        <w:rPr>
          <w:rFonts w:hint="eastAsia"/>
        </w:rPr>
        <w:t>。</w:t>
      </w:r>
    </w:p>
    <w:p>
      <w:pPr>
        <w:pStyle w:val="12"/>
        <w:ind w:firstLine="643"/>
        <w:rPr>
          <w:szCs w:val="30"/>
        </w:rPr>
      </w:pPr>
      <w:bookmarkStart w:id="23" w:name="_Toc89087809"/>
      <w:bookmarkStart w:id="24" w:name="_Toc57368032"/>
      <w:r>
        <w:rPr>
          <w:rFonts w:hint="eastAsia"/>
          <w:b/>
        </w:rPr>
        <w:t>园区建设</w:t>
      </w:r>
      <w:bookmarkEnd w:id="23"/>
      <w:bookmarkEnd w:id="24"/>
      <w:r>
        <w:rPr>
          <w:rFonts w:hint="eastAsia"/>
          <w:b/>
        </w:rPr>
        <w:t>亟需加快。</w:t>
      </w:r>
      <w:r>
        <w:rPr>
          <w:rFonts w:hint="eastAsia"/>
          <w:szCs w:val="30"/>
        </w:rPr>
        <w:t>到</w:t>
      </w:r>
      <w:r>
        <w:rPr>
          <w:szCs w:val="30"/>
        </w:rPr>
        <w:t>“</w:t>
      </w:r>
      <w:r>
        <w:rPr>
          <w:rFonts w:hint="eastAsia"/>
          <w:szCs w:val="30"/>
        </w:rPr>
        <w:t>十三五</w:t>
      </w:r>
      <w:r>
        <w:rPr>
          <w:szCs w:val="30"/>
        </w:rPr>
        <w:t>”</w:t>
      </w:r>
      <w:r>
        <w:rPr>
          <w:rFonts w:hint="eastAsia"/>
          <w:szCs w:val="30"/>
        </w:rPr>
        <w:t>末期，奉节县生态工业园建设滞后于规划进度，康乐组团基础设施建设未实质性启动，场景、道路、</w:t>
      </w:r>
      <w:r>
        <w:rPr>
          <w:rFonts w:hint="eastAsia"/>
        </w:rPr>
        <w:t>供电、供水、燃气、通信保障等存在一定不足，</w:t>
      </w:r>
      <w:r>
        <w:rPr>
          <w:rFonts w:hint="eastAsia"/>
          <w:szCs w:val="30"/>
        </w:rPr>
        <w:t>配套设施建设缓慢，一定程度上影响项目落地。</w:t>
      </w:r>
      <w:bookmarkStart w:id="25" w:name="_Toc89087810"/>
      <w:bookmarkStart w:id="26" w:name="_Toc57368033"/>
      <w:r>
        <w:rPr>
          <w:rFonts w:hint="eastAsia"/>
        </w:rPr>
        <w:t>园区集聚尚需加强，</w:t>
      </w:r>
      <w:r>
        <w:rPr>
          <w:rFonts w:hint="eastAsia"/>
          <w:szCs w:val="30"/>
        </w:rPr>
        <w:t>全县工业经济布局分散，除现有工业园区</w:t>
      </w:r>
      <w:r>
        <w:rPr>
          <w:szCs w:val="30"/>
        </w:rPr>
        <w:t>36</w:t>
      </w:r>
      <w:r>
        <w:rPr>
          <w:rFonts w:hint="eastAsia"/>
          <w:szCs w:val="30"/>
        </w:rPr>
        <w:t>家企业投产外，其它工业企业散居全县各重点乡镇和城区；园区内部未形成产业生态链，存在</w:t>
      </w:r>
      <w:r>
        <w:rPr>
          <w:szCs w:val="30"/>
        </w:rPr>
        <w:t>“</w:t>
      </w:r>
      <w:r>
        <w:rPr>
          <w:rFonts w:hint="eastAsia"/>
          <w:szCs w:val="30"/>
        </w:rPr>
        <w:t>两头在外</w:t>
      </w:r>
      <w:r>
        <w:rPr>
          <w:szCs w:val="30"/>
        </w:rPr>
        <w:t>”</w:t>
      </w:r>
      <w:r>
        <w:rPr>
          <w:rFonts w:hint="eastAsia"/>
          <w:szCs w:val="30"/>
        </w:rPr>
        <w:t>的局面。产业发展层次总体较低，高附加值、行业领先水平的产品少。</w:t>
      </w:r>
    </w:p>
    <w:p>
      <w:pPr>
        <w:pStyle w:val="12"/>
        <w:ind w:firstLine="643"/>
        <w:rPr>
          <w:szCs w:val="30"/>
        </w:rPr>
      </w:pPr>
      <w:r>
        <w:rPr>
          <w:rFonts w:hint="eastAsia"/>
          <w:b/>
          <w:szCs w:val="30"/>
        </w:rPr>
        <w:t>创新能力有待</w:t>
      </w:r>
      <w:bookmarkEnd w:id="25"/>
      <w:bookmarkEnd w:id="26"/>
      <w:r>
        <w:rPr>
          <w:rFonts w:hint="eastAsia"/>
          <w:b/>
          <w:szCs w:val="30"/>
        </w:rPr>
        <w:t>提升。</w:t>
      </w:r>
      <w:r>
        <w:rPr>
          <w:rFonts w:hint="eastAsia"/>
          <w:szCs w:val="30"/>
        </w:rPr>
        <w:t>市场主体散小弱，大众创业、万众创新的活力还</w:t>
      </w:r>
      <w:r>
        <w:rPr>
          <w:rFonts w:hint="eastAsia"/>
        </w:rPr>
        <w:t>没有</w:t>
      </w:r>
      <w:r>
        <w:rPr>
          <w:rFonts w:hint="eastAsia"/>
          <w:szCs w:val="30"/>
        </w:rPr>
        <w:t>真正激发。科技型企业、高新技术企业占比小，企业仍处于价值链中低端，创新力、竞争力较弱，科技型企业特别是高新技术企业亟需发展壮大。高端创新平台欠缺，缺乏能带动区域创新发展的集中创新载体。科技中介服务发展滞后，科技创新人才不足，企业研发型、专业技术型、生产技能型人才短缺。</w:t>
      </w:r>
      <w:bookmarkStart w:id="27" w:name="_Toc89087812"/>
      <w:bookmarkStart w:id="28" w:name="_Toc57368035"/>
    </w:p>
    <w:p>
      <w:pPr>
        <w:pStyle w:val="5"/>
        <w:spacing w:before="156" w:beforeLines="50" w:after="156" w:afterLines="50" w:line="360" w:lineRule="auto"/>
        <w:jc w:val="center"/>
        <w:rPr>
          <w:rFonts w:ascii="Times New Roman" w:hAnsi="Times New Roman" w:eastAsia="楷体_GB2312"/>
        </w:rPr>
      </w:pPr>
      <w:bookmarkStart w:id="29" w:name="_Toc103805220"/>
      <w:r>
        <w:rPr>
          <w:rFonts w:hint="eastAsia" w:ascii="Times New Roman" w:hAnsi="Times New Roman" w:eastAsia="楷体_GB2312"/>
        </w:rPr>
        <w:t>第三节</w:t>
      </w:r>
      <w:r>
        <w:rPr>
          <w:rFonts w:ascii="Times New Roman" w:hAnsi="Times New Roman" w:eastAsia="楷体_GB2312"/>
        </w:rPr>
        <w:t xml:space="preserve"> </w:t>
      </w:r>
      <w:r>
        <w:rPr>
          <w:rFonts w:hint="eastAsia" w:ascii="Times New Roman" w:hAnsi="Times New Roman" w:eastAsia="楷体_GB2312"/>
        </w:rPr>
        <w:t>发展</w:t>
      </w:r>
      <w:bookmarkEnd w:id="27"/>
      <w:bookmarkEnd w:id="28"/>
      <w:r>
        <w:rPr>
          <w:rFonts w:ascii="Times New Roman" w:hAnsi="Times New Roman" w:eastAsia="楷体_GB2312"/>
        </w:rPr>
        <w:t>机遇</w:t>
      </w:r>
      <w:bookmarkEnd w:id="29"/>
    </w:p>
    <w:p>
      <w:pPr>
        <w:pStyle w:val="12"/>
        <w:ind w:firstLine="643"/>
        <w:rPr>
          <w:szCs w:val="30"/>
        </w:rPr>
      </w:pPr>
      <w:bookmarkStart w:id="30" w:name="_Toc57368037"/>
      <w:bookmarkStart w:id="31" w:name="_Toc56608269"/>
      <w:r>
        <w:rPr>
          <w:rFonts w:hint="eastAsia"/>
          <w:b/>
        </w:rPr>
        <w:t>新工业革命为产业升级和经济转型指明方向</w:t>
      </w:r>
      <w:bookmarkEnd w:id="30"/>
      <w:bookmarkEnd w:id="31"/>
      <w:r>
        <w:rPr>
          <w:rFonts w:hint="eastAsia"/>
          <w:b/>
        </w:rPr>
        <w:t>。</w:t>
      </w:r>
      <w:r>
        <w:rPr>
          <w:rFonts w:hint="eastAsia"/>
        </w:rPr>
        <w:t>以数字革命为基础、人工智能为引领，以新一代信息技术、新材料与新能源为核心的多种技术相互融合的第四次工业革命正在蓬勃兴起，信息技术的突破性应用驱动社会生产力变革，信息（数据）作为核心投入要素提高社会经济运行效率，智能制造构造现代产业体系。</w:t>
      </w:r>
      <w:r>
        <w:t>5G</w:t>
      </w:r>
      <w:r>
        <w:rPr>
          <w:rFonts w:hint="eastAsia"/>
        </w:rPr>
        <w:t>将成为制造业和整个国民经济最重要的基础设施和底层技术，而人工智能的加速突破和应用将大大提升</w:t>
      </w:r>
      <w:r>
        <w:t>5G</w:t>
      </w:r>
      <w:r>
        <w:rPr>
          <w:rFonts w:hint="eastAsia"/>
        </w:rPr>
        <w:t>的商业应用价值，提高工业的研发效率、生产效率、工程化效率，推动商业模式的创新突破，成为改变制造业形态和结构的最重要动力。新工业革命将带来</w:t>
      </w:r>
      <w:r>
        <w:rPr>
          <w:rFonts w:hint="eastAsia"/>
          <w:szCs w:val="30"/>
        </w:rPr>
        <w:t>新一轮创新驱动、绿色低碳、优质高效、可持续的经济增长，助推奉节经济结构转型升级。</w:t>
      </w:r>
    </w:p>
    <w:p>
      <w:pPr>
        <w:pStyle w:val="12"/>
        <w:ind w:firstLine="643"/>
        <w:rPr>
          <w:rStyle w:val="50"/>
          <w:szCs w:val="30"/>
        </w:rPr>
      </w:pPr>
      <w:bookmarkStart w:id="32" w:name="_Toc57368038"/>
      <w:bookmarkStart w:id="33" w:name="_Toc56608270"/>
      <w:r>
        <w:rPr>
          <w:rFonts w:hint="eastAsia"/>
          <w:b/>
          <w:szCs w:val="30"/>
        </w:rPr>
        <w:t>国内疫情控制有效带来产业发展机遇</w:t>
      </w:r>
      <w:bookmarkEnd w:id="32"/>
      <w:bookmarkEnd w:id="33"/>
      <w:r>
        <w:rPr>
          <w:rFonts w:hint="eastAsia"/>
          <w:b/>
          <w:szCs w:val="30"/>
        </w:rPr>
        <w:t>。</w:t>
      </w:r>
      <w:r>
        <w:rPr>
          <w:rFonts w:hint="eastAsia"/>
          <w:szCs w:val="30"/>
        </w:rPr>
        <w:t>新冠肺炎疫情让我国经济社会经历严峻的考验。在党和政府的领导下，疫情得到有效控制，人民基本生活得以保障；国家</w:t>
      </w:r>
      <w:r>
        <w:rPr>
          <w:rStyle w:val="50"/>
          <w:rFonts w:hint="eastAsia"/>
          <w:szCs w:val="30"/>
        </w:rPr>
        <w:t>出台一系列政策措施，为经济在疫情中的</w:t>
      </w:r>
      <w:r>
        <w:rPr>
          <w:rStyle w:val="50"/>
          <w:szCs w:val="30"/>
        </w:rPr>
        <w:t>“</w:t>
      </w:r>
      <w:r>
        <w:rPr>
          <w:rStyle w:val="50"/>
          <w:rFonts w:hint="eastAsia"/>
          <w:szCs w:val="30"/>
        </w:rPr>
        <w:t>逆周期</w:t>
      </w:r>
      <w:r>
        <w:rPr>
          <w:rStyle w:val="50"/>
          <w:szCs w:val="30"/>
        </w:rPr>
        <w:t>”</w:t>
      </w:r>
      <w:r>
        <w:rPr>
          <w:rStyle w:val="50"/>
          <w:rFonts w:hint="eastAsia"/>
          <w:szCs w:val="30"/>
        </w:rPr>
        <w:t>运行提供支撑。一方面，新冠疫情引致全球经济结构调整，</w:t>
      </w:r>
      <w:r>
        <w:rPr>
          <w:rStyle w:val="29"/>
          <w:rFonts w:hint="eastAsia"/>
          <w:b w:val="0"/>
          <w:bCs w:val="0"/>
          <w:szCs w:val="30"/>
        </w:rPr>
        <w:t>中国拥有全球最完备的供应链体系，国内的安全市场保证绝大多数的企业健康运行，</w:t>
      </w:r>
      <w:r>
        <w:rPr>
          <w:rStyle w:val="50"/>
          <w:rFonts w:hint="eastAsia"/>
          <w:szCs w:val="30"/>
        </w:rPr>
        <w:t>疫情倒逼传统产业与互联网加速融合，新业态快速发展；全球其他主要经济大国疫情短期内难以得到控制，其他国家的经济放缓为我国制造业带来新的机遇。另一方面，常态化疫情防控也推动了一批防疫相关产业发展，生物医药、医疗器械等相关产业得到了发展契机，这也为奉节县特色生物制药及大健康产业发展提供了历史机遇。</w:t>
      </w:r>
    </w:p>
    <w:p>
      <w:pPr>
        <w:pStyle w:val="12"/>
        <w:ind w:firstLine="643"/>
      </w:pPr>
      <w:bookmarkStart w:id="34" w:name="_Toc56608271"/>
      <w:bookmarkStart w:id="35" w:name="_Toc57368039"/>
      <w:r>
        <w:rPr>
          <w:rFonts w:hint="eastAsia"/>
          <w:b/>
          <w:szCs w:val="30"/>
        </w:rPr>
        <w:t>新型基础设施建设助力实体经济高质量发展</w:t>
      </w:r>
      <w:bookmarkEnd w:id="34"/>
      <w:bookmarkEnd w:id="35"/>
      <w:r>
        <w:rPr>
          <w:rFonts w:hint="eastAsia"/>
          <w:b/>
          <w:szCs w:val="30"/>
        </w:rPr>
        <w:t>。</w:t>
      </w:r>
      <w:r>
        <w:rPr>
          <w:rFonts w:hint="eastAsia"/>
          <w:szCs w:val="30"/>
        </w:rPr>
        <w:t>新型基础设施是以新发展理念为引领、以技术创新为驱动、以信息网络为</w:t>
      </w:r>
      <w:r>
        <w:rPr>
          <w:rFonts w:hint="eastAsia"/>
        </w:rPr>
        <w:t>基础，面向高质量发展需要，提供数字转型、智能升级、融合创新等服务的基础设施体系。新型基础设施建设是稳投资、扩内需、拉动经济增长的重要途径，也是促升级、优结构、提升经济发展质量的重要环节。准确把握中央关于新基建的决策部署和政策导向，有助于奉节县在新基建的战略机遇和巨大空间中找准发力点、实现新突破。</w:t>
      </w:r>
    </w:p>
    <w:p>
      <w:pPr>
        <w:pStyle w:val="12"/>
        <w:ind w:firstLine="643"/>
        <w:rPr>
          <w:szCs w:val="30"/>
        </w:rPr>
      </w:pPr>
      <w:bookmarkStart w:id="36" w:name="_Toc57368040"/>
      <w:bookmarkStart w:id="37" w:name="_Toc56608272"/>
      <w:r>
        <w:rPr>
          <w:rFonts w:hint="eastAsia"/>
          <w:b/>
        </w:rPr>
        <w:t>国家发展战略交汇提供坚实战略支撑</w:t>
      </w:r>
      <w:bookmarkEnd w:id="36"/>
      <w:bookmarkEnd w:id="37"/>
      <w:r>
        <w:rPr>
          <w:rFonts w:hint="eastAsia"/>
          <w:b/>
        </w:rPr>
        <w:t>。</w:t>
      </w:r>
      <w:r>
        <w:rPr>
          <w:rFonts w:hint="eastAsia"/>
          <w:szCs w:val="30"/>
        </w:rPr>
        <w:t>《关于新时代推进西部大开发形成新格局的指导意见》提出了推动西部发展提出</w:t>
      </w:r>
      <w:r>
        <w:rPr>
          <w:szCs w:val="30"/>
        </w:rPr>
        <w:t>36</w:t>
      </w:r>
      <w:r>
        <w:rPr>
          <w:rFonts w:hint="eastAsia"/>
          <w:szCs w:val="30"/>
        </w:rPr>
        <w:t>项重磅举措，涉及创新能力、产业发展、能源供给、交通物流、对外开放、生态保护等多方面。成渝地区双城经济圈建设赋予了重庆市</w:t>
      </w:r>
      <w:r>
        <w:rPr>
          <w:rFonts w:hint="eastAsia"/>
        </w:rPr>
        <w:t>打造国家重要先进制造业中心、西部金融中心、西部国际综合交通枢纽和国际门户枢纽的重要任务。</w:t>
      </w:r>
      <w:r>
        <w:rPr>
          <w:rFonts w:hint="eastAsia"/>
          <w:szCs w:val="30"/>
        </w:rPr>
        <w:t>国家发展战略的推进有利于奉节县</w:t>
      </w:r>
      <w:r>
        <w:rPr>
          <w:rStyle w:val="50"/>
          <w:rFonts w:hint="eastAsia"/>
          <w:szCs w:val="30"/>
        </w:rPr>
        <w:t>承接和发展清洁能源、生物制药和新型材料等竞争力强、科技含量高的前沿产业，促进国内国际领军企业、核心项目和关键技术落地，</w:t>
      </w:r>
      <w:r>
        <w:rPr>
          <w:rFonts w:hint="eastAsia"/>
          <w:szCs w:val="30"/>
        </w:rPr>
        <w:t>为奉节县</w:t>
      </w:r>
      <w:r>
        <w:rPr>
          <w:rStyle w:val="50"/>
          <w:rFonts w:hint="eastAsia"/>
          <w:szCs w:val="30"/>
        </w:rPr>
        <w:t>深度融入更大区域产业分工、</w:t>
      </w:r>
      <w:r>
        <w:rPr>
          <w:rFonts w:hint="eastAsia"/>
          <w:szCs w:val="30"/>
        </w:rPr>
        <w:t>产业转型升级提供较好的政策环境。此外，碳达峰碳中和目标的提出，要求各地转变能源结构，提高能源效率，这也为奉节县清洁能源产业发展提供了重要机遇。</w:t>
      </w:r>
    </w:p>
    <w:p>
      <w:pPr>
        <w:pStyle w:val="5"/>
        <w:spacing w:before="156" w:beforeLines="50" w:after="156" w:afterLines="50" w:line="360" w:lineRule="auto"/>
        <w:jc w:val="center"/>
        <w:rPr>
          <w:rFonts w:ascii="Times New Roman" w:hAnsi="Times New Roman" w:eastAsia="楷体_GB2312"/>
        </w:rPr>
      </w:pPr>
      <w:bookmarkStart w:id="38" w:name="_Toc89087815"/>
      <w:bookmarkStart w:id="39" w:name="_Toc103805221"/>
      <w:bookmarkStart w:id="40" w:name="_Toc57368043"/>
      <w:r>
        <w:rPr>
          <w:rFonts w:hint="eastAsia" w:ascii="Times New Roman" w:hAnsi="Times New Roman" w:eastAsia="楷体_GB2312"/>
        </w:rPr>
        <w:t>第四节</w:t>
      </w:r>
      <w:r>
        <w:rPr>
          <w:rFonts w:ascii="Times New Roman" w:hAnsi="Times New Roman" w:eastAsia="楷体_GB2312"/>
        </w:rPr>
        <w:t xml:space="preserve"> </w:t>
      </w:r>
      <w:r>
        <w:rPr>
          <w:rFonts w:hint="eastAsia" w:ascii="Times New Roman" w:hAnsi="Times New Roman" w:eastAsia="楷体_GB2312"/>
        </w:rPr>
        <w:t>面临挑战</w:t>
      </w:r>
      <w:bookmarkEnd w:id="38"/>
      <w:bookmarkEnd w:id="39"/>
      <w:bookmarkEnd w:id="40"/>
    </w:p>
    <w:p>
      <w:pPr>
        <w:pStyle w:val="12"/>
        <w:ind w:firstLine="643"/>
        <w:rPr>
          <w:szCs w:val="30"/>
        </w:rPr>
      </w:pPr>
      <w:bookmarkStart w:id="41" w:name="_Toc56608276"/>
      <w:bookmarkStart w:id="42" w:name="_Toc57368044"/>
      <w:r>
        <w:rPr>
          <w:rFonts w:hint="eastAsia"/>
          <w:b/>
        </w:rPr>
        <w:t>工业经济转型面临挑战</w:t>
      </w:r>
      <w:bookmarkEnd w:id="41"/>
      <w:bookmarkEnd w:id="42"/>
      <w:r>
        <w:rPr>
          <w:rFonts w:hint="eastAsia"/>
          <w:b/>
        </w:rPr>
        <w:t>。</w:t>
      </w:r>
      <w:r>
        <w:t>“</w:t>
      </w:r>
      <w:r>
        <w:rPr>
          <w:rFonts w:hint="eastAsia"/>
        </w:rPr>
        <w:t>十四五</w:t>
      </w:r>
      <w:r>
        <w:t>”</w:t>
      </w:r>
      <w:r>
        <w:rPr>
          <w:rFonts w:hint="eastAsia"/>
        </w:rPr>
        <w:t>期间，伴随要素成本上升、资源环境压力加大以及后发国家工业化和发达国家再工业化的双重挤压，面临世界经济深度衰退的不利局面，奉节县在不稳定不确定的世界中谋求经济发展和产业转型升级。奉节县工业经济总体规模较小、实力不强，尚未形成竞争优势；产业配套不完善，经济结构相对单一，市场主体实力不强，高素质人才短缺，</w:t>
      </w:r>
      <w:r>
        <w:rPr>
          <w:rFonts w:hint="eastAsia"/>
          <w:szCs w:val="30"/>
        </w:rPr>
        <w:t>创新能力不足，工业经济转型升级面临较大挑战。</w:t>
      </w:r>
    </w:p>
    <w:p>
      <w:pPr>
        <w:pStyle w:val="12"/>
        <w:ind w:firstLine="643"/>
        <w:rPr>
          <w:szCs w:val="30"/>
        </w:rPr>
      </w:pPr>
      <w:bookmarkStart w:id="43" w:name="_Toc57368045"/>
      <w:bookmarkStart w:id="44" w:name="_Toc56608277"/>
      <w:r>
        <w:rPr>
          <w:rFonts w:hint="eastAsia"/>
          <w:b/>
          <w:szCs w:val="30"/>
        </w:rPr>
        <w:t>全球疫情蔓延产生风险</w:t>
      </w:r>
      <w:bookmarkEnd w:id="43"/>
      <w:bookmarkEnd w:id="44"/>
      <w:r>
        <w:rPr>
          <w:rFonts w:hint="eastAsia"/>
          <w:b/>
          <w:szCs w:val="30"/>
        </w:rPr>
        <w:t>。</w:t>
      </w:r>
      <w:r>
        <w:rPr>
          <w:rStyle w:val="50"/>
          <w:rFonts w:hint="eastAsia"/>
          <w:szCs w:val="30"/>
        </w:rPr>
        <w:t>新冠疫情导致全球范围内部分产业链断裂，产业国别替代及西方国家</w:t>
      </w:r>
      <w:r>
        <w:rPr>
          <w:rStyle w:val="50"/>
          <w:szCs w:val="30"/>
        </w:rPr>
        <w:t>“</w:t>
      </w:r>
      <w:r>
        <w:rPr>
          <w:rStyle w:val="50"/>
          <w:rFonts w:hint="eastAsia"/>
          <w:szCs w:val="30"/>
        </w:rPr>
        <w:t>制造业回流</w:t>
      </w:r>
      <w:r>
        <w:rPr>
          <w:rStyle w:val="50"/>
          <w:szCs w:val="30"/>
        </w:rPr>
        <w:t>”</w:t>
      </w:r>
      <w:r>
        <w:rPr>
          <w:rStyle w:val="50"/>
          <w:rFonts w:hint="eastAsia"/>
          <w:szCs w:val="30"/>
        </w:rPr>
        <w:t>趋势明显，创新合作管制严格，对我国资金链、供应链、技术链等造成冲击，影响产业发展。其次，</w:t>
      </w:r>
      <w:r>
        <w:rPr>
          <w:rStyle w:val="29"/>
          <w:rFonts w:hint="eastAsia"/>
          <w:b w:val="0"/>
          <w:bCs w:val="0"/>
          <w:szCs w:val="30"/>
        </w:rPr>
        <w:t>全球疫情造成海外需求和供应的不确定性，</w:t>
      </w:r>
      <w:r>
        <w:rPr>
          <w:rFonts w:hint="eastAsia"/>
          <w:szCs w:val="30"/>
        </w:rPr>
        <w:t>全球贸易体系中主要经济体受疫情影响严重，贸易需求受到抑制。</w:t>
      </w:r>
    </w:p>
    <w:p>
      <w:pPr>
        <w:pStyle w:val="12"/>
        <w:ind w:firstLine="643"/>
        <w:rPr>
          <w:szCs w:val="30"/>
        </w:rPr>
      </w:pPr>
      <w:bookmarkStart w:id="45" w:name="_Toc56608278"/>
      <w:bookmarkStart w:id="46" w:name="_Toc57368046"/>
      <w:r>
        <w:rPr>
          <w:rFonts w:hint="eastAsia"/>
          <w:b/>
          <w:szCs w:val="30"/>
        </w:rPr>
        <w:t>区域竞争加剧带来挑战</w:t>
      </w:r>
      <w:bookmarkEnd w:id="45"/>
      <w:bookmarkEnd w:id="46"/>
      <w:r>
        <w:rPr>
          <w:rFonts w:hint="eastAsia"/>
          <w:b/>
          <w:szCs w:val="30"/>
        </w:rPr>
        <w:t>。</w:t>
      </w:r>
      <w:r>
        <w:rPr>
          <w:rFonts w:hint="eastAsia"/>
          <w:szCs w:val="30"/>
        </w:rPr>
        <w:t>在中央发展战略的指引下，重庆市各级政府积极推进本地的产业结构调整与转型升级，区域产业发展横向竞争激烈。周边区县把招商引资工作作为重中之重来抓，争相出台更优惠的政策，导致奉节县招商引资难度加剧、压力增大。此外，区域内部邻近地区间资源禀赋存在差异，部分地区工业</w:t>
      </w:r>
      <w:r>
        <w:rPr>
          <w:rStyle w:val="44"/>
          <w:rFonts w:hint="eastAsia" w:ascii="Times New Roman" w:hAnsi="Times New Roman" w:eastAsia="仿宋_GB2312" w:cs="Times New Roman"/>
          <w:sz w:val="32"/>
          <w:szCs w:val="30"/>
        </w:rPr>
        <w:t>发展起步较早，积累了一定的基础实力，市场体系完善，配套服务到位，中心地区辐射影响力较强，存在虹吸效应，增加了奉节吸引产业转移和产业升级的难度。</w:t>
      </w:r>
    </w:p>
    <w:p>
      <w:pPr>
        <w:pStyle w:val="12"/>
        <w:ind w:firstLine="640"/>
      </w:pPr>
      <w:bookmarkStart w:id="47" w:name="_Toc56608279"/>
      <w:bookmarkStart w:id="48" w:name="_Toc57368047"/>
      <w:r>
        <w:rPr>
          <w:rFonts w:hint="eastAsia"/>
          <w:szCs w:val="30"/>
        </w:rPr>
        <w:t>总体来看，</w:t>
      </w:r>
      <w:bookmarkEnd w:id="47"/>
      <w:bookmarkEnd w:id="48"/>
      <w:r>
        <w:t>“</w:t>
      </w:r>
      <w:r>
        <w:rPr>
          <w:rFonts w:hint="eastAsia"/>
        </w:rPr>
        <w:t>十四五</w:t>
      </w:r>
      <w:r>
        <w:t>”</w:t>
      </w:r>
      <w:r>
        <w:rPr>
          <w:rFonts w:hint="eastAsia"/>
        </w:rPr>
        <w:t>时期，奉节县工业和信息化高质量发展处于重要战略机遇期，同时也存在很大挑战。必须准确把握发展战略机遇期内涵和条件变化的新特征，充分利用各种有利条件，主动适应和引领发展大势，加快解决突出问题，有效应对内外部各种风险，走出一条具有奉节特色的工业和信息化高质量发展之路。</w:t>
      </w:r>
    </w:p>
    <w:p>
      <w:pPr>
        <w:pStyle w:val="4"/>
        <w:spacing w:before="100" w:beforeAutospacing="1" w:after="100" w:afterAutospacing="1" w:line="240" w:lineRule="auto"/>
        <w:jc w:val="center"/>
        <w:rPr>
          <w:rFonts w:eastAsia="黑体"/>
          <w:sz w:val="36"/>
          <w:szCs w:val="36"/>
        </w:rPr>
      </w:pPr>
      <w:bookmarkStart w:id="49" w:name="_Toc89087817"/>
      <w:bookmarkStart w:id="50" w:name="_Toc57368049"/>
      <w:bookmarkStart w:id="51" w:name="_Toc103805222"/>
      <w:r>
        <w:rPr>
          <w:rFonts w:eastAsia="黑体"/>
          <w:sz w:val="36"/>
          <w:szCs w:val="36"/>
        </w:rPr>
        <w:t xml:space="preserve">第二章 </w:t>
      </w:r>
      <w:bookmarkEnd w:id="49"/>
      <w:bookmarkEnd w:id="50"/>
      <w:r>
        <w:rPr>
          <w:rFonts w:hint="eastAsia" w:eastAsia="黑体"/>
          <w:sz w:val="36"/>
          <w:szCs w:val="36"/>
        </w:rPr>
        <w:t>总体要求</w:t>
      </w:r>
      <w:bookmarkEnd w:id="51"/>
    </w:p>
    <w:p>
      <w:pPr>
        <w:pStyle w:val="5"/>
        <w:spacing w:before="156" w:beforeLines="50" w:after="156" w:afterLines="50" w:line="360" w:lineRule="auto"/>
        <w:jc w:val="center"/>
        <w:rPr>
          <w:rFonts w:ascii="Times New Roman" w:hAnsi="Times New Roman" w:eastAsia="楷体_GB2312"/>
        </w:rPr>
      </w:pPr>
      <w:bookmarkStart w:id="52" w:name="_Toc103805223"/>
      <w:bookmarkStart w:id="53" w:name="_Toc57368050"/>
      <w:bookmarkStart w:id="54" w:name="_Toc89087818"/>
      <w:r>
        <w:rPr>
          <w:rFonts w:ascii="Times New Roman" w:hAnsi="Times New Roman" w:eastAsia="楷体_GB2312"/>
        </w:rPr>
        <w:t xml:space="preserve">第一节 </w:t>
      </w:r>
      <w:r>
        <w:rPr>
          <w:rFonts w:hint="eastAsia" w:ascii="Times New Roman" w:hAnsi="Times New Roman" w:eastAsia="楷体_GB2312"/>
        </w:rPr>
        <w:t>指导思想</w:t>
      </w:r>
      <w:bookmarkEnd w:id="52"/>
      <w:bookmarkEnd w:id="53"/>
      <w:bookmarkEnd w:id="54"/>
    </w:p>
    <w:p>
      <w:pPr>
        <w:pStyle w:val="12"/>
        <w:ind w:firstLine="640"/>
      </w:pPr>
      <w:r>
        <w:rPr>
          <w:rFonts w:hint="eastAsia"/>
        </w:rPr>
        <w:t>以习近平新时代中国特色社会主义思想为指导，深入学习贯彻党的十九大和十九届历次全会精神，全面落实习近平总书记对重庆提出的重要指示要求，紧紧围绕市委对奉节提出的系列工作要求，统筹推进</w:t>
      </w:r>
      <w:r>
        <w:t>“</w:t>
      </w:r>
      <w:r>
        <w:rPr>
          <w:rFonts w:hint="eastAsia"/>
        </w:rPr>
        <w:t>五位一体</w:t>
      </w:r>
      <w:r>
        <w:t>”</w:t>
      </w:r>
      <w:r>
        <w:rPr>
          <w:rFonts w:hint="eastAsia"/>
        </w:rPr>
        <w:t>总体布局、协调推进</w:t>
      </w:r>
      <w:r>
        <w:t>“</w:t>
      </w:r>
      <w:r>
        <w:rPr>
          <w:rFonts w:hint="eastAsia"/>
        </w:rPr>
        <w:t>四个全面</w:t>
      </w:r>
      <w:r>
        <w:t>”</w:t>
      </w:r>
      <w:r>
        <w:rPr>
          <w:rFonts w:hint="eastAsia"/>
        </w:rPr>
        <w:t>战略布局，立足新发展阶段，完整、准确、全面贯彻新发展理念，融入新发展格局，坚持稳中求进工作总基调，以推动高质量发展为主题，以深化供给侧结构性改革为主线，以改革创新为根本动力，坚持“1239”发展思路，积极推进生态工业发展，推动工业由规模扩张型增长转向创新驱动型发展，着力延伸产业链、提升价值链，坚持传统产业升级和新兴产业培育并举，以产业集群思维推进制造强县目标，将优势产业壮大做强，努力开创</w:t>
      </w:r>
      <w:r>
        <w:t>“</w:t>
      </w:r>
      <w:r>
        <w:rPr>
          <w:rFonts w:hint="eastAsia"/>
        </w:rPr>
        <w:t>兴业兴城、强县富民</w:t>
      </w:r>
      <w:r>
        <w:t>”</w:t>
      </w:r>
      <w:r>
        <w:rPr>
          <w:rFonts w:hint="eastAsia"/>
        </w:rPr>
        <w:t>崭新局面，奋力谱写新时代奉节工业高质量发展新篇章。</w:t>
      </w:r>
    </w:p>
    <w:p>
      <w:pPr>
        <w:pStyle w:val="5"/>
        <w:spacing w:before="156" w:beforeLines="50" w:after="156" w:afterLines="50" w:line="360" w:lineRule="auto"/>
        <w:jc w:val="center"/>
        <w:rPr>
          <w:rFonts w:ascii="Times New Roman" w:hAnsi="Times New Roman" w:eastAsia="楷体_GB2312"/>
        </w:rPr>
      </w:pPr>
      <w:bookmarkStart w:id="55" w:name="_Toc57368051"/>
      <w:bookmarkStart w:id="56" w:name="_Toc89087819"/>
      <w:bookmarkStart w:id="57" w:name="_Toc103805224"/>
      <w:r>
        <w:rPr>
          <w:rFonts w:ascii="Times New Roman" w:hAnsi="Times New Roman" w:eastAsia="楷体_GB2312"/>
        </w:rPr>
        <w:t xml:space="preserve">第二节 </w:t>
      </w:r>
      <w:r>
        <w:rPr>
          <w:rFonts w:hint="eastAsia" w:ascii="Times New Roman" w:hAnsi="Times New Roman" w:eastAsia="楷体_GB2312"/>
        </w:rPr>
        <w:t>基本原则</w:t>
      </w:r>
      <w:bookmarkEnd w:id="55"/>
      <w:bookmarkEnd w:id="56"/>
      <w:bookmarkEnd w:id="57"/>
    </w:p>
    <w:p>
      <w:pPr>
        <w:pStyle w:val="12"/>
        <w:ind w:firstLine="643"/>
      </w:pPr>
      <w:r>
        <w:rPr>
          <w:rFonts w:hint="eastAsia"/>
          <w:b/>
        </w:rPr>
        <w:t>生态优先，绿色发展。</w:t>
      </w:r>
      <w:r>
        <w:rPr>
          <w:rFonts w:hint="eastAsia"/>
        </w:rPr>
        <w:t>牢固树立“绿水青山就是金山银山”理念，坚定不移走绿色发展道路，严格执行《中华人民共和国长江保护法》，落实碳达峰碳中和、能耗</w:t>
      </w:r>
      <w:r>
        <w:t>“</w:t>
      </w:r>
      <w:r>
        <w:rPr>
          <w:rFonts w:hint="eastAsia"/>
        </w:rPr>
        <w:t>双控</w:t>
      </w:r>
      <w:r>
        <w:t>”</w:t>
      </w:r>
      <w:r>
        <w:rPr>
          <w:rFonts w:hint="eastAsia"/>
        </w:rPr>
        <w:t>等要求，持续降低现有企业能耗水耗物耗水平、碳排放强度和污染物排放量，严格新项目环境、安全准入，不断提升清洁生产、安全生产和资源循环利用水平，用更小的资源投入和环境影响实现更高质量、更加安全、更可持续的发展。</w:t>
      </w:r>
    </w:p>
    <w:p>
      <w:pPr>
        <w:pStyle w:val="12"/>
        <w:ind w:firstLine="643"/>
      </w:pPr>
      <w:r>
        <w:rPr>
          <w:rFonts w:hint="eastAsia"/>
          <w:b/>
        </w:rPr>
        <w:t>重点突破，整体提升。</w:t>
      </w:r>
      <w:r>
        <w:rPr>
          <w:rFonts w:hint="eastAsia"/>
        </w:rPr>
        <w:t>坚持优势优先，围绕资源禀赋和特色产业，重点在眼镜及眼健康、特色农产品加工、特色生物制药、新型材料、数字经济、绿色能源、装配式建筑等产业延链、补链、壮链上求突破，在农业机械装备制造和研发上促提升，坚持市场、技术、工艺、产品差异化、特色化发展路径，抢占产业发展制高点。</w:t>
      </w:r>
    </w:p>
    <w:p>
      <w:pPr>
        <w:pStyle w:val="12"/>
        <w:ind w:firstLine="643"/>
      </w:pPr>
      <w:r>
        <w:rPr>
          <w:rFonts w:hint="eastAsia"/>
          <w:b/>
        </w:rPr>
        <w:t>创新引领，科技支撑</w:t>
      </w:r>
      <w:r>
        <w:rPr>
          <w:rFonts w:hint="eastAsia"/>
        </w:rPr>
        <w:t>。坚持将创新摆在工业发展全局的核心位置，推动扩大市场需求与优化产业链、提升价值链和培育自主研发能力相结合，打造一批面向基础领域的研究开发平台和公共服务平台，加大关键核心技术攻关力度，加速科技成果转化，增强关键共性技术供给和大规模产业化应用，增强制造业自主创新能力，走创新驱动的内涵式发展道路。</w:t>
      </w:r>
    </w:p>
    <w:p>
      <w:pPr>
        <w:pStyle w:val="12"/>
        <w:ind w:firstLine="643"/>
      </w:pPr>
      <w:r>
        <w:rPr>
          <w:rFonts w:hint="eastAsia"/>
          <w:b/>
        </w:rPr>
        <w:t>市场运作，政府引导。</w:t>
      </w:r>
      <w:r>
        <w:rPr>
          <w:rFonts w:hint="eastAsia"/>
        </w:rPr>
        <w:t>充分发挥市场在资源配置中的决定性作用，着力破除制约各类要素资源有序自由流动和优化配置的体制机制障碍，强化企业在技术路线选择、产品产能布局等方面的主体地位，最大限度激发市场主体活力。更好发挥政府作用，重点培育产业发展生态、提升公共服务质量、维护市场秩序和引导消费需求，构建</w:t>
      </w:r>
      <w:r>
        <w:rPr>
          <w:rFonts w:hint="eastAsia"/>
          <w:lang w:eastAsia="zh-CN"/>
        </w:rPr>
        <w:t>市场化、法治化、国际化</w:t>
      </w:r>
      <w:r>
        <w:rPr>
          <w:rFonts w:hint="eastAsia"/>
        </w:rPr>
        <w:t>一流营商环境。</w:t>
      </w:r>
    </w:p>
    <w:p>
      <w:pPr>
        <w:pStyle w:val="12"/>
        <w:ind w:firstLine="643"/>
      </w:pPr>
      <w:r>
        <w:rPr>
          <w:rFonts w:hint="eastAsia"/>
          <w:b/>
        </w:rPr>
        <w:t>深化融合，协同发展。</w:t>
      </w:r>
      <w:r>
        <w:rPr>
          <w:rFonts w:hint="eastAsia"/>
        </w:rPr>
        <w:t>推进工业化与信息化、现代制造业与生产性服务业深度融合发展，放大融合发展效应。推动企业加快技术改造、加大研发投入，鼓励传统优势企业对现有设施及生产工艺进行自动化、数字化、智能化、绿色化升级。大力发展工业研发、设计、供应链管理、数据分析与挖掘等生产性服务业，推进生产性服务业与制造业深度融合。</w:t>
      </w:r>
    </w:p>
    <w:p>
      <w:pPr>
        <w:pStyle w:val="12"/>
        <w:ind w:firstLine="643"/>
      </w:pPr>
      <w:bookmarkStart w:id="58" w:name="_Toc530477330"/>
      <w:bookmarkStart w:id="59" w:name="_Toc484961304"/>
      <w:r>
        <w:rPr>
          <w:rFonts w:hint="eastAsia"/>
          <w:b/>
        </w:rPr>
        <w:t>开放协同，合作共赢</w:t>
      </w:r>
      <w:bookmarkEnd w:id="58"/>
      <w:bookmarkEnd w:id="59"/>
      <w:r>
        <w:rPr>
          <w:rFonts w:hint="eastAsia"/>
          <w:b/>
        </w:rPr>
        <w:t>。</w:t>
      </w:r>
      <w:r>
        <w:rPr>
          <w:rFonts w:hint="eastAsia"/>
        </w:rPr>
        <w:t>全面融入国家和全市对外开放战略，持续增强发展动力和活力。积极推进新时代西部大开发建设，主动参与</w:t>
      </w:r>
      <w:r>
        <w:t>“</w:t>
      </w:r>
      <w:r>
        <w:rPr>
          <w:rFonts w:hint="eastAsia"/>
        </w:rPr>
        <w:t>一带一路</w:t>
      </w:r>
      <w:r>
        <w:t>”</w:t>
      </w:r>
      <w:r>
        <w:rPr>
          <w:rFonts w:hint="eastAsia"/>
        </w:rPr>
        <w:t>建设，深度融入长江经济带、成渝地区双城经济圈建设，构筑理念更开放、形式更包容的开放平台。发挥奉节县的比较优势，加强与周边区域协同合作，全方位提升开放水平。</w:t>
      </w:r>
    </w:p>
    <w:p>
      <w:pPr>
        <w:pStyle w:val="5"/>
        <w:spacing w:before="156" w:beforeLines="50" w:after="156" w:afterLines="50" w:line="360" w:lineRule="auto"/>
        <w:jc w:val="center"/>
        <w:rPr>
          <w:rFonts w:ascii="Times New Roman" w:hAnsi="Times New Roman" w:eastAsia="楷体_GB2312"/>
        </w:rPr>
      </w:pPr>
      <w:bookmarkStart w:id="60" w:name="_Toc89087821"/>
      <w:bookmarkStart w:id="61" w:name="_Toc103805225"/>
      <w:bookmarkStart w:id="62" w:name="_Toc57368053"/>
      <w:r>
        <w:rPr>
          <w:rFonts w:hint="eastAsia" w:ascii="Times New Roman" w:hAnsi="Times New Roman" w:eastAsia="楷体_GB2312"/>
        </w:rPr>
        <w:t>第三节</w:t>
      </w:r>
      <w:r>
        <w:rPr>
          <w:rFonts w:ascii="Times New Roman" w:hAnsi="Times New Roman" w:eastAsia="楷体_GB2312"/>
        </w:rPr>
        <w:t xml:space="preserve"> </w:t>
      </w:r>
      <w:r>
        <w:rPr>
          <w:rFonts w:hint="eastAsia" w:ascii="Times New Roman" w:hAnsi="Times New Roman" w:eastAsia="楷体_GB2312"/>
        </w:rPr>
        <w:t>发展目标</w:t>
      </w:r>
      <w:bookmarkEnd w:id="60"/>
      <w:bookmarkEnd w:id="61"/>
      <w:bookmarkEnd w:id="62"/>
    </w:p>
    <w:p>
      <w:pPr>
        <w:spacing w:line="560" w:lineRule="exact"/>
        <w:ind w:firstLine="640" w:firstLineChars="200"/>
        <w:rPr>
          <w:rFonts w:eastAsia="仿宋"/>
          <w:sz w:val="32"/>
          <w:szCs w:val="32"/>
        </w:rPr>
      </w:pPr>
      <w:r>
        <w:rPr>
          <w:rFonts w:hint="eastAsia" w:eastAsia="仿宋"/>
          <w:sz w:val="32"/>
          <w:szCs w:val="32"/>
        </w:rPr>
        <w:t>力争到</w:t>
      </w:r>
      <w:r>
        <w:rPr>
          <w:rFonts w:eastAsia="仿宋"/>
          <w:sz w:val="32"/>
          <w:szCs w:val="32"/>
        </w:rPr>
        <w:t>2025</w:t>
      </w:r>
      <w:r>
        <w:rPr>
          <w:rFonts w:hint="eastAsia" w:eastAsia="仿宋"/>
          <w:sz w:val="32"/>
          <w:szCs w:val="32"/>
        </w:rPr>
        <w:t>年，将奉节县建设成全市具有一定影响力的特色工业强县，基本形成产业基础扎实、产业特色鲜明的生态工业体系，质量效益、自主创新、融合发展的水平进一步提升，打造200亿级生态工业园区和200亿级高铁生态城新兴产业集聚区两个重要平台。工业结构更趋合理，涌现一批具有较强竞争力的企业和产业集群，在全市产业分工和价值链中的地位进一步提升，在构建双循环新发展格局，尤其是国内大循环中参与分工合作的嵌入度、贡献度有效提高。</w:t>
      </w:r>
    </w:p>
    <w:p>
      <w:pPr>
        <w:spacing w:line="560" w:lineRule="exact"/>
        <w:ind w:firstLine="643" w:firstLineChars="200"/>
        <w:rPr>
          <w:rFonts w:eastAsia="仿宋"/>
          <w:sz w:val="32"/>
          <w:szCs w:val="32"/>
        </w:rPr>
      </w:pPr>
      <w:r>
        <w:rPr>
          <w:rFonts w:hint="eastAsia" w:eastAsia="仿宋"/>
          <w:b/>
          <w:sz w:val="32"/>
          <w:szCs w:val="32"/>
        </w:rPr>
        <w:t>——工业实力实现突破。</w:t>
      </w:r>
      <w:r>
        <w:rPr>
          <w:rFonts w:hint="eastAsia" w:eastAsia="仿宋"/>
          <w:sz w:val="32"/>
          <w:szCs w:val="32"/>
        </w:rPr>
        <w:t>工业经济保持平稳较快增长，发展地位进一步提升。到</w:t>
      </w:r>
      <w:r>
        <w:rPr>
          <w:rFonts w:eastAsia="仿宋"/>
          <w:sz w:val="32"/>
          <w:szCs w:val="32"/>
        </w:rPr>
        <w:t>2025</w:t>
      </w:r>
      <w:r>
        <w:rPr>
          <w:rFonts w:hint="eastAsia" w:eastAsia="仿宋"/>
          <w:sz w:val="32"/>
          <w:szCs w:val="32"/>
        </w:rPr>
        <w:t>年，全县工业总产值达到</w:t>
      </w:r>
      <w:r>
        <w:rPr>
          <w:rFonts w:eastAsia="仿宋"/>
          <w:sz w:val="32"/>
          <w:szCs w:val="32"/>
        </w:rPr>
        <w:t>300</w:t>
      </w:r>
      <w:r>
        <w:rPr>
          <w:rFonts w:hint="eastAsia" w:eastAsia="仿宋"/>
          <w:sz w:val="32"/>
          <w:szCs w:val="32"/>
        </w:rPr>
        <w:t>亿元，工业增加值达到</w:t>
      </w:r>
      <w:r>
        <w:rPr>
          <w:rFonts w:eastAsia="仿宋"/>
          <w:sz w:val="32"/>
          <w:szCs w:val="32"/>
        </w:rPr>
        <w:t>75</w:t>
      </w:r>
      <w:r>
        <w:rPr>
          <w:rFonts w:hint="eastAsia" w:eastAsia="仿宋"/>
          <w:sz w:val="32"/>
          <w:szCs w:val="32"/>
        </w:rPr>
        <w:t>亿元以上，规模以上工业企业达到</w:t>
      </w:r>
      <w:r>
        <w:rPr>
          <w:rFonts w:eastAsia="仿宋"/>
          <w:sz w:val="32"/>
          <w:szCs w:val="32"/>
        </w:rPr>
        <w:t>120</w:t>
      </w:r>
      <w:r>
        <w:rPr>
          <w:rFonts w:hint="eastAsia" w:eastAsia="仿宋"/>
          <w:sz w:val="32"/>
          <w:szCs w:val="32"/>
        </w:rPr>
        <w:t>家左右，工业增加值占</w:t>
      </w:r>
      <w:r>
        <w:rPr>
          <w:rFonts w:eastAsia="仿宋"/>
          <w:sz w:val="32"/>
          <w:szCs w:val="32"/>
        </w:rPr>
        <w:t>GDP</w:t>
      </w:r>
      <w:r>
        <w:rPr>
          <w:rFonts w:hint="eastAsia" w:eastAsia="仿宋"/>
          <w:sz w:val="32"/>
          <w:szCs w:val="32"/>
        </w:rPr>
        <w:t>比重达20</w:t>
      </w:r>
      <w:r>
        <w:rPr>
          <w:rFonts w:eastAsia="仿宋"/>
          <w:sz w:val="32"/>
          <w:szCs w:val="32"/>
        </w:rPr>
        <w:t>%以上</w:t>
      </w:r>
      <w:r>
        <w:rPr>
          <w:rFonts w:hint="eastAsia" w:eastAsia="仿宋"/>
          <w:sz w:val="32"/>
          <w:szCs w:val="32"/>
        </w:rPr>
        <w:t>。</w:t>
      </w:r>
    </w:p>
    <w:p>
      <w:pPr>
        <w:spacing w:line="560" w:lineRule="exact"/>
        <w:ind w:firstLine="643" w:firstLineChars="200"/>
        <w:rPr>
          <w:rFonts w:eastAsia="仿宋"/>
          <w:sz w:val="32"/>
          <w:szCs w:val="32"/>
        </w:rPr>
      </w:pPr>
      <w:r>
        <w:rPr>
          <w:rFonts w:eastAsia="仿宋"/>
          <w:b/>
          <w:sz w:val="32"/>
          <w:szCs w:val="32"/>
        </w:rPr>
        <w:t>——</w:t>
      </w:r>
      <w:r>
        <w:rPr>
          <w:rFonts w:hint="eastAsia" w:eastAsia="仿宋"/>
          <w:b/>
          <w:sz w:val="32"/>
          <w:szCs w:val="32"/>
        </w:rPr>
        <w:t>工业结构更加优化</w:t>
      </w:r>
      <w:r>
        <w:rPr>
          <w:rFonts w:hint="eastAsia" w:eastAsia="仿宋"/>
          <w:sz w:val="32"/>
          <w:szCs w:val="32"/>
        </w:rPr>
        <w:t>。生态工业体系基本健全，产业集群优势加速显现。到</w:t>
      </w:r>
      <w:r>
        <w:rPr>
          <w:rFonts w:eastAsia="仿宋"/>
          <w:sz w:val="32"/>
          <w:szCs w:val="32"/>
        </w:rPr>
        <w:t>2025</w:t>
      </w:r>
      <w:r>
        <w:rPr>
          <w:rFonts w:hint="eastAsia" w:eastAsia="仿宋"/>
          <w:sz w:val="32"/>
          <w:szCs w:val="32"/>
        </w:rPr>
        <w:t>年，培育形成</w:t>
      </w:r>
      <w:r>
        <w:rPr>
          <w:rFonts w:eastAsia="仿宋"/>
          <w:sz w:val="32"/>
          <w:szCs w:val="32"/>
        </w:rPr>
        <w:t>200</w:t>
      </w:r>
      <w:r>
        <w:rPr>
          <w:rFonts w:hint="eastAsia" w:eastAsia="仿宋"/>
          <w:sz w:val="32"/>
          <w:szCs w:val="32"/>
        </w:rPr>
        <w:t>亿级清洁能源产业集群、</w:t>
      </w:r>
      <w:r>
        <w:rPr>
          <w:rFonts w:eastAsia="仿宋"/>
          <w:sz w:val="32"/>
          <w:szCs w:val="32"/>
        </w:rPr>
        <w:t>50</w:t>
      </w:r>
      <w:r>
        <w:rPr>
          <w:rFonts w:hint="eastAsia" w:eastAsia="仿宋"/>
          <w:sz w:val="32"/>
          <w:szCs w:val="32"/>
        </w:rPr>
        <w:t>亿级眼镜产业集群、</w:t>
      </w:r>
      <w:r>
        <w:rPr>
          <w:rFonts w:eastAsia="仿宋"/>
          <w:sz w:val="32"/>
          <w:szCs w:val="32"/>
        </w:rPr>
        <w:t>50</w:t>
      </w:r>
      <w:r>
        <w:rPr>
          <w:rFonts w:hint="eastAsia" w:eastAsia="仿宋"/>
          <w:sz w:val="32"/>
          <w:szCs w:val="32"/>
        </w:rPr>
        <w:t>亿级特色农产品加工产业集群、</w:t>
      </w:r>
      <w:r>
        <w:rPr>
          <w:rFonts w:eastAsia="仿宋"/>
          <w:sz w:val="32"/>
          <w:szCs w:val="32"/>
        </w:rPr>
        <w:t>50</w:t>
      </w:r>
      <w:r>
        <w:rPr>
          <w:rFonts w:hint="eastAsia" w:eastAsia="仿宋"/>
          <w:sz w:val="32"/>
          <w:szCs w:val="32"/>
        </w:rPr>
        <w:t>亿级数字经济产业集群，生物医药、环保新材料、装配式建筑等特色产业实现新突破，生产性服务业支撑有力。</w:t>
      </w:r>
    </w:p>
    <w:p>
      <w:pPr>
        <w:spacing w:line="560" w:lineRule="exact"/>
        <w:ind w:firstLine="643" w:firstLineChars="200"/>
        <w:rPr>
          <w:rFonts w:eastAsia="仿宋"/>
          <w:sz w:val="32"/>
          <w:szCs w:val="32"/>
        </w:rPr>
      </w:pPr>
      <w:r>
        <w:rPr>
          <w:rFonts w:hint="eastAsia" w:eastAsia="仿宋"/>
          <w:b/>
          <w:sz w:val="32"/>
          <w:szCs w:val="32"/>
        </w:rPr>
        <w:t>——创新能力稳步提升</w:t>
      </w:r>
      <w:r>
        <w:rPr>
          <w:rFonts w:hint="eastAsia" w:eastAsia="仿宋"/>
          <w:sz w:val="32"/>
          <w:szCs w:val="32"/>
        </w:rPr>
        <w:t>。技术创新能力进一步提高，重点领域和特色产业技术标准取得突破。到</w:t>
      </w:r>
      <w:r>
        <w:rPr>
          <w:rFonts w:eastAsia="仿宋"/>
          <w:sz w:val="32"/>
          <w:szCs w:val="32"/>
        </w:rPr>
        <w:t>2025</w:t>
      </w:r>
      <w:r>
        <w:rPr>
          <w:rFonts w:hint="eastAsia" w:eastAsia="仿宋"/>
          <w:sz w:val="32"/>
          <w:szCs w:val="32"/>
        </w:rPr>
        <w:t>年，规模以上工业企业</w:t>
      </w:r>
      <w:r>
        <w:rPr>
          <w:rFonts w:eastAsia="仿宋"/>
          <w:sz w:val="32"/>
          <w:szCs w:val="32"/>
        </w:rPr>
        <w:t>R&amp;D</w:t>
      </w:r>
      <w:r>
        <w:rPr>
          <w:rFonts w:hint="eastAsia" w:eastAsia="仿宋"/>
          <w:sz w:val="32"/>
          <w:szCs w:val="32"/>
        </w:rPr>
        <w:t>经费支出占主营业务收入比重达到</w:t>
      </w:r>
      <w:r>
        <w:rPr>
          <w:rFonts w:eastAsia="仿宋"/>
          <w:sz w:val="32"/>
          <w:szCs w:val="32"/>
        </w:rPr>
        <w:t>3.8%</w:t>
      </w:r>
      <w:r>
        <w:rPr>
          <w:rFonts w:hint="eastAsia" w:eastAsia="仿宋"/>
          <w:sz w:val="32"/>
          <w:szCs w:val="32"/>
        </w:rPr>
        <w:t>，科技型企业达到10</w:t>
      </w:r>
      <w:r>
        <w:rPr>
          <w:rFonts w:eastAsia="仿宋"/>
          <w:sz w:val="32"/>
          <w:szCs w:val="32"/>
        </w:rPr>
        <w:t>00</w:t>
      </w:r>
      <w:r>
        <w:rPr>
          <w:rFonts w:hint="eastAsia" w:eastAsia="仿宋"/>
          <w:sz w:val="32"/>
          <w:szCs w:val="32"/>
        </w:rPr>
        <w:t>家，高新技术企业达到</w:t>
      </w:r>
      <w:r>
        <w:rPr>
          <w:rFonts w:eastAsia="仿宋"/>
          <w:sz w:val="32"/>
          <w:szCs w:val="32"/>
        </w:rPr>
        <w:t>35</w:t>
      </w:r>
      <w:r>
        <w:rPr>
          <w:rFonts w:hint="eastAsia" w:eastAsia="仿宋"/>
          <w:sz w:val="32"/>
          <w:szCs w:val="32"/>
        </w:rPr>
        <w:t>家，企业技术研发中心达到</w:t>
      </w:r>
      <w:r>
        <w:rPr>
          <w:rFonts w:eastAsia="仿宋"/>
          <w:sz w:val="32"/>
          <w:szCs w:val="32"/>
        </w:rPr>
        <w:t>40</w:t>
      </w:r>
      <w:r>
        <w:rPr>
          <w:rFonts w:hint="eastAsia" w:eastAsia="仿宋"/>
          <w:sz w:val="32"/>
          <w:szCs w:val="32"/>
        </w:rPr>
        <w:t>个。</w:t>
      </w:r>
    </w:p>
    <w:p>
      <w:pPr>
        <w:spacing w:line="560" w:lineRule="exact"/>
        <w:ind w:firstLine="643" w:firstLineChars="200"/>
        <w:rPr>
          <w:rFonts w:eastAsia="仿宋"/>
          <w:sz w:val="32"/>
          <w:szCs w:val="32"/>
        </w:rPr>
      </w:pPr>
      <w:r>
        <w:rPr>
          <w:rFonts w:hint="eastAsia" w:eastAsia="仿宋"/>
          <w:b/>
          <w:sz w:val="32"/>
          <w:szCs w:val="32"/>
        </w:rPr>
        <w:t>——两化融合步伐加快</w:t>
      </w:r>
      <w:r>
        <w:rPr>
          <w:rFonts w:hint="eastAsia" w:eastAsia="仿宋"/>
          <w:sz w:val="32"/>
          <w:szCs w:val="32"/>
        </w:rPr>
        <w:t>。企业信息化示范带动能力不断提高，规模以上工业企业管理信息化系统覆盖率进一步扩大，两化融合不断深入。到</w:t>
      </w:r>
      <w:r>
        <w:rPr>
          <w:rFonts w:eastAsia="仿宋"/>
          <w:sz w:val="32"/>
          <w:szCs w:val="32"/>
        </w:rPr>
        <w:t>2025</w:t>
      </w:r>
      <w:r>
        <w:rPr>
          <w:rFonts w:hint="eastAsia" w:eastAsia="仿宋"/>
          <w:sz w:val="32"/>
          <w:szCs w:val="32"/>
        </w:rPr>
        <w:t>年，建成一批具有示范效应的智能工厂和数字化车间，推动企业开展两化融合管理体系标准认定，推广一批工业机器人。</w:t>
      </w:r>
    </w:p>
    <w:p>
      <w:pPr>
        <w:spacing w:line="560" w:lineRule="exact"/>
        <w:ind w:firstLine="643" w:firstLineChars="200"/>
        <w:rPr>
          <w:rFonts w:eastAsia="仿宋"/>
          <w:sz w:val="32"/>
          <w:szCs w:val="32"/>
        </w:rPr>
      </w:pPr>
      <w:r>
        <w:rPr>
          <w:rFonts w:hint="eastAsia" w:eastAsia="仿宋"/>
          <w:b/>
          <w:sz w:val="32"/>
          <w:szCs w:val="32"/>
        </w:rPr>
        <w:t>——绿色发展成效显著</w:t>
      </w:r>
      <w:r>
        <w:rPr>
          <w:rFonts w:hint="eastAsia" w:eastAsia="仿宋"/>
          <w:sz w:val="32"/>
          <w:szCs w:val="32"/>
        </w:rPr>
        <w:t>。绿色发展要素植入企业设计、工艺、生产、销售和回收的产品全生命周期，培育形成一批绿色设计、绿色工厂、绿色产业链示范企业，企业用能效率和资源集约利用水平明显提升，工业污染物排放显著减少，循环经济发展成效突出。到</w:t>
      </w:r>
      <w:r>
        <w:rPr>
          <w:rFonts w:eastAsia="仿宋"/>
          <w:sz w:val="32"/>
          <w:szCs w:val="32"/>
        </w:rPr>
        <w:t>2025</w:t>
      </w:r>
      <w:r>
        <w:rPr>
          <w:rFonts w:hint="eastAsia" w:eastAsia="仿宋"/>
          <w:sz w:val="32"/>
          <w:szCs w:val="32"/>
        </w:rPr>
        <w:t>年，力争培育一批国家级、市级绿色工厂，形成一批绿色设计产品，规模以上工业增加值能耗下降幅度达到全市平均水平。</w:t>
      </w:r>
    </w:p>
    <w:p>
      <w:pPr>
        <w:spacing w:line="620" w:lineRule="exact"/>
        <w:jc w:val="center"/>
        <w:rPr>
          <w:rFonts w:eastAsia="黑体"/>
          <w:sz w:val="28"/>
          <w:szCs w:val="28"/>
        </w:rPr>
      </w:pPr>
      <w:bookmarkStart w:id="63" w:name="_Toc4515"/>
      <w:bookmarkStart w:id="64" w:name="_Toc5771"/>
      <w:bookmarkStart w:id="65" w:name="_Toc19890"/>
      <w:r>
        <w:rPr>
          <w:rFonts w:hint="eastAsia" w:eastAsia="黑体"/>
          <w:sz w:val="28"/>
          <w:szCs w:val="28"/>
        </w:rPr>
        <w:t>表</w:t>
      </w:r>
      <w:r>
        <w:rPr>
          <w:rFonts w:eastAsia="黑体"/>
          <w:sz w:val="28"/>
          <w:szCs w:val="28"/>
        </w:rPr>
        <w:t xml:space="preserve">2 </w:t>
      </w:r>
      <w:r>
        <w:rPr>
          <w:rFonts w:hint="eastAsia" w:eastAsia="黑体"/>
          <w:sz w:val="28"/>
          <w:szCs w:val="28"/>
        </w:rPr>
        <w:t>奉节县工业和信息化</w:t>
      </w:r>
      <w:r>
        <w:rPr>
          <w:rFonts w:eastAsia="黑体"/>
          <w:sz w:val="28"/>
          <w:szCs w:val="28"/>
        </w:rPr>
        <w:t>“十四五”高质量发展主要目标</w:t>
      </w:r>
      <w:bookmarkEnd w:id="63"/>
    </w:p>
    <w:tbl>
      <w:tblPr>
        <w:tblStyle w:val="2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4111"/>
        <w:gridCol w:w="1276"/>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71" w:type="dxa"/>
            <w:vAlign w:val="center"/>
          </w:tcPr>
          <w:p>
            <w:pPr>
              <w:spacing w:line="500" w:lineRule="exact"/>
              <w:jc w:val="center"/>
              <w:rPr>
                <w:rFonts w:eastAsia="仿宋_GB2312"/>
                <w:b/>
                <w:sz w:val="24"/>
                <w:szCs w:val="24"/>
              </w:rPr>
            </w:pPr>
            <w:r>
              <w:rPr>
                <w:rFonts w:hint="eastAsia" w:eastAsia="仿宋_GB2312"/>
                <w:b/>
                <w:sz w:val="24"/>
                <w:szCs w:val="24"/>
              </w:rPr>
              <w:t>指标类别</w:t>
            </w:r>
          </w:p>
        </w:tc>
        <w:tc>
          <w:tcPr>
            <w:tcW w:w="4111" w:type="dxa"/>
            <w:vAlign w:val="center"/>
          </w:tcPr>
          <w:p>
            <w:pPr>
              <w:spacing w:line="500" w:lineRule="exact"/>
              <w:jc w:val="center"/>
              <w:rPr>
                <w:rFonts w:eastAsia="仿宋_GB2312"/>
                <w:b/>
                <w:sz w:val="24"/>
                <w:szCs w:val="24"/>
              </w:rPr>
            </w:pPr>
            <w:r>
              <w:rPr>
                <w:rFonts w:hint="eastAsia" w:eastAsia="仿宋_GB2312"/>
                <w:b/>
                <w:sz w:val="24"/>
                <w:szCs w:val="24"/>
              </w:rPr>
              <w:t>指标名称</w:t>
            </w:r>
          </w:p>
        </w:tc>
        <w:tc>
          <w:tcPr>
            <w:tcW w:w="1276" w:type="dxa"/>
            <w:vAlign w:val="center"/>
          </w:tcPr>
          <w:p>
            <w:pPr>
              <w:spacing w:line="500" w:lineRule="exact"/>
              <w:jc w:val="center"/>
              <w:rPr>
                <w:rFonts w:eastAsia="仿宋_GB2312"/>
                <w:b/>
                <w:sz w:val="24"/>
                <w:szCs w:val="24"/>
              </w:rPr>
            </w:pPr>
            <w:r>
              <w:rPr>
                <w:rFonts w:hint="eastAsia" w:eastAsia="仿宋_GB2312"/>
                <w:b/>
                <w:sz w:val="24"/>
                <w:szCs w:val="24"/>
              </w:rPr>
              <w:t>指标属性</w:t>
            </w:r>
          </w:p>
        </w:tc>
        <w:tc>
          <w:tcPr>
            <w:tcW w:w="1134" w:type="dxa"/>
            <w:vAlign w:val="center"/>
          </w:tcPr>
          <w:p>
            <w:pPr>
              <w:spacing w:line="500" w:lineRule="exact"/>
              <w:jc w:val="center"/>
              <w:rPr>
                <w:rFonts w:eastAsia="仿宋_GB2312"/>
                <w:b/>
                <w:sz w:val="24"/>
                <w:szCs w:val="24"/>
              </w:rPr>
            </w:pPr>
            <w:r>
              <w:rPr>
                <w:rFonts w:eastAsia="仿宋_GB2312"/>
                <w:b/>
                <w:sz w:val="24"/>
                <w:szCs w:val="24"/>
              </w:rPr>
              <w:t>2020年</w:t>
            </w:r>
          </w:p>
        </w:tc>
        <w:tc>
          <w:tcPr>
            <w:tcW w:w="1134" w:type="dxa"/>
            <w:vAlign w:val="center"/>
          </w:tcPr>
          <w:p>
            <w:pPr>
              <w:spacing w:line="500" w:lineRule="exact"/>
              <w:jc w:val="center"/>
              <w:rPr>
                <w:rFonts w:eastAsia="仿宋_GB2312"/>
                <w:b/>
                <w:sz w:val="24"/>
                <w:szCs w:val="24"/>
              </w:rPr>
            </w:pPr>
            <w:r>
              <w:rPr>
                <w:rFonts w:eastAsia="仿宋_GB2312"/>
                <w:b/>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exact"/>
              <w:jc w:val="center"/>
              <w:rPr>
                <w:rFonts w:eastAsia="仿宋_GB2312"/>
                <w:b/>
                <w:sz w:val="24"/>
                <w:szCs w:val="24"/>
              </w:rPr>
            </w:pPr>
            <w:r>
              <w:rPr>
                <w:rFonts w:hint="eastAsia" w:eastAsia="仿宋_GB2312"/>
                <w:b/>
                <w:sz w:val="24"/>
                <w:szCs w:val="24"/>
              </w:rPr>
              <w:t>发展水平</w:t>
            </w:r>
          </w:p>
        </w:tc>
        <w:tc>
          <w:tcPr>
            <w:tcW w:w="4111" w:type="dxa"/>
            <w:shd w:val="clear" w:color="auto" w:fill="auto"/>
            <w:vAlign w:val="center"/>
          </w:tcPr>
          <w:p>
            <w:pPr>
              <w:spacing w:line="300" w:lineRule="exact"/>
              <w:jc w:val="center"/>
              <w:rPr>
                <w:rFonts w:eastAsia="仿宋_GB2312"/>
                <w:szCs w:val="21"/>
              </w:rPr>
            </w:pPr>
            <w:r>
              <w:rPr>
                <w:rFonts w:hint="eastAsia" w:eastAsia="仿宋_GB2312"/>
                <w:szCs w:val="21"/>
              </w:rPr>
              <w:t>工业总产值（亿元）</w:t>
            </w:r>
          </w:p>
        </w:tc>
        <w:tc>
          <w:tcPr>
            <w:tcW w:w="1276" w:type="dxa"/>
            <w:shd w:val="clear" w:color="auto" w:fill="auto"/>
            <w:vAlign w:val="center"/>
          </w:tcPr>
          <w:p>
            <w:pPr>
              <w:spacing w:line="300" w:lineRule="exact"/>
              <w:jc w:val="center"/>
              <w:rPr>
                <w:rFonts w:eastAsia="仿宋_GB2312"/>
                <w:szCs w:val="21"/>
              </w:rPr>
            </w:pPr>
            <w:r>
              <w:rPr>
                <w:rFonts w:hint="eastAsia" w:eastAsia="仿宋_GB2312"/>
                <w:szCs w:val="21"/>
              </w:rPr>
              <w:t>预期性</w:t>
            </w:r>
          </w:p>
        </w:tc>
        <w:tc>
          <w:tcPr>
            <w:tcW w:w="1134" w:type="dxa"/>
            <w:shd w:val="clear" w:color="auto" w:fill="auto"/>
            <w:vAlign w:val="center"/>
          </w:tcPr>
          <w:p>
            <w:pPr>
              <w:spacing w:line="300" w:lineRule="exact"/>
              <w:jc w:val="center"/>
              <w:rPr>
                <w:rFonts w:eastAsia="仿宋_GB2312"/>
                <w:szCs w:val="21"/>
              </w:rPr>
            </w:pPr>
            <w:r>
              <w:rPr>
                <w:rFonts w:hint="eastAsia" w:eastAsia="仿宋_GB2312"/>
                <w:szCs w:val="21"/>
              </w:rPr>
              <w:t>137</w:t>
            </w:r>
          </w:p>
        </w:tc>
        <w:tc>
          <w:tcPr>
            <w:tcW w:w="1134" w:type="dxa"/>
            <w:shd w:val="clear" w:color="auto" w:fill="auto"/>
            <w:vAlign w:val="center"/>
          </w:tcPr>
          <w:p>
            <w:pPr>
              <w:spacing w:line="300" w:lineRule="exact"/>
              <w:jc w:val="center"/>
              <w:rPr>
                <w:rFonts w:eastAsia="仿宋_GB2312"/>
                <w:szCs w:val="21"/>
              </w:rPr>
            </w:pPr>
            <w:r>
              <w:rPr>
                <w:rFonts w:eastAsia="仿宋_GB2312"/>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b/>
                <w:sz w:val="24"/>
                <w:szCs w:val="24"/>
              </w:rPr>
            </w:pPr>
          </w:p>
        </w:tc>
        <w:tc>
          <w:tcPr>
            <w:tcW w:w="4111" w:type="dxa"/>
            <w:shd w:val="clear" w:color="auto" w:fill="auto"/>
            <w:vAlign w:val="center"/>
          </w:tcPr>
          <w:p>
            <w:pPr>
              <w:spacing w:line="300" w:lineRule="exact"/>
              <w:jc w:val="center"/>
              <w:rPr>
                <w:rFonts w:eastAsia="仿宋_GB2312"/>
                <w:szCs w:val="21"/>
              </w:rPr>
            </w:pPr>
            <w:r>
              <w:rPr>
                <w:rFonts w:hint="eastAsia" w:eastAsia="仿宋_GB2312"/>
                <w:szCs w:val="21"/>
              </w:rPr>
              <w:t>工业增加值（亿元）</w:t>
            </w:r>
          </w:p>
        </w:tc>
        <w:tc>
          <w:tcPr>
            <w:tcW w:w="1276" w:type="dxa"/>
            <w:shd w:val="clear" w:color="auto" w:fill="auto"/>
            <w:vAlign w:val="center"/>
          </w:tcPr>
          <w:p>
            <w:pPr>
              <w:spacing w:line="300" w:lineRule="exact"/>
              <w:jc w:val="center"/>
              <w:rPr>
                <w:rFonts w:eastAsia="仿宋_GB2312"/>
                <w:szCs w:val="21"/>
              </w:rPr>
            </w:pPr>
            <w:r>
              <w:rPr>
                <w:rFonts w:hint="eastAsia" w:eastAsia="仿宋_GB2312"/>
                <w:szCs w:val="21"/>
              </w:rPr>
              <w:t>预期性</w:t>
            </w:r>
          </w:p>
        </w:tc>
        <w:tc>
          <w:tcPr>
            <w:tcW w:w="1134" w:type="dxa"/>
            <w:shd w:val="clear" w:color="auto" w:fill="auto"/>
            <w:vAlign w:val="center"/>
          </w:tcPr>
          <w:p>
            <w:pPr>
              <w:spacing w:line="300" w:lineRule="exact"/>
              <w:jc w:val="center"/>
              <w:rPr>
                <w:rFonts w:eastAsia="仿宋_GB2312"/>
                <w:szCs w:val="21"/>
              </w:rPr>
            </w:pPr>
            <w:r>
              <w:rPr>
                <w:rFonts w:hint="eastAsia" w:eastAsia="仿宋_GB2312"/>
                <w:szCs w:val="21"/>
              </w:rPr>
              <w:t>37.4</w:t>
            </w:r>
          </w:p>
        </w:tc>
        <w:tc>
          <w:tcPr>
            <w:tcW w:w="1134" w:type="dxa"/>
            <w:shd w:val="clear" w:color="auto" w:fill="auto"/>
            <w:vAlign w:val="center"/>
          </w:tcPr>
          <w:p>
            <w:pPr>
              <w:spacing w:line="300" w:lineRule="exact"/>
              <w:jc w:val="center"/>
              <w:rPr>
                <w:rFonts w:eastAsia="仿宋_GB2312"/>
                <w:szCs w:val="21"/>
              </w:rPr>
            </w:pPr>
            <w:r>
              <w:rPr>
                <w:rFonts w:eastAsia="仿宋_GB2312"/>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b/>
                <w:sz w:val="24"/>
                <w:szCs w:val="24"/>
              </w:rPr>
            </w:pPr>
          </w:p>
        </w:tc>
        <w:tc>
          <w:tcPr>
            <w:tcW w:w="4111" w:type="dxa"/>
            <w:shd w:val="clear" w:color="auto" w:fill="auto"/>
            <w:vAlign w:val="center"/>
          </w:tcPr>
          <w:p>
            <w:pPr>
              <w:spacing w:line="300" w:lineRule="exact"/>
              <w:jc w:val="center"/>
              <w:rPr>
                <w:rFonts w:eastAsia="仿宋_GB2312"/>
                <w:szCs w:val="21"/>
              </w:rPr>
            </w:pPr>
            <w:r>
              <w:rPr>
                <w:rFonts w:hint="eastAsia" w:eastAsia="仿宋_GB2312"/>
                <w:szCs w:val="21"/>
              </w:rPr>
              <w:t>工业增加值占</w:t>
            </w:r>
            <w:r>
              <w:rPr>
                <w:rFonts w:eastAsia="仿宋_GB2312"/>
                <w:szCs w:val="21"/>
              </w:rPr>
              <w:t>GDP</w:t>
            </w:r>
            <w:r>
              <w:rPr>
                <w:rFonts w:hint="eastAsia" w:eastAsia="仿宋_GB2312"/>
                <w:szCs w:val="21"/>
              </w:rPr>
              <w:t>比重（</w:t>
            </w:r>
            <w:r>
              <w:rPr>
                <w:rFonts w:eastAsia="仿宋_GB2312"/>
                <w:szCs w:val="21"/>
              </w:rPr>
              <w:t>%</w:t>
            </w:r>
            <w:r>
              <w:rPr>
                <w:rFonts w:hint="eastAsia" w:eastAsia="仿宋_GB2312"/>
                <w:szCs w:val="21"/>
              </w:rPr>
              <w:t>）</w:t>
            </w:r>
          </w:p>
        </w:tc>
        <w:tc>
          <w:tcPr>
            <w:tcW w:w="1276" w:type="dxa"/>
            <w:shd w:val="clear" w:color="auto" w:fill="auto"/>
            <w:vAlign w:val="center"/>
          </w:tcPr>
          <w:p>
            <w:pPr>
              <w:spacing w:line="300" w:lineRule="exact"/>
              <w:jc w:val="center"/>
              <w:rPr>
                <w:rFonts w:eastAsia="仿宋_GB2312"/>
                <w:szCs w:val="21"/>
              </w:rPr>
            </w:pPr>
            <w:r>
              <w:rPr>
                <w:rFonts w:hint="eastAsia" w:eastAsia="仿宋_GB2312"/>
                <w:szCs w:val="21"/>
              </w:rPr>
              <w:t>预期性</w:t>
            </w:r>
          </w:p>
        </w:tc>
        <w:tc>
          <w:tcPr>
            <w:tcW w:w="1134" w:type="dxa"/>
            <w:shd w:val="clear" w:color="auto" w:fill="auto"/>
            <w:vAlign w:val="center"/>
          </w:tcPr>
          <w:p>
            <w:pPr>
              <w:spacing w:line="300" w:lineRule="exact"/>
              <w:jc w:val="center"/>
              <w:rPr>
                <w:rFonts w:eastAsia="仿宋_GB2312"/>
                <w:szCs w:val="21"/>
              </w:rPr>
            </w:pPr>
            <w:r>
              <w:rPr>
                <w:rFonts w:hint="eastAsia" w:eastAsia="仿宋_GB2312"/>
                <w:szCs w:val="21"/>
              </w:rPr>
              <w:t>11.2</w:t>
            </w:r>
          </w:p>
        </w:tc>
        <w:tc>
          <w:tcPr>
            <w:tcW w:w="1134" w:type="dxa"/>
            <w:shd w:val="clear" w:color="auto" w:fill="auto"/>
            <w:vAlign w:val="center"/>
          </w:tcPr>
          <w:p>
            <w:pPr>
              <w:spacing w:line="300" w:lineRule="exact"/>
              <w:jc w:val="center"/>
              <w:rPr>
                <w:rFonts w:eastAsia="仿宋_GB2312"/>
                <w:szCs w:val="21"/>
              </w:rPr>
            </w:pPr>
            <w:r>
              <w:rPr>
                <w:rFonts w:hint="eastAsia"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规上工业企业数量（家）</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eastAsia="仿宋_GB2312"/>
                <w:szCs w:val="21"/>
              </w:rPr>
              <w:t>61</w:t>
            </w:r>
          </w:p>
        </w:tc>
        <w:tc>
          <w:tcPr>
            <w:tcW w:w="1134" w:type="dxa"/>
            <w:vAlign w:val="center"/>
          </w:tcPr>
          <w:p>
            <w:pPr>
              <w:spacing w:line="300" w:lineRule="exact"/>
              <w:jc w:val="center"/>
              <w:rPr>
                <w:rFonts w:eastAsia="仿宋_GB2312"/>
                <w:szCs w:val="21"/>
              </w:rPr>
            </w:pPr>
            <w:r>
              <w:rPr>
                <w:rFonts w:eastAsia="仿宋_GB2312"/>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exact"/>
              <w:jc w:val="center"/>
              <w:rPr>
                <w:rFonts w:eastAsia="仿宋_GB2312"/>
                <w:b/>
                <w:sz w:val="24"/>
                <w:szCs w:val="24"/>
              </w:rPr>
            </w:pPr>
            <w:r>
              <w:rPr>
                <w:rFonts w:hint="eastAsia" w:eastAsia="仿宋_GB2312"/>
                <w:b/>
                <w:sz w:val="24"/>
                <w:szCs w:val="24"/>
              </w:rPr>
              <w:t>发展质量</w:t>
            </w:r>
          </w:p>
        </w:tc>
        <w:tc>
          <w:tcPr>
            <w:tcW w:w="4111" w:type="dxa"/>
            <w:vAlign w:val="center"/>
          </w:tcPr>
          <w:p>
            <w:pPr>
              <w:spacing w:line="300" w:lineRule="exact"/>
              <w:jc w:val="center"/>
              <w:rPr>
                <w:rFonts w:eastAsia="仿宋_GB2312"/>
                <w:szCs w:val="21"/>
              </w:rPr>
            </w:pPr>
            <w:r>
              <w:rPr>
                <w:rFonts w:hint="eastAsia" w:eastAsia="仿宋_GB2312"/>
                <w:szCs w:val="21"/>
              </w:rPr>
              <w:t>规模以上工业企业全员劳动生产率（万元</w:t>
            </w:r>
            <w:r>
              <w:rPr>
                <w:rFonts w:eastAsia="仿宋_GB2312"/>
                <w:szCs w:val="21"/>
              </w:rPr>
              <w:t>/人）</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eastAsia="仿宋_GB2312"/>
                <w:szCs w:val="21"/>
              </w:rPr>
              <w:t>31</w:t>
            </w:r>
          </w:p>
        </w:tc>
        <w:tc>
          <w:tcPr>
            <w:tcW w:w="1134" w:type="dxa"/>
            <w:vAlign w:val="center"/>
          </w:tcPr>
          <w:p>
            <w:pPr>
              <w:spacing w:line="300" w:lineRule="exact"/>
              <w:jc w:val="center"/>
              <w:rPr>
                <w:rFonts w:eastAsia="仿宋_GB2312"/>
                <w:szCs w:val="21"/>
              </w:rPr>
            </w:pPr>
            <w:r>
              <w:rPr>
                <w:rFonts w:eastAsia="仿宋_GB231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规模以上工业主营业务收入利润率（</w:t>
            </w:r>
            <w:r>
              <w:rPr>
                <w:rFonts w:eastAsia="仿宋_GB2312"/>
                <w:szCs w:val="21"/>
              </w:rPr>
              <w:t>%）</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hint="eastAsia" w:eastAsia="仿宋_GB2312"/>
                <w:szCs w:val="21"/>
              </w:rPr>
              <w:t>——</w:t>
            </w:r>
          </w:p>
        </w:tc>
        <w:tc>
          <w:tcPr>
            <w:tcW w:w="1134" w:type="dxa"/>
            <w:vAlign w:val="center"/>
          </w:tcPr>
          <w:p>
            <w:pPr>
              <w:spacing w:line="300" w:lineRule="exact"/>
              <w:jc w:val="center"/>
              <w:rPr>
                <w:rFonts w:eastAsia="仿宋_GB2312"/>
                <w:szCs w:val="21"/>
              </w:rPr>
            </w:pPr>
            <w:r>
              <w:rPr>
                <w:rFonts w:eastAsia="仿宋_GB2312"/>
                <w:szCs w:val="21"/>
              </w:rPr>
              <w:t>&gt;6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spacing w:line="300" w:lineRule="exact"/>
              <w:jc w:val="center"/>
              <w:rPr>
                <w:rFonts w:eastAsia="仿宋_GB2312"/>
                <w:b/>
                <w:sz w:val="24"/>
                <w:szCs w:val="24"/>
              </w:rPr>
            </w:pPr>
            <w:r>
              <w:rPr>
                <w:rFonts w:hint="eastAsia" w:eastAsia="仿宋_GB2312"/>
                <w:b/>
                <w:sz w:val="24"/>
                <w:szCs w:val="24"/>
              </w:rPr>
              <w:t>融合发展</w:t>
            </w:r>
          </w:p>
        </w:tc>
        <w:tc>
          <w:tcPr>
            <w:tcW w:w="4111" w:type="dxa"/>
            <w:vAlign w:val="center"/>
          </w:tcPr>
          <w:p>
            <w:pPr>
              <w:spacing w:line="300" w:lineRule="exact"/>
              <w:jc w:val="center"/>
              <w:rPr>
                <w:rFonts w:eastAsia="仿宋_GB2312"/>
                <w:szCs w:val="21"/>
              </w:rPr>
            </w:pPr>
            <w:r>
              <w:rPr>
                <w:rFonts w:hint="eastAsia" w:eastAsia="仿宋_GB2312"/>
                <w:szCs w:val="21"/>
              </w:rPr>
              <w:t>“上云上平台”企业数量</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eastAsia="仿宋_GB2312"/>
                <w:szCs w:val="21"/>
              </w:rPr>
              <w:t>5</w:t>
            </w:r>
          </w:p>
        </w:tc>
        <w:tc>
          <w:tcPr>
            <w:tcW w:w="1134" w:type="dxa"/>
            <w:vAlign w:val="center"/>
          </w:tcPr>
          <w:p>
            <w:pPr>
              <w:spacing w:line="300" w:lineRule="exact"/>
              <w:jc w:val="center"/>
              <w:rPr>
                <w:rFonts w:eastAsia="仿宋_GB2312"/>
                <w:szCs w:val="21"/>
              </w:rPr>
            </w:pPr>
            <w:r>
              <w:rPr>
                <w:rFonts w:eastAsia="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数字化车间和智能工厂数量</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eastAsia="仿宋_GB2312"/>
                <w:szCs w:val="21"/>
              </w:rPr>
              <w:t>0</w:t>
            </w:r>
          </w:p>
        </w:tc>
        <w:tc>
          <w:tcPr>
            <w:tcW w:w="1134" w:type="dxa"/>
            <w:vAlign w:val="center"/>
          </w:tcPr>
          <w:p>
            <w:pPr>
              <w:spacing w:line="300" w:lineRule="exact"/>
              <w:jc w:val="center"/>
              <w:rPr>
                <w:rFonts w:eastAsia="仿宋_GB2312"/>
                <w:szCs w:val="21"/>
              </w:rPr>
            </w:pPr>
            <w:r>
              <w:rPr>
                <w:rFonts w:eastAsia="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pPr>
              <w:spacing w:line="300" w:lineRule="exact"/>
              <w:jc w:val="center"/>
              <w:rPr>
                <w:rFonts w:eastAsia="仿宋_GB2312"/>
                <w:b/>
                <w:sz w:val="24"/>
                <w:szCs w:val="24"/>
              </w:rPr>
            </w:pPr>
            <w:r>
              <w:rPr>
                <w:rFonts w:hint="eastAsia" w:eastAsia="仿宋_GB2312"/>
                <w:b/>
                <w:sz w:val="24"/>
                <w:szCs w:val="24"/>
              </w:rPr>
              <w:t>科技创新</w:t>
            </w:r>
          </w:p>
        </w:tc>
        <w:tc>
          <w:tcPr>
            <w:tcW w:w="4111" w:type="dxa"/>
            <w:vAlign w:val="center"/>
          </w:tcPr>
          <w:p>
            <w:pPr>
              <w:spacing w:line="300" w:lineRule="exact"/>
              <w:jc w:val="center"/>
              <w:rPr>
                <w:rFonts w:eastAsia="仿宋_GB2312"/>
                <w:szCs w:val="21"/>
              </w:rPr>
            </w:pPr>
            <w:r>
              <w:rPr>
                <w:rFonts w:hint="eastAsia" w:eastAsia="仿宋_GB2312"/>
                <w:szCs w:val="21"/>
              </w:rPr>
              <w:t>规模以上工业企业研发投入强度（</w:t>
            </w:r>
            <w:r>
              <w:rPr>
                <w:rFonts w:eastAsia="仿宋_GB2312"/>
                <w:szCs w:val="21"/>
              </w:rPr>
              <w:t>%</w:t>
            </w:r>
            <w:r>
              <w:rPr>
                <w:rFonts w:hint="eastAsia" w:eastAsia="仿宋_GB2312"/>
                <w:szCs w:val="21"/>
              </w:rPr>
              <w:t>）</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t>2.68</w:t>
            </w:r>
          </w:p>
        </w:tc>
        <w:tc>
          <w:tcPr>
            <w:tcW w:w="1134" w:type="dxa"/>
            <w:vAlign w:val="center"/>
          </w:tcPr>
          <w:p>
            <w:pPr>
              <w:spacing w:line="300" w:lineRule="exact"/>
              <w:jc w:val="center"/>
              <w:rPr>
                <w:rFonts w:eastAsia="仿宋_GB2312"/>
                <w:szCs w:val="21"/>
              </w:rPr>
            </w:pPr>
            <w: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科技型企业数量（家）</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t>399</w:t>
            </w:r>
          </w:p>
        </w:tc>
        <w:tc>
          <w:tcPr>
            <w:tcW w:w="1134" w:type="dxa"/>
            <w:vAlign w:val="center"/>
          </w:tcPr>
          <w:p>
            <w:pPr>
              <w:spacing w:line="300" w:lineRule="exact"/>
              <w:jc w:val="center"/>
              <w:rPr>
                <w:rFonts w:eastAsia="仿宋_GB2312"/>
                <w:szCs w:val="21"/>
              </w:rPr>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高新技术企业数量（家）</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t>17</w:t>
            </w:r>
          </w:p>
        </w:tc>
        <w:tc>
          <w:tcPr>
            <w:tcW w:w="1134" w:type="dxa"/>
            <w:vAlign w:val="center"/>
          </w:tcPr>
          <w:p>
            <w:pPr>
              <w:spacing w:line="300" w:lineRule="exact"/>
              <w:jc w:val="center"/>
              <w:rPr>
                <w:rFonts w:eastAsia="仿宋_GB2312"/>
                <w:szCs w:val="21"/>
              </w:rPr>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71" w:type="dxa"/>
            <w:vMerge w:val="continue"/>
            <w:vAlign w:val="center"/>
          </w:tcPr>
          <w:p>
            <w:pPr>
              <w:spacing w:line="300" w:lineRule="exact"/>
              <w:jc w:val="center"/>
              <w:rPr>
                <w:rFonts w:eastAsia="仿宋_GB2312"/>
                <w:b/>
                <w:sz w:val="24"/>
                <w:szCs w:val="24"/>
              </w:rPr>
            </w:pPr>
          </w:p>
        </w:tc>
        <w:tc>
          <w:tcPr>
            <w:tcW w:w="4111" w:type="dxa"/>
            <w:vAlign w:val="center"/>
          </w:tcPr>
          <w:p>
            <w:pPr>
              <w:spacing w:line="300" w:lineRule="exact"/>
              <w:jc w:val="center"/>
              <w:rPr>
                <w:rFonts w:eastAsia="仿宋_GB2312"/>
                <w:szCs w:val="21"/>
              </w:rPr>
            </w:pPr>
            <w:r>
              <w:rPr>
                <w:rFonts w:hint="eastAsia" w:eastAsia="仿宋_GB2312"/>
                <w:szCs w:val="21"/>
              </w:rPr>
              <w:t>企业技术研发中心数量（家）</w:t>
            </w:r>
          </w:p>
        </w:tc>
        <w:tc>
          <w:tcPr>
            <w:tcW w:w="1276" w:type="dxa"/>
            <w:vAlign w:val="center"/>
          </w:tcPr>
          <w:p>
            <w:pPr>
              <w:spacing w:line="300" w:lineRule="exact"/>
              <w:jc w:val="center"/>
              <w:rPr>
                <w:rFonts w:eastAsia="仿宋_GB2312"/>
                <w:szCs w:val="21"/>
              </w:rPr>
            </w:pPr>
            <w:r>
              <w:rPr>
                <w:rFonts w:hint="eastAsia" w:eastAsia="仿宋_GB2312"/>
                <w:szCs w:val="21"/>
              </w:rPr>
              <w:t>预期性</w:t>
            </w:r>
          </w:p>
        </w:tc>
        <w:tc>
          <w:tcPr>
            <w:tcW w:w="1134" w:type="dxa"/>
            <w:vAlign w:val="center"/>
          </w:tcPr>
          <w:p>
            <w:pPr>
              <w:spacing w:line="300" w:lineRule="exact"/>
              <w:jc w:val="center"/>
              <w:rPr>
                <w:rFonts w:eastAsia="仿宋_GB2312"/>
                <w:szCs w:val="21"/>
              </w:rPr>
            </w:pPr>
            <w:r>
              <w:rPr>
                <w:rFonts w:eastAsia="仿宋_GB2312"/>
                <w:szCs w:val="21"/>
              </w:rPr>
              <w:t>28</w:t>
            </w:r>
          </w:p>
        </w:tc>
        <w:tc>
          <w:tcPr>
            <w:tcW w:w="1134" w:type="dxa"/>
            <w:vAlign w:val="center"/>
          </w:tcPr>
          <w:p>
            <w:pPr>
              <w:spacing w:line="300" w:lineRule="exact"/>
              <w:jc w:val="center"/>
              <w:rPr>
                <w:rFonts w:eastAsia="仿宋_GB2312"/>
                <w:szCs w:val="21"/>
              </w:rPr>
            </w:pPr>
            <w:r>
              <w:rPr>
                <w:rFonts w:eastAsia="仿宋_GB231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exact"/>
              <w:jc w:val="center"/>
              <w:rPr>
                <w:rFonts w:eastAsia="仿宋_GB2312"/>
                <w:b/>
                <w:sz w:val="24"/>
                <w:szCs w:val="24"/>
              </w:rPr>
            </w:pPr>
            <w:r>
              <w:rPr>
                <w:rFonts w:hint="eastAsia" w:eastAsia="仿宋_GB2312"/>
                <w:b/>
                <w:sz w:val="24"/>
                <w:szCs w:val="24"/>
              </w:rPr>
              <w:t>绿色发展</w:t>
            </w:r>
          </w:p>
        </w:tc>
        <w:tc>
          <w:tcPr>
            <w:tcW w:w="4111" w:type="dxa"/>
            <w:vAlign w:val="center"/>
          </w:tcPr>
          <w:p>
            <w:pPr>
              <w:spacing w:line="300" w:lineRule="exact"/>
              <w:rPr>
                <w:rFonts w:eastAsia="仿宋_GB2312"/>
                <w:szCs w:val="21"/>
              </w:rPr>
            </w:pPr>
            <w:r>
              <w:rPr>
                <w:rFonts w:hint="eastAsia" w:eastAsia="仿宋_GB2312"/>
                <w:szCs w:val="21"/>
              </w:rPr>
              <w:t>规模以上工业单位增加值能耗下降率（</w:t>
            </w:r>
            <w:r>
              <w:rPr>
                <w:rFonts w:eastAsia="仿宋_GB2312"/>
                <w:szCs w:val="21"/>
              </w:rPr>
              <w:t>%）</w:t>
            </w:r>
          </w:p>
        </w:tc>
        <w:tc>
          <w:tcPr>
            <w:tcW w:w="1276" w:type="dxa"/>
            <w:vAlign w:val="center"/>
          </w:tcPr>
          <w:p>
            <w:pPr>
              <w:spacing w:line="300" w:lineRule="exact"/>
              <w:jc w:val="center"/>
              <w:rPr>
                <w:rFonts w:eastAsia="仿宋_GB2312"/>
                <w:szCs w:val="21"/>
              </w:rPr>
            </w:pPr>
            <w:r>
              <w:rPr>
                <w:rFonts w:hint="eastAsia" w:eastAsia="仿宋_GB2312"/>
                <w:szCs w:val="21"/>
              </w:rPr>
              <w:t>约束性</w:t>
            </w:r>
          </w:p>
        </w:tc>
        <w:tc>
          <w:tcPr>
            <w:tcW w:w="1134" w:type="dxa"/>
            <w:vAlign w:val="center"/>
          </w:tcPr>
          <w:p>
            <w:pPr>
              <w:spacing w:line="300" w:lineRule="exact"/>
              <w:jc w:val="center"/>
              <w:rPr>
                <w:rFonts w:eastAsia="仿宋_GB2312"/>
                <w:szCs w:val="21"/>
              </w:rPr>
            </w:pPr>
            <w:r>
              <w:rPr>
                <w:rFonts w:eastAsia="仿宋_GB2312"/>
                <w:szCs w:val="21"/>
              </w:rPr>
              <w:t>——</w:t>
            </w:r>
          </w:p>
        </w:tc>
        <w:tc>
          <w:tcPr>
            <w:tcW w:w="1134" w:type="dxa"/>
            <w:vAlign w:val="center"/>
          </w:tcPr>
          <w:p>
            <w:pPr>
              <w:spacing w:line="300" w:lineRule="exact"/>
              <w:jc w:val="center"/>
              <w:rPr>
                <w:rFonts w:eastAsia="仿宋_GB2312"/>
                <w:szCs w:val="21"/>
              </w:rPr>
            </w:pPr>
            <w:r>
              <w:rPr>
                <w:rFonts w:eastAsia="楷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exact"/>
              <w:jc w:val="center"/>
              <w:rPr>
                <w:rFonts w:eastAsia="仿宋_GB2312"/>
                <w:sz w:val="24"/>
                <w:szCs w:val="24"/>
              </w:rPr>
            </w:pPr>
          </w:p>
        </w:tc>
        <w:tc>
          <w:tcPr>
            <w:tcW w:w="4111" w:type="dxa"/>
            <w:vAlign w:val="center"/>
          </w:tcPr>
          <w:p>
            <w:pPr>
              <w:spacing w:line="300" w:lineRule="exact"/>
              <w:rPr>
                <w:rFonts w:eastAsia="仿宋_GB2312"/>
                <w:szCs w:val="21"/>
              </w:rPr>
            </w:pPr>
            <w:r>
              <w:rPr>
                <w:rFonts w:hint="eastAsia" w:eastAsia="仿宋_GB2312"/>
                <w:szCs w:val="21"/>
              </w:rPr>
              <w:t>规模以上工业单位增加值水耗下降率（</w:t>
            </w:r>
            <w:r>
              <w:rPr>
                <w:rFonts w:eastAsia="仿宋_GB2312"/>
                <w:szCs w:val="21"/>
              </w:rPr>
              <w:t>%）</w:t>
            </w:r>
          </w:p>
        </w:tc>
        <w:tc>
          <w:tcPr>
            <w:tcW w:w="1276" w:type="dxa"/>
            <w:vAlign w:val="center"/>
          </w:tcPr>
          <w:p>
            <w:pPr>
              <w:spacing w:line="300" w:lineRule="exact"/>
              <w:jc w:val="center"/>
              <w:rPr>
                <w:rFonts w:eastAsia="仿宋_GB2312"/>
                <w:szCs w:val="21"/>
              </w:rPr>
            </w:pPr>
            <w:r>
              <w:rPr>
                <w:rFonts w:hint="eastAsia" w:eastAsia="仿宋_GB2312"/>
                <w:szCs w:val="21"/>
              </w:rPr>
              <w:t>约束性</w:t>
            </w:r>
          </w:p>
        </w:tc>
        <w:tc>
          <w:tcPr>
            <w:tcW w:w="1134" w:type="dxa"/>
            <w:vAlign w:val="center"/>
          </w:tcPr>
          <w:p>
            <w:pPr>
              <w:spacing w:line="300" w:lineRule="exact"/>
              <w:jc w:val="center"/>
              <w:rPr>
                <w:rFonts w:eastAsia="仿宋_GB2312"/>
                <w:szCs w:val="21"/>
              </w:rPr>
            </w:pPr>
            <w:r>
              <w:rPr>
                <w:rFonts w:eastAsia="仿宋_GB2312"/>
                <w:szCs w:val="21"/>
              </w:rPr>
              <w:t>——</w:t>
            </w:r>
          </w:p>
        </w:tc>
        <w:tc>
          <w:tcPr>
            <w:tcW w:w="1134" w:type="dxa"/>
            <w:vAlign w:val="center"/>
          </w:tcPr>
          <w:p>
            <w:pPr>
              <w:spacing w:line="300" w:lineRule="exact"/>
              <w:jc w:val="center"/>
              <w:rPr>
                <w:rFonts w:eastAsia="仿宋_GB2312"/>
                <w:szCs w:val="21"/>
              </w:rPr>
            </w:pPr>
            <w:r>
              <w:rPr>
                <w:rFonts w:eastAsia="楷体"/>
                <w:szCs w:val="21"/>
              </w:rPr>
              <w:t>[-20]</w:t>
            </w:r>
          </w:p>
        </w:tc>
      </w:tr>
    </w:tbl>
    <w:p>
      <w:pPr>
        <w:spacing w:line="280" w:lineRule="exact"/>
        <w:rPr>
          <w:rFonts w:eastAsia="楷体"/>
          <w:szCs w:val="21"/>
        </w:rPr>
      </w:pPr>
      <w:r>
        <w:rPr>
          <w:rFonts w:eastAsia="楷体"/>
          <w:szCs w:val="21"/>
        </w:rPr>
        <w:t>注：1.现状数据以统计年鉴最终公布数据为准。</w:t>
      </w:r>
    </w:p>
    <w:p>
      <w:pPr>
        <w:spacing w:line="280" w:lineRule="exact"/>
        <w:ind w:firstLine="424" w:firstLineChars="202"/>
        <w:rPr>
          <w:rFonts w:eastAsia="楷体"/>
          <w:szCs w:val="21"/>
        </w:rPr>
      </w:pPr>
      <w:r>
        <w:rPr>
          <w:rFonts w:eastAsia="楷体"/>
          <w:szCs w:val="21"/>
        </w:rPr>
        <w:t>2.涉及价格变化指标均为当年价，[]内为规划期累计数。</w:t>
      </w:r>
    </w:p>
    <w:p>
      <w:pPr>
        <w:spacing w:line="280" w:lineRule="exact"/>
        <w:ind w:firstLine="424" w:firstLineChars="202"/>
        <w:rPr>
          <w:rFonts w:eastAsia="楷体"/>
          <w:szCs w:val="21"/>
        </w:rPr>
      </w:pPr>
      <w:r>
        <w:rPr>
          <w:rFonts w:eastAsia="楷体"/>
          <w:szCs w:val="21"/>
        </w:rPr>
        <w:t>3.约束性指标以</w:t>
      </w:r>
      <w:r>
        <w:rPr>
          <w:rFonts w:hint="eastAsia" w:eastAsia="楷体"/>
          <w:szCs w:val="21"/>
        </w:rPr>
        <w:t>重庆市</w:t>
      </w:r>
      <w:r>
        <w:rPr>
          <w:rFonts w:eastAsia="楷体"/>
          <w:szCs w:val="21"/>
        </w:rPr>
        <w:t>下达我县强制性计划为准。</w:t>
      </w:r>
    </w:p>
    <w:p>
      <w:pPr>
        <w:spacing w:line="280" w:lineRule="exact"/>
        <w:ind w:firstLine="424" w:firstLineChars="202"/>
        <w:rPr>
          <w:rFonts w:eastAsia="楷体"/>
          <w:szCs w:val="21"/>
        </w:rPr>
      </w:pPr>
      <w:r>
        <w:rPr>
          <w:rFonts w:eastAsia="楷体"/>
          <w:szCs w:val="21"/>
        </w:rPr>
        <w:t>4.工业增加值目标按不变价计算。</w:t>
      </w:r>
    </w:p>
    <w:bookmarkEnd w:id="64"/>
    <w:bookmarkEnd w:id="65"/>
    <w:p>
      <w:pPr>
        <w:pStyle w:val="4"/>
        <w:spacing w:before="100" w:beforeAutospacing="1" w:after="100" w:afterAutospacing="1" w:line="240" w:lineRule="auto"/>
        <w:jc w:val="center"/>
        <w:rPr>
          <w:rFonts w:eastAsia="黑体"/>
          <w:sz w:val="36"/>
          <w:szCs w:val="36"/>
        </w:rPr>
      </w:pPr>
      <w:bookmarkStart w:id="66" w:name="_Toc103805226"/>
      <w:bookmarkStart w:id="67" w:name="_Toc89087822"/>
      <w:bookmarkStart w:id="68" w:name="_Toc57368054"/>
      <w:r>
        <w:rPr>
          <w:rFonts w:hint="eastAsia" w:eastAsia="黑体"/>
          <w:sz w:val="36"/>
          <w:szCs w:val="36"/>
        </w:rPr>
        <w:t>第三章</w:t>
      </w:r>
      <w:r>
        <w:rPr>
          <w:rFonts w:eastAsia="黑体"/>
          <w:sz w:val="36"/>
          <w:szCs w:val="36"/>
        </w:rPr>
        <w:t xml:space="preserve"> 着力优化空间布局</w:t>
      </w:r>
      <w:bookmarkEnd w:id="66"/>
      <w:bookmarkEnd w:id="67"/>
      <w:bookmarkEnd w:id="68"/>
    </w:p>
    <w:p>
      <w:pPr>
        <w:pStyle w:val="12"/>
        <w:ind w:firstLine="640"/>
      </w:pPr>
      <w:r>
        <w:rPr>
          <w:rFonts w:hint="eastAsia"/>
        </w:rPr>
        <w:t>按照</w:t>
      </w:r>
      <w:r>
        <w:t>“</w:t>
      </w:r>
      <w:r>
        <w:rPr>
          <w:rFonts w:hint="eastAsia"/>
        </w:rPr>
        <w:t>布局集中、用地集约、产业集聚</w:t>
      </w:r>
      <w:r>
        <w:t>”</w:t>
      </w:r>
      <w:r>
        <w:rPr>
          <w:rFonts w:hint="eastAsia"/>
        </w:rPr>
        <w:t>的原则，结合奉节资源环境承载能力和产业比较优势，统筹考虑区域产业、城镇和生态空间，加快形成功能定位清晰、产业特色鲜明、循环特征突出的产业集聚区。结合奉节县实际，坚持集群发展，发挥特色优势，推进产业空间布局调整优化，依托工业园区草堂、康乐组团和安坪镇等重点乡镇，着力构建</w:t>
      </w:r>
      <w:r>
        <w:t>分布合理</w:t>
      </w:r>
      <w:r>
        <w:rPr>
          <w:rFonts w:hint="eastAsia"/>
        </w:rPr>
        <w:t>、</w:t>
      </w:r>
      <w:r>
        <w:t>特色鲜明的</w:t>
      </w:r>
      <w:r>
        <w:rPr>
          <w:rFonts w:hint="eastAsia"/>
        </w:rPr>
        <w:t>生态工业空间格局。</w:t>
      </w:r>
    </w:p>
    <w:p>
      <w:pPr>
        <w:pStyle w:val="12"/>
        <w:ind w:firstLine="643"/>
      </w:pPr>
      <w:r>
        <w:rPr>
          <w:rFonts w:hint="eastAsia"/>
          <w:b/>
        </w:rPr>
        <w:t>奉节工业园草堂组团：</w:t>
      </w:r>
      <w:r>
        <w:rPr>
          <w:rFonts w:hint="eastAsia"/>
        </w:rPr>
        <w:t>重点发展眼镜制造和特色农产品加工两大主导产业，培育发展特色生物制药和新型材料两大新兴产业，打造优势产业集群。同时，充分发挥临近机场、高速公路和夔门景区的区位优势，建设集中仓储设施，大力发展仓储物流产业。园区规划面积4</w:t>
      </w:r>
      <w:r>
        <w:t>.61平方公里</w:t>
      </w:r>
      <w:r>
        <w:rPr>
          <w:rFonts w:hint="eastAsia"/>
        </w:rPr>
        <w:t>，</w:t>
      </w:r>
      <w:r>
        <w:t>建成面积</w:t>
      </w:r>
      <w:r>
        <w:rPr>
          <w:rFonts w:hint="eastAsia"/>
        </w:rPr>
        <w:t>2</w:t>
      </w:r>
      <w:r>
        <w:t>.4平方公里</w:t>
      </w:r>
      <w:r>
        <w:rPr>
          <w:rFonts w:hint="eastAsia"/>
        </w:rPr>
        <w:t>。</w:t>
      </w:r>
    </w:p>
    <w:p>
      <w:pPr>
        <w:pStyle w:val="12"/>
        <w:ind w:firstLine="643"/>
      </w:pPr>
      <w:r>
        <w:rPr>
          <w:rFonts w:hint="eastAsia"/>
          <w:b/>
        </w:rPr>
        <w:t>奉节工业园康乐组团：</w:t>
      </w:r>
      <w:r>
        <w:rPr>
          <w:rFonts w:hint="eastAsia"/>
        </w:rPr>
        <w:t>重点发展清洁能源和新型环保建材两大生态环保产业；发挥水陆联运交通优势，借势陕煤入渝储备基地建设契机，大力发展清洁能源产业；围绕能源生产、新型建材加工、食品加工和中药材加工等产业需求，重点发展矿产资源开采机械、运输机械、农业机械等机械装备制造业。园区规划面积3</w:t>
      </w:r>
      <w:r>
        <w:t>.53平方公里</w:t>
      </w:r>
      <w:r>
        <w:rPr>
          <w:rFonts w:hint="eastAsia"/>
        </w:rPr>
        <w:t>，建成面积0</w:t>
      </w:r>
      <w:r>
        <w:t>.53平方公里</w:t>
      </w:r>
      <w:r>
        <w:rPr>
          <w:rFonts w:hint="eastAsia"/>
        </w:rPr>
        <w:t>。</w:t>
      </w:r>
    </w:p>
    <w:p>
      <w:pPr>
        <w:pStyle w:val="12"/>
        <w:ind w:firstLine="640"/>
      </w:pPr>
      <w:r>
        <w:t>奉节工业园康乐组团和草堂组团共同构成重庆奉节生态工业园</w:t>
      </w:r>
      <w:r>
        <w:rPr>
          <w:rFonts w:hint="eastAsia"/>
        </w:rPr>
        <w:t>，通过发展生态工业，推动园区主导产业促增量、扩总量、提质量，打造</w:t>
      </w:r>
      <w:r>
        <w:t>200</w:t>
      </w:r>
      <w:r>
        <w:rPr>
          <w:rFonts w:hint="eastAsia"/>
        </w:rPr>
        <w:t>亿级生态工业集群。</w:t>
      </w:r>
    </w:p>
    <w:p>
      <w:pPr>
        <w:pStyle w:val="12"/>
        <w:ind w:firstLine="643"/>
      </w:pPr>
      <w:r>
        <w:rPr>
          <w:rFonts w:hint="eastAsia"/>
          <w:b/>
        </w:rPr>
        <w:t>奉节县高铁生态城产业集聚区</w:t>
      </w:r>
      <w:r>
        <w:rPr>
          <w:rFonts w:hint="eastAsia"/>
        </w:rPr>
        <w:t>：以低污染、低能耗、高价值的新兴产业、生产性服务业和生活性配套产业为主，</w:t>
      </w:r>
      <w:r>
        <w:rPr>
          <w:rFonts w:hint="eastAsia"/>
          <w:lang w:eastAsia="zh-CN"/>
        </w:rPr>
        <w:t>兼顾</w:t>
      </w:r>
      <w:r>
        <w:rPr>
          <w:rFonts w:hint="eastAsia"/>
        </w:rPr>
        <w:t>劳动密集型产业，重点发展楼宇经济、总部经济、数字经济、电子信息、创意产业、汽车机械零配件制造、专业市场、物流产业及农机制造，打造200亿级高铁生态城新兴产业集聚区。园区按照“一园三区”的发展架构，规划面积4</w:t>
      </w:r>
      <w:r>
        <w:t>.8平方公里</w:t>
      </w:r>
      <w:r>
        <w:rPr>
          <w:rFonts w:hint="eastAsia"/>
        </w:rPr>
        <w:t>，其中高铁生态城片区规划面积约1.8平方公里，湘泗沟高速公路以北区域规划面积约1.7平方公里，干溪沟片区规划面积约1.3平方公里。</w:t>
      </w:r>
    </w:p>
    <w:p>
      <w:pPr>
        <w:pStyle w:val="12"/>
        <w:ind w:firstLine="643"/>
      </w:pPr>
      <w:r>
        <w:rPr>
          <w:b/>
        </w:rPr>
        <w:t>各乡镇节点</w:t>
      </w:r>
      <w:r>
        <w:rPr>
          <w:rFonts w:hint="eastAsia"/>
          <w:b/>
        </w:rPr>
        <w:t>：</w:t>
      </w:r>
      <w:r>
        <w:rPr>
          <w:rFonts w:hint="eastAsia"/>
        </w:rPr>
        <w:t>围绕产业发展和乡村振兴目标，利用现有基础条件，在重点乡镇推进返乡创业园、创业扶贫车间、小微企业基地、农产品加工园建设，重点发展无污染手工业或林果蔬菜的商贸物流及初加工等产业。结合自然资源优势，规划布局抽水蓄能、风电场、陆地光伏、水面光伏等清洁能源项目和装配式建筑产业项目。</w:t>
      </w:r>
    </w:p>
    <w:p>
      <w:pPr>
        <w:pStyle w:val="12"/>
        <w:ind w:firstLine="640"/>
      </w:pPr>
      <w:r>
        <w:drawing>
          <wp:anchor distT="0" distB="0" distL="114300" distR="114300" simplePos="0" relativeHeight="251659264" behindDoc="0" locked="0" layoutInCell="1" allowOverlap="1">
            <wp:simplePos x="0" y="0"/>
            <wp:positionH relativeFrom="column">
              <wp:posOffset>142875</wp:posOffset>
            </wp:positionH>
            <wp:positionV relativeFrom="paragraph">
              <wp:posOffset>47625</wp:posOffset>
            </wp:positionV>
            <wp:extent cx="5142865" cy="501015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l="11914" t="14384" r="14800" b="11370"/>
                    <a:stretch>
                      <a:fillRect/>
                    </a:stretch>
                  </pic:blipFill>
                  <pic:spPr>
                    <a:xfrm>
                      <a:off x="0" y="0"/>
                      <a:ext cx="5142865" cy="5010150"/>
                    </a:xfrm>
                    <a:prstGeom prst="rect">
                      <a:avLst/>
                    </a:prstGeom>
                    <a:noFill/>
                    <a:ln>
                      <a:noFill/>
                    </a:ln>
                  </pic:spPr>
                </pic:pic>
              </a:graphicData>
            </a:graphic>
          </wp:anchor>
        </w:drawing>
      </w: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640"/>
      </w:pPr>
    </w:p>
    <w:p>
      <w:pPr>
        <w:pStyle w:val="12"/>
        <w:ind w:firstLine="562"/>
        <w:jc w:val="center"/>
        <w:rPr>
          <w:rFonts w:asciiTheme="minorEastAsia" w:hAnsiTheme="minorEastAsia" w:eastAsiaTheme="minorEastAsia"/>
          <w:b/>
          <w:sz w:val="28"/>
          <w:szCs w:val="32"/>
        </w:rPr>
      </w:pPr>
      <w:bookmarkStart w:id="69" w:name="_Toc89087827"/>
    </w:p>
    <w:p>
      <w:pPr>
        <w:pStyle w:val="12"/>
        <w:ind w:firstLine="562"/>
        <w:jc w:val="center"/>
        <w:rPr>
          <w:rFonts w:asciiTheme="minorEastAsia" w:hAnsiTheme="minorEastAsia" w:eastAsiaTheme="minorEastAsia"/>
          <w:b/>
          <w:sz w:val="28"/>
          <w:szCs w:val="32"/>
        </w:rPr>
      </w:pPr>
    </w:p>
    <w:p>
      <w:pPr>
        <w:pStyle w:val="12"/>
        <w:ind w:firstLine="562"/>
        <w:jc w:val="center"/>
        <w:rPr>
          <w:rFonts w:asciiTheme="minorEastAsia" w:hAnsiTheme="minorEastAsia" w:eastAsiaTheme="minorEastAsia"/>
          <w:sz w:val="28"/>
        </w:rPr>
      </w:pPr>
      <w:r>
        <w:rPr>
          <w:rFonts w:hint="eastAsia" w:asciiTheme="minorEastAsia" w:hAnsiTheme="minorEastAsia" w:eastAsiaTheme="minorEastAsia"/>
          <w:b/>
          <w:sz w:val="28"/>
          <w:szCs w:val="32"/>
        </w:rPr>
        <w:t>图</w:t>
      </w:r>
      <w:r>
        <w:rPr>
          <w:rFonts w:asciiTheme="minorEastAsia" w:hAnsiTheme="minorEastAsia" w:eastAsiaTheme="minorEastAsia"/>
          <w:b/>
          <w:sz w:val="28"/>
          <w:szCs w:val="32"/>
        </w:rPr>
        <w:t xml:space="preserve">1 </w:t>
      </w:r>
      <w:r>
        <w:rPr>
          <w:rFonts w:hint="eastAsia" w:asciiTheme="minorEastAsia" w:hAnsiTheme="minorEastAsia" w:eastAsiaTheme="minorEastAsia"/>
          <w:sz w:val="28"/>
        </w:rPr>
        <w:t>奉节县生态工业空间布局</w:t>
      </w:r>
      <w:bookmarkEnd w:id="69"/>
    </w:p>
    <w:p>
      <w:pPr>
        <w:pStyle w:val="4"/>
        <w:spacing w:before="100" w:beforeAutospacing="1" w:after="100" w:afterAutospacing="1" w:line="240" w:lineRule="auto"/>
        <w:jc w:val="center"/>
        <w:rPr>
          <w:rFonts w:eastAsia="黑体"/>
          <w:sz w:val="36"/>
          <w:szCs w:val="36"/>
        </w:rPr>
      </w:pPr>
      <w:bookmarkStart w:id="70" w:name="_Toc57368055"/>
      <w:bookmarkStart w:id="71" w:name="_Toc89087828"/>
      <w:bookmarkStart w:id="72" w:name="_Toc103805227"/>
      <w:r>
        <w:rPr>
          <w:rFonts w:hint="eastAsia" w:eastAsia="黑体"/>
          <w:sz w:val="36"/>
          <w:szCs w:val="36"/>
        </w:rPr>
        <w:t>第四章</w:t>
      </w:r>
      <w:bookmarkEnd w:id="70"/>
      <w:bookmarkEnd w:id="71"/>
      <w:r>
        <w:rPr>
          <w:rFonts w:hint="eastAsia" w:eastAsia="黑体"/>
          <w:sz w:val="36"/>
          <w:szCs w:val="36"/>
        </w:rPr>
        <w:t xml:space="preserve"> 产业发展重点与方向</w:t>
      </w:r>
      <w:bookmarkEnd w:id="72"/>
    </w:p>
    <w:p>
      <w:pPr>
        <w:pStyle w:val="5"/>
        <w:spacing w:before="156" w:beforeLines="50" w:after="156" w:afterLines="50" w:line="360" w:lineRule="auto"/>
        <w:jc w:val="center"/>
        <w:rPr>
          <w:rFonts w:ascii="Times New Roman" w:hAnsi="Times New Roman" w:eastAsia="楷体_GB2312"/>
        </w:rPr>
      </w:pPr>
      <w:bookmarkStart w:id="73" w:name="_Toc103805228"/>
      <w:bookmarkStart w:id="74" w:name="_Toc57368056"/>
      <w:bookmarkStart w:id="75" w:name="_Toc33988427"/>
      <w:bookmarkStart w:id="76" w:name="_Toc89087829"/>
      <w:r>
        <w:rPr>
          <w:rFonts w:hint="eastAsia" w:ascii="Times New Roman" w:hAnsi="Times New Roman" w:eastAsia="楷体_GB2312"/>
        </w:rPr>
        <w:t>第一节</w:t>
      </w:r>
      <w:r>
        <w:rPr>
          <w:rFonts w:ascii="Times New Roman" w:hAnsi="Times New Roman" w:eastAsia="楷体_GB2312"/>
        </w:rPr>
        <w:t xml:space="preserve"> </w:t>
      </w:r>
      <w:r>
        <w:rPr>
          <w:rFonts w:hint="eastAsia" w:ascii="Times New Roman" w:hAnsi="Times New Roman" w:eastAsia="楷体_GB2312"/>
        </w:rPr>
        <w:t>打造渝东北绿色能源基地</w:t>
      </w:r>
      <w:bookmarkEnd w:id="73"/>
    </w:p>
    <w:p>
      <w:pPr>
        <w:pStyle w:val="6"/>
        <w:rPr>
          <w:rFonts w:ascii="Times New Roman"/>
        </w:rPr>
      </w:pPr>
      <w:bookmarkStart w:id="77" w:name="_Toc103805229"/>
      <w:r>
        <w:rPr>
          <w:rFonts w:ascii="Times New Roman"/>
        </w:rPr>
        <w:t>1.</w:t>
      </w:r>
      <w:r>
        <w:rPr>
          <w:rFonts w:hint="eastAsia" w:ascii="Times New Roman"/>
        </w:rPr>
        <w:t>发展思路</w:t>
      </w:r>
      <w:bookmarkEnd w:id="77"/>
    </w:p>
    <w:p>
      <w:pPr>
        <w:pStyle w:val="12"/>
        <w:ind w:firstLine="640"/>
      </w:pPr>
      <w:r>
        <w:rPr>
          <w:rFonts w:hint="eastAsia"/>
        </w:rPr>
        <w:t>坚持</w:t>
      </w:r>
      <w:r>
        <w:t>“</w:t>
      </w:r>
      <w:r>
        <w:rPr>
          <w:rFonts w:hint="eastAsia"/>
        </w:rPr>
        <w:t>绿色、低碳、安全、高效</w:t>
      </w:r>
      <w:r>
        <w:t>”</w:t>
      </w:r>
      <w:r>
        <w:rPr>
          <w:rFonts w:hint="eastAsia"/>
        </w:rPr>
        <w:t>原则，抢抓碳达峰碳中和目标战略机遇，依托全县“风光水储”资源禀赋，大力发展绿色能源，推动抽水蓄能、风力发电、光伏发电等项目建成达效，完善能源保障体系，提高能源供给能力，培育发展上下游产业，以清洁能源开发为龙头，带动清洁能源安装、运营、维护等配套产业发展，优化能源生产和消费结构，一体化谋划</w:t>
      </w:r>
      <w:r>
        <w:t>“</w:t>
      </w:r>
      <w:r>
        <w:rPr>
          <w:rFonts w:hint="eastAsia"/>
        </w:rPr>
        <w:t>风光水储</w:t>
      </w:r>
      <w:r>
        <w:t>”</w:t>
      </w:r>
      <w:r>
        <w:rPr>
          <w:rFonts w:hint="eastAsia"/>
        </w:rPr>
        <w:t>绿色能源发展，打造区域绿色、低碳、高效能源系统的新标杆。</w:t>
      </w:r>
    </w:p>
    <w:p>
      <w:pPr>
        <w:pStyle w:val="6"/>
        <w:rPr>
          <w:rFonts w:ascii="Times New Roman"/>
        </w:rPr>
      </w:pPr>
      <w:bookmarkStart w:id="78" w:name="_Toc103805230"/>
      <w:r>
        <w:rPr>
          <w:rFonts w:ascii="Times New Roman"/>
        </w:rPr>
        <w:t>2.</w:t>
      </w:r>
      <w:r>
        <w:rPr>
          <w:rFonts w:hint="eastAsia" w:ascii="Times New Roman"/>
        </w:rPr>
        <w:t>发展目标</w:t>
      </w:r>
      <w:bookmarkEnd w:id="78"/>
    </w:p>
    <w:p>
      <w:pPr>
        <w:pStyle w:val="12"/>
        <w:ind w:firstLine="640"/>
      </w:pPr>
      <w:r>
        <w:rPr>
          <w:rFonts w:hint="eastAsia"/>
        </w:rPr>
        <w:t>按照</w:t>
      </w:r>
      <w:r>
        <w:t>“</w:t>
      </w:r>
      <w:r>
        <w:rPr>
          <w:rFonts w:hint="eastAsia"/>
        </w:rPr>
        <w:t>化石能源清洁化、清洁能源规模化、多种能源综合化</w:t>
      </w:r>
      <w:r>
        <w:t>”</w:t>
      </w:r>
      <w:r>
        <w:rPr>
          <w:rFonts w:hint="eastAsia"/>
        </w:rPr>
        <w:t>的能源发展转型目标，逐步构建由风光水储火各类能源形式互促互补的综合能源体系，加快打造</w:t>
      </w:r>
      <w:r>
        <w:t>1000</w:t>
      </w:r>
      <w:r>
        <w:rPr>
          <w:rFonts w:hint="eastAsia"/>
        </w:rPr>
        <w:t>万千瓦的渝东北绿色能源基地，让清洁能源成为高质量发展的强劲动力。到</w:t>
      </w:r>
      <w:r>
        <w:t>2025</w:t>
      </w:r>
      <w:r>
        <w:rPr>
          <w:rFonts w:hint="eastAsia"/>
        </w:rPr>
        <w:t>年，全县水、风、火电装机达到</w:t>
      </w:r>
      <w:r>
        <w:t>400</w:t>
      </w:r>
      <w:r>
        <w:rPr>
          <w:rFonts w:hint="eastAsia"/>
        </w:rPr>
        <w:t>万千瓦时，清洁能源实现总产值</w:t>
      </w:r>
      <w:r>
        <w:t>200</w:t>
      </w:r>
      <w:r>
        <w:rPr>
          <w:rFonts w:hint="eastAsia"/>
        </w:rPr>
        <w:t>亿元，培育</w:t>
      </w:r>
      <w:r>
        <w:t>10</w:t>
      </w:r>
      <w:r>
        <w:rPr>
          <w:rFonts w:hint="eastAsia"/>
        </w:rPr>
        <w:t>亿元以上的重点企业</w:t>
      </w:r>
      <w:r>
        <w:t>2-3</w:t>
      </w:r>
      <w:r>
        <w:rPr>
          <w:rFonts w:hint="eastAsia"/>
        </w:rPr>
        <w:t>家，建成高比例可再生能源电力示范基地，打造渝东北三峡库区城镇群绿色能源产业基地。</w:t>
      </w:r>
    </w:p>
    <w:p>
      <w:pPr>
        <w:pStyle w:val="6"/>
        <w:rPr>
          <w:rFonts w:ascii="Times New Roman"/>
        </w:rPr>
      </w:pPr>
      <w:bookmarkStart w:id="79" w:name="_Toc103805231"/>
      <w:r>
        <w:rPr>
          <w:rFonts w:ascii="Times New Roman"/>
        </w:rPr>
        <w:t>3.</w:t>
      </w:r>
      <w:r>
        <w:rPr>
          <w:rFonts w:hint="eastAsia" w:ascii="Times New Roman"/>
        </w:rPr>
        <w:t>发展重点</w:t>
      </w:r>
      <w:bookmarkEnd w:id="79"/>
    </w:p>
    <w:p>
      <w:pPr>
        <w:pStyle w:val="12"/>
        <w:ind w:firstLine="643"/>
      </w:pPr>
      <w:r>
        <w:rPr>
          <w:rFonts w:hint="eastAsia"/>
          <w:b/>
        </w:rPr>
        <w:t>风电和光伏发电。</w:t>
      </w:r>
      <w:r>
        <w:rPr>
          <w:rFonts w:hint="eastAsia"/>
        </w:rPr>
        <w:t>充分利用风能等资源优势，加强与三峡、华能、华电等央国企风电开发合作，加快推进风电项目建设，建成龙家坪、杉树包二期分水岭、云雾山等风电项目。以企业为主，选择大功率风电机组和智能监控设备，高标准建设智能化风电场。开工建设尖子山、分水岭、杉树包、平安风电场、大树风电场、草堂风电场、龙家坪二期、金凤山二三期等一批风电项目。抓住</w:t>
      </w:r>
      <w:r>
        <w:rPr>
          <w:rFonts w:hint="eastAsia"/>
          <w:lang w:eastAsia="zh-CN"/>
        </w:rPr>
        <w:t>碳达峰碳中和</w:t>
      </w:r>
      <w:r>
        <w:rPr>
          <w:rFonts w:hint="eastAsia"/>
        </w:rPr>
        <w:t>目标战略机遇，合理规划建设一批光伏发电项目，结合奉节太阳能辐射资源和地理气候特点，采用高效、弱光性能较好的太阳能光伏组件和光伏系统设备，建设高性能的光伏电站，适时开展整县屋顶分布式光伏开发试点，优化能源生产结构。依托风电和光伏项目，培育清洁能源安装、运营、维护等配套产业。</w:t>
      </w:r>
    </w:p>
    <w:p>
      <w:pPr>
        <w:pStyle w:val="12"/>
        <w:ind w:firstLine="643"/>
      </w:pPr>
      <w:r>
        <w:rPr>
          <w:rFonts w:hint="eastAsia"/>
          <w:b/>
        </w:rPr>
        <w:t>水电及抽水蓄能。</w:t>
      </w:r>
      <w:r>
        <w:rPr>
          <w:rFonts w:hint="eastAsia"/>
        </w:rPr>
        <w:t>结合奉节地理和水资源优势以及区域电力整体布局和规划、区域间电力输送情况及电网安全稳定运行要求，加快推进、积极筹划抽水蓄能项目前期工作，力争推动菜籽坝抽水蓄能项目在“十四五”中期开工建设的前期规划、选址和论证等工作，争取纳入到国家及区域电力项目开发规划。严格控制小水电开发，对已有的小水电项目按照“小流域，大生态”的理念进行提质改造，加快推进璧山渡水电站整改扩容，纤维厂一二级电站和竹林湾电站建设，改造升级落后低效的水电机组。</w:t>
      </w:r>
    </w:p>
    <w:p>
      <w:pPr>
        <w:pStyle w:val="12"/>
        <w:ind w:firstLine="643"/>
        <w:rPr>
          <w:b/>
        </w:rPr>
      </w:pPr>
      <w:r>
        <w:rPr>
          <w:rFonts w:hint="eastAsia"/>
          <w:b/>
        </w:rPr>
        <w:t>生物质能。</w:t>
      </w:r>
      <w:r>
        <w:rPr>
          <w:rFonts w:hint="eastAsia"/>
        </w:rPr>
        <w:t>以生物质能发展为重点，结合垃圾处理、养殖、农林废弃物能源化利用情况，积极发展垃圾发电、生物天然气等产业。加快推进餐厨垃圾处理，建设生物天然气工程。结合畜禽养殖和农林废弃物情况，应用先进原料预处理、厌氧发酵、净化提纯、发酵制肥、自动监控、热解制气等成套设备，全面推进生物天然气供气、供热、供冷、供电等集成化一体化经营项目，同时扩展有机肥、绿色食品、生态农业等产业链项目。</w:t>
      </w:r>
    </w:p>
    <w:p>
      <w:pPr>
        <w:pStyle w:val="6"/>
        <w:rPr>
          <w:rFonts w:ascii="Times New Roman"/>
        </w:rPr>
      </w:pPr>
      <w:bookmarkStart w:id="80" w:name="_Toc103805232"/>
      <w:r>
        <w:rPr>
          <w:rFonts w:ascii="Times New Roman"/>
        </w:rPr>
        <w:t>4.</w:t>
      </w:r>
      <w:r>
        <w:rPr>
          <w:rFonts w:hint="eastAsia" w:ascii="Times New Roman"/>
        </w:rPr>
        <w:t>主要任务</w:t>
      </w:r>
      <w:bookmarkEnd w:id="80"/>
    </w:p>
    <w:p>
      <w:pPr>
        <w:pStyle w:val="12"/>
        <w:ind w:firstLine="643"/>
      </w:pPr>
      <w:r>
        <w:rPr>
          <w:rFonts w:hint="eastAsia"/>
          <w:b/>
        </w:rPr>
        <w:t>推进产业高效、智能、绿色发展。</w:t>
      </w:r>
      <w:r>
        <w:rPr>
          <w:rFonts w:hint="eastAsia"/>
        </w:rPr>
        <w:t>鼓励引导清洁能源企业应用新技术、新工艺、新设备，推进资源综合利用和能源梯级利用，着力提升能源资源开发利用效率。围绕</w:t>
      </w:r>
      <w:r>
        <w:t>“</w:t>
      </w:r>
      <w:r>
        <w:rPr>
          <w:rFonts w:hint="eastAsia"/>
        </w:rPr>
        <w:t>新基建</w:t>
      </w:r>
      <w:r>
        <w:t>”</w:t>
      </w:r>
      <w:r>
        <w:rPr>
          <w:rFonts w:hint="eastAsia"/>
        </w:rPr>
        <w:t>建设，推进能源开发与现代信息技术融合发展，应用工业互联网、</w:t>
      </w:r>
      <w:r>
        <w:t>5G</w:t>
      </w:r>
      <w:r>
        <w:rPr>
          <w:rFonts w:hint="eastAsia"/>
        </w:rPr>
        <w:t>、大数据等技术，提高技术水平，推进生产智能化，加快能源产业升级。鼓励风电企业应用风机大型化、叶片材料轻量化等技术，鼓励光伏企业应用氧化铝钝化硅表面、叠瓦封装等新技术，推进新能源场站储能系统建设，支持应用多种储能促进可再生能源消纳。</w:t>
      </w:r>
    </w:p>
    <w:p>
      <w:pPr>
        <w:pStyle w:val="12"/>
        <w:ind w:firstLine="643"/>
      </w:pPr>
      <w:r>
        <w:rPr>
          <w:rFonts w:hint="eastAsia"/>
          <w:b/>
        </w:rPr>
        <w:t>筑牢产业安全基础。</w:t>
      </w:r>
      <w:r>
        <w:rPr>
          <w:rFonts w:hint="eastAsia"/>
        </w:rPr>
        <w:t>积极构建风险分级管控、隐患排查治理和安全生产标准化</w:t>
      </w:r>
      <w:r>
        <w:t>“</w:t>
      </w:r>
      <w:r>
        <w:rPr>
          <w:rFonts w:hint="eastAsia"/>
        </w:rPr>
        <w:t>三位一体</w:t>
      </w:r>
      <w:r>
        <w:t>”</w:t>
      </w:r>
      <w:r>
        <w:rPr>
          <w:rFonts w:hint="eastAsia"/>
        </w:rPr>
        <w:t>体系，以提升企业安全基础保障能力、强化能源安全监管执法效能等关键环节为着力点，扎实推进能源行业安全治理体系和治理能力现代化，大力提升能源行业安全水平。建立能源安全应急响应机制，着力加强监管执法，逐步推进信息化监管，加快推进应急救援装备建设和救援队伍战斗力提升，提升应急救援处置能力。</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1 </w:t>
            </w:r>
            <w:r>
              <w:rPr>
                <w:rFonts w:hint="eastAsia" w:eastAsia="黑体"/>
                <w:sz w:val="28"/>
                <w:szCs w:val="28"/>
              </w:rPr>
              <w:t>清洁能源产业重点工程及重大项目布局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sz w:val="28"/>
                <w:szCs w:val="28"/>
              </w:rPr>
            </w:pPr>
            <w:r>
              <w:rPr>
                <w:rFonts w:eastAsia="仿宋_GB2312"/>
                <w:b/>
                <w:sz w:val="28"/>
                <w:szCs w:val="28"/>
              </w:rPr>
              <w:t>1.</w:t>
            </w:r>
            <w:r>
              <w:rPr>
                <w:rFonts w:hint="eastAsia" w:eastAsia="仿宋_GB2312"/>
                <w:b/>
                <w:sz w:val="28"/>
                <w:szCs w:val="28"/>
              </w:rPr>
              <w:t>产业绿色发展工程：</w:t>
            </w:r>
            <w:r>
              <w:rPr>
                <w:rFonts w:hint="eastAsia" w:eastAsia="仿宋_GB2312"/>
                <w:sz w:val="28"/>
                <w:szCs w:val="28"/>
              </w:rPr>
              <w:t>围绕能源产业绿色化转型，重点推进风电、光伏、水电、生物质能等清洁能源项目建设，加快推进现有火电厂设备更新改造、新技术推广应用，实现能源产业清洁化、绿色化。</w:t>
            </w:r>
          </w:p>
          <w:p>
            <w:pPr>
              <w:spacing w:line="560" w:lineRule="exact"/>
              <w:ind w:firstLine="562"/>
              <w:rPr>
                <w:sz w:val="28"/>
                <w:szCs w:val="28"/>
              </w:rPr>
            </w:pPr>
            <w:r>
              <w:rPr>
                <w:rFonts w:eastAsia="仿宋_GB2312"/>
                <w:b/>
                <w:sz w:val="28"/>
                <w:szCs w:val="28"/>
              </w:rPr>
              <w:t>2.</w:t>
            </w:r>
            <w:r>
              <w:rPr>
                <w:rFonts w:hint="eastAsia" w:eastAsia="仿宋_GB2312"/>
                <w:b/>
                <w:sz w:val="28"/>
                <w:szCs w:val="28"/>
              </w:rPr>
              <w:t>重大项目布局：风力发电项目：</w:t>
            </w:r>
            <w:r>
              <w:rPr>
                <w:rFonts w:hint="eastAsia" w:eastAsia="仿宋_GB2312"/>
                <w:sz w:val="28"/>
                <w:szCs w:val="28"/>
              </w:rPr>
              <w:t>主要布局在兴隆镇、甲高镇、太和乡、云雾乡以及青龙镇等重点布局，重点并网投产新建尖子山、分水岭、杉树包等一批风电，开工建设、龙家坪、龙家坪二期、草堂风电场、平安风电场、大树风电场、金凤山风电场二三期等风电项目；</w:t>
            </w:r>
            <w:r>
              <w:rPr>
                <w:rFonts w:hint="eastAsia" w:eastAsia="仿宋_GB2312"/>
                <w:b/>
                <w:sz w:val="28"/>
                <w:szCs w:val="28"/>
              </w:rPr>
              <w:t>光伏发电项目：</w:t>
            </w:r>
            <w:r>
              <w:rPr>
                <w:rFonts w:hint="eastAsia" w:eastAsia="仿宋_GB2312"/>
                <w:sz w:val="28"/>
                <w:szCs w:val="28"/>
              </w:rPr>
              <w:t>主要布局在石岗、公平、康乐镇、草堂镇、白帝镇等乡镇的陆地集中式光伏项目，建成投产石岗公平、青莲、红土、康乐等光伏项目，研究渡口坝、梅溪河等水域水面光伏，面积广阔、地形适宜区域，重点推进奉节县陆地光伏发电项目、水面漂浮式光伏发电项目、康乐镇100MW光伏项目、青龙镇200MW光伏项目、康坪乡集中式光伏等项目；</w:t>
            </w:r>
            <w:r>
              <w:rPr>
                <w:rFonts w:hint="eastAsia" w:eastAsia="仿宋_GB2312"/>
                <w:b/>
                <w:sz w:val="28"/>
                <w:szCs w:val="28"/>
              </w:rPr>
              <w:t>水电及抽水蓄能项目：</w:t>
            </w:r>
            <w:r>
              <w:rPr>
                <w:rFonts w:hint="eastAsia" w:eastAsia="仿宋_GB2312"/>
                <w:sz w:val="28"/>
                <w:szCs w:val="28"/>
              </w:rPr>
              <w:t>重点推进建成纤维厂、竹林湾等小水电项目和推进茅草坝天赐湖水电项目，推动装机120MW奉节县菜籽坝抽水蓄能电站前期工作，力争核准并开工；</w:t>
            </w:r>
            <w:r>
              <w:rPr>
                <w:rFonts w:hint="eastAsia" w:eastAsia="仿宋_GB2312"/>
                <w:b/>
                <w:sz w:val="28"/>
                <w:szCs w:val="28"/>
              </w:rPr>
              <w:t>生物质能发电项目：</w:t>
            </w:r>
            <w:r>
              <w:rPr>
                <w:rFonts w:hint="eastAsia" w:eastAsia="仿宋_GB2312"/>
                <w:sz w:val="28"/>
                <w:szCs w:val="28"/>
              </w:rPr>
              <w:t>新建奉节县生物制天然气试点、生活垃圾焚烧发电等项目。</w:t>
            </w:r>
          </w:p>
        </w:tc>
      </w:tr>
    </w:tbl>
    <w:p>
      <w:pPr>
        <w:pStyle w:val="5"/>
        <w:spacing w:before="156" w:beforeLines="50" w:after="156" w:afterLines="50" w:line="360" w:lineRule="auto"/>
        <w:jc w:val="center"/>
        <w:rPr>
          <w:rFonts w:ascii="Times New Roman" w:hAnsi="Times New Roman" w:eastAsia="楷体_GB2312"/>
        </w:rPr>
      </w:pPr>
      <w:bookmarkStart w:id="81" w:name="_Toc103805233"/>
      <w:r>
        <w:rPr>
          <w:rFonts w:hint="eastAsia" w:ascii="Times New Roman" w:hAnsi="Times New Roman" w:eastAsia="楷体_GB2312"/>
        </w:rPr>
        <w:t>第二节</w:t>
      </w:r>
      <w:r>
        <w:rPr>
          <w:rFonts w:ascii="Times New Roman" w:hAnsi="Times New Roman" w:eastAsia="楷体_GB2312"/>
        </w:rPr>
        <w:t xml:space="preserve"> </w:t>
      </w:r>
      <w:bookmarkEnd w:id="74"/>
      <w:bookmarkEnd w:id="75"/>
      <w:r>
        <w:rPr>
          <w:rFonts w:hint="eastAsia" w:ascii="Times New Roman" w:hAnsi="Times New Roman" w:eastAsia="楷体_GB2312"/>
        </w:rPr>
        <w:t>打造中国西部（重庆）眼镜产业园</w:t>
      </w:r>
      <w:bookmarkEnd w:id="76"/>
      <w:bookmarkEnd w:id="81"/>
    </w:p>
    <w:p>
      <w:pPr>
        <w:pStyle w:val="6"/>
        <w:rPr>
          <w:rFonts w:ascii="Times New Roman"/>
        </w:rPr>
      </w:pPr>
      <w:bookmarkStart w:id="82" w:name="_Toc57368057"/>
      <w:bookmarkStart w:id="83" w:name="_Toc103805234"/>
      <w:bookmarkStart w:id="84" w:name="_Toc89087830"/>
      <w:r>
        <w:rPr>
          <w:rFonts w:ascii="Times New Roman"/>
        </w:rPr>
        <w:t>1.</w:t>
      </w:r>
      <w:r>
        <w:rPr>
          <w:rFonts w:hint="eastAsia" w:ascii="Times New Roman"/>
        </w:rPr>
        <w:t>发展思路</w:t>
      </w:r>
      <w:bookmarkEnd w:id="82"/>
      <w:bookmarkEnd w:id="83"/>
      <w:bookmarkEnd w:id="84"/>
    </w:p>
    <w:p>
      <w:pPr>
        <w:pStyle w:val="12"/>
        <w:ind w:firstLine="640"/>
      </w:pPr>
      <w:r>
        <w:rPr>
          <w:rFonts w:hint="eastAsia"/>
        </w:rPr>
        <w:t>依托中国西部（重庆）眼镜产业园区，推进眼镜产业的全产业链和集群发展，突破环保工艺、原料供应掣肘，积极承接东部沿海地区眼镜产业转移，以镜架、镜片、成镜、表面处理等产业及洗眼液、护目仪、眼部医疗器械等眼健康产品为重点方向，引进培育眼镜制造及眼健康产品生产企业，建设眼镜研发检测中心，举办中国眼镜产业高质量发展论坛，打造集原辅材料供应、研发设计、生产销售、检验检测、产品展示、贸易结算、观光体验和总部经济于一体的眼镜产业集群，着力培育自主品牌并向市场大力推广，着力培育龙头企业和上市企业。</w:t>
      </w:r>
    </w:p>
    <w:p>
      <w:pPr>
        <w:pStyle w:val="6"/>
        <w:rPr>
          <w:rFonts w:ascii="Times New Roman"/>
        </w:rPr>
      </w:pPr>
      <w:bookmarkStart w:id="85" w:name="_Toc89087831"/>
      <w:bookmarkStart w:id="86" w:name="_Toc103805235"/>
      <w:bookmarkStart w:id="87" w:name="_Toc57368058"/>
      <w:r>
        <w:rPr>
          <w:rFonts w:ascii="Times New Roman"/>
        </w:rPr>
        <w:t>2.</w:t>
      </w:r>
      <w:r>
        <w:rPr>
          <w:rFonts w:hint="eastAsia" w:ascii="Times New Roman"/>
        </w:rPr>
        <w:t>发展目标</w:t>
      </w:r>
      <w:bookmarkEnd w:id="85"/>
      <w:bookmarkEnd w:id="86"/>
      <w:bookmarkEnd w:id="87"/>
    </w:p>
    <w:p>
      <w:pPr>
        <w:pStyle w:val="12"/>
        <w:ind w:firstLine="640"/>
      </w:pPr>
      <w:r>
        <w:rPr>
          <w:rFonts w:hint="eastAsia"/>
        </w:rPr>
        <w:t>按照专业化、集群化、国际化思路，培育和引进一批具有示范带动作用的眼镜知名品牌企业、代工企业、配套企业和商贸企业，打造全产业链眼镜产业集群，培育眼镜及眼健康全业态发展，到</w:t>
      </w:r>
      <w:r>
        <w:t>2025</w:t>
      </w:r>
      <w:r>
        <w:rPr>
          <w:rFonts w:hint="eastAsia"/>
        </w:rPr>
        <w:t>年，眼镜行业影响力显著增强，眼镜制造企业达到</w:t>
      </w:r>
      <w:r>
        <w:t>120</w:t>
      </w:r>
      <w:r>
        <w:rPr>
          <w:rFonts w:hint="eastAsia"/>
        </w:rPr>
        <w:t>家，总产值达到</w:t>
      </w:r>
      <w:r>
        <w:t>50</w:t>
      </w:r>
      <w:r>
        <w:rPr>
          <w:rFonts w:hint="eastAsia"/>
        </w:rPr>
        <w:t>亿元，打造集</w:t>
      </w:r>
      <w:r>
        <w:t>“</w:t>
      </w:r>
      <w:r>
        <w:rPr>
          <w:rFonts w:hint="eastAsia"/>
        </w:rPr>
        <w:t>互联网</w:t>
      </w:r>
      <w:r>
        <w:t>+</w:t>
      </w:r>
      <w:r>
        <w:rPr>
          <w:rFonts w:hint="eastAsia"/>
        </w:rPr>
        <w:t>工业</w:t>
      </w:r>
      <w:r>
        <w:t>+</w:t>
      </w:r>
      <w:r>
        <w:rPr>
          <w:rFonts w:hint="eastAsia"/>
        </w:rPr>
        <w:t>商业</w:t>
      </w:r>
      <w:r>
        <w:t>+</w:t>
      </w:r>
      <w:r>
        <w:rPr>
          <w:rFonts w:hint="eastAsia"/>
        </w:rPr>
        <w:t>物流</w:t>
      </w:r>
      <w:r>
        <w:t>+</w:t>
      </w:r>
      <w:r>
        <w:rPr>
          <w:rFonts w:hint="eastAsia"/>
        </w:rPr>
        <w:t>配套</w:t>
      </w:r>
      <w:r>
        <w:t>”</w:t>
      </w:r>
      <w:r>
        <w:rPr>
          <w:rFonts w:hint="eastAsia"/>
        </w:rPr>
        <w:t>为</w:t>
      </w:r>
      <w:r>
        <w:rPr>
          <w:rFonts w:hint="eastAsia"/>
          <w:lang w:eastAsia="zh-CN"/>
        </w:rPr>
        <w:t>一体的眼镜</w:t>
      </w:r>
      <w:r>
        <w:rPr>
          <w:rFonts w:hint="eastAsia"/>
        </w:rPr>
        <w:t>产业集群，建成中国第六大眼镜产业生产基地。</w:t>
      </w:r>
    </w:p>
    <w:p>
      <w:pPr>
        <w:pStyle w:val="6"/>
        <w:rPr>
          <w:rFonts w:ascii="Times New Roman"/>
        </w:rPr>
      </w:pPr>
      <w:bookmarkStart w:id="88" w:name="_Toc57368059"/>
      <w:bookmarkStart w:id="89" w:name="_Toc103805236"/>
      <w:bookmarkStart w:id="90" w:name="_Toc89087832"/>
      <w:r>
        <w:rPr>
          <w:rFonts w:ascii="Times New Roman"/>
        </w:rPr>
        <w:t>3.</w:t>
      </w:r>
      <w:r>
        <w:rPr>
          <w:rFonts w:hint="eastAsia" w:ascii="Times New Roman"/>
        </w:rPr>
        <w:t>发展重点</w:t>
      </w:r>
      <w:bookmarkEnd w:id="88"/>
      <w:bookmarkEnd w:id="89"/>
      <w:bookmarkEnd w:id="90"/>
    </w:p>
    <w:p>
      <w:pPr>
        <w:pStyle w:val="12"/>
        <w:ind w:firstLine="643"/>
      </w:pPr>
      <w:r>
        <w:rPr>
          <w:rFonts w:hint="eastAsia"/>
          <w:b/>
        </w:rPr>
        <w:t>跨界融合眼镜。</w:t>
      </w:r>
      <w:r>
        <w:rPr>
          <w:rFonts w:hint="eastAsia"/>
        </w:rPr>
        <w:t>鼓励眼镜生产企业与体育、时装、景点、咖啡厅、书店等时尚消费场景合作，共同设计产品，开发市场，共享品牌，接受网络定制，融合个性化设计、激光签名等流行元素。通过聘请网络时尚人士代言、开展直播带货、赞助公益活动等，将产品深度融入其他销售渠道和消费场景。</w:t>
      </w:r>
    </w:p>
    <w:p>
      <w:pPr>
        <w:pStyle w:val="12"/>
        <w:ind w:firstLine="643"/>
      </w:pPr>
      <w:r>
        <w:rPr>
          <w:rFonts w:hint="eastAsia"/>
          <w:b/>
        </w:rPr>
        <w:t>艺术时尚产品。</w:t>
      </w:r>
      <w:r>
        <w:rPr>
          <w:rFonts w:hint="eastAsia"/>
        </w:rPr>
        <w:t>创新眼镜板材用色、用料、造型，征集优秀创意设计团队、设计师，融入艺术主题、时尚格调、流行文化，打造差异化顾客群体时尚配镜，定制票房号召力强电影</w:t>
      </w:r>
      <w:r>
        <w:t>3D</w:t>
      </w:r>
      <w:r>
        <w:rPr>
          <w:rFonts w:hint="eastAsia"/>
        </w:rPr>
        <w:t>限量款收藏型眼镜，通过专题设计大赛、网络评选、网剧道具赞助等打造奉节设计的品牌形象。</w:t>
      </w:r>
    </w:p>
    <w:p>
      <w:pPr>
        <w:pStyle w:val="12"/>
        <w:ind w:firstLine="643"/>
      </w:pPr>
      <w:r>
        <w:rPr>
          <w:rFonts w:hint="eastAsia"/>
          <w:b/>
        </w:rPr>
        <w:t>视力健康服务。</w:t>
      </w:r>
      <w:r>
        <w:rPr>
          <w:rFonts w:hint="eastAsia"/>
        </w:rPr>
        <w:t>推动眼部健康教育、儿童视力矫正服务、贫困儿童免费配镜活动等落户工业小镇，积极开发医疗健康防护眼镜、带助听器老花镜、运动近视眼镜、近视防紫外光眼镜等多种功能附加产品。</w:t>
      </w:r>
    </w:p>
    <w:p>
      <w:pPr>
        <w:pStyle w:val="12"/>
        <w:ind w:firstLine="643"/>
      </w:pPr>
      <w:r>
        <w:rPr>
          <w:rFonts w:hint="eastAsia"/>
          <w:b/>
        </w:rPr>
        <w:t>配套产品服务。</w:t>
      </w:r>
      <w:r>
        <w:rPr>
          <w:rFonts w:hint="eastAsia"/>
        </w:rPr>
        <w:t>鼓励眼镜盒、眼镜架、眼镜绳、超声波便携清洗盒等配套产业企业入驻奉节工业小镇，打造眼镜礼品设计全场景服务体系产业生态。</w:t>
      </w:r>
    </w:p>
    <w:p>
      <w:pPr>
        <w:pStyle w:val="6"/>
        <w:rPr>
          <w:rFonts w:ascii="Times New Roman"/>
        </w:rPr>
      </w:pPr>
      <w:bookmarkStart w:id="91" w:name="_Toc103805237"/>
      <w:bookmarkStart w:id="92" w:name="_Toc57368060"/>
      <w:bookmarkStart w:id="93" w:name="_Toc89087833"/>
      <w:r>
        <w:rPr>
          <w:rFonts w:ascii="Times New Roman"/>
        </w:rPr>
        <w:t>4.</w:t>
      </w:r>
      <w:r>
        <w:rPr>
          <w:rFonts w:hint="eastAsia" w:ascii="Times New Roman"/>
        </w:rPr>
        <w:t>主要任务</w:t>
      </w:r>
      <w:bookmarkEnd w:id="91"/>
      <w:bookmarkEnd w:id="92"/>
      <w:bookmarkEnd w:id="93"/>
    </w:p>
    <w:p>
      <w:pPr>
        <w:pStyle w:val="12"/>
        <w:ind w:firstLine="643"/>
      </w:pPr>
      <w:r>
        <w:rPr>
          <w:rFonts w:hint="eastAsia"/>
          <w:b/>
        </w:rPr>
        <w:t>推进眼镜行业全产业链建设。</w:t>
      </w:r>
      <w:r>
        <w:rPr>
          <w:rFonts w:hint="eastAsia"/>
        </w:rPr>
        <w:t>着力打造集设计、研发、生产、销售、体验、视光健康、眼镜文化等融合的智能智慧化时尚全产业链基地。围绕镜片和镜架两大核心部件，制造近视眼镜、太阳镜和</w:t>
      </w:r>
      <w:r>
        <w:rPr>
          <w:rFonts w:hint="eastAsia"/>
          <w:lang w:eastAsia="zh-CN"/>
        </w:rPr>
        <w:t>老花眼镜</w:t>
      </w:r>
      <w:r>
        <w:rPr>
          <w:rFonts w:hint="eastAsia"/>
        </w:rPr>
        <w:t>三大终端产品，不断丰富眼镜产品类别，引进和培育发展一批原材料、配件、表面处理、模具、智能制造设备、包装印刷等眼镜产业链知名品牌企业，实现研发、设计、生产和服务等协同化和网络化，并根据实际使用需求设置生产、研发、销售、物流、办公、商业配套等多种功能。积极建设眼镜时尚设计基地、眼镜运营总部经济基地和校地校企合作示范基地，建成眼镜交易中心、眼镜设计创意中心以及工业旅游中心，搭建高端平台加快聚集优质人才和企业。举办眼镜设计创意大赛，办好中国眼镜产业发展高端论坛。</w:t>
      </w:r>
    </w:p>
    <w:p>
      <w:pPr>
        <w:pStyle w:val="12"/>
        <w:ind w:firstLine="643"/>
      </w:pPr>
      <w:r>
        <w:rPr>
          <w:rFonts w:hint="eastAsia"/>
          <w:b/>
        </w:rPr>
        <w:t>实施创新驱动提升行动。</w:t>
      </w:r>
      <w:r>
        <w:rPr>
          <w:rFonts w:hint="eastAsia"/>
        </w:rPr>
        <w:t>全力提升企业创新能力，加快创新步伐。强化企业创新主体作用，支持眼镜企业设立研发设计中心，凝聚眼镜行业产学研融协同创新力量，推动眼镜行业技术创新，引导和支持企业研发和应用新技术、新工艺和新设备，提高眼镜产业发展层次和水平。力争在树脂镜片、镀膜、点漆等领域尽快取得突破，不断增强企业竞争力。</w:t>
      </w:r>
    </w:p>
    <w:p>
      <w:pPr>
        <w:pStyle w:val="12"/>
        <w:ind w:firstLine="643"/>
      </w:pPr>
      <w:r>
        <w:rPr>
          <w:rFonts w:hint="eastAsia"/>
          <w:b/>
        </w:rPr>
        <w:t>培育区域产业合作协会。</w:t>
      </w:r>
      <w:r>
        <w:rPr>
          <w:rFonts w:hint="eastAsia"/>
        </w:rPr>
        <w:t>按照</w:t>
      </w:r>
      <w:r>
        <w:t>“</w:t>
      </w:r>
      <w:r>
        <w:rPr>
          <w:rFonts w:hint="eastAsia"/>
        </w:rPr>
        <w:t>政府引导、协会主导、企业主体、市场运作、多方共赢</w:t>
      </w:r>
      <w:r>
        <w:t>”</w:t>
      </w:r>
      <w:r>
        <w:rPr>
          <w:rFonts w:hint="eastAsia"/>
        </w:rPr>
        <w:t>原则，建立区域产业合作协会，搭建开放合作发展平台。积极探索区域协作和产业协同相结合的区域合作发展道路，统筹合作战略布局，创新区域合作方式，强化协会主导作用，搭建服务网络，实现原材料、配套产品统一采购，增强议价能力，协调生产及用工调配，为协会企业做强做大、发展空间和商业机会挖掘提供坚实保障。</w:t>
      </w:r>
    </w:p>
    <w:p>
      <w:pPr>
        <w:pStyle w:val="12"/>
        <w:ind w:firstLine="643"/>
      </w:pPr>
      <w:r>
        <w:rPr>
          <w:rFonts w:hint="eastAsia"/>
          <w:b/>
        </w:rPr>
        <w:t>加快提升装备水平。</w:t>
      </w:r>
      <w:r>
        <w:rPr>
          <w:rFonts w:hint="eastAsia"/>
        </w:rPr>
        <w:t>推进智能制造和绿色制造在眼镜制造业中的全面应用，开展行业先进制造技术和模式的试点示范，鼓励企业建设数字化车间，开展眼镜制造智能工厂建设试点。实现关键工序智能化、关键岗位机器人替代、生产过程智能化控制、供应链优化、建设重点领域智能工厂和车间。</w:t>
      </w:r>
    </w:p>
    <w:p>
      <w:pPr>
        <w:pStyle w:val="12"/>
        <w:ind w:firstLine="643"/>
      </w:pPr>
      <w:r>
        <w:rPr>
          <w:rFonts w:hint="eastAsia"/>
          <w:b/>
        </w:rPr>
        <w:t>大力培育龙头企业。</w:t>
      </w:r>
      <w:r>
        <w:rPr>
          <w:rFonts w:hint="eastAsia"/>
        </w:rPr>
        <w:t>鼓励眼镜企业做强做大，完善落实用地、财政、金融、科技等扶持政策，鼓励主业规模大、创新能力强、经济效益好的龙头企业，积极进行制造模式创新，加快规模经济发展步伐。积极引导龙头企业上市，加快培育一批领军型企业，确保</w:t>
      </w:r>
      <w:r>
        <w:t>2025</w:t>
      </w:r>
      <w:r>
        <w:rPr>
          <w:rFonts w:hint="eastAsia"/>
        </w:rPr>
        <w:t>年前有多家重点企业上市。</w:t>
      </w:r>
    </w:p>
    <w:p>
      <w:pPr>
        <w:pStyle w:val="12"/>
        <w:ind w:firstLine="643"/>
      </w:pPr>
      <w:r>
        <w:rPr>
          <w:rFonts w:hint="eastAsia"/>
          <w:b/>
        </w:rPr>
        <w:t>推动实施眼镜人才引育工程。</w:t>
      </w:r>
      <w:r>
        <w:rPr>
          <w:rFonts w:hint="eastAsia"/>
        </w:rPr>
        <w:t>联合重庆本地院校开设眼镜设计专业和眼镜制造技能人才班，加强本地人才培养和支持力度，大力引进眼镜行业特级技师、高级技师、技师或本科（高职）应届毕业生，为眼镜产业设计、制造、销售、验光、配镜提供专业技术人才支撑。</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专栏2</w:t>
            </w:r>
            <w:r>
              <w:rPr>
                <w:rFonts w:eastAsia="黑体"/>
                <w:sz w:val="28"/>
                <w:szCs w:val="28"/>
              </w:rPr>
              <w:t xml:space="preserve"> </w:t>
            </w:r>
            <w:r>
              <w:rPr>
                <w:rFonts w:hint="eastAsia" w:eastAsia="黑体"/>
                <w:sz w:val="28"/>
                <w:szCs w:val="28"/>
              </w:rPr>
              <w:t>眼镜及眼健康产业重点工程及重大项目布局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eastAsia="仿宋_GB2312"/>
                <w:b/>
                <w:bCs/>
                <w:sz w:val="28"/>
                <w:szCs w:val="28"/>
              </w:rPr>
              <w:t>1.</w:t>
            </w:r>
            <w:r>
              <w:rPr>
                <w:rFonts w:hint="eastAsia" w:eastAsia="仿宋_GB2312"/>
                <w:b/>
                <w:bCs/>
                <w:sz w:val="28"/>
                <w:szCs w:val="28"/>
              </w:rPr>
              <w:t>延链补链强链工程：</w:t>
            </w:r>
            <w:r>
              <w:rPr>
                <w:rFonts w:hint="eastAsia" w:eastAsia="仿宋_GB2312"/>
                <w:bCs/>
                <w:sz w:val="28"/>
                <w:szCs w:val="28"/>
              </w:rPr>
              <w:t>围绕延链补链强链，解决制约产业发展的关键环节，重点引入澳捷光学、亚峰眼镜、雅瑞光学等龙头标杆企业，谋划引进一批重点项目，完善电镀、模具、原辅材料等关键配套，实现产业成链发展。</w:t>
            </w:r>
          </w:p>
          <w:p>
            <w:pPr>
              <w:spacing w:line="560" w:lineRule="exact"/>
              <w:ind w:firstLine="562"/>
              <w:rPr>
                <w:sz w:val="28"/>
                <w:szCs w:val="28"/>
              </w:rPr>
            </w:pPr>
            <w:r>
              <w:rPr>
                <w:rFonts w:eastAsia="仿宋_GB2312"/>
                <w:b/>
                <w:bCs/>
                <w:sz w:val="28"/>
                <w:szCs w:val="28"/>
              </w:rPr>
              <w:t>2.</w:t>
            </w:r>
            <w:r>
              <w:rPr>
                <w:rFonts w:hint="eastAsia" w:eastAsia="仿宋_GB2312"/>
                <w:b/>
                <w:bCs/>
                <w:sz w:val="28"/>
                <w:szCs w:val="28"/>
              </w:rPr>
              <w:t>重大项目布局：</w:t>
            </w:r>
            <w:r>
              <w:rPr>
                <w:rFonts w:hint="eastAsia" w:eastAsia="仿宋_GB2312"/>
                <w:bCs/>
                <w:sz w:val="28"/>
                <w:szCs w:val="28"/>
              </w:rPr>
              <w:t>加快推进奉节县工业小镇、重庆富时达眼镜镜架生产项目、豪亚奇光学镜片和眼镜镜架生产项目、重庆鹏展眼镜镜架生产项目、奉节县生态工业园眼镜镜架表面处理车间及工业污水处理厂等重点项目建设。</w:t>
            </w:r>
          </w:p>
        </w:tc>
      </w:tr>
    </w:tbl>
    <w:p>
      <w:pPr>
        <w:pStyle w:val="5"/>
        <w:spacing w:before="156" w:beforeLines="50" w:after="156" w:afterLines="50" w:line="360" w:lineRule="auto"/>
        <w:jc w:val="center"/>
        <w:rPr>
          <w:rFonts w:ascii="Times New Roman" w:hAnsi="Times New Roman" w:eastAsia="楷体_GB2312"/>
        </w:rPr>
      </w:pPr>
      <w:bookmarkStart w:id="94" w:name="_Toc57368061"/>
      <w:bookmarkStart w:id="95" w:name="_Toc33988428"/>
      <w:bookmarkStart w:id="96" w:name="_Toc103805238"/>
      <w:bookmarkStart w:id="97" w:name="_Toc89087834"/>
      <w:r>
        <w:rPr>
          <w:rFonts w:hint="eastAsia" w:ascii="Times New Roman" w:hAnsi="Times New Roman" w:eastAsia="楷体_GB2312"/>
        </w:rPr>
        <w:t>第三节</w:t>
      </w:r>
      <w:r>
        <w:rPr>
          <w:rFonts w:ascii="Times New Roman" w:hAnsi="Times New Roman" w:eastAsia="楷体_GB2312"/>
        </w:rPr>
        <w:t xml:space="preserve"> </w:t>
      </w:r>
      <w:bookmarkEnd w:id="94"/>
      <w:bookmarkEnd w:id="95"/>
      <w:r>
        <w:rPr>
          <w:rFonts w:hint="eastAsia" w:ascii="Times New Roman" w:hAnsi="Times New Roman" w:eastAsia="楷体_GB2312"/>
        </w:rPr>
        <w:t>打造三峡库区有影响力的特色农产品加工基地</w:t>
      </w:r>
      <w:bookmarkEnd w:id="96"/>
      <w:bookmarkEnd w:id="97"/>
    </w:p>
    <w:p>
      <w:pPr>
        <w:pStyle w:val="6"/>
        <w:rPr>
          <w:rFonts w:ascii="Times New Roman"/>
        </w:rPr>
      </w:pPr>
      <w:bookmarkStart w:id="98" w:name="_Toc89087835"/>
      <w:bookmarkStart w:id="99" w:name="_Toc103805239"/>
      <w:bookmarkStart w:id="100" w:name="_Toc57368062"/>
      <w:r>
        <w:rPr>
          <w:rFonts w:ascii="Times New Roman"/>
        </w:rPr>
        <w:t>1.</w:t>
      </w:r>
      <w:r>
        <w:rPr>
          <w:rFonts w:hint="eastAsia" w:ascii="Times New Roman"/>
        </w:rPr>
        <w:t>发展思路</w:t>
      </w:r>
      <w:bookmarkEnd w:id="98"/>
      <w:bookmarkEnd w:id="99"/>
      <w:bookmarkEnd w:id="100"/>
    </w:p>
    <w:p>
      <w:pPr>
        <w:pStyle w:val="12"/>
        <w:ind w:firstLine="640"/>
      </w:pPr>
      <w:r>
        <w:rPr>
          <w:rFonts w:hint="eastAsia"/>
        </w:rPr>
        <w:t>围绕山地特色农产品资源，坚持“农头工尾”“粮头食尾”发展思路，实施农产品加工提升行动，统筹推进农产品初加工、精深加工和加工副产物综合利用，构建原料控制、食品加工、食品包装、物流配送和终端销售等完整产业链，推动农业产业链纵深发展。加快生态化、智能化、绿色化农产品加工技术应用，将特色农产品加工与生态旅游</w:t>
      </w:r>
      <w:r>
        <w:rPr>
          <w:rFonts w:hint="eastAsia"/>
          <w:lang w:eastAsia="zh-CN"/>
        </w:rPr>
        <w:t>相结合</w:t>
      </w:r>
      <w:r>
        <w:rPr>
          <w:rFonts w:hint="eastAsia"/>
        </w:rPr>
        <w:t>，丰富小包装、易携带的</w:t>
      </w:r>
      <w:r>
        <w:t>“</w:t>
      </w:r>
      <w:r>
        <w:rPr>
          <w:rFonts w:hint="eastAsia"/>
        </w:rPr>
        <w:t>奉节好礼</w:t>
      </w:r>
      <w:r>
        <w:t>”</w:t>
      </w:r>
      <w:r>
        <w:rPr>
          <w:rFonts w:hint="eastAsia"/>
        </w:rPr>
        <w:t>旅游产品。以脐橙和</w:t>
      </w:r>
      <w:r>
        <w:rPr>
          <w:rFonts w:hint="eastAsia" w:eastAsia="宋体"/>
        </w:rPr>
        <w:t>盬</w:t>
      </w:r>
      <w:r>
        <w:rPr>
          <w:rFonts w:hint="eastAsia"/>
        </w:rPr>
        <w:t>子鸡为代表，打造三峡特色美食基地，建设特色绿色食品加工基地，打造产业特色突出、空间布局合理的特色农产品加工产业集群。</w:t>
      </w:r>
    </w:p>
    <w:p>
      <w:pPr>
        <w:pStyle w:val="6"/>
        <w:rPr>
          <w:rFonts w:ascii="Times New Roman"/>
        </w:rPr>
      </w:pPr>
      <w:bookmarkStart w:id="101" w:name="_Toc57368063"/>
      <w:bookmarkStart w:id="102" w:name="_Toc103805240"/>
      <w:bookmarkStart w:id="103" w:name="_Toc89087836"/>
      <w:r>
        <w:rPr>
          <w:rFonts w:ascii="Times New Roman"/>
        </w:rPr>
        <w:t>2.</w:t>
      </w:r>
      <w:r>
        <w:rPr>
          <w:rFonts w:hint="eastAsia" w:ascii="Times New Roman"/>
        </w:rPr>
        <w:t>发展目标</w:t>
      </w:r>
      <w:bookmarkEnd w:id="101"/>
      <w:bookmarkEnd w:id="102"/>
      <w:bookmarkEnd w:id="103"/>
    </w:p>
    <w:p>
      <w:pPr>
        <w:pStyle w:val="12"/>
        <w:ind w:firstLine="640"/>
      </w:pPr>
      <w:r>
        <w:rPr>
          <w:rFonts w:hint="eastAsia"/>
        </w:rPr>
        <w:t>到</w:t>
      </w:r>
      <w:r>
        <w:t>2025</w:t>
      </w:r>
      <w:r>
        <w:rPr>
          <w:rFonts w:hint="eastAsia"/>
        </w:rPr>
        <w:t>年，打造形成脐橙、油橄榄特色产业综合种植、初加工、精深加工、销售于一体的全产业链发展模式，通过特色产业加工带动全县农产品加工业向高质量发展转型，亿元以上农产品加工企业力争达到</w:t>
      </w:r>
      <w:r>
        <w:t>10</w:t>
      </w:r>
      <w:r>
        <w:rPr>
          <w:rFonts w:hint="eastAsia"/>
        </w:rPr>
        <w:t>家，农产品加工业实现总产值</w:t>
      </w:r>
      <w:r>
        <w:t>50</w:t>
      </w:r>
      <w:r>
        <w:rPr>
          <w:rFonts w:hint="eastAsia"/>
        </w:rPr>
        <w:t>亿元，打造三峡库区有影响力的特色农产品加工基地。</w:t>
      </w:r>
    </w:p>
    <w:p>
      <w:pPr>
        <w:pStyle w:val="6"/>
        <w:rPr>
          <w:rFonts w:ascii="Times New Roman"/>
        </w:rPr>
      </w:pPr>
      <w:bookmarkStart w:id="104" w:name="_Toc57368064"/>
      <w:bookmarkStart w:id="105" w:name="_Toc103805241"/>
      <w:bookmarkStart w:id="106" w:name="_Toc89087837"/>
      <w:r>
        <w:rPr>
          <w:rFonts w:ascii="Times New Roman"/>
        </w:rPr>
        <w:t>3.</w:t>
      </w:r>
      <w:r>
        <w:rPr>
          <w:rFonts w:hint="eastAsia" w:ascii="Times New Roman"/>
        </w:rPr>
        <w:t>发展重点</w:t>
      </w:r>
      <w:bookmarkEnd w:id="104"/>
      <w:bookmarkEnd w:id="105"/>
      <w:bookmarkEnd w:id="106"/>
    </w:p>
    <w:p>
      <w:pPr>
        <w:pStyle w:val="12"/>
        <w:ind w:firstLine="643"/>
      </w:pPr>
      <w:r>
        <w:rPr>
          <w:rFonts w:hint="eastAsia"/>
          <w:b/>
        </w:rPr>
        <w:t>特色农产品初加工。</w:t>
      </w:r>
      <w:r>
        <w:rPr>
          <w:rFonts w:hint="eastAsia"/>
        </w:rPr>
        <w:t>做强农产品产地初加工，以脐橙、中药材、蔬菜等储藏保鲜为重点，加强贮藏窖、果蔬通风库、冷藏库和烘干房等产地初加工设施建设。支持建设规范化特色脐橙精选车间，引进智能化精品水果生产线，提升脐橙分选加工能力和效率。提升油橄榄产地加工能力，积极支持甲高镇油橄榄初加工厂建设。鼓励企业开展无污染的物理变化为主的绿色初加工，支持基于奉节县农产品原材料的中央厨房类项目建设。</w:t>
      </w:r>
    </w:p>
    <w:p>
      <w:pPr>
        <w:pStyle w:val="12"/>
        <w:ind w:firstLine="643"/>
      </w:pPr>
      <w:r>
        <w:rPr>
          <w:rFonts w:hint="eastAsia"/>
          <w:b/>
        </w:rPr>
        <w:t>高端绿色农产品精深加工。</w:t>
      </w:r>
      <w:r>
        <w:rPr>
          <w:rFonts w:hint="eastAsia"/>
        </w:rPr>
        <w:t>做精脐橙</w:t>
      </w:r>
      <w:r>
        <w:t>“</w:t>
      </w:r>
      <w:r>
        <w:rPr>
          <w:rFonts w:hint="eastAsia"/>
        </w:rPr>
        <w:t>甜蜜产业</w:t>
      </w:r>
      <w:r>
        <w:t>”</w:t>
      </w:r>
      <w:r>
        <w:rPr>
          <w:rFonts w:hint="eastAsia"/>
        </w:rPr>
        <w:t>，引进支持脐橙深加工企业，开发生产脐橙香精、脐橙粉、脐橙酵素、脐橙饮料、脐橙果酒、有机饲料等延伸产品，提高脐橙综合产值。做大木本油料</w:t>
      </w:r>
      <w:r>
        <w:t>“</w:t>
      </w:r>
      <w:r>
        <w:rPr>
          <w:rFonts w:hint="eastAsia"/>
        </w:rPr>
        <w:t>黄金产业</w:t>
      </w:r>
      <w:r>
        <w:t>”</w:t>
      </w:r>
      <w:r>
        <w:rPr>
          <w:rFonts w:hint="eastAsia"/>
        </w:rPr>
        <w:t>，以油茶、油橄榄等特色木本油料为主，鼓励企业开发橄榄化妆品、橄榄茶等系列产品，延伸产业链条。推进魔芋精深加工，生产魔芋精粉、魔芋休闲食品、魔芋细粉、魔芋面条等特色食品。发展淀粉产业，鼓励企业开展变性淀粉、副产物饲料、腌渍食品等精深加工，占领高端农产品市场。</w:t>
      </w:r>
    </w:p>
    <w:p>
      <w:pPr>
        <w:pStyle w:val="12"/>
        <w:ind w:firstLine="643"/>
      </w:pPr>
      <w:r>
        <w:rPr>
          <w:rFonts w:hint="eastAsia"/>
          <w:b/>
        </w:rPr>
        <w:t>休闲旅游食品。</w:t>
      </w:r>
      <w:r>
        <w:rPr>
          <w:rFonts w:hint="eastAsia"/>
        </w:rPr>
        <w:t>依托</w:t>
      </w:r>
      <w:r>
        <w:t>“</w:t>
      </w:r>
      <w:r>
        <w:rPr>
          <w:rFonts w:hint="eastAsia"/>
        </w:rPr>
        <w:t>奉节脐橙</w:t>
      </w:r>
      <w:r>
        <w:t>”“</w:t>
      </w:r>
      <w:r>
        <w:rPr>
          <w:rFonts w:hint="eastAsia"/>
        </w:rPr>
        <w:t>特色李子</w:t>
      </w:r>
      <w:r>
        <w:t>”</w:t>
      </w:r>
      <w:r>
        <w:rPr>
          <w:rFonts w:hint="eastAsia"/>
        </w:rPr>
        <w:t>等特色农产品，鼓励农产品加工龙头企业挖掘产品特色、地域文化特色、产品创意，把特色文化融入包装设计当中，增强产品识别性，用特色文化增加产品附加值；支持农产品加工龙头企业引进先进的包装设备，以小包装、休闲旅游礼品包装产品开发为重点，开发融合奉节县文化旅游资源的特色包装旅游食品。</w:t>
      </w:r>
    </w:p>
    <w:p>
      <w:pPr>
        <w:pStyle w:val="12"/>
        <w:ind w:firstLine="643"/>
      </w:pPr>
      <w:r>
        <w:rPr>
          <w:rFonts w:hint="eastAsia"/>
          <w:b/>
        </w:rPr>
        <w:t>特色功能食品。</w:t>
      </w:r>
      <w:r>
        <w:rPr>
          <w:rFonts w:hint="eastAsia"/>
        </w:rPr>
        <w:t>挖掘民族民间药食同源配方，开发以膏、蜜、茶、饼为主打的休闲健康食品。基于重庆</w:t>
      </w:r>
      <w:r>
        <w:t>48</w:t>
      </w:r>
      <w:r>
        <w:rPr>
          <w:rFonts w:hint="eastAsia"/>
        </w:rPr>
        <w:t>种可加入火锅的中药，开发火锅专用料包以及配餐解茶、酒、膏。积极种植开发可入药的蜜源植物。积极开发融合本土特色古方药和鲜花、山药等的奉节旅游纪念食品。</w:t>
      </w:r>
    </w:p>
    <w:p>
      <w:pPr>
        <w:pStyle w:val="12"/>
        <w:ind w:firstLine="643"/>
      </w:pPr>
      <w:r>
        <w:rPr>
          <w:rFonts w:hint="eastAsia"/>
          <w:b/>
        </w:rPr>
        <w:t>林产品加工。</w:t>
      </w:r>
      <w:r>
        <w:rPr>
          <w:rFonts w:hint="eastAsia"/>
        </w:rPr>
        <w:t>利用蚕桑、木本油料、储备林及竹木加工等特色资源，发展特色林产品加工产业。建设自动缫丝制绸深加工产业园，鼓励引导蚕桑加工企业配备机器选茧、智能煮茧、自动缫丝等现代化设备，建设智能缫丝生产线。建设油茶、油橄榄初加工厂和木本植物油及其它附属产品深加工厂，开发精深加工产品。完善竹木初加工，搭建竹木基础加工体系，建设竹木制品精深加工厂，发展木材胶合板、刨花板、层积板、地板、纤维板等加工制造业。</w:t>
      </w:r>
    </w:p>
    <w:p>
      <w:pPr>
        <w:pStyle w:val="6"/>
        <w:rPr>
          <w:rFonts w:ascii="Times New Roman"/>
        </w:rPr>
      </w:pPr>
      <w:bookmarkStart w:id="107" w:name="_Toc57368065"/>
      <w:bookmarkStart w:id="108" w:name="_Toc103805242"/>
      <w:bookmarkStart w:id="109" w:name="_Toc89087838"/>
      <w:r>
        <w:rPr>
          <w:rFonts w:ascii="Times New Roman"/>
        </w:rPr>
        <w:t>4.</w:t>
      </w:r>
      <w:r>
        <w:rPr>
          <w:rFonts w:hint="eastAsia" w:ascii="Times New Roman"/>
        </w:rPr>
        <w:t>主要任务</w:t>
      </w:r>
      <w:bookmarkEnd w:id="107"/>
      <w:bookmarkEnd w:id="108"/>
      <w:bookmarkEnd w:id="109"/>
    </w:p>
    <w:p>
      <w:pPr>
        <w:pStyle w:val="12"/>
        <w:ind w:firstLine="643"/>
      </w:pPr>
      <w:r>
        <w:rPr>
          <w:rFonts w:hint="eastAsia"/>
          <w:b/>
        </w:rPr>
        <w:t>延长加工产业链条。</w:t>
      </w:r>
      <w:r>
        <w:rPr>
          <w:rFonts w:hint="eastAsia"/>
        </w:rPr>
        <w:t>鼓励企业采用食品精深加工技术，提高中高档产品比重，促进产业由低端向中高端延伸。完善食品全产业链，建立原料控制、加工制造、包装、装备制造、安全控制、物流配送和终端销售等完整产业链，实现产供销一体化。推进</w:t>
      </w:r>
      <w:r>
        <w:rPr>
          <w:rFonts w:hint="eastAsia"/>
          <w:lang w:eastAsia="zh-CN"/>
        </w:rPr>
        <w:t>一二三产业融合</w:t>
      </w:r>
      <w:r>
        <w:rPr>
          <w:rFonts w:hint="eastAsia"/>
        </w:rPr>
        <w:t>，向上与现代化农业相融合，加强原材料基地建设；向下与餐饮、物流、旅游等服务业相融合，对接终端市场。</w:t>
      </w:r>
    </w:p>
    <w:p>
      <w:pPr>
        <w:pStyle w:val="12"/>
        <w:ind w:firstLine="643"/>
      </w:pPr>
      <w:r>
        <w:rPr>
          <w:rFonts w:hint="eastAsia"/>
          <w:b/>
        </w:rPr>
        <w:t>培育市场经营主体。</w:t>
      </w:r>
      <w:bookmarkStart w:id="110" w:name="_Hlk534360382"/>
      <w:r>
        <w:rPr>
          <w:rFonts w:hint="eastAsia"/>
        </w:rPr>
        <w:t>着力培育产值超亿元龙头企业和高成长骨干企业群体，</w:t>
      </w:r>
      <w:bookmarkStart w:id="111" w:name="_Hlk2874338"/>
      <w:r>
        <w:rPr>
          <w:rFonts w:hint="eastAsia"/>
        </w:rPr>
        <w:t>努力构建产业层次分明、企业梯次合理的食品工业发展格局。</w:t>
      </w:r>
      <w:bookmarkEnd w:id="110"/>
      <w:bookmarkEnd w:id="111"/>
      <w:r>
        <w:rPr>
          <w:rFonts w:hint="eastAsia"/>
        </w:rPr>
        <w:t>加大对重点行业和龙头企业的扶持力度，完善落实用地、财政、金融、科技等扶持政策，鼓励主业规模大、创新能力强、经济效益好的龙头企业积极进行制造模式创新，加快规模经济发展步伐。注重培养壮大成长性优势企业，引导资源要素向发展潜力大、管理水平较高的优势企业聚集，以强化主业、培育核心竞争力为重点，引导企业找准定位，发挥自身优势，激发市场主体创新创造能力和活力动力。</w:t>
      </w:r>
    </w:p>
    <w:p>
      <w:pPr>
        <w:pStyle w:val="12"/>
        <w:ind w:firstLine="643"/>
      </w:pPr>
      <w:r>
        <w:rPr>
          <w:rFonts w:hint="eastAsia"/>
          <w:b/>
        </w:rPr>
        <w:t>强化食品质量安全。</w:t>
      </w:r>
      <w:r>
        <w:rPr>
          <w:rFonts w:hint="eastAsia"/>
        </w:rPr>
        <w:t>建立健全质量安全管理体系，建立食品产业从原料采购、生产制造到包装、运输、贮存的全过程质量安全管理体系。鼓励企业按照安全标准和地方标准生产无污染、安全优质食品，开展食品质量安全、绿色和有机认证，监督企业按食品安全标准生产。建立健全食品质量安全追溯体系，加强食品企业质量安全诚信意识，加快食品产业标准体系建设，完善食品安全监管机制，强化第三方检验检测制度，建立食品安全信息披露及动态预警机制等；着重加强食品生产各环节的质量安全控制，积极探索食品质量安全的追溯机制，做到</w:t>
      </w:r>
      <w:r>
        <w:t>“</w:t>
      </w:r>
      <w:r>
        <w:rPr>
          <w:rFonts w:hint="eastAsia"/>
        </w:rPr>
        <w:t>来源可知、去向可追、质量可查、责任可究</w:t>
      </w:r>
      <w:r>
        <w:t>”</w:t>
      </w:r>
      <w:r>
        <w:rPr>
          <w:rFonts w:hint="eastAsia"/>
        </w:rPr>
        <w:t>。</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ind w:firstLine="560"/>
              <w:jc w:val="center"/>
              <w:rPr>
                <w:sz w:val="28"/>
              </w:rPr>
            </w:pPr>
            <w:r>
              <w:rPr>
                <w:rFonts w:hint="eastAsia" w:eastAsia="黑体"/>
                <w:sz w:val="28"/>
                <w:szCs w:val="28"/>
              </w:rPr>
              <w:t>专栏</w:t>
            </w:r>
            <w:r>
              <w:rPr>
                <w:rFonts w:eastAsia="黑体"/>
                <w:sz w:val="28"/>
                <w:szCs w:val="28"/>
              </w:rPr>
              <w:t xml:space="preserve">3 </w:t>
            </w:r>
            <w:r>
              <w:rPr>
                <w:rFonts w:hint="eastAsia" w:eastAsia="黑体"/>
                <w:sz w:val="28"/>
                <w:szCs w:val="28"/>
              </w:rPr>
              <w:t>特色农产品加工产业重点工程及重大项目布局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eastAsia="仿宋_GB2312"/>
                <w:b/>
                <w:bCs/>
                <w:sz w:val="28"/>
                <w:szCs w:val="28"/>
              </w:rPr>
              <w:t>1.</w:t>
            </w:r>
            <w:r>
              <w:rPr>
                <w:rFonts w:hint="eastAsia" w:eastAsia="仿宋_GB2312"/>
                <w:b/>
                <w:bCs/>
                <w:sz w:val="28"/>
                <w:szCs w:val="28"/>
              </w:rPr>
              <w:t>产业集群建设工程：</w:t>
            </w:r>
            <w:r>
              <w:rPr>
                <w:rFonts w:hint="eastAsia" w:eastAsia="仿宋_GB2312"/>
                <w:bCs/>
                <w:sz w:val="28"/>
                <w:szCs w:val="28"/>
              </w:rPr>
              <w:t>围绕建设具有区域竞争力的特色农产品加工产业集群，建强专业化农产品加工园区，大力引进农产品加工企业，谋划一批农产品加工项目，加快做大农产品加工产业规模。</w:t>
            </w:r>
          </w:p>
          <w:p>
            <w:pPr>
              <w:spacing w:line="560" w:lineRule="exact"/>
              <w:ind w:firstLine="562"/>
              <w:rPr>
                <w:sz w:val="28"/>
                <w:szCs w:val="28"/>
              </w:rPr>
            </w:pPr>
            <w:r>
              <w:rPr>
                <w:rFonts w:eastAsia="仿宋_GB2312"/>
                <w:b/>
                <w:bCs/>
                <w:sz w:val="28"/>
                <w:szCs w:val="28"/>
              </w:rPr>
              <w:t>2.</w:t>
            </w:r>
            <w:r>
              <w:rPr>
                <w:rFonts w:hint="eastAsia" w:eastAsia="仿宋_GB2312"/>
                <w:b/>
                <w:bCs/>
                <w:sz w:val="28"/>
                <w:szCs w:val="28"/>
              </w:rPr>
              <w:t>重大项目布局：</w:t>
            </w:r>
            <w:r>
              <w:rPr>
                <w:rFonts w:hint="eastAsia" w:eastAsia="仿宋_GB2312"/>
                <w:bCs/>
                <w:sz w:val="28"/>
                <w:szCs w:val="28"/>
              </w:rPr>
              <w:t>加快推进奉节县食品加工产业园、奉节县腊肉及配套产业项目、奉节县万吨级蔬菜食用菌制品加工厂、奉节县城区“中央厨房”、奉节县江南脐橙商品化包装冷链物流仓储、奉节县鲜粉条加工、奉节县茶叶深加工（红茶生产）、奉节县醉白帝脐橙果酒深加工、奉节县木本油料综合加工、奉节县自动缫丝制绸深加工、木竹初加工和精深加工等重点项目建设。</w:t>
            </w:r>
          </w:p>
        </w:tc>
      </w:tr>
    </w:tbl>
    <w:p>
      <w:pPr>
        <w:pStyle w:val="5"/>
        <w:spacing w:before="156" w:beforeLines="50" w:after="156" w:afterLines="50" w:line="360" w:lineRule="auto"/>
        <w:jc w:val="center"/>
        <w:rPr>
          <w:rFonts w:ascii="Times New Roman" w:hAnsi="Times New Roman" w:eastAsia="楷体_GB2312"/>
        </w:rPr>
      </w:pPr>
      <w:bookmarkStart w:id="112" w:name="_Toc57368072"/>
      <w:bookmarkStart w:id="113" w:name="_Toc103805243"/>
      <w:bookmarkStart w:id="114" w:name="_Toc89087845"/>
      <w:r>
        <w:rPr>
          <w:rFonts w:hint="eastAsia" w:ascii="Times New Roman" w:hAnsi="Times New Roman" w:eastAsia="楷体_GB2312"/>
        </w:rPr>
        <w:t>第四节</w:t>
      </w:r>
      <w:r>
        <w:rPr>
          <w:rFonts w:ascii="Times New Roman" w:hAnsi="Times New Roman" w:eastAsia="楷体_GB2312"/>
        </w:rPr>
        <w:t xml:space="preserve"> </w:t>
      </w:r>
      <w:bookmarkEnd w:id="112"/>
      <w:r>
        <w:rPr>
          <w:rFonts w:hint="eastAsia" w:ascii="Times New Roman" w:hAnsi="Times New Roman" w:eastAsia="楷体_GB2312"/>
        </w:rPr>
        <w:t>打造三峡库区特色生物制药研发生产基地</w:t>
      </w:r>
      <w:bookmarkEnd w:id="113"/>
      <w:bookmarkEnd w:id="114"/>
    </w:p>
    <w:p>
      <w:pPr>
        <w:pStyle w:val="6"/>
        <w:rPr>
          <w:rFonts w:ascii="Times New Roman"/>
        </w:rPr>
      </w:pPr>
      <w:bookmarkStart w:id="115" w:name="_Toc57368073"/>
      <w:bookmarkStart w:id="116" w:name="_Toc103805244"/>
      <w:bookmarkStart w:id="117" w:name="_Toc89087846"/>
      <w:r>
        <w:rPr>
          <w:rFonts w:ascii="Times New Roman"/>
        </w:rPr>
        <w:t>1.</w:t>
      </w:r>
      <w:r>
        <w:rPr>
          <w:rFonts w:hint="eastAsia" w:ascii="Times New Roman"/>
        </w:rPr>
        <w:t>发展思路</w:t>
      </w:r>
      <w:bookmarkEnd w:id="115"/>
      <w:bookmarkEnd w:id="116"/>
      <w:bookmarkEnd w:id="117"/>
    </w:p>
    <w:p>
      <w:pPr>
        <w:pStyle w:val="12"/>
        <w:ind w:firstLine="640"/>
      </w:pPr>
      <w:r>
        <w:rPr>
          <w:rFonts w:hint="eastAsia"/>
        </w:rPr>
        <w:t>以中药材深加工为主，引进国内大型生物制药企业，延伸产业链，积极发展特色生物制药产业，做大中药材</w:t>
      </w:r>
      <w:r>
        <w:t>“</w:t>
      </w:r>
      <w:r>
        <w:rPr>
          <w:rFonts w:hint="eastAsia"/>
        </w:rPr>
        <w:t>健康产业</w:t>
      </w:r>
      <w:r>
        <w:t>”</w:t>
      </w:r>
      <w:r>
        <w:rPr>
          <w:rFonts w:hint="eastAsia"/>
        </w:rPr>
        <w:t>，不断延伸中药产业链上、中、下游，打造集中药材种植、粗加工、精深加工、销售等环节于一体的全产业链条。大力推动川党参、贝母、木香、川</w:t>
      </w:r>
      <w:r>
        <w:rPr>
          <w:rFonts w:hint="eastAsia"/>
          <w:lang w:eastAsia="zh-CN"/>
        </w:rPr>
        <w:t>牛膝等</w:t>
      </w:r>
      <w:r>
        <w:rPr>
          <w:rFonts w:hint="eastAsia"/>
        </w:rPr>
        <w:t>、当归等中药材精深加工，着力培育和打造一批中药提取、饮片开发、保健品生产、大宗交易等龙头示范企业，鼓励支持中药保健品、功能性食品的研究和开发，不断推动产品创新，突破品种结构，丰富产品门类，建设融中药材种植、中医医疗服务、中医药健康养老服务于一体的中医药健康旅游示范区。</w:t>
      </w:r>
    </w:p>
    <w:p>
      <w:pPr>
        <w:pStyle w:val="6"/>
        <w:rPr>
          <w:rFonts w:ascii="Times New Roman"/>
        </w:rPr>
      </w:pPr>
      <w:bookmarkStart w:id="118" w:name="_Toc89087847"/>
      <w:bookmarkStart w:id="119" w:name="_Toc103805245"/>
      <w:bookmarkStart w:id="120" w:name="_Toc57368074"/>
      <w:r>
        <w:rPr>
          <w:rFonts w:ascii="Times New Roman"/>
        </w:rPr>
        <w:t>2.</w:t>
      </w:r>
      <w:r>
        <w:rPr>
          <w:rFonts w:hint="eastAsia" w:ascii="Times New Roman"/>
        </w:rPr>
        <w:t>发展目标</w:t>
      </w:r>
      <w:bookmarkEnd w:id="118"/>
      <w:bookmarkEnd w:id="119"/>
      <w:bookmarkEnd w:id="120"/>
    </w:p>
    <w:p>
      <w:pPr>
        <w:pStyle w:val="12"/>
        <w:ind w:firstLine="640"/>
      </w:pPr>
      <w:r>
        <w:rPr>
          <w:rFonts w:hint="eastAsia"/>
        </w:rPr>
        <w:t>到</w:t>
      </w:r>
      <w:r>
        <w:t>2025</w:t>
      </w:r>
      <w:r>
        <w:rPr>
          <w:rFonts w:hint="eastAsia"/>
        </w:rPr>
        <w:t>年，特色生物制药产业总产值达到</w:t>
      </w:r>
      <w:r>
        <w:t>50</w:t>
      </w:r>
      <w:r>
        <w:rPr>
          <w:rFonts w:hint="eastAsia"/>
        </w:rPr>
        <w:t>亿元，培育一批创新能力强、年产值超</w:t>
      </w:r>
      <w:r>
        <w:t>1</w:t>
      </w:r>
      <w:r>
        <w:rPr>
          <w:rFonts w:hint="eastAsia"/>
        </w:rPr>
        <w:t>亿元的骨干企业，打响</w:t>
      </w:r>
      <w:r>
        <w:t>“</w:t>
      </w:r>
      <w:r>
        <w:rPr>
          <w:rFonts w:hint="eastAsia"/>
        </w:rPr>
        <w:t>夔州药业</w:t>
      </w:r>
      <w:r>
        <w:t>”</w:t>
      </w:r>
      <w:r>
        <w:rPr>
          <w:rFonts w:hint="eastAsia"/>
        </w:rPr>
        <w:t>品牌，打造三峡库区特色生物制药研发生产基地。</w:t>
      </w:r>
    </w:p>
    <w:p>
      <w:pPr>
        <w:pStyle w:val="6"/>
        <w:rPr>
          <w:rFonts w:ascii="Times New Roman"/>
        </w:rPr>
      </w:pPr>
      <w:bookmarkStart w:id="121" w:name="_Toc103805246"/>
      <w:bookmarkStart w:id="122" w:name="_Toc57368075"/>
      <w:bookmarkStart w:id="123" w:name="_Toc89087848"/>
      <w:r>
        <w:rPr>
          <w:rFonts w:ascii="Times New Roman"/>
        </w:rPr>
        <w:t>3.</w:t>
      </w:r>
      <w:r>
        <w:rPr>
          <w:rFonts w:hint="eastAsia" w:ascii="Times New Roman"/>
        </w:rPr>
        <w:t>发展重点</w:t>
      </w:r>
      <w:bookmarkEnd w:id="121"/>
      <w:bookmarkEnd w:id="122"/>
      <w:bookmarkEnd w:id="123"/>
    </w:p>
    <w:p>
      <w:pPr>
        <w:pStyle w:val="12"/>
        <w:ind w:firstLine="643"/>
      </w:pPr>
      <w:r>
        <w:rPr>
          <w:rFonts w:hint="eastAsia"/>
          <w:b/>
        </w:rPr>
        <w:t>中药材切片饮片。</w:t>
      </w:r>
      <w:r>
        <w:rPr>
          <w:rFonts w:hint="eastAsia"/>
        </w:rPr>
        <w:t>引导企业建设自动化生产线，改进现有生产工艺，大力开发品质优良的奉节道地药材党参、贝母、当归、</w:t>
      </w:r>
      <w:r>
        <w:rPr>
          <w:rFonts w:hint="eastAsia"/>
          <w:lang w:eastAsia="zh-CN"/>
        </w:rPr>
        <w:t>牛膝等</w:t>
      </w:r>
      <w:r>
        <w:rPr>
          <w:rFonts w:hint="eastAsia"/>
        </w:rPr>
        <w:t>中药材的切片、饮片产品。建设中药材初加工厂和标准化初加工厂，开展趁鲜切制、烘干、分等分级技术培训，大力推广中药材规范化加工。增加产品类型及包装，开发适合药食同源的家用产品、馈赠礼品等。</w:t>
      </w:r>
    </w:p>
    <w:p>
      <w:pPr>
        <w:pStyle w:val="12"/>
        <w:ind w:firstLine="643"/>
      </w:pPr>
      <w:r>
        <w:rPr>
          <w:rFonts w:hint="eastAsia"/>
          <w:b/>
        </w:rPr>
        <w:t>有效提取物及药剂精制</w:t>
      </w:r>
      <w:r>
        <w:rPr>
          <w:rFonts w:hint="eastAsia"/>
        </w:rPr>
        <w:t>。积极引入川渝重点中药企业，利用分离精制、超临界萃取、树脂吸附、膜分离和浓缩、喷雾或冷冻干燥、毛细管电泳等先进技术，发展药材及珍稀药材的精深加工。鼓励企业开发浸膏、原液、醇提取物等系列产品。</w:t>
      </w:r>
    </w:p>
    <w:p>
      <w:pPr>
        <w:pStyle w:val="12"/>
        <w:ind w:firstLine="643"/>
      </w:pPr>
      <w:r>
        <w:rPr>
          <w:rFonts w:hint="eastAsia"/>
          <w:b/>
        </w:rPr>
        <w:t>保健品及功能型产品。</w:t>
      </w:r>
      <w:r>
        <w:rPr>
          <w:rFonts w:hint="eastAsia"/>
        </w:rPr>
        <w:t>积极推动复方中药提取物、单味中药提取物产业扩大规模，重点发展药食同源植物提取物及其产品和植物提取粉</w:t>
      </w:r>
      <w:bookmarkStart w:id="124" w:name="_Toc21344_WPSOffice_Level2"/>
      <w:r>
        <w:rPr>
          <w:rFonts w:hint="eastAsia"/>
        </w:rPr>
        <w:t>剂、液体等剂型。围绕中药材有效成分，</w:t>
      </w:r>
      <w:bookmarkEnd w:id="124"/>
      <w:r>
        <w:rPr>
          <w:rFonts w:hint="eastAsia"/>
        </w:rPr>
        <w:t>开发与培育有抗氧化、辅助改善记忆、辅助降血压、血脂、血糖等功能的中药保健品。重点发展抗氧化、肿瘤辅助治疗、防痴呆等中药养生食品（药膳）。结合眼健康产业，开发改善视力、缓解视力疲劳的保健产品。积极开发具有美容、保</w:t>
      </w:r>
      <w:bookmarkStart w:id="125" w:name="_Toc22495_WPSOffice_Level2"/>
      <w:r>
        <w:rPr>
          <w:rFonts w:hint="eastAsia"/>
        </w:rPr>
        <w:t>健功效的中药功能型化妆品</w:t>
      </w:r>
      <w:bookmarkEnd w:id="125"/>
      <w:r>
        <w:rPr>
          <w:rFonts w:hint="eastAsia"/>
        </w:rPr>
        <w:t>等。</w:t>
      </w:r>
    </w:p>
    <w:p>
      <w:pPr>
        <w:pStyle w:val="12"/>
        <w:ind w:firstLine="643"/>
      </w:pPr>
      <w:r>
        <w:rPr>
          <w:rFonts w:hint="eastAsia"/>
          <w:b/>
        </w:rPr>
        <w:t>中药康养旅游。</w:t>
      </w:r>
      <w:r>
        <w:rPr>
          <w:rFonts w:hint="eastAsia"/>
        </w:rPr>
        <w:t>重点开发药浴足浴、药茶药酒、药食滋补等系列产品，着力建设以中医药养生保健服务为核心，融中药材种植、中医医疗服务、中医药健康养老服务为一体的中医药健康旅游示范区。</w:t>
      </w:r>
    </w:p>
    <w:p>
      <w:pPr>
        <w:pStyle w:val="6"/>
        <w:rPr>
          <w:rFonts w:ascii="Times New Roman"/>
        </w:rPr>
      </w:pPr>
      <w:bookmarkStart w:id="126" w:name="_Toc103805247"/>
      <w:bookmarkStart w:id="127" w:name="_Toc57368076"/>
      <w:bookmarkStart w:id="128" w:name="_Toc89087849"/>
      <w:r>
        <w:rPr>
          <w:rFonts w:ascii="Times New Roman"/>
        </w:rPr>
        <w:t>4.</w:t>
      </w:r>
      <w:r>
        <w:rPr>
          <w:rFonts w:hint="eastAsia" w:ascii="Times New Roman"/>
        </w:rPr>
        <w:t>主要任务</w:t>
      </w:r>
      <w:bookmarkEnd w:id="126"/>
      <w:bookmarkEnd w:id="127"/>
      <w:bookmarkEnd w:id="128"/>
    </w:p>
    <w:p>
      <w:pPr>
        <w:pStyle w:val="12"/>
        <w:ind w:firstLine="643"/>
      </w:pPr>
      <w:r>
        <w:rPr>
          <w:rFonts w:hint="eastAsia"/>
          <w:b/>
        </w:rPr>
        <w:t>构建中药材质量保障体系。</w:t>
      </w:r>
      <w:r>
        <w:rPr>
          <w:rFonts w:hint="eastAsia"/>
        </w:rPr>
        <w:t>从药材育种、种植模式变革、技术服务提升等方面入手，提高种植水平和药材品质，建立繁育种植示范基地。开展道地药材标准化、规模化、产业化的种子种苗繁育，从源头保证优质中药材生产。建立覆盖主要中药材品种的全过程追溯体系，完善中药材质量检验检测体系。</w:t>
      </w:r>
    </w:p>
    <w:p>
      <w:pPr>
        <w:pStyle w:val="12"/>
        <w:ind w:firstLine="643"/>
      </w:pPr>
      <w:r>
        <w:rPr>
          <w:rFonts w:hint="eastAsia"/>
          <w:b/>
        </w:rPr>
        <w:t>积极招大引强做大增量。</w:t>
      </w:r>
      <w:r>
        <w:rPr>
          <w:rFonts w:hint="eastAsia"/>
        </w:rPr>
        <w:t>将中药材产业项目列入全县招商引资工作重点，组织专业招商团队，聚焦京津地区</w:t>
      </w:r>
      <w:bookmarkStart w:id="129" w:name="_Toc32232_WPSOffice_Level2"/>
      <w:r>
        <w:rPr>
          <w:rFonts w:hint="eastAsia"/>
        </w:rPr>
        <w:t>、长三角、珠三角、成渝地区、东</w:t>
      </w:r>
      <w:bookmarkEnd w:id="129"/>
      <w:r>
        <w:rPr>
          <w:rFonts w:hint="eastAsia"/>
        </w:rPr>
        <w:t>北地区，锁定中国中医药制药企业和药品流通企业等为主要招引对象。坚持产业集群招商，补足产业链关键环节和缺失</w:t>
      </w:r>
      <w:bookmarkStart w:id="130" w:name="_Toc4574_WPSOffice_Level2"/>
      <w:r>
        <w:rPr>
          <w:rFonts w:hint="eastAsia"/>
        </w:rPr>
        <w:t>环节，大力实施补链、强链和扩链招商</w:t>
      </w:r>
      <w:bookmarkEnd w:id="130"/>
      <w:r>
        <w:rPr>
          <w:rFonts w:hint="eastAsia"/>
        </w:rPr>
        <w:t>。积极与重庆畅意洋洋健康管理有限公司沟通衔接，共同推进党参饮品加工项目。结合产业基础、发展定位和区域规划，突出优化存量与培植增量相结合，提高招商引资的效率和质量。</w:t>
      </w:r>
    </w:p>
    <w:p>
      <w:pPr>
        <w:pStyle w:val="12"/>
        <w:ind w:firstLine="643"/>
      </w:pPr>
      <w:r>
        <w:rPr>
          <w:rFonts w:hint="eastAsia"/>
          <w:b/>
        </w:rPr>
        <w:t>聚焦发展骨干中小企业。</w:t>
      </w:r>
      <w:r>
        <w:rPr>
          <w:rFonts w:hint="eastAsia"/>
        </w:rPr>
        <w:t>支持一批初具规模的骨干企业，提升品牌影响力、拓展市场渠道、加大产品开发能力，支持生产厂区的改扩建、新产品产业化，创造条件帮助企业多种方式融资，做大做强一批优势企业。扶持发展中小企业，重点支持有技术特色、机制灵活的高新技术企业，重点扶持特色产品的企业生产。</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4 </w:t>
            </w:r>
            <w:r>
              <w:rPr>
                <w:rFonts w:hint="eastAsia" w:eastAsia="黑体"/>
                <w:sz w:val="28"/>
                <w:szCs w:val="28"/>
              </w:rPr>
              <w:t>特色生物制药产业重点工程和重大项目布局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eastAsia="仿宋_GB2312"/>
                <w:b/>
                <w:bCs/>
                <w:sz w:val="28"/>
                <w:szCs w:val="28"/>
              </w:rPr>
              <w:t>1.</w:t>
            </w:r>
            <w:r>
              <w:rPr>
                <w:rFonts w:hint="eastAsia" w:eastAsia="仿宋_GB2312"/>
                <w:b/>
                <w:bCs/>
                <w:sz w:val="28"/>
                <w:szCs w:val="28"/>
              </w:rPr>
              <w:t>核心技术突破工程：</w:t>
            </w:r>
            <w:r>
              <w:rPr>
                <w:rFonts w:hint="eastAsia" w:eastAsia="仿宋_GB2312"/>
                <w:bCs/>
                <w:sz w:val="28"/>
                <w:szCs w:val="28"/>
              </w:rPr>
              <w:t>重点突破中药饮片、中药及天然药物的提取、分离纯化关键技术，逐步建立规范的中药饮片加工工艺和产业化标准，谋划建设中药材重点实验室等关键平台。</w:t>
            </w:r>
          </w:p>
          <w:p>
            <w:pPr>
              <w:spacing w:line="560" w:lineRule="exact"/>
              <w:ind w:firstLine="562"/>
              <w:rPr>
                <w:rFonts w:eastAsia="仿宋_GB2312"/>
                <w:sz w:val="28"/>
                <w:szCs w:val="28"/>
              </w:rPr>
            </w:pPr>
            <w:r>
              <w:rPr>
                <w:rFonts w:eastAsia="仿宋_GB2312"/>
                <w:b/>
                <w:bCs/>
                <w:sz w:val="28"/>
                <w:szCs w:val="28"/>
              </w:rPr>
              <w:t>2.</w:t>
            </w:r>
            <w:r>
              <w:rPr>
                <w:rFonts w:hint="eastAsia" w:eastAsia="仿宋_GB2312"/>
                <w:b/>
                <w:bCs/>
                <w:sz w:val="28"/>
                <w:szCs w:val="28"/>
              </w:rPr>
              <w:t>重大项目布局：</w:t>
            </w:r>
            <w:r>
              <w:rPr>
                <w:rFonts w:hint="eastAsia" w:eastAsia="仿宋_GB2312"/>
                <w:bCs/>
                <w:sz w:val="28"/>
                <w:szCs w:val="28"/>
              </w:rPr>
              <w:t>重点推进鲁抗中药材深加工、奉节县中药材精深加工项目、奉节县中药材产地加工数字化联动生产</w:t>
            </w:r>
            <w:r>
              <w:rPr>
                <w:rFonts w:eastAsia="仿宋_GB2312"/>
                <w:bCs/>
                <w:sz w:val="28"/>
                <w:szCs w:val="28"/>
              </w:rPr>
              <w:t>-</w:t>
            </w:r>
            <w:r>
              <w:rPr>
                <w:rFonts w:hint="eastAsia" w:eastAsia="仿宋_GB2312"/>
                <w:bCs/>
                <w:sz w:val="28"/>
                <w:szCs w:val="28"/>
              </w:rPr>
              <w:t>包装</w:t>
            </w:r>
            <w:r>
              <w:rPr>
                <w:rFonts w:eastAsia="仿宋_GB2312"/>
                <w:bCs/>
                <w:sz w:val="28"/>
                <w:szCs w:val="28"/>
              </w:rPr>
              <w:t>-</w:t>
            </w:r>
            <w:r>
              <w:rPr>
                <w:rFonts w:hint="eastAsia" w:eastAsia="仿宋_GB2312"/>
                <w:bCs/>
                <w:sz w:val="28"/>
                <w:szCs w:val="28"/>
              </w:rPr>
              <w:t>有机肥料加工等项目建设</w:t>
            </w:r>
            <w:r>
              <w:rPr>
                <w:rFonts w:hint="eastAsia" w:eastAsia="仿宋_GB2312"/>
                <w:bCs/>
                <w:sz w:val="28"/>
                <w:szCs w:val="28"/>
                <w:lang w:val="zh-CN"/>
              </w:rPr>
              <w:t>。</w:t>
            </w:r>
          </w:p>
        </w:tc>
      </w:tr>
    </w:tbl>
    <w:p>
      <w:pPr>
        <w:pStyle w:val="5"/>
        <w:spacing w:before="156" w:beforeLines="50" w:after="156" w:afterLines="50" w:line="360" w:lineRule="auto"/>
        <w:jc w:val="center"/>
        <w:rPr>
          <w:rFonts w:ascii="Times New Roman" w:hAnsi="Times New Roman" w:eastAsia="楷体_GB2312"/>
        </w:rPr>
      </w:pPr>
      <w:bookmarkStart w:id="131" w:name="_Toc33988430"/>
      <w:bookmarkStart w:id="132" w:name="_Toc57368077"/>
      <w:bookmarkStart w:id="133" w:name="_Toc89087850"/>
      <w:bookmarkStart w:id="134" w:name="_Toc103805248"/>
      <w:r>
        <w:rPr>
          <w:rFonts w:hint="eastAsia" w:ascii="Times New Roman" w:hAnsi="Times New Roman" w:eastAsia="楷体_GB2312"/>
        </w:rPr>
        <w:t>第五节</w:t>
      </w:r>
      <w:r>
        <w:rPr>
          <w:rFonts w:ascii="Times New Roman" w:hAnsi="Times New Roman" w:eastAsia="楷体_GB2312"/>
        </w:rPr>
        <w:t xml:space="preserve"> </w:t>
      </w:r>
      <w:bookmarkEnd w:id="131"/>
      <w:bookmarkEnd w:id="132"/>
      <w:r>
        <w:rPr>
          <w:rFonts w:hint="eastAsia" w:ascii="Times New Roman" w:hAnsi="Times New Roman" w:eastAsia="楷体_GB2312"/>
        </w:rPr>
        <w:t>打造节能环保新型材料产业集群</w:t>
      </w:r>
      <w:bookmarkEnd w:id="133"/>
      <w:bookmarkEnd w:id="134"/>
    </w:p>
    <w:p>
      <w:pPr>
        <w:pStyle w:val="6"/>
        <w:rPr>
          <w:rFonts w:ascii="Times New Roman"/>
        </w:rPr>
      </w:pPr>
      <w:bookmarkStart w:id="135" w:name="_Toc57368078"/>
      <w:bookmarkStart w:id="136" w:name="_Toc103805249"/>
      <w:bookmarkStart w:id="137" w:name="_Toc89087851"/>
      <w:r>
        <w:rPr>
          <w:rFonts w:ascii="Times New Roman"/>
        </w:rPr>
        <w:t>1.</w:t>
      </w:r>
      <w:r>
        <w:rPr>
          <w:rFonts w:hint="eastAsia" w:ascii="Times New Roman"/>
        </w:rPr>
        <w:t>发展思路</w:t>
      </w:r>
      <w:bookmarkEnd w:id="135"/>
      <w:bookmarkEnd w:id="136"/>
      <w:bookmarkEnd w:id="137"/>
    </w:p>
    <w:p>
      <w:pPr>
        <w:pStyle w:val="12"/>
        <w:ind w:firstLine="640"/>
      </w:pPr>
      <w:r>
        <w:rPr>
          <w:rFonts w:hint="eastAsia"/>
        </w:rPr>
        <w:t>瞄准新材料、新技术、新工艺，重点开发新型墙体、高效节能保温材料，加快环保新材料产业发展。着力打造新型墙体材料、高效节能保温材料、轻量化车厢体等新型环保建材产业。推进纳米材料的应用研究，打造纳米材料基地。推进玻璃纤维、石墨烯等新型材料的开发应用，建设复合材料产业园，打造复合材料产业基地。升级煤炭产业，加快建设下游循环经济产业园，深度挖掘废弃煤渣等资源再利用空间和价值。</w:t>
      </w:r>
    </w:p>
    <w:p>
      <w:pPr>
        <w:pStyle w:val="6"/>
        <w:rPr>
          <w:rFonts w:ascii="Times New Roman"/>
        </w:rPr>
      </w:pPr>
      <w:bookmarkStart w:id="138" w:name="_Toc57368079"/>
      <w:bookmarkStart w:id="139" w:name="_Toc89087852"/>
      <w:bookmarkStart w:id="140" w:name="_Toc103805250"/>
      <w:r>
        <w:rPr>
          <w:rFonts w:ascii="Times New Roman"/>
        </w:rPr>
        <w:t>2.</w:t>
      </w:r>
      <w:r>
        <w:rPr>
          <w:rFonts w:hint="eastAsia" w:ascii="Times New Roman"/>
        </w:rPr>
        <w:t>发展目标</w:t>
      </w:r>
      <w:bookmarkEnd w:id="138"/>
      <w:bookmarkEnd w:id="139"/>
      <w:bookmarkEnd w:id="140"/>
    </w:p>
    <w:p>
      <w:pPr>
        <w:pStyle w:val="12"/>
        <w:ind w:firstLine="640"/>
      </w:pPr>
      <w:r>
        <w:rPr>
          <w:rFonts w:hint="eastAsia"/>
        </w:rPr>
        <w:t>到</w:t>
      </w:r>
      <w:r>
        <w:t>2025</w:t>
      </w:r>
      <w:r>
        <w:rPr>
          <w:rFonts w:hint="eastAsia"/>
        </w:rPr>
        <w:t>年，新型材料产业集群总产值达到</w:t>
      </w:r>
      <w:r>
        <w:t>50</w:t>
      </w:r>
      <w:r>
        <w:rPr>
          <w:rFonts w:hint="eastAsia"/>
        </w:rPr>
        <w:t>亿元，培育领军企业</w:t>
      </w:r>
      <w:r>
        <w:t>3-5</w:t>
      </w:r>
      <w:r>
        <w:rPr>
          <w:rFonts w:hint="eastAsia"/>
        </w:rPr>
        <w:t>户，新增企业技术创新平台</w:t>
      </w:r>
      <w:r>
        <w:t>3</w:t>
      </w:r>
      <w:r>
        <w:rPr>
          <w:rFonts w:hint="eastAsia"/>
        </w:rPr>
        <w:t>个，在相应产业技术领域具有优势创新能力，建成以绿色建材制造为支撑的新型建筑材料产业集群。</w:t>
      </w:r>
    </w:p>
    <w:p>
      <w:pPr>
        <w:pStyle w:val="6"/>
        <w:rPr>
          <w:rFonts w:ascii="Times New Roman"/>
        </w:rPr>
      </w:pPr>
      <w:bookmarkStart w:id="141" w:name="_Toc103805251"/>
      <w:bookmarkStart w:id="142" w:name="_Toc57368080"/>
      <w:bookmarkStart w:id="143" w:name="_Toc89087853"/>
      <w:r>
        <w:rPr>
          <w:rFonts w:ascii="Times New Roman"/>
        </w:rPr>
        <w:t>3.</w:t>
      </w:r>
      <w:r>
        <w:rPr>
          <w:rFonts w:hint="eastAsia" w:ascii="Times New Roman"/>
        </w:rPr>
        <w:t>发展重点</w:t>
      </w:r>
      <w:bookmarkEnd w:id="141"/>
      <w:bookmarkEnd w:id="142"/>
      <w:bookmarkEnd w:id="143"/>
    </w:p>
    <w:p>
      <w:pPr>
        <w:pStyle w:val="12"/>
        <w:ind w:firstLine="643"/>
      </w:pPr>
      <w:r>
        <w:rPr>
          <w:rFonts w:hint="eastAsia"/>
          <w:b/>
        </w:rPr>
        <w:t>纳米防护材料。</w:t>
      </w:r>
      <w:r>
        <w:rPr>
          <w:rFonts w:hint="eastAsia"/>
        </w:rPr>
        <w:t>依托重庆中纳科技有限公司，以纳米碳纤维复合材料为基础，重点发展纳米工业口罩、医用口罩等过滤产品及纳米材料服装、汽车内饰环保材料、新能源汽车电池负极材料和隔膜新材料等主导产品，精准招商集聚上下游企业集群发展，打造国内有较强影响力的纳米防护材料产业基地。</w:t>
      </w:r>
    </w:p>
    <w:p>
      <w:pPr>
        <w:pStyle w:val="12"/>
        <w:ind w:firstLine="643"/>
      </w:pPr>
      <w:r>
        <w:rPr>
          <w:rFonts w:hint="eastAsia"/>
          <w:b/>
        </w:rPr>
        <w:t>新型建筑材料。</w:t>
      </w:r>
      <w:r>
        <w:rPr>
          <w:rFonts w:hint="eastAsia"/>
        </w:rPr>
        <w:t>全面实施新型建筑材料产业巩固提升工程，强化建材产业与建筑业、生产性服务业等关联产业深度融合，延伸上下游产业链条，</w:t>
      </w:r>
      <w:r>
        <w:rPr>
          <w:rFonts w:hint="eastAsia"/>
          <w:lang w:eastAsia="zh-CN"/>
        </w:rPr>
        <w:t>建成以绿色建材</w:t>
      </w:r>
      <w:r>
        <w:rPr>
          <w:rFonts w:hint="eastAsia"/>
        </w:rPr>
        <w:t>制造为主导的新型建筑材料产业集群。紧密结合绿色建筑市场需求，重点发展新型墙体材料、新型复合材料和节能环保新型建材。推进建筑一体化部品部件、防水保温一体化屋面部品、装饰保温一体化墙体部品等围护结构部品生产。</w:t>
      </w:r>
    </w:p>
    <w:p>
      <w:pPr>
        <w:pStyle w:val="12"/>
        <w:ind w:firstLine="643"/>
      </w:pPr>
      <w:r>
        <w:rPr>
          <w:rFonts w:hint="eastAsia"/>
          <w:b/>
        </w:rPr>
        <w:t>玻璃纤维复合材料。</w:t>
      </w:r>
      <w:r>
        <w:rPr>
          <w:rFonts w:hint="eastAsia"/>
        </w:rPr>
        <w:t>以玻璃纤维及制品生产项目为基础，配套建设高性能玻璃纤维及织物、纤维增强复合材料制品产业链条，重点发展复合材料在汽车、游艇、智能化托盘、建筑、畜牧业等领域的应用。</w:t>
      </w:r>
    </w:p>
    <w:p>
      <w:pPr>
        <w:pStyle w:val="6"/>
        <w:rPr>
          <w:rFonts w:ascii="Times New Roman"/>
        </w:rPr>
      </w:pPr>
      <w:bookmarkStart w:id="144" w:name="_Toc57368081"/>
      <w:bookmarkStart w:id="145" w:name="_Toc89087854"/>
      <w:bookmarkStart w:id="146" w:name="_Toc103805252"/>
      <w:r>
        <w:rPr>
          <w:rFonts w:ascii="Times New Roman"/>
        </w:rPr>
        <w:t>4.</w:t>
      </w:r>
      <w:r>
        <w:rPr>
          <w:rFonts w:hint="eastAsia" w:ascii="Times New Roman"/>
        </w:rPr>
        <w:t>主要任务</w:t>
      </w:r>
      <w:bookmarkEnd w:id="144"/>
      <w:bookmarkEnd w:id="145"/>
      <w:bookmarkEnd w:id="146"/>
    </w:p>
    <w:p>
      <w:pPr>
        <w:pStyle w:val="12"/>
        <w:ind w:firstLine="643"/>
      </w:pPr>
      <w:r>
        <w:rPr>
          <w:rFonts w:hint="eastAsia"/>
          <w:b/>
        </w:rPr>
        <w:t>推进要素集聚落地。</w:t>
      </w:r>
      <w:r>
        <w:rPr>
          <w:rFonts w:hint="eastAsia"/>
        </w:rPr>
        <w:t>围绕新型材料产业链，协助新型材料企业推进自主创新及产业化水平，满足产业先导布局和发展需求。多措并举引导社会资本进入建材产业，携手走出奉节开拓外部市场，形成多元化创新资源投入与产业协同发展体系，支撑建材产业实现创新发展的任务目标。</w:t>
      </w:r>
    </w:p>
    <w:p>
      <w:pPr>
        <w:pStyle w:val="12"/>
        <w:ind w:firstLine="643"/>
      </w:pPr>
      <w:r>
        <w:rPr>
          <w:rFonts w:hint="eastAsia"/>
          <w:b/>
        </w:rPr>
        <w:t>循环利用绿色生产。</w:t>
      </w:r>
      <w:r>
        <w:rPr>
          <w:rFonts w:hint="eastAsia"/>
        </w:rPr>
        <w:t>依托现有火电厂，加快建设下游循环经济产业园，充分利用煤炭清选和发电产生的二次产物生产建材，形成</w:t>
      </w:r>
      <w:r>
        <w:t>“</w:t>
      </w:r>
      <w:r>
        <w:rPr>
          <w:rFonts w:hint="eastAsia"/>
        </w:rPr>
        <w:t>煤</w:t>
      </w:r>
      <w:r>
        <w:t>—</w:t>
      </w:r>
      <w:r>
        <w:rPr>
          <w:rFonts w:hint="eastAsia"/>
        </w:rPr>
        <w:t>电</w:t>
      </w:r>
      <w:r>
        <w:t>—</w:t>
      </w:r>
      <w:r>
        <w:rPr>
          <w:rFonts w:hint="eastAsia"/>
        </w:rPr>
        <w:t>石膏</w:t>
      </w:r>
      <w:r>
        <w:t>—</w:t>
      </w:r>
      <w:r>
        <w:rPr>
          <w:rFonts w:hint="eastAsia"/>
        </w:rPr>
        <w:t>石膏板</w:t>
      </w:r>
      <w:r>
        <w:t>”“</w:t>
      </w:r>
      <w:r>
        <w:rPr>
          <w:rFonts w:hint="eastAsia"/>
        </w:rPr>
        <w:t>煤</w:t>
      </w:r>
      <w:r>
        <w:t>—</w:t>
      </w:r>
      <w:r>
        <w:rPr>
          <w:rFonts w:hint="eastAsia"/>
        </w:rPr>
        <w:t>电</w:t>
      </w:r>
      <w:r>
        <w:t>—</w:t>
      </w:r>
      <w:r>
        <w:rPr>
          <w:rFonts w:hint="eastAsia"/>
        </w:rPr>
        <w:t>粉煤灰</w:t>
      </w:r>
      <w:r>
        <w:t>—</w:t>
      </w:r>
      <w:r>
        <w:rPr>
          <w:rFonts w:hint="eastAsia"/>
        </w:rPr>
        <w:t>新型墙材</w:t>
      </w:r>
      <w:r>
        <w:t>”</w:t>
      </w:r>
      <w:r>
        <w:rPr>
          <w:rFonts w:hint="eastAsia"/>
        </w:rPr>
        <w:t>两条循环产业链。充分利用电厂工业废渣中的粉煤灰，配以砂、石灰、水泥、石膏等硅质钙质材料，改进原有产品，研发轻质保温隔热新型墙体建材。</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5 </w:t>
            </w:r>
            <w:r>
              <w:rPr>
                <w:rFonts w:hint="eastAsia" w:eastAsia="黑体"/>
                <w:sz w:val="28"/>
                <w:szCs w:val="28"/>
              </w:rPr>
              <w:t>新型材料产业重点工程及重大项目布局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eastAsia="仿宋_GB2312"/>
                <w:b/>
                <w:bCs/>
                <w:sz w:val="28"/>
                <w:szCs w:val="28"/>
              </w:rPr>
              <w:t>1.</w:t>
            </w:r>
            <w:r>
              <w:rPr>
                <w:rFonts w:hint="eastAsia" w:eastAsia="仿宋_GB2312"/>
                <w:b/>
                <w:bCs/>
                <w:sz w:val="28"/>
                <w:szCs w:val="28"/>
              </w:rPr>
              <w:t>关键平台建设工程：</w:t>
            </w:r>
            <w:r>
              <w:rPr>
                <w:rFonts w:hint="eastAsia" w:eastAsia="仿宋_GB2312"/>
                <w:bCs/>
                <w:sz w:val="28"/>
                <w:szCs w:val="28"/>
              </w:rPr>
              <w:t>围绕节能环保新型材料新技术提升、新成果推广应用，谋划建设新型材料技术创新中心、新型材料工程中心、新型材料中试平台等关键平台。</w:t>
            </w:r>
          </w:p>
          <w:p>
            <w:pPr>
              <w:spacing w:line="560" w:lineRule="exact"/>
              <w:ind w:firstLine="562"/>
              <w:rPr>
                <w:rFonts w:eastAsia="仿宋_GB2312"/>
                <w:sz w:val="28"/>
                <w:szCs w:val="28"/>
                <w:lang w:val="zh-CN"/>
              </w:rPr>
            </w:pPr>
            <w:r>
              <w:rPr>
                <w:rFonts w:eastAsia="仿宋_GB2312"/>
                <w:b/>
                <w:bCs/>
                <w:sz w:val="28"/>
                <w:szCs w:val="28"/>
              </w:rPr>
              <w:t>2.</w:t>
            </w:r>
            <w:r>
              <w:rPr>
                <w:rFonts w:hint="eastAsia" w:eastAsia="仿宋_GB2312"/>
                <w:b/>
                <w:bCs/>
                <w:sz w:val="28"/>
                <w:szCs w:val="28"/>
              </w:rPr>
              <w:t>重大项目布局：</w:t>
            </w:r>
            <w:r>
              <w:rPr>
                <w:rFonts w:hint="eastAsia" w:eastAsia="仿宋_GB2312"/>
                <w:bCs/>
                <w:sz w:val="28"/>
                <w:szCs w:val="28"/>
              </w:rPr>
              <w:t>重点推进奉节县复合材料产业园、奉节县康乐组团装配式建筑材料生产、奉节县</w:t>
            </w:r>
            <w:r>
              <w:rPr>
                <w:rFonts w:eastAsia="仿宋_GB2312"/>
                <w:bCs/>
                <w:sz w:val="28"/>
                <w:szCs w:val="28"/>
              </w:rPr>
              <w:t>30</w:t>
            </w:r>
            <w:r>
              <w:rPr>
                <w:rFonts w:hint="eastAsia" w:eastAsia="仿宋_GB2312"/>
                <w:bCs/>
                <w:sz w:val="28"/>
                <w:szCs w:val="28"/>
              </w:rPr>
              <w:t>万方</w:t>
            </w:r>
            <w:r>
              <w:rPr>
                <w:rFonts w:eastAsia="仿宋_GB2312"/>
                <w:bCs/>
                <w:sz w:val="28"/>
                <w:szCs w:val="28"/>
              </w:rPr>
              <w:t>ALC</w:t>
            </w:r>
            <w:r>
              <w:rPr>
                <w:rFonts w:hint="eastAsia" w:eastAsia="仿宋_GB2312"/>
                <w:bCs/>
                <w:sz w:val="28"/>
                <w:szCs w:val="28"/>
              </w:rPr>
              <w:t>轻质板材生产等项目建设</w:t>
            </w:r>
            <w:r>
              <w:rPr>
                <w:rFonts w:hint="eastAsia" w:eastAsia="仿宋_GB2312"/>
                <w:bCs/>
                <w:sz w:val="28"/>
                <w:szCs w:val="28"/>
                <w:lang w:val="zh-CN"/>
              </w:rPr>
              <w:t>。</w:t>
            </w:r>
          </w:p>
        </w:tc>
      </w:tr>
    </w:tbl>
    <w:p>
      <w:pPr>
        <w:pStyle w:val="5"/>
        <w:spacing w:before="156" w:beforeLines="50" w:after="156" w:afterLines="50" w:line="360" w:lineRule="auto"/>
        <w:jc w:val="center"/>
        <w:rPr>
          <w:rFonts w:ascii="Times New Roman" w:hAnsi="Times New Roman" w:eastAsia="楷体_GB2312"/>
        </w:rPr>
      </w:pPr>
      <w:bookmarkStart w:id="147" w:name="_Toc57368082"/>
      <w:bookmarkStart w:id="148" w:name="_Toc89087855"/>
      <w:bookmarkStart w:id="149" w:name="_Toc103805253"/>
      <w:r>
        <w:rPr>
          <w:rFonts w:hint="eastAsia" w:ascii="Times New Roman" w:hAnsi="Times New Roman" w:eastAsia="楷体_GB2312"/>
        </w:rPr>
        <w:t>第六节</w:t>
      </w:r>
      <w:r>
        <w:rPr>
          <w:rFonts w:ascii="Times New Roman" w:hAnsi="Times New Roman" w:eastAsia="楷体_GB2312"/>
        </w:rPr>
        <w:t xml:space="preserve"> </w:t>
      </w:r>
      <w:bookmarkEnd w:id="147"/>
      <w:r>
        <w:rPr>
          <w:rFonts w:hint="eastAsia" w:ascii="Times New Roman" w:hAnsi="Times New Roman" w:eastAsia="楷体_GB2312"/>
        </w:rPr>
        <w:t>打造西部装配式建筑产业与技术高地</w:t>
      </w:r>
      <w:bookmarkEnd w:id="148"/>
      <w:bookmarkEnd w:id="149"/>
    </w:p>
    <w:p>
      <w:pPr>
        <w:pStyle w:val="6"/>
        <w:rPr>
          <w:rFonts w:ascii="Times New Roman"/>
        </w:rPr>
      </w:pPr>
      <w:bookmarkStart w:id="150" w:name="_Toc103805254"/>
      <w:bookmarkStart w:id="151" w:name="_Toc89087856"/>
      <w:bookmarkStart w:id="152" w:name="_Toc57368083"/>
      <w:r>
        <w:rPr>
          <w:rFonts w:ascii="Times New Roman"/>
        </w:rPr>
        <w:t>1.</w:t>
      </w:r>
      <w:r>
        <w:rPr>
          <w:rFonts w:hint="eastAsia" w:ascii="Times New Roman"/>
        </w:rPr>
        <w:t>发展思路</w:t>
      </w:r>
      <w:bookmarkEnd w:id="150"/>
      <w:bookmarkEnd w:id="151"/>
      <w:bookmarkEnd w:id="152"/>
    </w:p>
    <w:p>
      <w:pPr>
        <w:pStyle w:val="12"/>
        <w:ind w:firstLine="640"/>
      </w:pPr>
      <w:r>
        <w:rPr>
          <w:rFonts w:hint="eastAsia"/>
        </w:rPr>
        <w:t>按照</w:t>
      </w:r>
      <w:r>
        <w:t>“</w:t>
      </w:r>
      <w:r>
        <w:rPr>
          <w:rFonts w:hint="eastAsia"/>
        </w:rPr>
        <w:t>政府引导、市场主导，龙头带动、集群高效</w:t>
      </w:r>
      <w:r>
        <w:t>”</w:t>
      </w:r>
      <w:r>
        <w:rPr>
          <w:rFonts w:hint="eastAsia"/>
        </w:rPr>
        <w:t>的原则，规划建设装配式建筑产业园，制定精准产业推进措施，以保障性住房建设为突破口，在老旧小区改造、重点区域建设中率先推进装配式建筑。以建设示范基地为重点，实现科技进步、产业模式创新、产业增值。围绕智能化产品生产、部品部件生产和装备制造等装配式建筑制造业，设计咨询、施工安装等装配式设计施工业，研发检测、物流运输、教育培训等装配式建筑配套服务业，全面提升建筑品质。</w:t>
      </w:r>
    </w:p>
    <w:p>
      <w:pPr>
        <w:pStyle w:val="6"/>
        <w:rPr>
          <w:rFonts w:ascii="Times New Roman"/>
        </w:rPr>
      </w:pPr>
      <w:bookmarkStart w:id="153" w:name="_Toc89087857"/>
      <w:bookmarkStart w:id="154" w:name="_Toc57368084"/>
      <w:bookmarkStart w:id="155" w:name="_Toc103805255"/>
      <w:r>
        <w:rPr>
          <w:rFonts w:ascii="Times New Roman"/>
        </w:rPr>
        <w:t>2.</w:t>
      </w:r>
      <w:r>
        <w:rPr>
          <w:rFonts w:hint="eastAsia" w:ascii="Times New Roman"/>
        </w:rPr>
        <w:t>发展目标</w:t>
      </w:r>
      <w:bookmarkEnd w:id="153"/>
      <w:bookmarkEnd w:id="154"/>
      <w:bookmarkEnd w:id="155"/>
    </w:p>
    <w:p>
      <w:pPr>
        <w:pStyle w:val="12"/>
        <w:ind w:firstLine="640"/>
      </w:pPr>
      <w:r>
        <w:rPr>
          <w:rFonts w:hint="eastAsia"/>
        </w:rPr>
        <w:t>建设装配式建筑产业园</w:t>
      </w:r>
      <w:r>
        <w:t>1</w:t>
      </w:r>
      <w:r>
        <w:rPr>
          <w:rFonts w:hint="eastAsia"/>
        </w:rPr>
        <w:t>个，初步形成涵盖装配式建筑研发设计、部品部件生产、施工安装、装备制造、物流运输、装饰装修和运行维护的产业链，引进发展</w:t>
      </w:r>
      <w:r>
        <w:t>3</w:t>
      </w:r>
      <w:r>
        <w:rPr>
          <w:rFonts w:hint="eastAsia"/>
        </w:rPr>
        <w:t>个行业</w:t>
      </w:r>
      <w:r>
        <w:t>8</w:t>
      </w:r>
      <w:r>
        <w:rPr>
          <w:rFonts w:hint="eastAsia"/>
        </w:rPr>
        <w:t>大门类</w:t>
      </w:r>
      <w:r>
        <w:t>100</w:t>
      </w:r>
      <w:r>
        <w:rPr>
          <w:rFonts w:hint="eastAsia"/>
        </w:rPr>
        <w:t>余种技术产品企业，打造装配式建筑产业生态圈，装配式建筑占新建建筑比例达到</w:t>
      </w:r>
      <w:r>
        <w:t>20%</w:t>
      </w:r>
      <w:r>
        <w:rPr>
          <w:rFonts w:hint="eastAsia"/>
        </w:rPr>
        <w:t>以上，形成技术超前、绿色环保、协调发展的现代建筑产业体系，逐步发展成为西部装配式建筑产业高地与技术高地，实现综合产值</w:t>
      </w:r>
      <w:r>
        <w:t>50</w:t>
      </w:r>
      <w:r>
        <w:rPr>
          <w:rFonts w:hint="eastAsia"/>
        </w:rPr>
        <w:t>亿元左右。</w:t>
      </w:r>
    </w:p>
    <w:p>
      <w:pPr>
        <w:pStyle w:val="6"/>
        <w:rPr>
          <w:rFonts w:ascii="Times New Roman"/>
        </w:rPr>
      </w:pPr>
      <w:bookmarkStart w:id="156" w:name="_Toc103805256"/>
      <w:bookmarkStart w:id="157" w:name="_Toc57368085"/>
      <w:bookmarkStart w:id="158" w:name="_Toc89087858"/>
      <w:r>
        <w:rPr>
          <w:rFonts w:ascii="Times New Roman"/>
        </w:rPr>
        <w:t>3.</w:t>
      </w:r>
      <w:r>
        <w:rPr>
          <w:rFonts w:hint="eastAsia" w:ascii="Times New Roman"/>
        </w:rPr>
        <w:t>发展重点</w:t>
      </w:r>
      <w:bookmarkEnd w:id="156"/>
      <w:bookmarkEnd w:id="157"/>
      <w:bookmarkEnd w:id="158"/>
    </w:p>
    <w:p>
      <w:pPr>
        <w:pStyle w:val="12"/>
        <w:ind w:firstLine="643"/>
        <w:rPr>
          <w:b/>
        </w:rPr>
      </w:pPr>
      <w:r>
        <w:rPr>
          <w:rFonts w:hint="eastAsia"/>
          <w:b/>
        </w:rPr>
        <w:t>新型装饰材料。</w:t>
      </w:r>
      <w:r>
        <w:rPr>
          <w:rFonts w:hint="eastAsia"/>
          <w:bCs/>
        </w:rPr>
        <w:t>重点发展</w:t>
      </w:r>
      <w:r>
        <w:rPr>
          <w:rFonts w:hint="eastAsia"/>
        </w:rPr>
        <w:t>天然和人造石材、新型装饰装修材料，有高强、防水、隔热、保温、环保等功能的人造建材、新型陶瓷、新型金属复合材料技术、电子信息材料技术、新型硬质合金材料的生产供应。鼓励大型企业建立新型装配式材料技术研发创新体系，利用先进生产技术，生产性能高、品种丰富、质量稳定的高附加值新型装配式建筑装饰材料。</w:t>
      </w:r>
    </w:p>
    <w:p>
      <w:pPr>
        <w:pStyle w:val="12"/>
        <w:ind w:firstLine="643"/>
      </w:pPr>
      <w:r>
        <w:rPr>
          <w:rFonts w:hint="eastAsia"/>
          <w:b/>
        </w:rPr>
        <w:t>部品部件</w:t>
      </w:r>
      <w:r>
        <w:rPr>
          <w:rFonts w:hint="eastAsia"/>
        </w:rPr>
        <w:t>。重点发展梁、柱、板、墙、阳台、楼梯等预制混凝土部件，水利及城市建筑所需梁柱结构部件和组合轻钢结构部件、装配化集成式设备与管线部品、装配化集成式装饰装修部品。</w:t>
      </w:r>
    </w:p>
    <w:p>
      <w:pPr>
        <w:pStyle w:val="12"/>
        <w:ind w:firstLine="643"/>
      </w:pPr>
      <w:r>
        <w:rPr>
          <w:rFonts w:hint="eastAsia"/>
          <w:b/>
        </w:rPr>
        <w:t>施工安装。</w:t>
      </w:r>
      <w:r>
        <w:rPr>
          <w:rFonts w:hint="eastAsia"/>
        </w:rPr>
        <w:t>以装配式混凝土建筑、钢结构建筑、钢</w:t>
      </w:r>
      <w:r>
        <w:t>-</w:t>
      </w:r>
      <w:r>
        <w:rPr>
          <w:rFonts w:hint="eastAsia"/>
        </w:rPr>
        <w:t>混凝土组合结构为重点，发展装配式建筑吊装施工、构件安装施工、节点连接施工、防水及保温节能施工。重点发展设计、采购、施工、运营一体化的工程总承包模式（</w:t>
      </w:r>
      <w:r>
        <w:t>EPC</w:t>
      </w:r>
      <w:r>
        <w:rPr>
          <w:rFonts w:hint="eastAsia"/>
        </w:rPr>
        <w:t>）。以干式工法为重点，围绕楼面系统、墙面系统、吊顶系统、门窗系统、收纳系统等重点发展工业化装修产业。</w:t>
      </w:r>
    </w:p>
    <w:p>
      <w:pPr>
        <w:pStyle w:val="12"/>
        <w:ind w:firstLine="643"/>
      </w:pPr>
      <w:r>
        <w:rPr>
          <w:rFonts w:hint="eastAsia"/>
          <w:b/>
        </w:rPr>
        <w:t>全过程工程咨询及信息化。</w:t>
      </w:r>
      <w:r>
        <w:rPr>
          <w:rFonts w:hint="eastAsia"/>
        </w:rPr>
        <w:t>鼓励投资咨询、勘察、设计、监理、招标代理、造价等企业在奉节开设分公司，采取联合经营、并购重组等方式发展全过程工程咨询。积极探索装配式建筑与建筑信息化融合发展，将建筑信息模型（</w:t>
      </w:r>
      <w:r>
        <w:t>BIM</w:t>
      </w:r>
      <w:r>
        <w:rPr>
          <w:rFonts w:hint="eastAsia"/>
        </w:rPr>
        <w:t>技术）融入装配式建筑项目建设全过程，加快配套软件引进，实现产业链各环节数据共享。</w:t>
      </w:r>
    </w:p>
    <w:p>
      <w:pPr>
        <w:pStyle w:val="6"/>
        <w:rPr>
          <w:rFonts w:ascii="Times New Roman"/>
        </w:rPr>
      </w:pPr>
      <w:bookmarkStart w:id="159" w:name="_Toc89087859"/>
      <w:bookmarkStart w:id="160" w:name="_Toc103805257"/>
      <w:bookmarkStart w:id="161" w:name="_Toc57368086"/>
      <w:r>
        <w:rPr>
          <w:rFonts w:ascii="Times New Roman"/>
        </w:rPr>
        <w:t>4.</w:t>
      </w:r>
      <w:r>
        <w:rPr>
          <w:rFonts w:hint="eastAsia" w:ascii="Times New Roman"/>
        </w:rPr>
        <w:t>主要任务</w:t>
      </w:r>
      <w:bookmarkEnd w:id="159"/>
      <w:bookmarkEnd w:id="160"/>
      <w:bookmarkEnd w:id="161"/>
    </w:p>
    <w:p>
      <w:pPr>
        <w:pStyle w:val="12"/>
        <w:ind w:firstLine="643"/>
      </w:pPr>
      <w:r>
        <w:rPr>
          <w:rFonts w:hint="eastAsia"/>
          <w:b/>
        </w:rPr>
        <w:t>创新产业发展模式。</w:t>
      </w:r>
      <w:r>
        <w:rPr>
          <w:rFonts w:hint="eastAsia"/>
        </w:rPr>
        <w:t>构建装配式建筑产业创新链，鼓励奉节建筑工程企业参股预制混凝土部件、钢结构部件等生产企业，从提供单一产品向提供采购物流、安装施工、建设维护和技术支持等一体化服务转变。鼓励装配式建筑产品线上展示交易，引导行业由线下交易向线上平台转型。提高企业供应链协同水平，推动网上供应链、技术服务、大数据服务平台建设，探索</w:t>
      </w:r>
      <w:r>
        <w:t>“</w:t>
      </w:r>
      <w:r>
        <w:rPr>
          <w:rFonts w:hint="eastAsia"/>
        </w:rPr>
        <w:t>互联网</w:t>
      </w:r>
      <w:r>
        <w:t>+</w:t>
      </w:r>
      <w:r>
        <w:rPr>
          <w:rFonts w:hint="eastAsia"/>
        </w:rPr>
        <w:t>装配式建筑</w:t>
      </w:r>
      <w:r>
        <w:t>”“</w:t>
      </w:r>
      <w:r>
        <w:rPr>
          <w:rFonts w:hint="eastAsia"/>
        </w:rPr>
        <w:t>大数据</w:t>
      </w:r>
      <w:r>
        <w:t>+</w:t>
      </w:r>
      <w:r>
        <w:rPr>
          <w:rFonts w:hint="eastAsia"/>
        </w:rPr>
        <w:t>装配式建筑</w:t>
      </w:r>
      <w:r>
        <w:t>”</w:t>
      </w:r>
      <w:r>
        <w:rPr>
          <w:rFonts w:hint="eastAsia"/>
        </w:rPr>
        <w:t>等新业态、新模式。</w:t>
      </w:r>
    </w:p>
    <w:p>
      <w:pPr>
        <w:pStyle w:val="12"/>
        <w:ind w:firstLine="643"/>
      </w:pPr>
      <w:r>
        <w:rPr>
          <w:rFonts w:hint="eastAsia"/>
          <w:b/>
        </w:rPr>
        <w:t>强化绿色生产绿色施工。</w:t>
      </w:r>
      <w:r>
        <w:rPr>
          <w:rFonts w:hint="eastAsia"/>
        </w:rPr>
        <w:t>以绿色理念引领装配式建筑产品设计、生产、运输等各环节发展，加强节地、节水、节能与噪音、扬尘污染的管理，鼓励企业优先选择国家与行业中推荐使用的高效节能环保的设备与机具，改善能源使用结构，有效控制施工能耗；按照施工具体情况合理组织施工流程，开展新型绿色施工技术，改善施工环境。支持企业实施节能减排技术改造，推广低能耗装配式建筑部品部件生产技术装备，研究完善绿色生产标准，降低能耗和排放水平。鼓励企业研究利用尾矿、粉煤灰、电石渣等大宗工业固废，推进生产环节</w:t>
      </w:r>
      <w:r>
        <w:t>“</w:t>
      </w:r>
      <w:r>
        <w:rPr>
          <w:rFonts w:hint="eastAsia"/>
        </w:rPr>
        <w:t>近零排放</w:t>
      </w:r>
      <w:r>
        <w:t>”</w:t>
      </w:r>
      <w:r>
        <w:rPr>
          <w:rFonts w:hint="eastAsia"/>
        </w:rPr>
        <w:t>。</w:t>
      </w:r>
    </w:p>
    <w:p>
      <w:pPr>
        <w:pStyle w:val="12"/>
        <w:ind w:firstLine="643"/>
      </w:pPr>
      <w:r>
        <w:rPr>
          <w:rFonts w:hint="eastAsia"/>
          <w:b/>
        </w:rPr>
        <w:t>培育产业配套特种物流服务。</w:t>
      </w:r>
      <w:r>
        <w:rPr>
          <w:rFonts w:hint="eastAsia"/>
        </w:rPr>
        <w:t>重视和发展装配式建筑部品部件及其他相关建筑和装饰材料的物流运输和仓储服务产业。开展装配式建筑产品的专业化配送。依托奉节水路和现有铁路、公路等交通运输方式，对内联通装配式建筑产业链中的各环节，对外向重庆及四川等地输出产品，实现装配式建筑产业走出去的目标。组织建立奉节装配式建筑产业协会，引进吸收本县及周边有志于开拓装配式建筑产业优势企业，构筑完整的装配式建筑产业供应链关系，协会成员企业共享产业链资源，促进产业集聚和规模效应发挥。</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6 </w:t>
            </w:r>
            <w:r>
              <w:rPr>
                <w:rFonts w:hint="eastAsia" w:eastAsia="黑体"/>
                <w:sz w:val="28"/>
                <w:szCs w:val="28"/>
              </w:rPr>
              <w:t>装配式建筑产业重点工程与重大项目布局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eastAsia="仿宋_GB2312"/>
                <w:b/>
                <w:bCs/>
                <w:sz w:val="28"/>
                <w:szCs w:val="28"/>
              </w:rPr>
              <w:t>1.</w:t>
            </w:r>
            <w:r>
              <w:rPr>
                <w:rFonts w:hint="eastAsia" w:eastAsia="仿宋_GB2312"/>
                <w:b/>
                <w:bCs/>
                <w:sz w:val="28"/>
                <w:szCs w:val="28"/>
              </w:rPr>
              <w:t>产业筑基工程：</w:t>
            </w:r>
            <w:r>
              <w:rPr>
                <w:rFonts w:hint="eastAsia" w:eastAsia="仿宋_GB2312"/>
                <w:bCs/>
                <w:sz w:val="28"/>
                <w:szCs w:val="28"/>
              </w:rPr>
              <w:t>以夯实装配式建筑产业基础为目标，加快建设专业产业园区和基地，重点发展</w:t>
            </w:r>
            <w:r>
              <w:rPr>
                <w:rFonts w:eastAsia="仿宋_GB2312"/>
                <w:bCs/>
                <w:sz w:val="28"/>
                <w:szCs w:val="28"/>
              </w:rPr>
              <w:t>PHC</w:t>
            </w:r>
            <w:r>
              <w:rPr>
                <w:rFonts w:hint="eastAsia" w:eastAsia="仿宋_GB2312"/>
                <w:bCs/>
                <w:sz w:val="28"/>
                <w:szCs w:val="28"/>
              </w:rPr>
              <w:t>预应力管桩、预制墙板、楼板、梁柱、楼梯、阳台等新型建筑构件，推动水泥与石材、人造板材、化学建材、脚手架、管材等配件材料集成应用，发展预制装配式混凝土结构、钢结构、现代木结构建筑等各式成品装配式建筑，推进成品装配式建筑的标准化设计、工厂化生产、装配化施工、信息化管理、智能化应用。</w:t>
            </w:r>
          </w:p>
          <w:p>
            <w:pPr>
              <w:spacing w:line="560" w:lineRule="exact"/>
              <w:ind w:firstLine="562"/>
              <w:rPr>
                <w:rFonts w:eastAsia="仿宋_GB2312"/>
                <w:sz w:val="28"/>
                <w:szCs w:val="28"/>
                <w:lang w:val="zh-CN"/>
              </w:rPr>
            </w:pPr>
            <w:r>
              <w:rPr>
                <w:rFonts w:eastAsia="仿宋_GB2312"/>
                <w:b/>
                <w:bCs/>
                <w:sz w:val="28"/>
                <w:szCs w:val="28"/>
              </w:rPr>
              <w:t>2.</w:t>
            </w:r>
            <w:r>
              <w:rPr>
                <w:rFonts w:hint="eastAsia" w:eastAsia="仿宋_GB2312"/>
                <w:b/>
                <w:bCs/>
                <w:sz w:val="28"/>
                <w:szCs w:val="28"/>
              </w:rPr>
              <w:t>重大项目布局：</w:t>
            </w:r>
            <w:r>
              <w:rPr>
                <w:rFonts w:hint="eastAsia" w:eastAsia="仿宋_GB2312"/>
                <w:bCs/>
                <w:sz w:val="28"/>
                <w:szCs w:val="28"/>
              </w:rPr>
              <w:t>重点推进奉节县装配式建筑产业基地等项目建设</w:t>
            </w:r>
            <w:r>
              <w:rPr>
                <w:rFonts w:hint="eastAsia" w:eastAsia="仿宋_GB2312"/>
                <w:bCs/>
                <w:sz w:val="28"/>
                <w:szCs w:val="28"/>
                <w:lang w:val="zh-CN"/>
              </w:rPr>
              <w:t>。</w:t>
            </w:r>
          </w:p>
        </w:tc>
      </w:tr>
    </w:tbl>
    <w:p>
      <w:pPr>
        <w:pStyle w:val="4"/>
        <w:spacing w:before="100" w:beforeAutospacing="1" w:after="100" w:afterAutospacing="1" w:line="240" w:lineRule="auto"/>
        <w:jc w:val="center"/>
        <w:rPr>
          <w:rFonts w:eastAsia="黑体"/>
          <w:sz w:val="36"/>
          <w:szCs w:val="36"/>
        </w:rPr>
      </w:pPr>
      <w:bookmarkStart w:id="162" w:name="_Toc103805258"/>
      <w:bookmarkStart w:id="163" w:name="_Toc57368087"/>
      <w:bookmarkStart w:id="164" w:name="_Toc89087860"/>
      <w:r>
        <w:rPr>
          <w:rFonts w:hint="eastAsia" w:eastAsia="黑体"/>
          <w:sz w:val="36"/>
          <w:szCs w:val="36"/>
        </w:rPr>
        <w:t>第五章</w:t>
      </w:r>
      <w:r>
        <w:rPr>
          <w:rFonts w:eastAsia="黑体"/>
          <w:sz w:val="36"/>
          <w:szCs w:val="36"/>
        </w:rPr>
        <w:t xml:space="preserve"> </w:t>
      </w:r>
      <w:r>
        <w:rPr>
          <w:rFonts w:hint="eastAsia" w:eastAsia="黑体"/>
          <w:sz w:val="36"/>
          <w:szCs w:val="36"/>
        </w:rPr>
        <w:t>推动两化两业深度融合</w:t>
      </w:r>
      <w:bookmarkEnd w:id="162"/>
    </w:p>
    <w:p>
      <w:pPr>
        <w:pStyle w:val="5"/>
        <w:spacing w:before="156" w:beforeLines="50" w:after="156" w:afterLines="50" w:line="360" w:lineRule="auto"/>
        <w:jc w:val="center"/>
        <w:rPr>
          <w:rFonts w:ascii="Times New Roman" w:hAnsi="Times New Roman" w:eastAsia="楷体_GB2312"/>
        </w:rPr>
      </w:pPr>
      <w:bookmarkStart w:id="165" w:name="_Toc103805259"/>
      <w:r>
        <w:rPr>
          <w:rFonts w:hint="eastAsia" w:ascii="Times New Roman" w:hAnsi="Times New Roman" w:eastAsia="楷体_GB2312"/>
        </w:rPr>
        <w:t>第一节</w:t>
      </w:r>
      <w:r>
        <w:rPr>
          <w:rFonts w:ascii="Times New Roman" w:hAnsi="Times New Roman" w:eastAsia="楷体_GB2312"/>
        </w:rPr>
        <w:t xml:space="preserve"> </w:t>
      </w:r>
      <w:bookmarkEnd w:id="163"/>
      <w:r>
        <w:rPr>
          <w:rFonts w:hint="eastAsia" w:ascii="Times New Roman" w:hAnsi="Times New Roman" w:eastAsia="楷体_GB2312"/>
        </w:rPr>
        <w:t>打造数字经济发展新高地</w:t>
      </w:r>
      <w:bookmarkEnd w:id="164"/>
      <w:bookmarkEnd w:id="165"/>
    </w:p>
    <w:p>
      <w:pPr>
        <w:pStyle w:val="6"/>
        <w:rPr>
          <w:rFonts w:ascii="Times New Roman"/>
        </w:rPr>
      </w:pPr>
      <w:bookmarkStart w:id="166" w:name="_Toc103805260"/>
      <w:bookmarkStart w:id="167" w:name="_Toc57368088"/>
      <w:bookmarkStart w:id="168" w:name="_Toc89087861"/>
      <w:r>
        <w:rPr>
          <w:rFonts w:ascii="Times New Roman"/>
        </w:rPr>
        <w:t>1.发展思路</w:t>
      </w:r>
      <w:bookmarkEnd w:id="166"/>
      <w:bookmarkEnd w:id="167"/>
      <w:bookmarkEnd w:id="168"/>
    </w:p>
    <w:p>
      <w:pPr>
        <w:pStyle w:val="12"/>
        <w:ind w:firstLine="640"/>
      </w:pPr>
      <w:r>
        <w:rPr>
          <w:rFonts w:hint="eastAsia"/>
        </w:rPr>
        <w:t>以</w:t>
      </w:r>
      <w:r>
        <w:t>“</w:t>
      </w:r>
      <w:r>
        <w:rPr>
          <w:rFonts w:hint="eastAsia"/>
        </w:rPr>
        <w:t>数字奉节</w:t>
      </w:r>
      <w:r>
        <w:t>”</w:t>
      </w:r>
      <w:r>
        <w:rPr>
          <w:rFonts w:hint="eastAsia"/>
        </w:rPr>
        <w:t>建设为核心，以数字产业化和产业数字化为主线，以夯实智能化基础设施为支撑，以数字技术应用、产业数字化转型升级为重要推动力，聚焦数字经济基础设施、数字产业化发展、产业数字化转型等三大任务，不断提升传统产业数字化、智能化水平，加快物联、数联、智联布局，推进经济社会各领域数字化转型步伐，促进数字经济与实体经济深度融合，打造数字经济发展新高地。</w:t>
      </w:r>
    </w:p>
    <w:p>
      <w:pPr>
        <w:pStyle w:val="6"/>
        <w:rPr>
          <w:rFonts w:ascii="Times New Roman"/>
        </w:rPr>
      </w:pPr>
      <w:bookmarkStart w:id="169" w:name="_Toc89087862"/>
      <w:bookmarkStart w:id="170" w:name="_Toc57368089"/>
      <w:bookmarkStart w:id="171" w:name="_Toc103805261"/>
      <w:r>
        <w:rPr>
          <w:rFonts w:ascii="Times New Roman"/>
        </w:rPr>
        <w:t>2.发展目标</w:t>
      </w:r>
      <w:bookmarkEnd w:id="169"/>
      <w:bookmarkEnd w:id="170"/>
      <w:bookmarkEnd w:id="171"/>
    </w:p>
    <w:p>
      <w:pPr>
        <w:pStyle w:val="12"/>
        <w:ind w:firstLine="640"/>
      </w:pPr>
      <w:r>
        <w:rPr>
          <w:rFonts w:hint="eastAsia"/>
        </w:rPr>
        <w:t>到</w:t>
      </w:r>
      <w:r>
        <w:t>2025</w:t>
      </w:r>
      <w:r>
        <w:rPr>
          <w:rFonts w:hint="eastAsia"/>
        </w:rPr>
        <w:t>年，数字经济总产值达到</w:t>
      </w:r>
      <w:r>
        <w:t>50</w:t>
      </w:r>
      <w:r>
        <w:rPr>
          <w:rFonts w:hint="eastAsia"/>
        </w:rPr>
        <w:t>亿元，初步形成信息基础设施完善、数字技术融合应用渝东北领先的发展格局，建成高速、移动、安全、泛在的新一代信息基础设施，数据成为关键生产要素，大数据产业在经济社会发展中的战略性和先导性作用进一步凸显，力争将工业园区建设为智能园区，数字化转型成为推动高质量发展的重要力量。</w:t>
      </w:r>
    </w:p>
    <w:p>
      <w:pPr>
        <w:pStyle w:val="6"/>
        <w:rPr>
          <w:rFonts w:ascii="Times New Roman"/>
        </w:rPr>
      </w:pPr>
      <w:bookmarkStart w:id="172" w:name="_Toc89087863"/>
      <w:bookmarkStart w:id="173" w:name="_Toc103805262"/>
      <w:bookmarkStart w:id="174" w:name="_Toc57368090"/>
      <w:r>
        <w:rPr>
          <w:rFonts w:ascii="Times New Roman"/>
        </w:rPr>
        <w:t>3.发展重点</w:t>
      </w:r>
      <w:bookmarkEnd w:id="172"/>
      <w:bookmarkEnd w:id="173"/>
      <w:bookmarkEnd w:id="174"/>
    </w:p>
    <w:p>
      <w:pPr>
        <w:pStyle w:val="12"/>
        <w:ind w:firstLine="643"/>
      </w:pPr>
      <w:bookmarkStart w:id="175" w:name="_Toc89087864"/>
      <w:bookmarkStart w:id="176" w:name="_Toc57368091"/>
      <w:r>
        <w:rPr>
          <w:rFonts w:hint="eastAsia"/>
          <w:b/>
        </w:rPr>
        <w:t>夯实数字经济新基础</w:t>
      </w:r>
      <w:bookmarkEnd w:id="175"/>
      <w:bookmarkEnd w:id="176"/>
      <w:r>
        <w:rPr>
          <w:rFonts w:hint="eastAsia"/>
          <w:b/>
        </w:rPr>
        <w:t>。</w:t>
      </w:r>
      <w:r>
        <w:rPr>
          <w:rFonts w:hint="eastAsia"/>
        </w:rPr>
        <w:t>加快完善信息基础设施网络，深入实施</w:t>
      </w:r>
      <w:r>
        <w:t>“</w:t>
      </w:r>
      <w:r>
        <w:rPr>
          <w:rFonts w:hint="eastAsia"/>
        </w:rPr>
        <w:t>光网</w:t>
      </w:r>
      <w:r>
        <w:t>·</w:t>
      </w:r>
      <w:r>
        <w:rPr>
          <w:rFonts w:hint="eastAsia"/>
        </w:rPr>
        <w:t>奉节</w:t>
      </w:r>
      <w:r>
        <w:t>”</w:t>
      </w:r>
      <w:r>
        <w:rPr>
          <w:rFonts w:hint="eastAsia"/>
        </w:rPr>
        <w:t>工程，推进</w:t>
      </w:r>
      <w:r>
        <w:t>4G</w:t>
      </w:r>
      <w:r>
        <w:rPr>
          <w:rFonts w:hint="eastAsia"/>
        </w:rPr>
        <w:t>网络和广播电视宽带网络在城镇区域的深度覆盖及农村区域的广域覆盖。稳步推进</w:t>
      </w:r>
      <w:r>
        <w:t>5G</w:t>
      </w:r>
      <w:r>
        <w:rPr>
          <w:rFonts w:hint="eastAsia"/>
        </w:rPr>
        <w:t>网络建设，实现全县域</w:t>
      </w:r>
      <w:r>
        <w:t>5G</w:t>
      </w:r>
      <w:r>
        <w:rPr>
          <w:rFonts w:hint="eastAsia"/>
        </w:rPr>
        <w:t>网络连续覆盖。建设</w:t>
      </w:r>
      <w:r>
        <w:t>5G</w:t>
      </w:r>
      <w:r>
        <w:rPr>
          <w:rFonts w:hint="eastAsia"/>
        </w:rPr>
        <w:t>基站</w:t>
      </w:r>
      <w:r>
        <w:t>2050</w:t>
      </w:r>
      <w:r>
        <w:rPr>
          <w:rFonts w:hint="eastAsia"/>
        </w:rPr>
        <w:t>个、通讯传输光缆</w:t>
      </w:r>
      <w:r>
        <w:t>6300</w:t>
      </w:r>
      <w:r>
        <w:rPr>
          <w:rFonts w:hint="eastAsia"/>
        </w:rPr>
        <w:t>千米、光网络端口</w:t>
      </w:r>
      <w:r>
        <w:t>19</w:t>
      </w:r>
      <w:r>
        <w:rPr>
          <w:rFonts w:hint="eastAsia"/>
        </w:rPr>
        <w:t>万个。加快推进千兆光网覆盖和升级工程，建成移动网、固网</w:t>
      </w:r>
      <w:r>
        <w:t>“</w:t>
      </w:r>
      <w:r>
        <w:rPr>
          <w:rFonts w:hint="eastAsia"/>
        </w:rPr>
        <w:t>双千兆县城</w:t>
      </w:r>
      <w:r>
        <w:t>”</w:t>
      </w:r>
      <w:r>
        <w:rPr>
          <w:rFonts w:hint="eastAsia"/>
        </w:rPr>
        <w:t>。推动</w:t>
      </w:r>
      <w:r>
        <w:t>IPv6</w:t>
      </w:r>
      <w:r>
        <w:rPr>
          <w:rFonts w:hint="eastAsia"/>
        </w:rPr>
        <w:t>规模部署，形成全县范围的</w:t>
      </w:r>
      <w:r>
        <w:t>IPv6</w:t>
      </w:r>
      <w:r>
        <w:rPr>
          <w:rFonts w:hint="eastAsia"/>
        </w:rPr>
        <w:t>覆盖能力。推进铁路、公路、航运、电力、建筑等基础设施智能化改造，提升城市基础设施服务能级。应用新一代信息技术及智能电网领域领先技术，打造智慧能源城市示范工程。着力构建数据共享平台，全县各部门、各领域数据实现统一目录管理、统一认证和统一交换。逐步汇聚信用、交通、物流、医疗、卫生、食品药品、质量、就业、社保、地理、文化、教育、科技、资源、农业、环境、安监、金融、统计、气象、企业登记监管等民生保障服务相关的数据。</w:t>
      </w:r>
    </w:p>
    <w:p>
      <w:pPr>
        <w:pStyle w:val="12"/>
        <w:ind w:firstLine="643"/>
      </w:pPr>
      <w:bookmarkStart w:id="177" w:name="_Toc89087865"/>
      <w:bookmarkStart w:id="178" w:name="_Toc57368092"/>
      <w:r>
        <w:rPr>
          <w:rFonts w:hint="eastAsia"/>
          <w:b/>
        </w:rPr>
        <w:t>推进数字产业化发展</w:t>
      </w:r>
      <w:bookmarkEnd w:id="177"/>
      <w:bookmarkEnd w:id="178"/>
      <w:r>
        <w:rPr>
          <w:rFonts w:hint="eastAsia"/>
          <w:b/>
        </w:rPr>
        <w:t>。</w:t>
      </w:r>
      <w:r>
        <w:rPr>
          <w:rFonts w:hint="eastAsia"/>
        </w:rPr>
        <w:t>推动大数据产业发展，充分发挥数据的基础资源作用和创新引擎作用，推动构建自主可控的大数据产业链、价值链和生态系统。围绕大数据行业应用领域，深化大数据在各行业的创新应用，支持企业面向政务、社会综合治理、社会民生、工业、教育、医疗、旅游、交通、金融等重点领域形成具有行业特征的大数据解决方案及服务，促进数据资源跨行业、跨领域深度融合，培育大数据增值应用新业态，建设城市“智能中枢”“数字奉节”云服务平台、城市大数据资源中心和智慧城市综合服务平台。推动新型智慧城市智能中枢建设。大力引进互联网</w:t>
      </w:r>
      <w:r>
        <w:t>+</w:t>
      </w:r>
      <w:r>
        <w:rPr>
          <w:rFonts w:hint="eastAsia"/>
        </w:rPr>
        <w:t>、物联网、大数据、工业互联网、农业互联网，人工智能等企业，支持行业电商平台及结算中心、大数据企业及数据中心、总部经济落户我县。建设</w:t>
      </w:r>
      <w:r>
        <w:t>20</w:t>
      </w:r>
      <w:r>
        <w:rPr>
          <w:rFonts w:hint="eastAsia"/>
        </w:rPr>
        <w:t>万平方米大数据产业楼宇和</w:t>
      </w:r>
      <w:r>
        <w:t>2</w:t>
      </w:r>
      <w:r>
        <w:rPr>
          <w:rFonts w:hint="eastAsia"/>
        </w:rPr>
        <w:t>平方公里大数据产业集聚区，重点发展数据采集、数据标注、数据清洗、数据审核、数据安全、算力服务等大数据产业，加强与百度等头部企业合作，建设区域性基础数据中心、算力中心、标注中心，推动上下游及周边产业加速集聚。</w:t>
      </w:r>
    </w:p>
    <w:p>
      <w:pPr>
        <w:pStyle w:val="12"/>
        <w:ind w:firstLine="643"/>
      </w:pPr>
      <w:bookmarkStart w:id="179" w:name="_Toc57368093"/>
      <w:bookmarkStart w:id="180" w:name="_Toc89087866"/>
      <w:r>
        <w:rPr>
          <w:rFonts w:hint="eastAsia"/>
          <w:b/>
        </w:rPr>
        <w:t>加快产业数字化转型升级</w:t>
      </w:r>
      <w:bookmarkEnd w:id="179"/>
      <w:bookmarkEnd w:id="180"/>
      <w:r>
        <w:rPr>
          <w:rFonts w:hint="eastAsia"/>
          <w:b/>
        </w:rPr>
        <w:t>。</w:t>
      </w:r>
      <w:r>
        <w:rPr>
          <w:rFonts w:hint="eastAsia"/>
        </w:rPr>
        <w:t>深入开展智能制造试点示范，开展市级数字车间和智能工厂创建，在眼镜、农产品加工、清洁能源等重点领域，实施</w:t>
      </w:r>
      <w:r>
        <w:t>“</w:t>
      </w:r>
      <w:r>
        <w:rPr>
          <w:rFonts w:hint="eastAsia"/>
        </w:rPr>
        <w:t>设备换芯</w:t>
      </w:r>
      <w:r>
        <w:t>”“</w:t>
      </w:r>
      <w:r>
        <w:rPr>
          <w:rFonts w:hint="eastAsia"/>
        </w:rPr>
        <w:t>生产换线</w:t>
      </w:r>
      <w:r>
        <w:t>”</w:t>
      </w:r>
      <w:r>
        <w:rPr>
          <w:rFonts w:hint="eastAsia"/>
        </w:rPr>
        <w:t>，打造一批</w:t>
      </w:r>
      <w:r>
        <w:t>“</w:t>
      </w:r>
      <w:r>
        <w:rPr>
          <w:rFonts w:hint="eastAsia"/>
        </w:rPr>
        <w:t>数字化车间</w:t>
      </w:r>
      <w:r>
        <w:t>”“</w:t>
      </w:r>
      <w:r>
        <w:rPr>
          <w:rFonts w:hint="eastAsia"/>
        </w:rPr>
        <w:t>智能工厂</w:t>
      </w:r>
      <w:r>
        <w:t>”</w:t>
      </w:r>
      <w:r>
        <w:rPr>
          <w:rFonts w:hint="eastAsia"/>
        </w:rPr>
        <w:t>样板，形成一批可复制、可推广的典型案例和经验。积极开展企业智能化改造专项服务行动，组建智能制造、系统集成服务和科研院所等专家团队，围绕传统产业转型升级，开展智能化改造供需对接活动，促进大数据、智能化的广泛应用。深入推进</w:t>
      </w:r>
      <w:r>
        <w:t>“</w:t>
      </w:r>
      <w:r>
        <w:rPr>
          <w:rFonts w:hint="eastAsia"/>
        </w:rPr>
        <w:t>机器换人</w:t>
      </w:r>
      <w:r>
        <w:t>”</w:t>
      </w:r>
      <w:r>
        <w:rPr>
          <w:rFonts w:hint="eastAsia"/>
        </w:rPr>
        <w:t>，推动企业减少用工人数、降低生产成本、提高产品质量。鼓励中小微企业应用物联网云平台提高企业数字化水平。着力推动传统制造业智能转型，重点围绕新型材料、食品生产等领域，推进智能化、数字化技术在企业生产制造、物流仓储、经营管理、售后服务等关键环节的深度应用，不断提高生产装备和生产过程的智能化水平。</w:t>
      </w:r>
    </w:p>
    <w:p>
      <w:pPr>
        <w:pStyle w:val="12"/>
        <w:ind w:firstLine="643"/>
      </w:pPr>
      <w:r>
        <w:rPr>
          <w:rFonts w:hint="eastAsia"/>
          <w:b/>
        </w:rPr>
        <w:t>加快建设智慧园区。</w:t>
      </w:r>
      <w:r>
        <w:rPr>
          <w:rFonts w:hint="eastAsia"/>
        </w:rPr>
        <w:t>加强奉节工业园区信息基础设施建设，指导园区搭建数控平台，在草堂组团优先推进智能工厂数字化接口、企业物联网等设施建设，不断提升园区信息化水平。加强公共平台建设，鼓励园区内部搭建企业合作平台、公共信息平台等，促进园区内产业链上下游企业资源供需对接。鼓励草堂组团和康乐组团搭建园区间合作平台，加强园区之间的协作，实现生产资源、信息、技术、管理模式等方面的优势互补，促进园区间资源的良性流动、信息共享及服务合作。加大园区安全、环保、安防、能源等方面的监管完善监控监测、预警预报、隐患排查、综合应急联动、能源监测、大气污染、水污染监控监测、园区内部及周界监控报警管理及物流管理等。</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7 </w:t>
            </w:r>
            <w:r>
              <w:rPr>
                <w:rFonts w:hint="eastAsia" w:eastAsia="黑体"/>
                <w:sz w:val="28"/>
                <w:szCs w:val="28"/>
              </w:rPr>
              <w:t>数字经济重点项目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sz w:val="28"/>
                <w:szCs w:val="28"/>
                <w:lang w:val="zh-CN"/>
              </w:rPr>
            </w:pPr>
            <w:r>
              <w:rPr>
                <w:rFonts w:hint="eastAsia" w:eastAsia="仿宋_GB2312"/>
                <w:bCs/>
                <w:sz w:val="28"/>
                <w:szCs w:val="28"/>
              </w:rPr>
              <w:t>加快推进奉节县城市智能中枢、奉节县</w:t>
            </w:r>
            <w:r>
              <w:rPr>
                <w:rFonts w:eastAsia="仿宋_GB2312"/>
                <w:bCs/>
                <w:sz w:val="28"/>
                <w:szCs w:val="28"/>
              </w:rPr>
              <w:t>5G</w:t>
            </w:r>
            <w:r>
              <w:rPr>
                <w:rFonts w:hint="eastAsia" w:eastAsia="仿宋_GB2312"/>
                <w:bCs/>
                <w:sz w:val="28"/>
                <w:szCs w:val="28"/>
              </w:rPr>
              <w:t>基站、奉节县</w:t>
            </w:r>
            <w:r>
              <w:rPr>
                <w:rFonts w:eastAsia="仿宋_GB2312"/>
                <w:bCs/>
                <w:sz w:val="28"/>
                <w:szCs w:val="28"/>
              </w:rPr>
              <w:t>4G</w:t>
            </w:r>
            <w:r>
              <w:rPr>
                <w:rFonts w:hint="eastAsia" w:eastAsia="仿宋_GB2312"/>
                <w:bCs/>
                <w:sz w:val="28"/>
                <w:szCs w:val="28"/>
              </w:rPr>
              <w:t>基站、奉节县传输光缆、奉节县光网络端口、</w:t>
            </w:r>
            <w:r>
              <w:rPr>
                <w:rFonts w:hint="eastAsia" w:eastAsia="仿宋_GB2312"/>
                <w:sz w:val="28"/>
                <w:szCs w:val="28"/>
                <w:lang w:val="zh-CN"/>
              </w:rPr>
              <w:t>低碳数字产业园项目、</w:t>
            </w:r>
            <w:r>
              <w:rPr>
                <w:rFonts w:hint="eastAsia" w:eastAsia="仿宋_GB2312"/>
                <w:bCs/>
                <w:sz w:val="28"/>
                <w:szCs w:val="28"/>
              </w:rPr>
              <w:t>奉节县规范化智慧化农贸市场等重点项目建设。</w:t>
            </w:r>
          </w:p>
        </w:tc>
      </w:tr>
    </w:tbl>
    <w:p>
      <w:pPr>
        <w:pStyle w:val="5"/>
        <w:spacing w:before="156" w:beforeLines="50" w:after="156" w:afterLines="50" w:line="360" w:lineRule="auto"/>
        <w:jc w:val="center"/>
        <w:rPr>
          <w:rFonts w:ascii="Times New Roman" w:hAnsi="Times New Roman" w:eastAsia="楷体_GB2312"/>
        </w:rPr>
      </w:pPr>
      <w:bookmarkStart w:id="181" w:name="_Toc57368096"/>
      <w:bookmarkStart w:id="182" w:name="_Toc89087867"/>
      <w:bookmarkStart w:id="183" w:name="_Toc103805263"/>
      <w:r>
        <w:rPr>
          <w:rFonts w:hint="eastAsia" w:ascii="Times New Roman" w:hAnsi="Times New Roman" w:eastAsia="楷体_GB2312"/>
        </w:rPr>
        <w:t>第二节</w:t>
      </w:r>
      <w:r>
        <w:rPr>
          <w:rFonts w:ascii="Times New Roman" w:hAnsi="Times New Roman" w:eastAsia="楷体_GB2312"/>
        </w:rPr>
        <w:t xml:space="preserve"> </w:t>
      </w:r>
      <w:bookmarkEnd w:id="181"/>
      <w:r>
        <w:rPr>
          <w:rFonts w:hint="eastAsia" w:ascii="Times New Roman" w:hAnsi="Times New Roman" w:eastAsia="楷体_GB2312"/>
        </w:rPr>
        <w:t>健全生态工业服务体系</w:t>
      </w:r>
      <w:bookmarkEnd w:id="182"/>
      <w:bookmarkEnd w:id="183"/>
    </w:p>
    <w:p>
      <w:pPr>
        <w:pStyle w:val="6"/>
        <w:rPr>
          <w:rFonts w:ascii="Times New Roman"/>
        </w:rPr>
      </w:pPr>
      <w:bookmarkStart w:id="184" w:name="_Toc57368097"/>
      <w:bookmarkStart w:id="185" w:name="_Toc89087868"/>
      <w:bookmarkStart w:id="186" w:name="_Toc103805264"/>
      <w:r>
        <w:rPr>
          <w:rFonts w:ascii="Times New Roman"/>
        </w:rPr>
        <w:t>1.发展思路</w:t>
      </w:r>
      <w:bookmarkEnd w:id="184"/>
      <w:bookmarkEnd w:id="185"/>
      <w:bookmarkEnd w:id="186"/>
    </w:p>
    <w:p>
      <w:pPr>
        <w:pStyle w:val="12"/>
        <w:ind w:firstLine="640"/>
      </w:pPr>
      <w:r>
        <w:rPr>
          <w:rFonts w:hint="eastAsia"/>
        </w:rPr>
        <w:t>加快重点领域生产性服务业发展，推动生产性服务业与新型工业深度融合，推动生产性服务业与信息技术、数字经济有机结合。推进以研发设计、检验检测为重点的科技服务，以科技金融、供应链金融为重点的金融服务，以工业品物流为重点的物流服务，以第三方治理、废弃物资源化处理为重点的节能环保服务，以产业电商融合为重点的电子商务发展。</w:t>
      </w:r>
    </w:p>
    <w:p>
      <w:pPr>
        <w:pStyle w:val="6"/>
        <w:rPr>
          <w:rFonts w:ascii="Times New Roman"/>
        </w:rPr>
      </w:pPr>
      <w:bookmarkStart w:id="187" w:name="_Toc89087869"/>
      <w:bookmarkStart w:id="188" w:name="_Toc57368098"/>
      <w:bookmarkStart w:id="189" w:name="_Toc103805265"/>
      <w:r>
        <w:rPr>
          <w:rFonts w:ascii="Times New Roman"/>
        </w:rPr>
        <w:t>2.</w:t>
      </w:r>
      <w:r>
        <w:rPr>
          <w:rFonts w:hint="eastAsia" w:ascii="Times New Roman"/>
        </w:rPr>
        <w:t>发展目标</w:t>
      </w:r>
      <w:bookmarkEnd w:id="187"/>
      <w:bookmarkEnd w:id="188"/>
      <w:bookmarkEnd w:id="189"/>
    </w:p>
    <w:p>
      <w:pPr>
        <w:pStyle w:val="12"/>
        <w:ind w:firstLine="640"/>
        <w:rPr>
          <w:rFonts w:eastAsia="仿宋"/>
        </w:rPr>
      </w:pPr>
      <w:r>
        <w:rPr>
          <w:rFonts w:hint="eastAsia"/>
        </w:rPr>
        <w:t>到</w:t>
      </w:r>
      <w:r>
        <w:t>2025</w:t>
      </w:r>
      <w:r>
        <w:rPr>
          <w:rFonts w:hint="eastAsia"/>
        </w:rPr>
        <w:t>年，形成一批创新活跃、效益显著、质量卓越、带动效应突出的深度融合发展企业和平台，两业融合成为推动制造业高质量发展的重要支撑。</w:t>
      </w:r>
    </w:p>
    <w:p>
      <w:pPr>
        <w:pStyle w:val="6"/>
        <w:rPr>
          <w:rFonts w:ascii="Times New Roman"/>
        </w:rPr>
      </w:pPr>
      <w:bookmarkStart w:id="190" w:name="_Toc89087870"/>
      <w:bookmarkStart w:id="191" w:name="_Toc57368099"/>
      <w:bookmarkStart w:id="192" w:name="_Toc103805266"/>
      <w:r>
        <w:rPr>
          <w:rFonts w:ascii="Times New Roman"/>
        </w:rPr>
        <w:t>3.发展重点</w:t>
      </w:r>
      <w:bookmarkEnd w:id="190"/>
      <w:bookmarkEnd w:id="191"/>
      <w:bookmarkEnd w:id="192"/>
    </w:p>
    <w:p>
      <w:pPr>
        <w:pStyle w:val="12"/>
        <w:ind w:firstLine="643"/>
      </w:pPr>
      <w:bookmarkStart w:id="193" w:name="_Toc89087871"/>
      <w:bookmarkStart w:id="194" w:name="_Toc57368100"/>
      <w:r>
        <w:rPr>
          <w:rFonts w:hint="eastAsia"/>
          <w:b/>
        </w:rPr>
        <w:t>科技服务</w:t>
      </w:r>
      <w:bookmarkEnd w:id="193"/>
      <w:bookmarkEnd w:id="194"/>
      <w:r>
        <w:rPr>
          <w:rFonts w:hint="eastAsia"/>
          <w:b/>
        </w:rPr>
        <w:t>。积极开展技术转移服务</w:t>
      </w:r>
      <w:r>
        <w:rPr>
          <w:rFonts w:hint="eastAsia"/>
        </w:rPr>
        <w:t>，重点围绕眼镜、新型建材、生物医药等特色产业，构建技术转移服务体系，开展技术开发、转让、咨询、服务等技术交易活动，培养技术经纪人队伍，推动科技成果的转移转化。</w:t>
      </w:r>
      <w:r>
        <w:rPr>
          <w:rFonts w:hint="eastAsia"/>
          <w:b/>
        </w:rPr>
        <w:t>加快发展检验检测</w:t>
      </w:r>
      <w:r>
        <w:rPr>
          <w:rFonts w:hint="eastAsia"/>
        </w:rPr>
        <w:t>，加强眼镜、清洁能源、农产品加工、新材料等领域的第三方检验检测服务，加快发展食品安全检验检测等服务，发展在线检测，完善检验检测认证服务体系。围绕食品安全、设施安全、节能环保、新型材料、清洁能源等重点领域，提高检验检测基础能力。</w:t>
      </w:r>
    </w:p>
    <w:p>
      <w:pPr>
        <w:pStyle w:val="12"/>
        <w:ind w:firstLine="643"/>
      </w:pPr>
      <w:bookmarkStart w:id="195" w:name="_Toc57368101"/>
      <w:bookmarkStart w:id="196" w:name="_Toc89087872"/>
      <w:r>
        <w:rPr>
          <w:rFonts w:hint="eastAsia"/>
          <w:b/>
        </w:rPr>
        <w:t>金融服务</w:t>
      </w:r>
      <w:bookmarkEnd w:id="195"/>
      <w:bookmarkEnd w:id="196"/>
      <w:r>
        <w:rPr>
          <w:rFonts w:hint="eastAsia"/>
          <w:b/>
        </w:rPr>
        <w:t>。发展依托于优势产业的供应链金融，</w:t>
      </w:r>
      <w:r>
        <w:rPr>
          <w:rFonts w:hint="eastAsia"/>
        </w:rPr>
        <w:t>针对眼镜、农产品加工等优势产业发展供应链金融，将银行信用融入上下游企业的购销行为，解决中小企业融资难和供应链失衡的问题，促进中小企业与核心企业建立长期战略协同关系，提升供应链的竞争能力。</w:t>
      </w:r>
      <w:r>
        <w:rPr>
          <w:rFonts w:hint="eastAsia"/>
          <w:b/>
        </w:rPr>
        <w:t>打造科技金融信息服务平台，</w:t>
      </w:r>
      <w:r>
        <w:rPr>
          <w:rFonts w:hint="eastAsia"/>
        </w:rPr>
        <w:t>促进金融、创投和社会资本与科技型企业有效对接，形成多元化科技金融投融资体系，为科技型企业搭建高效融资通道。</w:t>
      </w:r>
      <w:r>
        <w:rPr>
          <w:rFonts w:hint="eastAsia"/>
          <w:b/>
        </w:rPr>
        <w:t>推进融资租赁业发展，</w:t>
      </w:r>
      <w:r>
        <w:rPr>
          <w:rFonts w:hint="eastAsia"/>
        </w:rPr>
        <w:t>鼓励融资租赁服务企业加强与商业银行、保险、信托等金融机构合作，引导企业利用融资租赁方式，进行设备更新和技术改造，鼓励融资租赁企业支持中小微企业发展。</w:t>
      </w:r>
    </w:p>
    <w:p>
      <w:pPr>
        <w:pStyle w:val="12"/>
        <w:ind w:firstLine="643"/>
      </w:pPr>
      <w:bookmarkStart w:id="197" w:name="_Toc89087873"/>
      <w:bookmarkStart w:id="198" w:name="_Toc57368102"/>
      <w:r>
        <w:rPr>
          <w:rFonts w:hint="eastAsia"/>
          <w:b/>
        </w:rPr>
        <w:t>现代物流</w:t>
      </w:r>
      <w:bookmarkEnd w:id="197"/>
      <w:bookmarkEnd w:id="198"/>
      <w:r>
        <w:rPr>
          <w:rFonts w:hint="eastAsia"/>
          <w:b/>
        </w:rPr>
        <w:t>。</w:t>
      </w:r>
      <w:r>
        <w:rPr>
          <w:rFonts w:hint="eastAsia"/>
        </w:rPr>
        <w:t>建设社会化、专业化、规模化、信息化的现代物流服务体系，打造</w:t>
      </w:r>
      <w:r>
        <w:t>“</w:t>
      </w:r>
      <w:r>
        <w:rPr>
          <w:rFonts w:hint="eastAsia"/>
        </w:rPr>
        <w:t>通道</w:t>
      </w:r>
      <w:r>
        <w:t>+</w:t>
      </w:r>
      <w:r>
        <w:rPr>
          <w:rFonts w:hint="eastAsia"/>
        </w:rPr>
        <w:t>枢纽</w:t>
      </w:r>
      <w:r>
        <w:t>+</w:t>
      </w:r>
      <w:r>
        <w:rPr>
          <w:rFonts w:hint="eastAsia"/>
        </w:rPr>
        <w:t>网络</w:t>
      </w:r>
      <w:r>
        <w:t>”</w:t>
      </w:r>
      <w:r>
        <w:rPr>
          <w:rFonts w:hint="eastAsia"/>
        </w:rPr>
        <w:t>的物流运行体系。依托长江港口、高速公路、铁路和机场，加快渝陕鄂商贸物流集散中心建设。依托长江黄金水道和沪蓉高速、安来高速，规划建设白马物流园。依托长江支流梅溪河、安张常铁路以及安来高速，规划建设康乐物流园。依托安张常铁路、沿江货运铁路、安来高速以及长江水道，规划建设安坪物流园。</w:t>
      </w:r>
      <w:r>
        <w:rPr>
          <w:rFonts w:hint="eastAsia" w:ascii="仿宋_GB2312"/>
        </w:rPr>
        <w:t>规划建设</w:t>
      </w:r>
      <w:r>
        <w:rPr>
          <w:rFonts w:hint="eastAsia" w:ascii="仿宋_GB2312" w:hAnsi="方正仿宋_GBK" w:cs="方正仿宋_GBK"/>
          <w:szCs w:val="32"/>
        </w:rPr>
        <w:t>鱼复街道、兴隆镇、安坪镇、竹园镇、甲高镇、吐祥镇、公平镇及汾河镇</w:t>
      </w:r>
      <w:r>
        <w:rPr>
          <w:rFonts w:hint="eastAsia" w:ascii="仿宋_GB2312"/>
        </w:rPr>
        <w:t>8个物流配送中心，</w:t>
      </w:r>
      <w:r>
        <w:rPr>
          <w:rFonts w:hint="eastAsia"/>
        </w:rPr>
        <w:t>形成集货物集散、装卸、流通加工等功能于一体的多元化物流园区，开展贸易、信息交流、商品展示、商务性服务等增值服务，建成现代专业物流基地。</w:t>
      </w:r>
    </w:p>
    <w:p>
      <w:pPr>
        <w:pStyle w:val="12"/>
        <w:ind w:firstLine="643"/>
      </w:pPr>
      <w:bookmarkStart w:id="199" w:name="_Toc57368103"/>
      <w:bookmarkStart w:id="200" w:name="_Toc89087874"/>
      <w:r>
        <w:rPr>
          <w:rFonts w:hint="eastAsia"/>
          <w:b/>
        </w:rPr>
        <w:t>节能环保</w:t>
      </w:r>
      <w:bookmarkEnd w:id="199"/>
      <w:bookmarkEnd w:id="200"/>
      <w:r>
        <w:rPr>
          <w:rFonts w:hint="eastAsia"/>
          <w:b/>
        </w:rPr>
        <w:t>。</w:t>
      </w:r>
      <w:r>
        <w:rPr>
          <w:rFonts w:hint="eastAsia"/>
        </w:rPr>
        <w:t>围绕重点节能环保治理领域，强化技术支撑，培育专业节能环保服务机构，构建集评估、咨询、检测、设计、运营等于一体的节能环保服务产业体系。培育发展</w:t>
      </w:r>
      <w:r>
        <w:rPr>
          <w:rFonts w:hint="eastAsia"/>
          <w:b/>
        </w:rPr>
        <w:t>资源环境动态监测、第三方治理、废弃物资源化处理</w:t>
      </w:r>
      <w:r>
        <w:rPr>
          <w:rFonts w:hint="eastAsia"/>
        </w:rPr>
        <w:t>等节能环保新业态，促进节能减排。引导建材、清洁能源企业协同开展城市及产业废弃物的资源化处理，建设再生资源回收体系和废弃物逆向物流交易平台。积极培育高技术节能环保服务企业。围绕工业废水、污水污泥、废气治理等重点领域，积极推进节能环保服务外包和政府购买服务。</w:t>
      </w:r>
    </w:p>
    <w:p>
      <w:pPr>
        <w:pStyle w:val="12"/>
        <w:ind w:firstLine="643"/>
        <w:rPr>
          <w:rFonts w:ascii="仿宋_GB2312"/>
        </w:rPr>
      </w:pPr>
      <w:bookmarkStart w:id="201" w:name="_Toc89087875"/>
      <w:bookmarkStart w:id="202" w:name="_Toc57368104"/>
      <w:bookmarkStart w:id="203" w:name="_Toc57368105"/>
      <w:bookmarkStart w:id="204" w:name="_Toc89087876"/>
      <w:r>
        <w:rPr>
          <w:rFonts w:hint="eastAsia" w:ascii="仿宋_GB2312"/>
          <w:b/>
        </w:rPr>
        <w:t>电子商务</w:t>
      </w:r>
      <w:bookmarkEnd w:id="201"/>
      <w:bookmarkEnd w:id="202"/>
      <w:r>
        <w:rPr>
          <w:rFonts w:hint="eastAsia" w:ascii="仿宋_GB2312"/>
          <w:b/>
        </w:rPr>
        <w:t>。加快推动电子商务与产业融合发展。</w:t>
      </w:r>
      <w:r>
        <w:rPr>
          <w:rFonts w:hint="eastAsia" w:ascii="仿宋_GB2312" w:hAnsi="方正仿宋_GBK" w:cs="方正仿宋_GBK"/>
          <w:szCs w:val="32"/>
        </w:rPr>
        <w:t>依托商会大厦、能源大厦、高铁生态城等区域打造低碳数字产业园，打造园区产业服务平台，助推实物消费数字化转型升级。升级改造县电商产业园，引进京东科技等专业服务机构，</w:t>
      </w:r>
      <w:r>
        <w:rPr>
          <w:rFonts w:hint="eastAsia" w:ascii="仿宋_GB2312"/>
        </w:rPr>
        <w:t>推进优势产业电商应用，鼓励大型商贸企业开展线上交易业务，引导眼镜、农产品加工、生物制药、新型材料等优势行业对接大宗商品电商交易平台。</w:t>
      </w:r>
      <w:r>
        <w:rPr>
          <w:rFonts w:hint="eastAsia" w:ascii="仿宋_GB2312" w:hAnsi="方正仿宋_GBK" w:cs="方正仿宋_GBK"/>
          <w:bCs/>
          <w:szCs w:val="32"/>
        </w:rPr>
        <w:t>支持眼镜、服饰、鞋包、脐橙等特色产业</w:t>
      </w:r>
      <w:r>
        <w:rPr>
          <w:rFonts w:hint="eastAsia" w:ascii="仿宋_GB2312" w:hAnsi="方正仿宋_GBK" w:cs="方正仿宋_GBK"/>
          <w:kern w:val="2"/>
          <w:szCs w:val="32"/>
        </w:rPr>
        <w:t>拓展线上跨境贸易，</w:t>
      </w:r>
      <w:r>
        <w:rPr>
          <w:rFonts w:hint="eastAsia" w:ascii="仿宋_GB2312" w:hAnsi="方正仿宋_GBK" w:cs="方正仿宋_GBK"/>
          <w:bCs/>
          <w:szCs w:val="32"/>
        </w:rPr>
        <w:t>创建跨境电商示范区。</w:t>
      </w:r>
      <w:r>
        <w:rPr>
          <w:rFonts w:hint="eastAsia" w:ascii="仿宋_GB2312"/>
        </w:rPr>
        <w:t>推动生产企业利用电子商务强化供应链管理，整合上下游资源，融合业务流程，提高专业化生产制造能力，发展网络定制产品，促进企业转型升级。</w:t>
      </w:r>
    </w:p>
    <w:p>
      <w:pPr>
        <w:pStyle w:val="51"/>
        <w:spacing w:line="600" w:lineRule="exact"/>
        <w:ind w:firstLine="640" w:firstLineChars="200"/>
        <w:rPr>
          <w:rFonts w:hAnsi="方正仿宋_GBK" w:cs="方正仿宋_GBK"/>
          <w:color w:val="auto"/>
          <w:kern w:val="2"/>
          <w:sz w:val="32"/>
          <w:szCs w:val="32"/>
        </w:rPr>
      </w:pP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8 </w:t>
            </w:r>
            <w:r>
              <w:rPr>
                <w:rFonts w:hint="eastAsia" w:eastAsia="黑体"/>
                <w:sz w:val="28"/>
                <w:szCs w:val="28"/>
              </w:rPr>
              <w:t>生产性、生活性服务业重点项目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sz w:val="28"/>
                <w:szCs w:val="28"/>
                <w:lang w:val="zh-CN"/>
              </w:rPr>
            </w:pPr>
            <w:r>
              <w:rPr>
                <w:rFonts w:hint="eastAsia" w:eastAsia="仿宋_GB2312"/>
                <w:bCs/>
                <w:sz w:val="28"/>
                <w:szCs w:val="28"/>
              </w:rPr>
              <w:t>重点奉节县农产品加工产业园、奉节县农产品批发市场、奉节县县域综合型共同配送中心及配套交通设施、奉节县邮政物流配送中心、奉节县智能快件箱、奉节县文商旅消费集聚区等项目建设</w:t>
            </w:r>
            <w:r>
              <w:rPr>
                <w:rFonts w:hint="eastAsia" w:eastAsia="仿宋_GB2312"/>
                <w:bCs/>
                <w:sz w:val="28"/>
                <w:szCs w:val="28"/>
                <w:lang w:val="zh-CN"/>
              </w:rPr>
              <w:t>。</w:t>
            </w:r>
          </w:p>
        </w:tc>
      </w:tr>
    </w:tbl>
    <w:p>
      <w:pPr>
        <w:pStyle w:val="4"/>
        <w:spacing w:before="100" w:beforeAutospacing="1" w:after="100" w:afterAutospacing="1" w:line="240" w:lineRule="auto"/>
        <w:jc w:val="center"/>
        <w:rPr>
          <w:rFonts w:eastAsia="黑体"/>
          <w:sz w:val="36"/>
          <w:szCs w:val="36"/>
        </w:rPr>
      </w:pPr>
      <w:bookmarkStart w:id="205" w:name="_Toc103805267"/>
      <w:r>
        <w:rPr>
          <w:rFonts w:hint="eastAsia" w:eastAsia="黑体"/>
          <w:sz w:val="36"/>
          <w:szCs w:val="36"/>
        </w:rPr>
        <w:t>第六章</w:t>
      </w:r>
      <w:r>
        <w:rPr>
          <w:rFonts w:eastAsia="黑体"/>
          <w:sz w:val="36"/>
          <w:szCs w:val="36"/>
        </w:rPr>
        <w:t xml:space="preserve"> 实施工业高质量发展的主要任务</w:t>
      </w:r>
      <w:bookmarkEnd w:id="203"/>
      <w:bookmarkEnd w:id="204"/>
      <w:bookmarkEnd w:id="205"/>
    </w:p>
    <w:p>
      <w:pPr>
        <w:pStyle w:val="5"/>
        <w:spacing w:before="156" w:beforeLines="50" w:after="156" w:afterLines="50" w:line="360" w:lineRule="auto"/>
        <w:jc w:val="center"/>
        <w:rPr>
          <w:rFonts w:ascii="Times New Roman" w:hAnsi="Times New Roman" w:eastAsia="楷体_GB2312"/>
        </w:rPr>
      </w:pPr>
      <w:bookmarkStart w:id="206" w:name="_Toc89087877"/>
      <w:bookmarkStart w:id="207" w:name="_Toc57368106"/>
      <w:bookmarkStart w:id="208" w:name="_Toc103805268"/>
      <w:r>
        <w:rPr>
          <w:rFonts w:hint="eastAsia" w:ascii="Times New Roman" w:hAnsi="Times New Roman" w:eastAsia="楷体_GB2312"/>
        </w:rPr>
        <w:t>第一节</w:t>
      </w:r>
      <w:r>
        <w:rPr>
          <w:rFonts w:ascii="Times New Roman" w:hAnsi="Times New Roman" w:eastAsia="楷体_GB2312"/>
        </w:rPr>
        <w:t xml:space="preserve"> 工业园区提档升级行动</w:t>
      </w:r>
      <w:bookmarkEnd w:id="206"/>
      <w:bookmarkEnd w:id="207"/>
      <w:bookmarkEnd w:id="208"/>
    </w:p>
    <w:p>
      <w:pPr>
        <w:pStyle w:val="6"/>
        <w:rPr>
          <w:rFonts w:ascii="Times New Roman"/>
        </w:rPr>
      </w:pPr>
      <w:bookmarkStart w:id="209" w:name="_Toc89087878"/>
      <w:bookmarkStart w:id="210" w:name="_Toc57368107"/>
      <w:bookmarkStart w:id="211" w:name="_Toc103805269"/>
      <w:r>
        <w:rPr>
          <w:rFonts w:ascii="Times New Roman"/>
        </w:rPr>
        <w:t>1.</w:t>
      </w:r>
      <w:bookmarkEnd w:id="209"/>
      <w:bookmarkEnd w:id="210"/>
      <w:r>
        <w:rPr>
          <w:rFonts w:hint="eastAsia" w:ascii="Times New Roman"/>
        </w:rPr>
        <w:t>提升园区承载能力</w:t>
      </w:r>
      <w:bookmarkEnd w:id="211"/>
    </w:p>
    <w:p>
      <w:pPr>
        <w:pStyle w:val="12"/>
        <w:ind w:firstLine="640"/>
      </w:pPr>
      <w:r>
        <w:rPr>
          <w:rFonts w:hint="eastAsia"/>
        </w:rPr>
        <w:t>统筹加强工业园基础建设保障和服务功能配套，集中完善水、电、路、气、暖、通讯等基础设施，加快建设危废处置、固废处置、污水处理、风险应急等配套设施，显著提升园区基础设施支撑、综合承载能力和环境容量利用效率。加快推进变电站、工业用气储备调控站、园区自来水厂等基础设施配套项目建设，梯次推进标准厂房建成投用。按照</w:t>
      </w:r>
      <w:r>
        <w:t>“</w:t>
      </w:r>
      <w:r>
        <w:rPr>
          <w:rFonts w:hint="eastAsia"/>
        </w:rPr>
        <w:t>产业跟着功能定位走、人口跟着产业走、要素跟着人口走</w:t>
      </w:r>
      <w:r>
        <w:t>”</w:t>
      </w:r>
      <w:r>
        <w:rPr>
          <w:rFonts w:hint="eastAsia"/>
        </w:rPr>
        <w:t>的理念，以草堂棚户区改造为契机，将工业园区生活配套区和草堂镇场镇统一进行规划打造，推动产城融合发展，建设生态工业新城。结合环草堂湖综合利用开发，推进工旅融合，启动工业园至伍家嘴大桥库岸整治及连接道建设，全线贯通城区</w:t>
      </w:r>
      <w:r>
        <w:t>—</w:t>
      </w:r>
      <w:r>
        <w:rPr>
          <w:rFonts w:hint="eastAsia"/>
        </w:rPr>
        <w:t>景区</w:t>
      </w:r>
      <w:r>
        <w:t>—</w:t>
      </w:r>
      <w:r>
        <w:rPr>
          <w:rFonts w:hint="eastAsia"/>
        </w:rPr>
        <w:t>园区，融入全县城市发展体系，打造奉节</w:t>
      </w:r>
      <w:r>
        <w:t>“</w:t>
      </w:r>
      <w:r>
        <w:rPr>
          <w:rFonts w:hint="eastAsia"/>
        </w:rPr>
        <w:t>东大门</w:t>
      </w:r>
      <w:r>
        <w:t>”</w:t>
      </w:r>
      <w:r>
        <w:rPr>
          <w:rFonts w:hint="eastAsia"/>
        </w:rPr>
        <w:t>，形成产业</w:t>
      </w:r>
      <w:r>
        <w:t>1</w:t>
      </w:r>
      <w:r>
        <w:rPr>
          <w:rFonts w:hint="eastAsia"/>
        </w:rPr>
        <w:t>万人、居住</w:t>
      </w:r>
      <w:r>
        <w:t>3</w:t>
      </w:r>
      <w:r>
        <w:rPr>
          <w:rFonts w:hint="eastAsia"/>
        </w:rPr>
        <w:t>万人的产城融合新区。对棚改后形成的工业用地、石马河上游高铁弃土临时用地完善土地手续，拓展工业发展空间；加快推进康乐组团建设，加快完善场坪、道路、供电、给排水、通讯等基础配套设施建设，有序引进企业入驻，打造循环经济产业园。围绕大火电、建材产业发展及其物流配套，发挥水运交通及陆运交汇点的优势，建设临港工业物流园。</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widowControl/>
              <w:spacing w:line="560" w:lineRule="exact"/>
              <w:jc w:val="center"/>
              <w:rPr>
                <w:sz w:val="28"/>
              </w:rPr>
            </w:pPr>
            <w:r>
              <w:rPr>
                <w:rFonts w:hint="eastAsia" w:eastAsia="黑体"/>
                <w:sz w:val="28"/>
                <w:szCs w:val="28"/>
              </w:rPr>
              <w:t>专栏</w:t>
            </w:r>
            <w:r>
              <w:rPr>
                <w:rFonts w:eastAsia="黑体"/>
                <w:sz w:val="28"/>
                <w:szCs w:val="28"/>
              </w:rPr>
              <w:t xml:space="preserve">9 </w:t>
            </w:r>
            <w:r>
              <w:rPr>
                <w:rFonts w:hint="eastAsia" w:eastAsia="黑体"/>
                <w:sz w:val="28"/>
                <w:szCs w:val="28"/>
              </w:rPr>
              <w:t>园区建设重点项目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562"/>
              <w:rPr>
                <w:rFonts w:eastAsia="仿宋_GB2312"/>
                <w:bCs/>
                <w:sz w:val="28"/>
                <w:szCs w:val="28"/>
              </w:rPr>
            </w:pPr>
            <w:r>
              <w:rPr>
                <w:rFonts w:hint="eastAsia" w:eastAsia="仿宋_GB2312"/>
                <w:bCs/>
                <w:sz w:val="28"/>
                <w:szCs w:val="28"/>
              </w:rPr>
              <w:t>重点推进奉节县工业园区（康乐组团）基础设施完善、奉节县草堂组团二期基础设施建设、奉节县生态工业园三期标准厂房工程、奉节县草堂工业园三期标准厂房配套用房建设项目、奉节县康乐消落区岸线环境综合治理（二期）、奉节县环草堂湖库岸整治及道路（工业园区污水处理厂</w:t>
            </w:r>
            <w:r>
              <w:rPr>
                <w:rFonts w:eastAsia="仿宋_GB2312"/>
                <w:bCs/>
                <w:sz w:val="28"/>
                <w:szCs w:val="28"/>
              </w:rPr>
              <w:t>~</w:t>
            </w:r>
            <w:r>
              <w:rPr>
                <w:rFonts w:hint="eastAsia" w:eastAsia="仿宋_GB2312"/>
                <w:bCs/>
                <w:sz w:val="28"/>
                <w:szCs w:val="28"/>
              </w:rPr>
              <w:t>伍家嘴大桥段）、奉节县工业园区康乐大桥至上坝中学段滨江路、奉节县工业园区（康乐组团）七星大道、奉节县康乐工业园区环湖路工程、奉节县工业园区（康乐组团）七星片区库岸综合整治、奉节县生态工业园加油站、奉节县草堂工业园区小微创业园、奉节县草堂工业园区返乡创业园等项目建设。</w:t>
            </w:r>
          </w:p>
        </w:tc>
      </w:tr>
    </w:tbl>
    <w:p>
      <w:pPr>
        <w:pStyle w:val="6"/>
        <w:rPr>
          <w:rFonts w:ascii="Times New Roman"/>
        </w:rPr>
      </w:pPr>
      <w:bookmarkStart w:id="212" w:name="_Toc57368108"/>
      <w:bookmarkStart w:id="213" w:name="_Toc89087879"/>
      <w:bookmarkStart w:id="214" w:name="_Toc103805270"/>
      <w:r>
        <w:rPr>
          <w:rFonts w:ascii="Times New Roman"/>
        </w:rPr>
        <w:t>2.</w:t>
      </w:r>
      <w:r>
        <w:rPr>
          <w:rFonts w:hint="eastAsia" w:ascii="Times New Roman"/>
        </w:rPr>
        <w:t>推进智慧园区</w:t>
      </w:r>
      <w:bookmarkEnd w:id="212"/>
      <w:bookmarkEnd w:id="213"/>
      <w:r>
        <w:rPr>
          <w:rFonts w:hint="eastAsia" w:ascii="Times New Roman"/>
        </w:rPr>
        <w:t>建设</w:t>
      </w:r>
      <w:bookmarkEnd w:id="214"/>
    </w:p>
    <w:p>
      <w:pPr>
        <w:pStyle w:val="12"/>
        <w:ind w:firstLine="640"/>
      </w:pPr>
      <w:r>
        <w:rPr>
          <w:rFonts w:hint="eastAsia"/>
        </w:rPr>
        <w:t>持续推进</w:t>
      </w:r>
      <w:r>
        <w:t>“</w:t>
      </w:r>
      <w:r>
        <w:rPr>
          <w:rFonts w:hint="eastAsia"/>
        </w:rPr>
        <w:t>机器换人</w:t>
      </w:r>
      <w:r>
        <w:t>”</w:t>
      </w:r>
      <w:r>
        <w:rPr>
          <w:rFonts w:hint="eastAsia"/>
        </w:rPr>
        <w:t>行动，引导企业加大智能技术和智能产品及装备引进，加速自动化智能化装备和应用改造传统产业，提高企业生产过程控制水平。引导有条件的企业打通企业设备、产线、信息系统等数据链，培育智能制造新模式，努力创建</w:t>
      </w:r>
      <w:r>
        <w:t>“</w:t>
      </w:r>
      <w:r>
        <w:rPr>
          <w:rFonts w:hint="eastAsia"/>
        </w:rPr>
        <w:t>数字车间</w:t>
      </w:r>
      <w:r>
        <w:t>”</w:t>
      </w:r>
      <w:r>
        <w:rPr>
          <w:rFonts w:hint="eastAsia"/>
        </w:rPr>
        <w:t>和</w:t>
      </w:r>
      <w:r>
        <w:t>“</w:t>
      </w:r>
      <w:r>
        <w:rPr>
          <w:rFonts w:hint="eastAsia"/>
        </w:rPr>
        <w:t>智能工厂</w:t>
      </w:r>
      <w:r>
        <w:t>”</w:t>
      </w:r>
      <w:r>
        <w:rPr>
          <w:rFonts w:hint="eastAsia"/>
        </w:rPr>
        <w:t>，到</w:t>
      </w:r>
      <w:r>
        <w:t>2025</w:t>
      </w:r>
      <w:r>
        <w:rPr>
          <w:rFonts w:hint="eastAsia"/>
        </w:rPr>
        <w:t>年创建</w:t>
      </w:r>
      <w:r>
        <w:t>15</w:t>
      </w:r>
      <w:r>
        <w:rPr>
          <w:rFonts w:hint="eastAsia"/>
        </w:rPr>
        <w:t>家数字化车间和智能化工厂。推进信息技术与制造业的深度融合发展，积极支持有条件的企业开展两化融合贯标试点工作，引导工业企业</w:t>
      </w:r>
      <w:r>
        <w:t>“</w:t>
      </w:r>
      <w:r>
        <w:rPr>
          <w:rFonts w:hint="eastAsia"/>
        </w:rPr>
        <w:t>上云上平台</w:t>
      </w:r>
      <w:r>
        <w:t>”</w:t>
      </w:r>
      <w:r>
        <w:rPr>
          <w:rFonts w:hint="eastAsia"/>
        </w:rPr>
        <w:t>，力争到</w:t>
      </w:r>
      <w:r>
        <w:t>2025</w:t>
      </w:r>
      <w:r>
        <w:rPr>
          <w:rFonts w:hint="eastAsia"/>
        </w:rPr>
        <w:t>年成功推动</w:t>
      </w:r>
      <w:r>
        <w:t>1</w:t>
      </w:r>
      <w:r>
        <w:rPr>
          <w:rFonts w:hint="eastAsia"/>
        </w:rPr>
        <w:t>家企业通过国家两化融合管理体系标准评定。实施智能制造、绿色制造等技改行动，到</w:t>
      </w:r>
      <w:r>
        <w:t>2025</w:t>
      </w:r>
      <w:r>
        <w:rPr>
          <w:rFonts w:hint="eastAsia"/>
        </w:rPr>
        <w:t>年技术改造投资在工业投资中的比重超过</w:t>
      </w:r>
      <w:r>
        <w:t>30%</w:t>
      </w:r>
      <w:r>
        <w:rPr>
          <w:rFonts w:hint="eastAsia"/>
        </w:rPr>
        <w:t>。推进园区集约绿色发展，以集约集群、智能融合、绿色安全的理念，严把项目土地投入产出、能评、环评、安评关，壮大节能环保产业、清洁生产产业、清洁能源产业。鼓励园区推进绿色工厂建设，加大园区循环化改造力度，支持建设循环经济产业园区，推动企业循环式生产、产业循环式组合。</w:t>
      </w:r>
    </w:p>
    <w:p>
      <w:pPr>
        <w:pStyle w:val="6"/>
        <w:rPr>
          <w:rFonts w:ascii="Times New Roman"/>
        </w:rPr>
      </w:pPr>
      <w:bookmarkStart w:id="215" w:name="_Toc57368110"/>
      <w:bookmarkStart w:id="216" w:name="_Toc89087881"/>
      <w:bookmarkStart w:id="217" w:name="_Toc103805271"/>
      <w:r>
        <w:rPr>
          <w:rFonts w:ascii="Times New Roman"/>
        </w:rPr>
        <w:t>3.</w:t>
      </w:r>
      <w:r>
        <w:rPr>
          <w:rFonts w:hint="eastAsia" w:ascii="Times New Roman"/>
        </w:rPr>
        <w:t>完善园区发展机制</w:t>
      </w:r>
      <w:bookmarkEnd w:id="215"/>
      <w:bookmarkEnd w:id="216"/>
      <w:bookmarkEnd w:id="217"/>
    </w:p>
    <w:p>
      <w:pPr>
        <w:pStyle w:val="12"/>
        <w:ind w:firstLine="640"/>
      </w:pPr>
      <w:r>
        <w:rPr>
          <w:rFonts w:hint="eastAsia"/>
        </w:rPr>
        <w:t>推动建立市场化机制，探索实行</w:t>
      </w:r>
      <w:r>
        <w:t>“</w:t>
      </w:r>
      <w:r>
        <w:rPr>
          <w:rFonts w:hint="eastAsia"/>
        </w:rPr>
        <w:t>管委会</w:t>
      </w:r>
      <w:r>
        <w:t>+</w:t>
      </w:r>
      <w:r>
        <w:rPr>
          <w:rFonts w:hint="eastAsia"/>
        </w:rPr>
        <w:t>公司</w:t>
      </w:r>
      <w:r>
        <w:t>”</w:t>
      </w:r>
      <w:r>
        <w:rPr>
          <w:rFonts w:hint="eastAsia"/>
        </w:rPr>
        <w:t>管理模式，引入专业企业与管委会共同承担园区的建设规划、招商管理职能。积极引进培育专业化管理人才，重点聚焦招商引资、项目规划、经济运行、企业管理等专业领域人才，提升园区管理专业化水平。设立园区发展专项基金，组建园区发展融资平台，积极吸纳社会资本参与，着力解决基础设施投入不足等突出问题，切实提高要素保障能力。推进园区建设运营模式创新，支持园区结合承接产业转移，以市场为导向，与东部地区政府、开发区以及战略投资者等各类主体，通过政府与政府共建、政府与企业共建、企业与企业联建等方式，积极探索合作共建园区的发展模式。</w:t>
      </w:r>
    </w:p>
    <w:p>
      <w:pPr>
        <w:pStyle w:val="5"/>
        <w:spacing w:before="156" w:beforeLines="50" w:after="156" w:afterLines="50" w:line="360" w:lineRule="auto"/>
        <w:jc w:val="center"/>
        <w:rPr>
          <w:rFonts w:ascii="Times New Roman" w:hAnsi="Times New Roman" w:eastAsia="楷体_GB2312"/>
        </w:rPr>
      </w:pPr>
      <w:bookmarkStart w:id="218" w:name="_Toc103805272"/>
      <w:bookmarkStart w:id="219" w:name="_Toc89087882"/>
      <w:bookmarkStart w:id="220" w:name="_Toc57368111"/>
      <w:r>
        <w:rPr>
          <w:rFonts w:hint="eastAsia" w:ascii="Times New Roman" w:hAnsi="Times New Roman" w:eastAsia="楷体_GB2312"/>
        </w:rPr>
        <w:t>第二节</w:t>
      </w:r>
      <w:r>
        <w:rPr>
          <w:rFonts w:ascii="Times New Roman" w:hAnsi="Times New Roman" w:eastAsia="楷体_GB2312"/>
        </w:rPr>
        <w:t xml:space="preserve"> </w:t>
      </w:r>
      <w:r>
        <w:rPr>
          <w:rFonts w:hint="eastAsia" w:ascii="Times New Roman" w:hAnsi="Times New Roman" w:eastAsia="楷体_GB2312"/>
        </w:rPr>
        <w:t>产业链供应链建设</w:t>
      </w:r>
      <w:r>
        <w:rPr>
          <w:rFonts w:ascii="Times New Roman" w:hAnsi="Times New Roman" w:eastAsia="楷体_GB2312"/>
        </w:rPr>
        <w:t>行动</w:t>
      </w:r>
      <w:bookmarkEnd w:id="218"/>
      <w:bookmarkEnd w:id="219"/>
      <w:bookmarkEnd w:id="220"/>
    </w:p>
    <w:p>
      <w:pPr>
        <w:pStyle w:val="6"/>
        <w:rPr>
          <w:rFonts w:ascii="Times New Roman"/>
        </w:rPr>
      </w:pPr>
      <w:bookmarkStart w:id="221" w:name="_Toc103805273"/>
      <w:r>
        <w:rPr>
          <w:rFonts w:ascii="Times New Roman"/>
        </w:rPr>
        <w:t>1.加强产业链延链补链强链</w:t>
      </w:r>
      <w:bookmarkEnd w:id="221"/>
    </w:p>
    <w:p>
      <w:pPr>
        <w:pStyle w:val="12"/>
        <w:ind w:firstLine="640"/>
      </w:pPr>
      <w:r>
        <w:rPr>
          <w:rFonts w:hint="eastAsia"/>
        </w:rPr>
        <w:t>围绕重点产业发展方向，以终端形态产品为切入，梳理全县重点产业链图谱。推动现有重点企业加大技术改造和技术迭代力度，进一步增强规模效应和集聚效应，吸引更多一级配套企业、上游原料企业布局奉节。支持龙头企业通过加大本地采购力度，推动本地相关领域企业加快布局相关配套、原料环节，补齐重点产业链短板。发挥农产品、中药材、新型材料等原材料优势和眼镜制造等加工优势，加大下游深加工和应用企业引进力度，打造更多产业链。瞄准符合未来产业变革方向的产品，积极培育战略性全局性产业链。结合行业关键共性技术体系建设，推动行业各类企业联合建设产业创新中心、制造业创新中心、产学研联盟、检验检测平台等机构，提升产业链整体研发能力，增强对行业领域企业机构发展吸引力。</w:t>
      </w:r>
    </w:p>
    <w:p>
      <w:pPr>
        <w:pStyle w:val="6"/>
        <w:rPr>
          <w:rFonts w:ascii="Times New Roman"/>
        </w:rPr>
      </w:pPr>
      <w:bookmarkStart w:id="222" w:name="_Toc103805274"/>
      <w:r>
        <w:rPr>
          <w:rFonts w:ascii="Times New Roman"/>
        </w:rPr>
        <w:t>2.保障重点企业供应链稳定</w:t>
      </w:r>
      <w:bookmarkEnd w:id="222"/>
    </w:p>
    <w:p>
      <w:pPr>
        <w:pStyle w:val="12"/>
        <w:ind w:firstLine="640"/>
      </w:pPr>
      <w:r>
        <w:rPr>
          <w:rFonts w:hint="eastAsia"/>
        </w:rPr>
        <w:t>推动重点企业加强供应商管理库存、协同式供应链库存管理和供应链运输管理，做好产业链、供应链关键环节企业和单一来源环节企业因突发事件“断供”对企业正常生产经营可能产生的影响系统分析，按风险等级建立预警机制，对风险等级较高的找好“备份”企业，对确不可替代的做好应急预案，提前增加相关原材料、零部件储备。探索实行龙头企业提需求及认可采购、上下游企业揭榜参与的协作模式，支持同行业企业以及主要工艺（工序）相似度较高的跨行业企业深化供应链信息共享。支持重点企业通过西部陆海新通道、长江黄金水道等通道和成渝地区双城经济圈建设等渠道，加速有序推动产业链、供应链全国配置。</w:t>
      </w:r>
    </w:p>
    <w:p>
      <w:pPr>
        <w:pStyle w:val="6"/>
        <w:rPr>
          <w:rFonts w:ascii="Times New Roman"/>
        </w:rPr>
      </w:pPr>
      <w:bookmarkStart w:id="223" w:name="_Toc103805275"/>
      <w:r>
        <w:rPr>
          <w:rFonts w:ascii="Times New Roman"/>
        </w:rPr>
        <w:t>3.实施产业链精准招商引资</w:t>
      </w:r>
      <w:bookmarkEnd w:id="223"/>
    </w:p>
    <w:p>
      <w:pPr>
        <w:pStyle w:val="12"/>
        <w:ind w:firstLine="640"/>
      </w:pPr>
      <w:r>
        <w:t>依托区位、资源、产业、基础设施、要素等比较优势，重点围绕清洁能源、</w:t>
      </w:r>
      <w:r>
        <w:rPr>
          <w:rFonts w:hint="eastAsia"/>
        </w:rPr>
        <w:t>眼镜制造、农产品加工、生物制药、新型材料、装配式建筑、数字经济等主导产业进行产业链招商，同时拓展汽车配件制造、船舶制造与维修、镍钴新材料等产业领域招商。优化招商力量，充分利用行业协会、对口帮扶等资源平台，采取划片驻点招商、重点项目专班招商、乡镇（街道）部门任务招商、中介机构委托招商等方式，招引一批优质工业项目落地。按照“产业集聚、上下游延伸”的原则，以重大产业项目、重点龙头企业形成产业链支撑骨。</w:t>
      </w:r>
      <w:r>
        <w:t>针对重点区域招商引资，抓住发达地区产业梯度转移的有利契机，加大面向“长三角”“珠三角”等区域招商引资力度，做好与相关产业龙头企业的对接联络，引入更多大企业、大项目落户工业园发展，推动工业园区主导产业链闭合发展。</w:t>
      </w:r>
      <w:r>
        <w:rPr>
          <w:rFonts w:hint="eastAsia"/>
        </w:rPr>
        <w:t>坚持招商引资和稳商增资并重互促，支持鼓励现有企业再投资，通过以商招商引进大型企业和先进技术带动工业发展。</w:t>
      </w:r>
    </w:p>
    <w:p>
      <w:pPr>
        <w:pStyle w:val="5"/>
        <w:spacing w:before="156" w:beforeLines="50" w:after="156" w:afterLines="50" w:line="360" w:lineRule="auto"/>
        <w:jc w:val="center"/>
        <w:rPr>
          <w:rFonts w:ascii="Times New Roman" w:hAnsi="Times New Roman" w:eastAsia="楷体_GB2312"/>
        </w:rPr>
      </w:pPr>
      <w:bookmarkStart w:id="224" w:name="_Toc89087885"/>
      <w:bookmarkStart w:id="225" w:name="_Toc57368114"/>
      <w:bookmarkStart w:id="226" w:name="_Toc103805276"/>
      <w:r>
        <w:rPr>
          <w:rFonts w:hint="eastAsia" w:ascii="Times New Roman" w:hAnsi="Times New Roman" w:eastAsia="楷体_GB2312"/>
        </w:rPr>
        <w:t>第三节</w:t>
      </w:r>
      <w:r>
        <w:rPr>
          <w:rFonts w:ascii="Times New Roman" w:hAnsi="Times New Roman" w:eastAsia="楷体_GB2312"/>
        </w:rPr>
        <w:t xml:space="preserve"> </w:t>
      </w:r>
      <w:bookmarkEnd w:id="224"/>
      <w:bookmarkEnd w:id="225"/>
      <w:bookmarkStart w:id="227" w:name="_Toc426732797"/>
      <w:bookmarkStart w:id="228" w:name="_Toc425810836"/>
      <w:bookmarkStart w:id="229" w:name="_Toc276363298"/>
      <w:bookmarkStart w:id="230" w:name="_Toc480300692"/>
      <w:r>
        <w:rPr>
          <w:rFonts w:hint="eastAsia" w:ascii="Times New Roman" w:hAnsi="Times New Roman" w:eastAsia="楷体_GB2312"/>
        </w:rPr>
        <w:t>绿色制造体系构建行动</w:t>
      </w:r>
      <w:bookmarkEnd w:id="226"/>
    </w:p>
    <w:p>
      <w:pPr>
        <w:pStyle w:val="6"/>
        <w:rPr>
          <w:rFonts w:ascii="Times New Roman"/>
        </w:rPr>
      </w:pPr>
      <w:bookmarkStart w:id="231" w:name="_Toc103805277"/>
      <w:r>
        <w:rPr>
          <w:rFonts w:ascii="Times New Roman"/>
        </w:rPr>
        <w:t>1.严格落实绿色发展要求</w:t>
      </w:r>
      <w:bookmarkEnd w:id="231"/>
    </w:p>
    <w:p>
      <w:pPr>
        <w:pStyle w:val="12"/>
        <w:ind w:firstLine="640"/>
      </w:pPr>
      <w:r>
        <w:rPr>
          <w:rFonts w:hint="eastAsia"/>
        </w:rPr>
        <w:t>严格落实“三线一单”规定，落实生态保护红线、环境质量底线、资源利用上线硬约束，严格执行长江经济带发展负面清单、重庆市产业投资准入等规定。严格执行生态保护红线管控制度，在红线区域实施最严格的水资源保护、土地用途管制和产业退出制度。针对流域、区域、行业特点，聚焦突出问题和保护目标，实施生态环境分区管控。严格落实项目环境保护“三同时”制度，严控“两高一资”项目建设，坚决防范不符合准入条件的产能向奉节转移。全面推动“新建项目进园区”，加快中小企业集聚区规范发展，持续引导园外分散企业入园。推动落后产能界定标准由主要依靠装备规模、工艺技术标准向能耗、环保、质量、安全、技术等综合标准转变和处置方式由主要依靠行政手段向综合运用法律法规、经济手段和必要的行政手段转变。</w:t>
      </w:r>
    </w:p>
    <w:p>
      <w:pPr>
        <w:pStyle w:val="6"/>
        <w:rPr>
          <w:rFonts w:ascii="Times New Roman"/>
        </w:rPr>
      </w:pPr>
      <w:bookmarkStart w:id="232" w:name="_Toc103805278"/>
      <w:r>
        <w:rPr>
          <w:rFonts w:ascii="Times New Roman"/>
        </w:rPr>
        <w:t>2.建设绿色工厂绿色园区</w:t>
      </w:r>
      <w:bookmarkEnd w:id="232"/>
    </w:p>
    <w:p>
      <w:pPr>
        <w:pStyle w:val="12"/>
        <w:ind w:firstLine="640"/>
      </w:pPr>
      <w:r>
        <w:t>加快企业节能降耗技术改造，对消耗高、污染重、技术落后的工艺和产品实施强制性淘汰制度。</w:t>
      </w:r>
      <w:r>
        <w:rPr>
          <w:rFonts w:hint="eastAsia"/>
        </w:rPr>
        <w:t>加强整治能耗高、污染重、固废排放量大、效能低的产业链环节，加大对相关企业的监管力度；鼓励消费品工业、眼镜制造企业改造现有原辅材料、生产工艺、污染处理等环节，向生产绿色化、清洁化、高效化方向升级。建设绿色工厂，推动企业对标行业先进水准，应用绿色低碳厂房建造（改造）技术，选用先进适用节能节水节材、清洁生产等工艺技术设备，从源头优化用能结构，削减二氧化硫、氮氧化物、烟（粉）尘、化学需氧量、氨氮、重金属、挥发有机物、持久性有机物等污染物排放。加快推动绿色园区建设，促进园区内企业链接共生、原料互供、资源共享。推动制造企业、环保企业利用高等院校、科研院所等社会资源，建立市场化运行的绿色技术创新联合体，大力推进清洁生产、清洁能源等领域关键共性技术、前沿引领技术的攻关与成果转化。</w:t>
      </w:r>
    </w:p>
    <w:p>
      <w:pPr>
        <w:pStyle w:val="6"/>
        <w:rPr>
          <w:rFonts w:ascii="Times New Roman"/>
        </w:rPr>
      </w:pPr>
      <w:bookmarkStart w:id="233" w:name="_Toc103805279"/>
      <w:r>
        <w:rPr>
          <w:rFonts w:ascii="Times New Roman"/>
        </w:rPr>
        <w:t>3.推动工业资源循环利用</w:t>
      </w:r>
      <w:bookmarkEnd w:id="233"/>
    </w:p>
    <w:p>
      <w:pPr>
        <w:pStyle w:val="12"/>
        <w:ind w:firstLine="640"/>
      </w:pPr>
      <w:r>
        <w:t>推进资源综合利用改造，推进资源再生利用产业的规范化、规模化，提高大宗工业固体废弃物、废旧金属、废弃电器电子产品等综合利用水平，构建“资源—产品—再生资源”的循环经济体系，在有条件的企业之间探索开展原料互供、资源共享的循环利用模式，建成渝东北产业废弃物综合利用示范基地。</w:t>
      </w:r>
      <w:r>
        <w:rPr>
          <w:rFonts w:hint="eastAsia"/>
        </w:rPr>
        <w:t>加快水泥窑协同处置生活垃圾（污泥、飞灰）、煤矸石和粉煤灰生产建材和家居装饰材料、冶炼废渣高值组分提取和整体利用、副产石膏规模化制备水泥缓凝剂等大宗工业固体废弃物综合利用典型业态发展，壮大再生金属、再制造等循环经济产业规模，全面提升资源循环利用水平。积极推动工业园区建立资源循环网络，推动资源循环利用装备或技术的应用，实现工业资源的循环再利用。</w:t>
      </w:r>
      <w:bookmarkEnd w:id="227"/>
      <w:bookmarkEnd w:id="228"/>
      <w:bookmarkEnd w:id="229"/>
      <w:bookmarkEnd w:id="230"/>
    </w:p>
    <w:p>
      <w:pPr>
        <w:pStyle w:val="5"/>
        <w:spacing w:before="156" w:beforeLines="50" w:after="156" w:afterLines="50" w:line="360" w:lineRule="auto"/>
        <w:jc w:val="center"/>
        <w:rPr>
          <w:rFonts w:ascii="Times New Roman" w:hAnsi="Times New Roman" w:eastAsia="楷体_GB2312"/>
        </w:rPr>
      </w:pPr>
      <w:bookmarkStart w:id="234" w:name="_Toc57368118"/>
      <w:bookmarkStart w:id="235" w:name="_Toc103805280"/>
      <w:bookmarkStart w:id="236" w:name="_Toc89087889"/>
      <w:r>
        <w:rPr>
          <w:rFonts w:hint="eastAsia" w:ascii="Times New Roman" w:hAnsi="Times New Roman" w:eastAsia="楷体_GB2312"/>
        </w:rPr>
        <w:t>第四节</w:t>
      </w:r>
      <w:r>
        <w:rPr>
          <w:rFonts w:ascii="Times New Roman" w:hAnsi="Times New Roman" w:eastAsia="楷体_GB2312"/>
        </w:rPr>
        <w:t xml:space="preserve"> </w:t>
      </w:r>
      <w:r>
        <w:rPr>
          <w:rFonts w:hint="eastAsia" w:ascii="Times New Roman" w:hAnsi="Times New Roman" w:eastAsia="楷体_GB2312"/>
        </w:rPr>
        <w:t>科技创新能力提升</w:t>
      </w:r>
      <w:r>
        <w:rPr>
          <w:rFonts w:ascii="Times New Roman" w:hAnsi="Times New Roman" w:eastAsia="楷体_GB2312"/>
        </w:rPr>
        <w:t>行动</w:t>
      </w:r>
      <w:bookmarkEnd w:id="234"/>
      <w:bookmarkEnd w:id="235"/>
      <w:bookmarkEnd w:id="236"/>
    </w:p>
    <w:p>
      <w:pPr>
        <w:pStyle w:val="6"/>
        <w:rPr>
          <w:rFonts w:ascii="Times New Roman"/>
        </w:rPr>
      </w:pPr>
      <w:bookmarkStart w:id="237" w:name="_Toc103805281"/>
      <w:r>
        <w:rPr>
          <w:rFonts w:ascii="Times New Roman"/>
        </w:rPr>
        <w:t>1.突破产业关键核心技术</w:t>
      </w:r>
      <w:bookmarkEnd w:id="237"/>
    </w:p>
    <w:p>
      <w:pPr>
        <w:pStyle w:val="12"/>
        <w:ind w:firstLine="640"/>
      </w:pPr>
      <w:r>
        <w:rPr>
          <w:rFonts w:hint="eastAsia"/>
        </w:rPr>
        <w:t>围绕主导产业和特色产业发展需求，谋划实施一批产业关键核心技术攻关项目，开展“揭榜挂帅”行动，重点支持相关领域关键核心技术和前沿技术科研攻关，攻克一批产业关键技术难题，形成一批新技术、新工艺、新产品。在清洁能源领域，鼓励风电企业开展风机大型化、叶片材料轻量化等技术攻关，鼓励光伏企业开展氧化铝钝化硅表面、叠瓦封装等新技术攻关；在眼镜制造领域，鼓励企业在树脂镜片、镀膜、点漆等关键领域尽快取得突破；在特色农产品加工领域，鼓励食品加工企业在</w:t>
      </w:r>
      <w:r>
        <w:rPr>
          <w:rFonts w:hint="eastAsia"/>
          <w:szCs w:val="32"/>
        </w:rPr>
        <w:t>食品冷冻粉碎与真空冷冻干燥技术、无硫澄清工艺等绿色加工新技术和副产物的高值化利用技术等领域开展攻关；在建筑材料领域，鼓励企业开展用后耐火材料的分选关键技术、多种矿物改性复合技术等领域开展攻关。</w:t>
      </w:r>
    </w:p>
    <w:p>
      <w:pPr>
        <w:pStyle w:val="6"/>
        <w:rPr>
          <w:rFonts w:ascii="Times New Roman"/>
        </w:rPr>
      </w:pPr>
      <w:bookmarkStart w:id="238" w:name="_Toc103805282"/>
      <w:bookmarkStart w:id="239" w:name="_Toc89087890"/>
      <w:bookmarkStart w:id="240" w:name="_Toc57368119"/>
      <w:bookmarkStart w:id="241" w:name="_Toc451731912"/>
      <w:bookmarkStart w:id="242" w:name="_Toc452476624"/>
      <w:bookmarkStart w:id="243" w:name="_Toc14830"/>
      <w:r>
        <w:rPr>
          <w:rFonts w:ascii="Times New Roman"/>
        </w:rPr>
        <w:t>2.</w:t>
      </w:r>
      <w:r>
        <w:rPr>
          <w:rFonts w:hint="eastAsia" w:ascii="Times New Roman"/>
        </w:rPr>
        <w:t>提升企业技术创新能力</w:t>
      </w:r>
      <w:bookmarkEnd w:id="238"/>
    </w:p>
    <w:p>
      <w:pPr>
        <w:pStyle w:val="12"/>
        <w:ind w:firstLine="640"/>
      </w:pPr>
      <w:r>
        <w:rPr>
          <w:rFonts w:hint="eastAsia"/>
        </w:rPr>
        <w:t>加大企业创新投入支持力度，推动企业落实研发场地、组建研发队伍、增购更新研发设备，加快建立企业技术中心、工程实验室等企业研发机构。推动领军企业面向长远发展和竞争力提升，前瞻部署基础研究，瞄准“卡链”“断链”产品和技术，承担国家（重点）实验室建设，促进基础研究、应用基础研究与产业化对接融通。实施创新型企业“雁阵”培育计划，发挥大企业引领和组织作用，支持产业链中小企业参与联合创新活动，推动产业链上下游、大中小企业融通创新。强化财税金融政策支持，促进科技成果转化应用，紧扣重点产业发展需求，借助市级科技成果转化平台和专家资源优势，加强对中小企业的创新和技术服务，优化工业生产的工艺、技术水平，提高产品质量和生产效率，增强工业竞争力。</w:t>
      </w:r>
    </w:p>
    <w:p>
      <w:pPr>
        <w:pStyle w:val="6"/>
        <w:rPr>
          <w:rFonts w:ascii="Times New Roman"/>
        </w:rPr>
      </w:pPr>
      <w:bookmarkStart w:id="244" w:name="_Toc103805283"/>
      <w:r>
        <w:rPr>
          <w:rFonts w:ascii="Times New Roman"/>
        </w:rPr>
        <w:t>3.</w:t>
      </w:r>
      <w:r>
        <w:rPr>
          <w:rFonts w:hint="eastAsia" w:ascii="Times New Roman"/>
        </w:rPr>
        <w:t>加强科技创新平台</w:t>
      </w:r>
      <w:bookmarkEnd w:id="239"/>
      <w:bookmarkEnd w:id="240"/>
      <w:r>
        <w:rPr>
          <w:rFonts w:hint="eastAsia" w:ascii="Times New Roman"/>
        </w:rPr>
        <w:t>建设</w:t>
      </w:r>
      <w:bookmarkEnd w:id="244"/>
    </w:p>
    <w:bookmarkEnd w:id="241"/>
    <w:bookmarkEnd w:id="242"/>
    <w:bookmarkEnd w:id="243"/>
    <w:p>
      <w:pPr>
        <w:pStyle w:val="12"/>
        <w:ind w:firstLine="640"/>
      </w:pPr>
      <w:r>
        <w:rPr>
          <w:rFonts w:hint="eastAsia"/>
        </w:rPr>
        <w:t>立足工业发展和信息化建设需求，重点布局建设一批创新平台，构建全方位、多层次、多类型的科技研发平台体系。围绕奉节重点工业产业领域和技术研发需求，集中优势资源，在眼镜制造、农产品加工、生物制药、新型材料、清洁能源、农业机械装备等领域规划培养创新平台。适应信息时代创新活动的特点，聚焦影响工业发展的科技需求，</w:t>
      </w:r>
      <w:r>
        <w:rPr>
          <w:rFonts w:hint="eastAsia" w:ascii="仿宋_GB2312" w:hAnsi="方正仿宋_GBK" w:cs="方正仿宋_GBK"/>
          <w:szCs w:val="32"/>
        </w:rPr>
        <w:t>深入实施校地合作项目，</w:t>
      </w:r>
      <w:r>
        <w:rPr>
          <w:rFonts w:hint="eastAsia" w:ascii="仿宋_GB2312"/>
          <w:szCs w:val="32"/>
        </w:rPr>
        <w:t>联合高校、科研院所共同</w:t>
      </w:r>
      <w:r>
        <w:rPr>
          <w:rFonts w:hint="eastAsia" w:ascii="仿宋_GB2312"/>
        </w:rPr>
        <w:t>建设一批县级以上企业研发中心、孵化器、众创空间、星创天地等科技创新平台。</w:t>
      </w:r>
      <w:r>
        <w:rPr>
          <w:rFonts w:hint="eastAsia"/>
        </w:rPr>
        <w:t>推进市级眼镜检验检测及技术研发中心、市级纳米材料产业技术中心、脐橙深加工研发中心等科技平台建设，形成区域性特色产业创新高地。</w:t>
      </w:r>
    </w:p>
    <w:p>
      <w:pPr>
        <w:pStyle w:val="6"/>
        <w:rPr>
          <w:rFonts w:ascii="Times New Roman"/>
        </w:rPr>
      </w:pPr>
      <w:bookmarkStart w:id="245" w:name="_Toc451731913"/>
      <w:bookmarkStart w:id="246" w:name="_Toc57368122"/>
      <w:bookmarkStart w:id="247" w:name="_Toc89087893"/>
      <w:bookmarkStart w:id="248" w:name="_Toc103805284"/>
      <w:bookmarkStart w:id="249" w:name="_Toc452476625"/>
      <w:r>
        <w:rPr>
          <w:rFonts w:ascii="Times New Roman"/>
        </w:rPr>
        <w:t>4.</w:t>
      </w:r>
      <w:r>
        <w:rPr>
          <w:rFonts w:hint="eastAsia" w:ascii="Times New Roman"/>
        </w:rPr>
        <w:t>推动科技成果转移转化</w:t>
      </w:r>
      <w:bookmarkEnd w:id="245"/>
      <w:bookmarkEnd w:id="246"/>
      <w:bookmarkEnd w:id="247"/>
      <w:bookmarkEnd w:id="248"/>
      <w:bookmarkEnd w:id="249"/>
    </w:p>
    <w:p>
      <w:pPr>
        <w:pStyle w:val="12"/>
        <w:ind w:firstLine="640"/>
      </w:pPr>
      <w:r>
        <w:rPr>
          <w:rFonts w:hint="eastAsia"/>
        </w:rPr>
        <w:t>积极对接国家、市级科技资源共享平台，引导各类市场主体开展线上线下相结合的科技成果交易活动。深入开展校地合作，鼓励创建众创空间、星创天地等服务平台，按科技创新激励政策对科技成果转化给予创新资助。充分利用大数据中心信息资源优势，发挥科研机构研发人才队伍作用，积极创建科技企业孵化器、众创空间、星创天地等创新创业孵化载体，提升全县科技成果转化和高新技术企业培育能力。探索科技服务体系改革，积极构建以政府机构为主体，孵化器、众创空间等平台为骨干，科技金融服务为支撑，科技服务中介为桥梁的科技创新服务体系，有效提升奉节科技综合服务能力，大力推动科技成果落地产业化。</w:t>
      </w:r>
    </w:p>
    <w:p>
      <w:pPr>
        <w:pStyle w:val="5"/>
        <w:spacing w:before="156" w:beforeLines="50" w:after="156" w:afterLines="50" w:line="360" w:lineRule="auto"/>
        <w:jc w:val="center"/>
        <w:rPr>
          <w:rFonts w:ascii="Times New Roman" w:hAnsi="Times New Roman" w:eastAsia="楷体_GB2312"/>
        </w:rPr>
      </w:pPr>
      <w:bookmarkStart w:id="250" w:name="_Toc89087897"/>
      <w:bookmarkStart w:id="251" w:name="_Toc103805285"/>
      <w:bookmarkStart w:id="252" w:name="_Toc57368126"/>
      <w:r>
        <w:rPr>
          <w:rFonts w:hint="eastAsia" w:ascii="Times New Roman" w:hAnsi="Times New Roman" w:eastAsia="楷体_GB2312"/>
        </w:rPr>
        <w:t>第五节</w:t>
      </w:r>
      <w:r>
        <w:rPr>
          <w:rFonts w:ascii="Times New Roman" w:hAnsi="Times New Roman" w:eastAsia="楷体_GB2312"/>
        </w:rPr>
        <w:t xml:space="preserve"> 质量</w:t>
      </w:r>
      <w:r>
        <w:rPr>
          <w:rFonts w:hint="eastAsia" w:ascii="Times New Roman" w:hAnsi="Times New Roman" w:eastAsia="楷体_GB2312"/>
        </w:rPr>
        <w:t>标准</w:t>
      </w:r>
      <w:r>
        <w:rPr>
          <w:rFonts w:ascii="Times New Roman" w:hAnsi="Times New Roman" w:eastAsia="楷体_GB2312"/>
        </w:rPr>
        <w:t>品牌</w:t>
      </w:r>
      <w:r>
        <w:rPr>
          <w:rFonts w:hint="eastAsia" w:ascii="Times New Roman" w:hAnsi="Times New Roman" w:eastAsia="楷体_GB2312"/>
        </w:rPr>
        <w:t>建设</w:t>
      </w:r>
      <w:r>
        <w:rPr>
          <w:rFonts w:ascii="Times New Roman" w:hAnsi="Times New Roman" w:eastAsia="楷体_GB2312"/>
        </w:rPr>
        <w:t>行动</w:t>
      </w:r>
      <w:bookmarkEnd w:id="250"/>
      <w:bookmarkEnd w:id="251"/>
      <w:bookmarkEnd w:id="252"/>
    </w:p>
    <w:p>
      <w:pPr>
        <w:pStyle w:val="6"/>
        <w:rPr>
          <w:rFonts w:ascii="Times New Roman"/>
        </w:rPr>
      </w:pPr>
      <w:bookmarkStart w:id="253" w:name="_Toc103805286"/>
      <w:r>
        <w:rPr>
          <w:rFonts w:ascii="Times New Roman"/>
        </w:rPr>
        <w:t>1.推动工业产品质量提升</w:t>
      </w:r>
      <w:bookmarkEnd w:id="253"/>
    </w:p>
    <w:p>
      <w:pPr>
        <w:pStyle w:val="12"/>
        <w:ind w:firstLine="640"/>
      </w:pPr>
      <w:r>
        <w:t>提升精品制造质量管理水平，支持企业提高质量在线监测、在线控制和产品全生命周期质量追溯能力；深入推广应用卓越绩效、六西格玛、精益生产等先进质量管理方法</w:t>
      </w:r>
      <w:r>
        <w:rPr>
          <w:rFonts w:hint="eastAsia"/>
        </w:rPr>
        <w:t>，促进企业建立健全质量管理体系，加强全员、全过程、全方位质量管理，提升企业产品、服务和经营质量的整体水平，增强企业竞争力和可持续发展能力，树立质量标杆。落实企业质量安全主体责任，建立健全企业质量首负责任制，建立责任明确、逐级倒逼的质量安全责任链条，明确企业法人或主要负责人对质量安全负首要责任、企业质量主管负责人对质量安全负直接责任。引导企业加强质量文化建设，制定质量方针，落实重大质量事故报告及应急处理、缺陷产品召回、质量损害赔偿等责任义务。推动大型企业加强对主要原材料、零部件供应商加强质量、技术、工艺、设备和人员等因素的指导和监督，带动供应链整体质量水平提升。</w:t>
      </w:r>
    </w:p>
    <w:p>
      <w:pPr>
        <w:pStyle w:val="6"/>
        <w:rPr>
          <w:rFonts w:ascii="Times New Roman"/>
        </w:rPr>
      </w:pPr>
      <w:bookmarkStart w:id="254" w:name="_Toc103805287"/>
      <w:r>
        <w:rPr>
          <w:rFonts w:ascii="Times New Roman"/>
        </w:rPr>
        <w:t>2.完善主导产业标准体系</w:t>
      </w:r>
      <w:bookmarkEnd w:id="254"/>
    </w:p>
    <w:p>
      <w:pPr>
        <w:pStyle w:val="12"/>
        <w:ind w:firstLine="640"/>
      </w:pPr>
      <w:r>
        <w:rPr>
          <w:rFonts w:hint="eastAsia"/>
        </w:rPr>
        <w:t>聚焦眼镜制造、特色农产品加工、环保新材料等具备比较优势的领域，推动领军企业梳理基础通用、关键技术、典型应用等相关标准化需求，积极参与推进国家标准和行业标准制定（修订），支持其他领域企业积极参与国家标准和行业标准制定（修订），提升奉节制造业领域标准“话语权”。实施团体标准培优计划，推行企业标准“领跑者”制度，全面推动各行业企业对标国内先进开展对标达标，支持“领跑者”企业标准转化上升为国家标准、行业标准。推动规模以上企业建立完善标准体系，转化应用国际标准，制定实施高于国际标准、国家标准、行业标准和地方标准的企业标准、团体标准，提升产品标准水平。聚焦数字经济等新兴产业领域，积极参与标准、规则制定，将自主创新成果和关键核心技术转化为国家和行业标准，加快推进标准升级迭代、特色优势领域标准国际化。</w:t>
      </w:r>
    </w:p>
    <w:p>
      <w:pPr>
        <w:pStyle w:val="6"/>
        <w:rPr>
          <w:rFonts w:ascii="Times New Roman"/>
        </w:rPr>
      </w:pPr>
      <w:bookmarkStart w:id="255" w:name="_Toc103805288"/>
      <w:r>
        <w:rPr>
          <w:rFonts w:ascii="Times New Roman"/>
        </w:rPr>
        <w:t>3.加强知名品牌培育宣传</w:t>
      </w:r>
      <w:bookmarkEnd w:id="255"/>
    </w:p>
    <w:p>
      <w:pPr>
        <w:pStyle w:val="12"/>
        <w:ind w:firstLine="640"/>
      </w:pPr>
      <w:r>
        <w:rPr>
          <w:rFonts w:hint="eastAsia"/>
        </w:rPr>
        <w:t>大力实施企业品牌培育，推动企业进一步树立品牌意识，遵循“认识—认知—认同”品牌建设规律，打造一批竞争力强、附加值高的知名品牌，推动企业从产品竞争、价格竞争为主向质量竞争、品牌竞争为主转变。支持有条件的企业实施“双品牌”“多品牌”发展战略，促进消费者对品牌的审美认同、身份认同、情感认同和价值认同。积极推动专业化品牌培育和运营专业服务机构引育，完善品牌价值评估体系。加大品牌宣传力度，提升智博会、西洽会等重大会展活动品牌成果发布功能，打响“三峡眼镜”“夔州眼镜”“夔州药业”等特色品牌知名度。发挥新媒体在传播品牌文化、品牌形象中的重要作用，加强融合传播、营销传播、国际传播形成品牌传播的扩大累加效应。深化国际品牌交流合作，推动企业引进国际化品牌管理人才和经营理念，提高品牌国际化运营能力。</w:t>
      </w:r>
    </w:p>
    <w:p>
      <w:pPr>
        <w:pStyle w:val="5"/>
        <w:spacing w:before="156" w:beforeLines="50" w:after="156" w:afterLines="50" w:line="360" w:lineRule="auto"/>
        <w:jc w:val="center"/>
        <w:rPr>
          <w:rFonts w:eastAsia="楷体_GB2312"/>
        </w:rPr>
      </w:pPr>
      <w:bookmarkStart w:id="256" w:name="_Toc103805289"/>
      <w:r>
        <w:rPr>
          <w:rFonts w:hint="eastAsia" w:ascii="Times New Roman" w:hAnsi="Times New Roman" w:eastAsia="楷体_GB2312"/>
        </w:rPr>
        <w:t>第六节</w:t>
      </w:r>
      <w:r>
        <w:rPr>
          <w:rFonts w:ascii="Times New Roman" w:hAnsi="Times New Roman" w:eastAsia="楷体_GB2312"/>
        </w:rPr>
        <w:t xml:space="preserve"> </w:t>
      </w:r>
      <w:r>
        <w:rPr>
          <w:rFonts w:hint="eastAsia" w:ascii="Times New Roman" w:hAnsi="Times New Roman" w:eastAsia="楷体_GB2312"/>
        </w:rPr>
        <w:t>培育壮大市场主体行动</w:t>
      </w:r>
      <w:bookmarkEnd w:id="256"/>
    </w:p>
    <w:p>
      <w:pPr>
        <w:pStyle w:val="6"/>
      </w:pPr>
      <w:bookmarkStart w:id="257" w:name="_Toc103805290"/>
      <w:r>
        <w:rPr>
          <w:rFonts w:ascii="Times New Roman"/>
        </w:rPr>
        <w:t>1.</w:t>
      </w:r>
      <w:r>
        <w:rPr>
          <w:rFonts w:hint="eastAsia" w:ascii="Times New Roman"/>
        </w:rPr>
        <w:t>推动龙头企业做大做强</w:t>
      </w:r>
      <w:bookmarkEnd w:id="257"/>
    </w:p>
    <w:p>
      <w:pPr>
        <w:pStyle w:val="12"/>
        <w:ind w:firstLine="640"/>
      </w:pPr>
      <w:r>
        <w:rPr>
          <w:rFonts w:hint="eastAsia"/>
        </w:rPr>
        <w:t>充分发挥龙头企业在兴业兴城、强县富民中的引领、示范和带动作用，围绕政府引导、目标激励、分级培育、一企一策，集中优势资源，提供精准服务，从重大专项、研发投入、生产扩建、技术改造、新产品产业化等方面给予支持，培育一批对全县经济发展起支撑引领作用、在产业链供应链中具备支配地位的龙头企业。鼓励龙头企业围绕产业链和供应链通过兼并、收购、联合、参股等多种形式，开展对本地关联中小企业整合重组，开展跨地区、跨行业、跨所有制的兼并重组及投资合作，促进龙头企业做大做强。积极支持眼镜制造等优势产业领域一批现有龙头企业挂牌上市，</w:t>
      </w:r>
      <w:r>
        <w:rPr>
          <w:rFonts w:hint="eastAsia"/>
          <w:lang w:eastAsia="zh-CN"/>
        </w:rPr>
        <w:t>进一步提升龙头企业的</w:t>
      </w:r>
      <w:r>
        <w:rPr>
          <w:rFonts w:hint="eastAsia"/>
        </w:rPr>
        <w:t>单品种产能和市场竞争力，培育一批具有国内影响力的领军企业。鼓励龙头企业加大自主研发投入，加快自主知识产权和技术工艺创新，打造具有核心竞争力的拳头产品，全面提升龙头企业知名度和影响力。</w:t>
      </w:r>
    </w:p>
    <w:p>
      <w:pPr>
        <w:pStyle w:val="6"/>
      </w:pPr>
      <w:bookmarkStart w:id="258" w:name="_Toc103805291"/>
      <w:r>
        <w:rPr>
          <w:rFonts w:ascii="Times New Roman"/>
        </w:rPr>
        <w:t>2.</w:t>
      </w:r>
      <w:r>
        <w:rPr>
          <w:rFonts w:hint="eastAsia" w:ascii="Times New Roman"/>
        </w:rPr>
        <w:t>中小企业聚焦“专精特新”</w:t>
      </w:r>
      <w:bookmarkEnd w:id="258"/>
    </w:p>
    <w:p>
      <w:pPr>
        <w:pStyle w:val="12"/>
        <w:ind w:firstLine="640"/>
      </w:pPr>
      <w:r>
        <w:rPr>
          <w:rFonts w:hint="eastAsia"/>
        </w:rPr>
        <w:t>支持中小企业进行品牌建设、创意设计、技术研发、市场开拓等活动，引导中小企业在设备、技术、人才与管理方面精益求精，提升专业化能力。发挥奉节县小微企业园、返乡创业园等小微双创基地的运营和服务能力，协助中小企业有效对接政策、融资、培训、技术创新、市场开拓等公共资源。结合产业基础再造工程，推动基础领域和战略环节企业对标本行业头部企业，以关键基础材料、先进基础工艺等领域为重点，着力培育一批核心业务突出、协作配套能力强、成长性高的专精特新“小巨人”企业和制造业单项冠军。落实中小企业普惠政策，推动一般竞争性领域中小企业聚焦细分领域制定长期发展战略，通过自建或联合高校、科研院所共建企业研发机构，建设高素质人才队伍。采用先进适用工艺装备和信息化技术，应用先进质量管理和生产控制方法，加强品牌建设，健全和规范内部管理，完善营销渠道，不断提升主导产品市场占有率和单品利润率。</w:t>
      </w:r>
    </w:p>
    <w:p>
      <w:pPr>
        <w:pStyle w:val="6"/>
      </w:pPr>
      <w:bookmarkStart w:id="259" w:name="_Toc103805292"/>
      <w:r>
        <w:rPr>
          <w:rFonts w:ascii="Times New Roman"/>
        </w:rPr>
        <w:t>3.</w:t>
      </w:r>
      <w:r>
        <w:rPr>
          <w:rFonts w:hint="eastAsia" w:ascii="Times New Roman"/>
        </w:rPr>
        <w:t>促进各类企业融通发展</w:t>
      </w:r>
      <w:bookmarkEnd w:id="259"/>
    </w:p>
    <w:p>
      <w:pPr>
        <w:pStyle w:val="12"/>
        <w:ind w:firstLine="640"/>
      </w:pPr>
      <w:r>
        <w:rPr>
          <w:rFonts w:hint="eastAsia"/>
        </w:rPr>
        <w:t>畅通大中小企业融通发展渠道，推动大型企业进一步树立与产业链、供应链上下游企业利益共享、风险共担责任意识，鼓励各类中小企业围绕龙头企业集聚发展，主动对接龙头企业需求，与大企业建立稳定的生产、研发等专业化协作配套关系，促进初创企业与现有产业链、供应链无缝衔接。深入推进“企业上云”行动计划，以“企业协同增值服务平台”“中小企业公共服务平台”等平台为基础，支持中小企业业务系统向云端迁移；鼓励大型制造企业建立“双创”服务平台和垂直细分行业工业互联网平台，为中小企业提供先进管理技术和生产信息支持，全面优化中小企业生产流程，推动制造能力的集成整合、在线共享。</w:t>
      </w:r>
    </w:p>
    <w:p>
      <w:pPr>
        <w:pStyle w:val="4"/>
        <w:spacing w:before="100" w:beforeAutospacing="1" w:after="100" w:afterAutospacing="1" w:line="240" w:lineRule="auto"/>
        <w:jc w:val="center"/>
        <w:rPr>
          <w:rFonts w:eastAsia="黑体"/>
          <w:sz w:val="36"/>
          <w:szCs w:val="36"/>
        </w:rPr>
      </w:pPr>
      <w:bookmarkStart w:id="260" w:name="_Toc57368132"/>
      <w:bookmarkStart w:id="261" w:name="_Toc89087903"/>
      <w:bookmarkStart w:id="262" w:name="_Toc103805293"/>
      <w:r>
        <w:rPr>
          <w:rFonts w:hint="eastAsia" w:eastAsia="黑体"/>
          <w:sz w:val="36"/>
          <w:szCs w:val="36"/>
        </w:rPr>
        <w:t>第七章</w:t>
      </w:r>
      <w:r>
        <w:rPr>
          <w:rFonts w:eastAsia="黑体"/>
          <w:sz w:val="36"/>
          <w:szCs w:val="36"/>
        </w:rPr>
        <w:t xml:space="preserve"> 保障措施</w:t>
      </w:r>
      <w:bookmarkEnd w:id="260"/>
      <w:bookmarkEnd w:id="261"/>
      <w:bookmarkEnd w:id="262"/>
    </w:p>
    <w:p>
      <w:pPr>
        <w:pStyle w:val="5"/>
        <w:spacing w:before="156" w:beforeLines="50" w:after="156" w:afterLines="50" w:line="360" w:lineRule="auto"/>
        <w:jc w:val="center"/>
        <w:rPr>
          <w:rFonts w:ascii="Times New Roman" w:hAnsi="Times New Roman" w:eastAsia="楷体_GB2312"/>
        </w:rPr>
      </w:pPr>
      <w:bookmarkStart w:id="263" w:name="_Toc89087904"/>
      <w:bookmarkStart w:id="264" w:name="_Toc57368133"/>
      <w:bookmarkStart w:id="265" w:name="_Toc103805294"/>
      <w:r>
        <w:rPr>
          <w:rFonts w:hint="eastAsia" w:ascii="Times New Roman" w:hAnsi="Times New Roman" w:eastAsia="楷体_GB2312"/>
        </w:rPr>
        <w:t>第一节</w:t>
      </w:r>
      <w:r>
        <w:rPr>
          <w:rFonts w:ascii="Times New Roman" w:hAnsi="Times New Roman" w:eastAsia="楷体_GB2312"/>
        </w:rPr>
        <w:t xml:space="preserve"> 加强实施组织领导</w:t>
      </w:r>
      <w:bookmarkEnd w:id="263"/>
      <w:bookmarkEnd w:id="264"/>
      <w:bookmarkEnd w:id="265"/>
    </w:p>
    <w:p>
      <w:pPr>
        <w:pStyle w:val="12"/>
        <w:ind w:firstLine="640"/>
      </w:pPr>
      <w:r>
        <w:rPr>
          <w:rFonts w:hint="eastAsia"/>
        </w:rPr>
        <w:t>《奉节县工业和信息化</w:t>
      </w:r>
      <w:r>
        <w:t>“</w:t>
      </w:r>
      <w:r>
        <w:rPr>
          <w:rFonts w:hint="eastAsia"/>
        </w:rPr>
        <w:t>十四五</w:t>
      </w:r>
      <w:r>
        <w:t>”</w:t>
      </w:r>
      <w:r>
        <w:rPr>
          <w:rFonts w:hint="eastAsia"/>
        </w:rPr>
        <w:t>高质量发展规划》（以下简称《规划》）的实施，由县委、县政府成立工作领导小组统筹推进，县经信委会同有关部门组织实施，在县经信委设立</w:t>
      </w:r>
      <w:r>
        <w:t>“</w:t>
      </w:r>
      <w:r>
        <w:rPr>
          <w:rFonts w:hint="eastAsia"/>
        </w:rPr>
        <w:t>十四五</w:t>
      </w:r>
      <w:r>
        <w:t>”</w:t>
      </w:r>
      <w:r>
        <w:rPr>
          <w:rFonts w:hint="eastAsia"/>
        </w:rPr>
        <w:t>工业发展工作推进办公室，负责监督《规划》的执行及考核工作。各级各部门要进一步统一思想、提高认识，以规划为引领，围绕规划确定的发展目标、空间布局、重点任务等，制定目标任务责任分解方案，在产业布局、重点项目安排等方面，与规划保持一致，加快推进各项工作落实；县委、县政府将建立《规划》执行情况考核机制，把《规划》落实情况纳入部门年度考核内容，形成推进《规划》落实的工作合力，确保《规划》执行到位。</w:t>
      </w:r>
    </w:p>
    <w:p>
      <w:pPr>
        <w:pStyle w:val="5"/>
        <w:spacing w:before="156" w:beforeLines="50" w:after="156" w:afterLines="50" w:line="360" w:lineRule="auto"/>
        <w:jc w:val="center"/>
        <w:rPr>
          <w:rFonts w:ascii="Times New Roman" w:hAnsi="Times New Roman" w:eastAsia="楷体_GB2312"/>
        </w:rPr>
      </w:pPr>
      <w:bookmarkStart w:id="266" w:name="_Toc89087905"/>
      <w:bookmarkStart w:id="267" w:name="_Toc103805295"/>
      <w:bookmarkStart w:id="268" w:name="_Toc57368134"/>
      <w:r>
        <w:rPr>
          <w:rFonts w:hint="eastAsia" w:ascii="Times New Roman" w:hAnsi="Times New Roman" w:eastAsia="楷体_GB2312"/>
        </w:rPr>
        <w:t>第二节</w:t>
      </w:r>
      <w:r>
        <w:rPr>
          <w:rFonts w:ascii="Times New Roman" w:hAnsi="Times New Roman" w:eastAsia="楷体_GB2312"/>
        </w:rPr>
        <w:t xml:space="preserve"> </w:t>
      </w:r>
      <w:r>
        <w:rPr>
          <w:rFonts w:hint="eastAsia" w:ascii="Times New Roman" w:hAnsi="Times New Roman" w:eastAsia="楷体_GB2312"/>
        </w:rPr>
        <w:t>增强资金保障能力</w:t>
      </w:r>
      <w:bookmarkEnd w:id="266"/>
      <w:bookmarkEnd w:id="267"/>
      <w:bookmarkEnd w:id="268"/>
    </w:p>
    <w:p>
      <w:pPr>
        <w:pStyle w:val="12"/>
        <w:ind w:firstLine="640"/>
      </w:pPr>
      <w:bookmarkStart w:id="269" w:name="_Toc57368135"/>
      <w:bookmarkStart w:id="270" w:name="_Toc89087906"/>
      <w:r>
        <w:rPr>
          <w:rFonts w:hint="eastAsia"/>
        </w:rPr>
        <w:t>加强政府资金引导</w:t>
      </w:r>
      <w:bookmarkEnd w:id="269"/>
      <w:bookmarkEnd w:id="270"/>
      <w:r>
        <w:rPr>
          <w:rFonts w:hint="eastAsia"/>
        </w:rPr>
        <w:t>，统筹用好各级各类政府资金、创业投资和政府出资产业投资基金，强化对重大工程项目的投资牵引作用。有效统筹工业经济、民营经济、中小微企业、就业创业等各类扶持资金。积极落实国家、市促进产业发展的各项政策措施，争取多渠道的资金支持，统筹安排和使用好相关专项引导资金，加大对企业增品种、提品质、创品牌等支持力度，重点扶持技术改造、公共服务平台、节能降耗等项目。县级有关部门要全力向上争取项目和资金，用于工业园区基础设施和配套功能建设。每年县级财政预算安排科技创新资金，主要用于企业研发投入、高新技术企业培育和科学技术奖励、创新产品开发、科技成果转移转化以及企业技术中心、众创空间、星创天地、科普基地等创新平台建设奖励补助。发挥政府引导基金作用，建立创业种子投资基金、产业股权引导投资基金，撬动和吸引更多社会资本参与创新投资和股权投资，支持科技型企业发展。设立中小企业发展专项资金，重点用于支持中小企业公共服务体系和融资服务体系建设。</w:t>
      </w:r>
    </w:p>
    <w:p>
      <w:pPr>
        <w:pStyle w:val="5"/>
        <w:spacing w:before="156" w:beforeLines="50" w:after="156" w:afterLines="50" w:line="360" w:lineRule="auto"/>
        <w:jc w:val="center"/>
        <w:rPr>
          <w:rFonts w:ascii="Times New Roman" w:hAnsi="Times New Roman" w:eastAsia="楷体_GB2312"/>
        </w:rPr>
      </w:pPr>
      <w:bookmarkStart w:id="271" w:name="_Toc89087908"/>
      <w:bookmarkStart w:id="272" w:name="_Toc103805296"/>
      <w:bookmarkStart w:id="273" w:name="_Toc57368137"/>
      <w:r>
        <w:rPr>
          <w:rFonts w:hint="eastAsia" w:ascii="Times New Roman" w:hAnsi="Times New Roman" w:eastAsia="楷体_GB2312"/>
        </w:rPr>
        <w:t>第三节</w:t>
      </w:r>
      <w:r>
        <w:rPr>
          <w:rFonts w:ascii="Times New Roman" w:hAnsi="Times New Roman" w:eastAsia="楷体_GB2312"/>
        </w:rPr>
        <w:t xml:space="preserve"> 加大政策扶持力度</w:t>
      </w:r>
      <w:bookmarkEnd w:id="271"/>
      <w:bookmarkEnd w:id="272"/>
      <w:bookmarkEnd w:id="273"/>
    </w:p>
    <w:p>
      <w:pPr>
        <w:pStyle w:val="12"/>
        <w:ind w:firstLine="640"/>
      </w:pPr>
      <w:r>
        <w:rPr>
          <w:rFonts w:hint="eastAsia"/>
        </w:rPr>
        <w:t>完善工业企业</w:t>
      </w:r>
      <w:r>
        <w:t>“</w:t>
      </w:r>
      <w:r>
        <w:rPr>
          <w:rFonts w:hint="eastAsia"/>
        </w:rPr>
        <w:t>小升规</w:t>
      </w:r>
      <w:r>
        <w:t>”</w:t>
      </w:r>
      <w:r>
        <w:rPr>
          <w:rFonts w:hint="eastAsia"/>
        </w:rPr>
        <w:t>扶持政策，优先为</w:t>
      </w:r>
      <w:r>
        <w:t>“</w:t>
      </w:r>
      <w:r>
        <w:rPr>
          <w:rFonts w:hint="eastAsia"/>
        </w:rPr>
        <w:t>小升规</w:t>
      </w:r>
      <w:r>
        <w:t>”</w:t>
      </w:r>
      <w:r>
        <w:rPr>
          <w:rFonts w:hint="eastAsia"/>
        </w:rPr>
        <w:t>企业提供要素保障服务、</w:t>
      </w:r>
      <w:r>
        <w:t>“</w:t>
      </w:r>
      <w:r>
        <w:rPr>
          <w:rFonts w:hint="eastAsia"/>
        </w:rPr>
        <w:t>一站式</w:t>
      </w:r>
      <w:r>
        <w:t>”</w:t>
      </w:r>
      <w:r>
        <w:rPr>
          <w:rFonts w:hint="eastAsia"/>
        </w:rPr>
        <w:t>手续办理、畅通企业与县委、县政府领导的</w:t>
      </w:r>
      <w:r>
        <w:t>“</w:t>
      </w:r>
      <w:r>
        <w:rPr>
          <w:rFonts w:hint="eastAsia"/>
        </w:rPr>
        <w:t>绿色通道</w:t>
      </w:r>
      <w:r>
        <w:t>”</w:t>
      </w:r>
      <w:r>
        <w:rPr>
          <w:rFonts w:hint="eastAsia"/>
        </w:rPr>
        <w:t>等方式，提高企业内生动力。</w:t>
      </w:r>
      <w:bookmarkStart w:id="274" w:name="_Toc89087910"/>
      <w:bookmarkStart w:id="275" w:name="_Toc57368139"/>
      <w:r>
        <w:rPr>
          <w:rFonts w:hint="eastAsia"/>
        </w:rPr>
        <w:t>妥善使用土地政策</w:t>
      </w:r>
      <w:bookmarkEnd w:id="274"/>
      <w:bookmarkEnd w:id="275"/>
      <w:r>
        <w:rPr>
          <w:rFonts w:hint="eastAsia"/>
        </w:rPr>
        <w:t>，建立完善重大项目用地优先保障和部门联审制度。盘活存量用地，建立政府主导的土地退让收购制度，对闲置厂房和土地依法收储和合理流转，建立新增土地指标配给与盘活存量土地数量挂钩机制。切实保障工业企业用地，探索建立工业用地分期分阶段供地、先租后让、弹性年限、差别化低价等制度。推进集体经营性建设用地入市试点，为乡村振兴工业项目落地提供土地保障。</w:t>
      </w:r>
      <w:bookmarkStart w:id="276" w:name="_Toc57368140"/>
      <w:bookmarkStart w:id="277" w:name="_Toc89087911"/>
      <w:r>
        <w:rPr>
          <w:rFonts w:hint="eastAsia"/>
        </w:rPr>
        <w:t>深入实施人才发展战略</w:t>
      </w:r>
      <w:bookmarkEnd w:id="276"/>
      <w:bookmarkEnd w:id="277"/>
      <w:r>
        <w:rPr>
          <w:rFonts w:hint="eastAsia"/>
        </w:rPr>
        <w:t>，抓好“夔州英才集聚”工程。对接重点领域人才需求，鼓励行业企业参与人才培养。完善人才引进机制，落实人才优惠政策，重点支持工业和信息化领域高层次人才、紧缺型人才、创新创业人才和实用型人才的引进和培养。强化职业教育和技能培训，建立一批实训基地，实行订单培训、定点培养、定向分配，全面提高劳动者职业技能水平。</w:t>
      </w:r>
    </w:p>
    <w:p>
      <w:pPr>
        <w:pStyle w:val="5"/>
        <w:spacing w:before="156" w:beforeLines="50" w:after="156" w:afterLines="50" w:line="360" w:lineRule="auto"/>
        <w:jc w:val="center"/>
        <w:rPr>
          <w:rFonts w:ascii="Times New Roman" w:hAnsi="Times New Roman" w:eastAsia="楷体_GB2312"/>
        </w:rPr>
      </w:pPr>
      <w:bookmarkStart w:id="278" w:name="_Toc57368142"/>
      <w:bookmarkStart w:id="279" w:name="_Toc103805297"/>
      <w:bookmarkStart w:id="280" w:name="_Toc89087912"/>
      <w:r>
        <w:rPr>
          <w:rFonts w:hint="eastAsia" w:ascii="Times New Roman" w:hAnsi="Times New Roman" w:eastAsia="楷体_GB2312"/>
        </w:rPr>
        <w:t>第四节</w:t>
      </w:r>
      <w:r>
        <w:rPr>
          <w:rFonts w:ascii="Times New Roman" w:hAnsi="Times New Roman" w:eastAsia="楷体_GB2312"/>
        </w:rPr>
        <w:t xml:space="preserve"> </w:t>
      </w:r>
      <w:r>
        <w:rPr>
          <w:rFonts w:hint="eastAsia" w:ascii="Times New Roman" w:hAnsi="Times New Roman" w:eastAsia="楷体_GB2312"/>
        </w:rPr>
        <w:t>持续优化</w:t>
      </w:r>
      <w:r>
        <w:rPr>
          <w:rFonts w:ascii="Times New Roman" w:hAnsi="Times New Roman" w:eastAsia="楷体_GB2312"/>
        </w:rPr>
        <w:t>营商环境</w:t>
      </w:r>
      <w:bookmarkEnd w:id="278"/>
      <w:bookmarkEnd w:id="279"/>
      <w:bookmarkEnd w:id="280"/>
    </w:p>
    <w:p>
      <w:pPr>
        <w:pStyle w:val="12"/>
        <w:ind w:firstLine="640"/>
        <w:sectPr>
          <w:pgSz w:w="11906" w:h="16838"/>
          <w:pgMar w:top="1440" w:right="1800" w:bottom="1440" w:left="1800" w:header="851" w:footer="992" w:gutter="0"/>
          <w:pgNumType w:start="1"/>
          <w:cols w:space="425" w:num="1"/>
          <w:docGrid w:type="lines" w:linePitch="312" w:charSpace="0"/>
        </w:sectPr>
      </w:pPr>
      <w:r>
        <w:rPr>
          <w:rFonts w:hint="eastAsia"/>
        </w:rPr>
        <w:t>全力打造“奉公办·更快节”政务服务品牌，加快转变政府职能，推动简政放权。出台服务招商引资、企业、自然人、项目建设、创新创业“五个全生命周期”实施细则，以更大力度推进职能转变、流程再造、效能提升，深化拓展规范办、创新办、快捷办、节约办、一次办等服务模式。加强知识产权保护、质量体系和社会信用体系建设，规范市场经济秩序，创造公平竞争环境。完善经济运行监测预警预测体系和纠偏机制，协调解决产业发展中的重大问题。进一步规范涉企收费和行政执法行为，切实减轻企业负担。推进</w:t>
      </w:r>
      <w:r>
        <w:t>“</w:t>
      </w:r>
      <w:r>
        <w:rPr>
          <w:rFonts w:hint="eastAsia"/>
        </w:rPr>
        <w:t>放管服</w:t>
      </w:r>
      <w:r>
        <w:t>”</w:t>
      </w:r>
      <w:r>
        <w:rPr>
          <w:rFonts w:hint="eastAsia"/>
        </w:rPr>
        <w:t>改革，建立</w:t>
      </w:r>
      <w:r>
        <w:t>“</w:t>
      </w:r>
      <w:r>
        <w:rPr>
          <w:rFonts w:hint="eastAsia"/>
        </w:rPr>
        <w:t>一站式</w:t>
      </w:r>
      <w:r>
        <w:t>”</w:t>
      </w:r>
      <w:r>
        <w:rPr>
          <w:rFonts w:hint="eastAsia"/>
        </w:rPr>
        <w:t>服务机制，实行县级部门</w:t>
      </w:r>
      <w:r>
        <w:t>“</w:t>
      </w:r>
      <w:r>
        <w:rPr>
          <w:rFonts w:hint="eastAsia"/>
        </w:rPr>
        <w:t>一对一</w:t>
      </w:r>
      <w:r>
        <w:t>”</w:t>
      </w:r>
      <w:r>
        <w:rPr>
          <w:rFonts w:hint="eastAsia"/>
        </w:rPr>
        <w:t>对接园区和重点工业项目。建立重大社会投资</w:t>
      </w:r>
      <w:r>
        <w:t>“</w:t>
      </w:r>
      <w:r>
        <w:rPr>
          <w:rFonts w:hint="eastAsia"/>
        </w:rPr>
        <w:t>项目管家</w:t>
      </w:r>
      <w:r>
        <w:t>”</w:t>
      </w:r>
      <w:r>
        <w:rPr>
          <w:rFonts w:hint="eastAsia"/>
        </w:rPr>
        <w:t>服务制度，为企业提供</w:t>
      </w:r>
      <w:r>
        <w:t>“</w:t>
      </w:r>
      <w:r>
        <w:rPr>
          <w:rFonts w:hint="eastAsia"/>
        </w:rPr>
        <w:t>管家式</w:t>
      </w:r>
      <w:r>
        <w:t>”</w:t>
      </w:r>
      <w:r>
        <w:rPr>
          <w:rFonts w:hint="eastAsia"/>
        </w:rPr>
        <w:t>精细化服务。严格执行《重庆市一般工业项目建设审批（审查）操作细则（试行）》，缩减工业项目开工前期审批时间。用好国家和重庆市出台的一系列支持企业发展的政策，靠前服务、加强指导，帮助解决企业生产经营中存在的融资、用地、人才等方面的困难和问题，解除企业后顾之忧，促进企业加快发展壮大，让奉节成为全市办事效率最高、投资环境最优、企业获得感最强的区县之一。</w:t>
      </w:r>
    </w:p>
    <w:p>
      <w:pPr>
        <w:pStyle w:val="4"/>
        <w:spacing w:before="100" w:beforeAutospacing="1" w:after="100" w:afterAutospacing="1" w:line="240" w:lineRule="auto"/>
        <w:jc w:val="center"/>
        <w:rPr>
          <w:rFonts w:eastAsia="黑体"/>
          <w:sz w:val="36"/>
          <w:szCs w:val="36"/>
        </w:rPr>
      </w:pPr>
      <w:bookmarkStart w:id="281" w:name="_Toc103805298"/>
      <w:r>
        <w:rPr>
          <w:rFonts w:hint="eastAsia" w:eastAsia="黑体"/>
          <w:sz w:val="36"/>
          <w:szCs w:val="36"/>
        </w:rPr>
        <w:t>附件一</w:t>
      </w:r>
      <w:r>
        <w:rPr>
          <w:rFonts w:eastAsia="黑体"/>
          <w:sz w:val="36"/>
          <w:szCs w:val="36"/>
        </w:rPr>
        <w:t xml:space="preserve"> </w:t>
      </w:r>
      <w:r>
        <w:rPr>
          <w:rFonts w:hint="eastAsia" w:eastAsia="黑体"/>
          <w:sz w:val="36"/>
          <w:szCs w:val="36"/>
        </w:rPr>
        <w:t>奉节县工业和信息化“十四五”规划重点项目</w:t>
      </w:r>
      <w:bookmarkEnd w:id="281"/>
    </w:p>
    <w:tbl>
      <w:tblPr>
        <w:tblStyle w:val="26"/>
        <w:tblW w:w="16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8"/>
        <w:gridCol w:w="1418"/>
        <w:gridCol w:w="1254"/>
        <w:gridCol w:w="4320"/>
        <w:gridCol w:w="1503"/>
        <w:gridCol w:w="1276"/>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序号</w:t>
            </w:r>
          </w:p>
        </w:tc>
        <w:tc>
          <w:tcPr>
            <w:tcW w:w="3118"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项目名称</w:t>
            </w:r>
          </w:p>
        </w:tc>
        <w:tc>
          <w:tcPr>
            <w:tcW w:w="1418"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建设地点</w:t>
            </w:r>
          </w:p>
        </w:tc>
        <w:tc>
          <w:tcPr>
            <w:tcW w:w="1254"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建设性质</w:t>
            </w:r>
          </w:p>
        </w:tc>
        <w:tc>
          <w:tcPr>
            <w:tcW w:w="4320"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拟建主要内容及规模</w:t>
            </w:r>
          </w:p>
        </w:tc>
        <w:tc>
          <w:tcPr>
            <w:tcW w:w="1503"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总投资估算（万元）</w:t>
            </w:r>
          </w:p>
        </w:tc>
        <w:tc>
          <w:tcPr>
            <w:tcW w:w="1276"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建设年限</w:t>
            </w:r>
          </w:p>
        </w:tc>
        <w:tc>
          <w:tcPr>
            <w:tcW w:w="2401"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合计项目数量（14</w:t>
            </w:r>
            <w:r>
              <w:rPr>
                <w:rFonts w:ascii="楷体" w:hAnsi="楷体" w:eastAsia="楷体" w:cs="宋体"/>
                <w:b/>
                <w:bCs/>
                <w:kern w:val="0"/>
                <w:sz w:val="28"/>
                <w:szCs w:val="28"/>
              </w:rPr>
              <w:t>5</w:t>
            </w:r>
            <w:r>
              <w:rPr>
                <w:rFonts w:hint="eastAsia" w:ascii="楷体" w:hAnsi="楷体" w:eastAsia="楷体" w:cs="宋体"/>
                <w:b/>
                <w:bCs/>
                <w:kern w:val="0"/>
                <w:sz w:val="28"/>
                <w:szCs w:val="28"/>
              </w:rPr>
              <w:t>个）</w:t>
            </w:r>
          </w:p>
        </w:tc>
        <w:tc>
          <w:tcPr>
            <w:tcW w:w="1503"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538</w:t>
            </w:r>
            <w:r>
              <w:rPr>
                <w:rFonts w:ascii="宋体" w:hAnsi="宋体" w:cs="宋体"/>
                <w:b/>
                <w:bCs/>
                <w:kern w:val="0"/>
                <w:sz w:val="24"/>
                <w:szCs w:val="24"/>
              </w:rPr>
              <w:t>83</w:t>
            </w:r>
            <w:r>
              <w:rPr>
                <w:rFonts w:hint="eastAsia" w:ascii="宋体" w:hAnsi="宋体" w:cs="宋体"/>
                <w:b/>
                <w:bCs/>
                <w:kern w:val="0"/>
                <w:sz w:val="24"/>
                <w:szCs w:val="24"/>
              </w:rPr>
              <w:t>08</w:t>
            </w:r>
          </w:p>
        </w:tc>
        <w:tc>
          <w:tcPr>
            <w:tcW w:w="1276"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c>
          <w:tcPr>
            <w:tcW w:w="2401" w:type="dxa"/>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一、工业基础设施及园区建设类（27个）</w:t>
            </w:r>
          </w:p>
        </w:tc>
        <w:tc>
          <w:tcPr>
            <w:tcW w:w="1503" w:type="dxa"/>
            <w:shd w:val="clear" w:color="auto" w:fill="auto"/>
            <w:vAlign w:val="center"/>
          </w:tcPr>
          <w:p>
            <w:pPr>
              <w:widowControl/>
              <w:jc w:val="center"/>
              <w:rPr>
                <w:b/>
                <w:bCs/>
                <w:kern w:val="0"/>
                <w:sz w:val="24"/>
                <w:szCs w:val="24"/>
              </w:rPr>
            </w:pPr>
            <w:r>
              <w:rPr>
                <w:b/>
                <w:bCs/>
                <w:kern w:val="0"/>
                <w:sz w:val="24"/>
                <w:szCs w:val="24"/>
              </w:rPr>
              <w:t>678299</w:t>
            </w:r>
          </w:p>
        </w:tc>
        <w:tc>
          <w:tcPr>
            <w:tcW w:w="1276" w:type="dxa"/>
            <w:shd w:val="clear" w:color="auto" w:fill="auto"/>
            <w:vAlign w:val="center"/>
          </w:tcPr>
          <w:p>
            <w:pPr>
              <w:widowControl/>
              <w:jc w:val="center"/>
              <w:rPr>
                <w:b/>
                <w:bCs/>
                <w:kern w:val="0"/>
                <w:sz w:val="24"/>
                <w:szCs w:val="24"/>
              </w:rPr>
            </w:pPr>
            <w:r>
              <w:rPr>
                <w:b/>
                <w:bCs/>
                <w:kern w:val="0"/>
                <w:sz w:val="24"/>
                <w:szCs w:val="24"/>
              </w:rPr>
              <w:t>　</w:t>
            </w:r>
          </w:p>
        </w:tc>
        <w:tc>
          <w:tcPr>
            <w:tcW w:w="2401" w:type="dxa"/>
            <w:shd w:val="clear" w:color="auto" w:fill="auto"/>
            <w:vAlign w:val="center"/>
          </w:tcPr>
          <w:p>
            <w:pPr>
              <w:widowControl/>
              <w:jc w:val="center"/>
              <w:rPr>
                <w:b/>
                <w:bCs/>
                <w:kern w:val="0"/>
                <w:sz w:val="24"/>
                <w:szCs w:val="24"/>
              </w:rPr>
            </w:pPr>
            <w:r>
              <w:rPr>
                <w:b/>
                <w:bCs/>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（一）2</w:t>
            </w:r>
            <w:r>
              <w:rPr>
                <w:rFonts w:ascii="楷体" w:hAnsi="楷体" w:eastAsia="楷体" w:cs="宋体"/>
                <w:b/>
                <w:kern w:val="0"/>
                <w:sz w:val="24"/>
                <w:szCs w:val="20"/>
              </w:rPr>
              <w:t>022年前建成项目</w:t>
            </w:r>
            <w:r>
              <w:rPr>
                <w:rFonts w:hint="eastAsia" w:ascii="楷体" w:hAnsi="楷体" w:eastAsia="楷体" w:cs="宋体"/>
                <w:b/>
                <w:kern w:val="0"/>
                <w:sz w:val="24"/>
                <w:szCs w:val="20"/>
              </w:rPr>
              <w:t>（7个）</w:t>
            </w:r>
          </w:p>
        </w:tc>
        <w:tc>
          <w:tcPr>
            <w:tcW w:w="1503" w:type="dxa"/>
            <w:shd w:val="clear" w:color="auto" w:fill="auto"/>
            <w:vAlign w:val="center"/>
          </w:tcPr>
          <w:p>
            <w:pPr>
              <w:widowControl/>
              <w:jc w:val="center"/>
              <w:rPr>
                <w:b/>
                <w:kern w:val="0"/>
                <w:sz w:val="24"/>
                <w:szCs w:val="20"/>
              </w:rPr>
            </w:pPr>
            <w:r>
              <w:rPr>
                <w:b/>
                <w:kern w:val="0"/>
                <w:sz w:val="24"/>
                <w:szCs w:val="20"/>
              </w:rPr>
              <w:t>89010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51" w:type="dxa"/>
            <w:shd w:val="clear" w:color="auto" w:fill="auto"/>
            <w:vAlign w:val="center"/>
          </w:tcPr>
          <w:p>
            <w:pPr>
              <w:widowControl/>
              <w:jc w:val="center"/>
              <w:rPr>
                <w:kern w:val="0"/>
                <w:sz w:val="20"/>
                <w:szCs w:val="20"/>
              </w:rPr>
            </w:pPr>
            <w:r>
              <w:rPr>
                <w:kern w:val="0"/>
                <w:sz w:val="20"/>
                <w:szCs w:val="20"/>
              </w:rPr>
              <w:t>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奉节县返乡创业园标准厂房建设项目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安坪镇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建设标准厂房2栋，每栋两层，占地面积各800平方米，共计建筑面积3200平方米；配套完善扶贫车间和返乡创业产业园围墙，绿化，标识标牌，厂区大门，门岗亭、污水处理等配套设施。</w:t>
            </w:r>
          </w:p>
        </w:tc>
        <w:tc>
          <w:tcPr>
            <w:tcW w:w="1503" w:type="dxa"/>
            <w:shd w:val="clear" w:color="auto" w:fill="auto"/>
            <w:vAlign w:val="center"/>
          </w:tcPr>
          <w:p>
            <w:pPr>
              <w:widowControl/>
              <w:jc w:val="center"/>
              <w:rPr>
                <w:kern w:val="0"/>
                <w:sz w:val="20"/>
                <w:szCs w:val="20"/>
              </w:rPr>
            </w:pPr>
            <w:r>
              <w:rPr>
                <w:kern w:val="0"/>
                <w:sz w:val="20"/>
                <w:szCs w:val="20"/>
              </w:rPr>
              <w:t>1250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奉节县生态工业园三期标准厂房工程第四批</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12#—16#楼），总建筑面积为63161.84㎡,厂房结构为框架结构，地上四层，主要为6栋标准厂房的土建及室内外安装、公厕土建及安装、室外道路、管网、给排水、消防、绿化、景观照明、硬质铺装等。</w:t>
            </w:r>
          </w:p>
        </w:tc>
        <w:tc>
          <w:tcPr>
            <w:tcW w:w="1503" w:type="dxa"/>
            <w:shd w:val="clear" w:color="auto" w:fill="auto"/>
            <w:vAlign w:val="center"/>
          </w:tcPr>
          <w:p>
            <w:pPr>
              <w:widowControl/>
              <w:jc w:val="center"/>
              <w:rPr>
                <w:kern w:val="0"/>
                <w:sz w:val="20"/>
                <w:szCs w:val="20"/>
              </w:rPr>
            </w:pPr>
            <w:r>
              <w:rPr>
                <w:kern w:val="0"/>
                <w:sz w:val="20"/>
                <w:szCs w:val="20"/>
              </w:rPr>
              <w:t>15000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51" w:type="dxa"/>
            <w:shd w:val="clear" w:color="auto" w:fill="auto"/>
            <w:vAlign w:val="center"/>
          </w:tcPr>
          <w:p>
            <w:pPr>
              <w:widowControl/>
              <w:jc w:val="center"/>
              <w:rPr>
                <w:kern w:val="0"/>
                <w:sz w:val="20"/>
                <w:szCs w:val="20"/>
              </w:rPr>
            </w:pPr>
            <w:r>
              <w:rPr>
                <w:kern w:val="0"/>
                <w:sz w:val="20"/>
                <w:szCs w:val="20"/>
              </w:rPr>
              <w:t>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奉节县生态工业园三期标准厂房工程第五批</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奉节县生态工业园三期标准厂房工程（17#—22#楼），总建筑面积为175238.56m2。</w:t>
            </w:r>
          </w:p>
        </w:tc>
        <w:tc>
          <w:tcPr>
            <w:tcW w:w="1503" w:type="dxa"/>
            <w:shd w:val="clear" w:color="auto" w:fill="auto"/>
            <w:vAlign w:val="center"/>
          </w:tcPr>
          <w:p>
            <w:pPr>
              <w:widowControl/>
              <w:jc w:val="center"/>
              <w:rPr>
                <w:kern w:val="0"/>
                <w:sz w:val="20"/>
                <w:szCs w:val="20"/>
              </w:rPr>
            </w:pPr>
            <w:r>
              <w:rPr>
                <w:kern w:val="0"/>
                <w:sz w:val="20"/>
                <w:szCs w:val="20"/>
              </w:rPr>
              <w:t>45000</w:t>
            </w:r>
          </w:p>
        </w:tc>
        <w:tc>
          <w:tcPr>
            <w:tcW w:w="1276" w:type="dxa"/>
            <w:shd w:val="clear" w:color="auto" w:fill="auto"/>
            <w:vAlign w:val="center"/>
          </w:tcPr>
          <w:p>
            <w:pPr>
              <w:widowControl/>
              <w:jc w:val="center"/>
              <w:rPr>
                <w:kern w:val="0"/>
                <w:sz w:val="20"/>
                <w:szCs w:val="20"/>
              </w:rPr>
            </w:pPr>
            <w:r>
              <w:rPr>
                <w:kern w:val="0"/>
                <w:sz w:val="20"/>
                <w:szCs w:val="20"/>
              </w:rPr>
              <w:t>2022-2022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51" w:type="dxa"/>
            <w:shd w:val="clear" w:color="auto" w:fill="auto"/>
            <w:vAlign w:val="center"/>
          </w:tcPr>
          <w:p>
            <w:pPr>
              <w:widowControl/>
              <w:jc w:val="center"/>
              <w:rPr>
                <w:kern w:val="0"/>
                <w:sz w:val="20"/>
                <w:szCs w:val="20"/>
              </w:rPr>
            </w:pPr>
            <w:r>
              <w:rPr>
                <w:kern w:val="0"/>
                <w:sz w:val="20"/>
                <w:szCs w:val="20"/>
              </w:rPr>
              <w:t>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奉节县草堂工业园三期标准厂房配套用房建设项目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总建筑面积约16540.95平方米，主要包括：建筑工程、室内装修、变配电工程、照明及防雷工程、弱电、给排水及消防工程、通风工程、土石方工程、绿化景观工程、室外综合管网工程等。</w:t>
            </w:r>
          </w:p>
        </w:tc>
        <w:tc>
          <w:tcPr>
            <w:tcW w:w="1503" w:type="dxa"/>
            <w:shd w:val="clear" w:color="auto" w:fill="auto"/>
            <w:vAlign w:val="center"/>
          </w:tcPr>
          <w:p>
            <w:pPr>
              <w:widowControl/>
              <w:jc w:val="center"/>
              <w:rPr>
                <w:kern w:val="0"/>
                <w:sz w:val="20"/>
                <w:szCs w:val="20"/>
              </w:rPr>
            </w:pPr>
            <w:r>
              <w:rPr>
                <w:kern w:val="0"/>
                <w:sz w:val="20"/>
                <w:szCs w:val="20"/>
              </w:rPr>
              <w:t>7160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奉节县夔州阴沉木</w:t>
            </w:r>
            <w:r>
              <w:rPr>
                <w:rFonts w:hint="eastAsia" w:ascii="楷体" w:hAnsi="楷体" w:eastAsia="楷体" w:cs="宋体"/>
                <w:kern w:val="0"/>
                <w:sz w:val="20"/>
                <w:szCs w:val="20"/>
                <w:lang w:eastAsia="zh-CN"/>
              </w:rPr>
              <w:t>“非遗村”</w:t>
            </w:r>
            <w:r>
              <w:rPr>
                <w:rFonts w:hint="eastAsia" w:ascii="楷体" w:hAnsi="楷体" w:eastAsia="楷体" w:cs="宋体"/>
                <w:kern w:val="0"/>
                <w:sz w:val="20"/>
                <w:szCs w:val="20"/>
              </w:rPr>
              <w:t>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永乐镇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该项目占地面积9535.5m2，总建筑面积4609.21m2，总计容建筑面积5543.36m2。主要建设内容为建设奉节县夔州阴沉木“非遗村”建设项目A区（一期），以及道路、挡土墙、停车场、供电、给排水、环保、绿化、消防等配套附属工程。拟建主体工程由5栋地上建筑组成。地上建筑每栋楼均为多层公共建筑。</w:t>
            </w:r>
          </w:p>
        </w:tc>
        <w:tc>
          <w:tcPr>
            <w:tcW w:w="1503" w:type="dxa"/>
            <w:shd w:val="clear" w:color="auto" w:fill="auto"/>
            <w:vAlign w:val="center"/>
          </w:tcPr>
          <w:p>
            <w:pPr>
              <w:widowControl/>
              <w:jc w:val="center"/>
              <w:rPr>
                <w:kern w:val="0"/>
                <w:sz w:val="20"/>
                <w:szCs w:val="20"/>
              </w:rPr>
            </w:pPr>
            <w:r>
              <w:rPr>
                <w:kern w:val="0"/>
                <w:sz w:val="20"/>
                <w:szCs w:val="20"/>
              </w:rPr>
              <w:t>3000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固体综合利用项目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主要建设2×2万吨粉煤灰仓储、3×2千吨灰粉成品仓储、气力输送管道及配套设施、装车装船系统、办公及生活用房等。</w:t>
            </w:r>
          </w:p>
        </w:tc>
        <w:tc>
          <w:tcPr>
            <w:tcW w:w="1503" w:type="dxa"/>
            <w:shd w:val="clear" w:color="auto" w:fill="auto"/>
            <w:vAlign w:val="center"/>
          </w:tcPr>
          <w:p>
            <w:pPr>
              <w:widowControl/>
              <w:jc w:val="center"/>
              <w:rPr>
                <w:kern w:val="0"/>
                <w:sz w:val="20"/>
                <w:szCs w:val="20"/>
              </w:rPr>
            </w:pPr>
            <w:r>
              <w:rPr>
                <w:kern w:val="0"/>
                <w:sz w:val="20"/>
                <w:szCs w:val="20"/>
              </w:rPr>
              <w:t>11600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移动公司西部新区办公楼建设项目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西部新区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占地面积</w:t>
            </w:r>
            <w:r>
              <w:rPr>
                <w:rFonts w:eastAsia="楷体"/>
                <w:kern w:val="0"/>
                <w:sz w:val="20"/>
                <w:szCs w:val="20"/>
              </w:rPr>
              <w:t>8</w:t>
            </w:r>
            <w:r>
              <w:rPr>
                <w:rFonts w:hint="eastAsia" w:ascii="楷体" w:hAnsi="楷体" w:eastAsia="楷体" w:cs="宋体"/>
                <w:kern w:val="0"/>
                <w:sz w:val="20"/>
                <w:szCs w:val="20"/>
              </w:rPr>
              <w:t>亩，建筑面积约</w:t>
            </w:r>
            <w:r>
              <w:rPr>
                <w:rFonts w:eastAsia="楷体"/>
                <w:kern w:val="0"/>
                <w:sz w:val="20"/>
                <w:szCs w:val="20"/>
              </w:rPr>
              <w:t>10000</w:t>
            </w:r>
            <w:r>
              <w:rPr>
                <w:rFonts w:hint="eastAsia" w:ascii="楷体" w:hAnsi="楷体" w:eastAsia="楷体" w:cs="宋体"/>
                <w:kern w:val="0"/>
                <w:sz w:val="20"/>
                <w:szCs w:val="20"/>
              </w:rPr>
              <w:t>㎡</w:t>
            </w:r>
          </w:p>
        </w:tc>
        <w:tc>
          <w:tcPr>
            <w:tcW w:w="1503" w:type="dxa"/>
            <w:shd w:val="clear" w:color="auto" w:fill="auto"/>
            <w:vAlign w:val="center"/>
          </w:tcPr>
          <w:p>
            <w:pPr>
              <w:widowControl/>
              <w:jc w:val="center"/>
              <w:rPr>
                <w:kern w:val="0"/>
                <w:sz w:val="20"/>
                <w:szCs w:val="20"/>
              </w:rPr>
            </w:pPr>
            <w:r>
              <w:rPr>
                <w:kern w:val="0"/>
                <w:sz w:val="20"/>
                <w:szCs w:val="20"/>
              </w:rPr>
              <w:t>6000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（二）2</w:t>
            </w:r>
            <w:r>
              <w:rPr>
                <w:rFonts w:ascii="楷体" w:hAnsi="楷体" w:eastAsia="楷体" w:cs="宋体"/>
                <w:b/>
                <w:kern w:val="0"/>
                <w:sz w:val="24"/>
                <w:szCs w:val="20"/>
              </w:rPr>
              <w:t>023年前建成项目</w:t>
            </w:r>
            <w:r>
              <w:rPr>
                <w:rFonts w:hint="eastAsia" w:ascii="楷体" w:hAnsi="楷体" w:eastAsia="楷体" w:cs="宋体"/>
                <w:b/>
                <w:kern w:val="0"/>
                <w:sz w:val="24"/>
                <w:szCs w:val="20"/>
              </w:rPr>
              <w:t>（</w:t>
            </w:r>
            <w:r>
              <w:rPr>
                <w:rFonts w:ascii="楷体" w:hAnsi="楷体" w:eastAsia="楷体" w:cs="宋体"/>
                <w:b/>
                <w:kern w:val="0"/>
                <w:sz w:val="24"/>
                <w:szCs w:val="20"/>
              </w:rPr>
              <w:t>4</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26383</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奉节县草堂工业园区小微创业园建设工程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占地约40亩，建设小微创业园。</w:t>
            </w:r>
          </w:p>
        </w:tc>
        <w:tc>
          <w:tcPr>
            <w:tcW w:w="1503" w:type="dxa"/>
            <w:shd w:val="clear" w:color="auto" w:fill="auto"/>
            <w:vAlign w:val="center"/>
          </w:tcPr>
          <w:p>
            <w:pPr>
              <w:widowControl/>
              <w:jc w:val="center"/>
              <w:rPr>
                <w:kern w:val="0"/>
                <w:sz w:val="20"/>
                <w:szCs w:val="20"/>
              </w:rPr>
            </w:pPr>
            <w:r>
              <w:rPr>
                <w:kern w:val="0"/>
                <w:sz w:val="20"/>
                <w:szCs w:val="20"/>
              </w:rPr>
              <w:t>15000</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奉节县草堂工业园区小溪沟桥梁建设项目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建设桥梁一座，跨度42m。</w:t>
            </w:r>
          </w:p>
        </w:tc>
        <w:tc>
          <w:tcPr>
            <w:tcW w:w="1503" w:type="dxa"/>
            <w:shd w:val="clear" w:color="auto" w:fill="auto"/>
            <w:vAlign w:val="center"/>
          </w:tcPr>
          <w:p>
            <w:pPr>
              <w:widowControl/>
              <w:jc w:val="center"/>
              <w:rPr>
                <w:kern w:val="0"/>
                <w:sz w:val="20"/>
                <w:szCs w:val="20"/>
              </w:rPr>
            </w:pPr>
            <w:r>
              <w:rPr>
                <w:kern w:val="0"/>
                <w:sz w:val="20"/>
                <w:szCs w:val="20"/>
              </w:rPr>
              <w:t>800</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51" w:type="dxa"/>
            <w:shd w:val="clear" w:color="auto" w:fill="auto"/>
            <w:vAlign w:val="center"/>
          </w:tcPr>
          <w:p>
            <w:pPr>
              <w:widowControl/>
              <w:jc w:val="center"/>
              <w:rPr>
                <w:kern w:val="0"/>
                <w:sz w:val="20"/>
                <w:szCs w:val="20"/>
              </w:rPr>
            </w:pPr>
            <w:r>
              <w:rPr>
                <w:kern w:val="0"/>
                <w:sz w:val="20"/>
                <w:szCs w:val="20"/>
              </w:rPr>
              <w:t>10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奉节县船厂整合搬迁项目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项目占地</w:t>
            </w:r>
            <w:r>
              <w:rPr>
                <w:rFonts w:eastAsia="楷体"/>
                <w:kern w:val="0"/>
                <w:sz w:val="20"/>
                <w:szCs w:val="20"/>
              </w:rPr>
              <w:t>60</w:t>
            </w:r>
            <w:r>
              <w:rPr>
                <w:rFonts w:hint="eastAsia" w:ascii="楷体" w:hAnsi="楷体" w:eastAsia="楷体" w:cs="宋体"/>
                <w:kern w:val="0"/>
                <w:sz w:val="20"/>
                <w:szCs w:val="20"/>
              </w:rPr>
              <w:t>亩，建设产能为</w:t>
            </w:r>
            <w:r>
              <w:rPr>
                <w:rFonts w:eastAsia="楷体"/>
                <w:kern w:val="0"/>
                <w:sz w:val="20"/>
                <w:szCs w:val="20"/>
              </w:rPr>
              <w:t>10</w:t>
            </w:r>
            <w:r>
              <w:rPr>
                <w:rFonts w:hint="eastAsia" w:ascii="楷体" w:hAnsi="楷体" w:eastAsia="楷体" w:cs="宋体"/>
                <w:kern w:val="0"/>
                <w:sz w:val="20"/>
                <w:szCs w:val="20"/>
              </w:rPr>
              <w:t>万载重吨</w:t>
            </w:r>
            <w:r>
              <w:rPr>
                <w:rFonts w:eastAsia="楷体"/>
                <w:kern w:val="0"/>
                <w:sz w:val="20"/>
                <w:szCs w:val="20"/>
              </w:rPr>
              <w:t>/</w:t>
            </w:r>
            <w:r>
              <w:rPr>
                <w:rFonts w:hint="eastAsia" w:ascii="楷体" w:hAnsi="楷体" w:eastAsia="楷体" w:cs="宋体"/>
                <w:kern w:val="0"/>
                <w:sz w:val="20"/>
                <w:szCs w:val="20"/>
              </w:rPr>
              <w:t>年的现代化船舶修造基地</w:t>
            </w:r>
          </w:p>
        </w:tc>
        <w:tc>
          <w:tcPr>
            <w:tcW w:w="1503" w:type="dxa"/>
            <w:shd w:val="clear" w:color="auto" w:fill="auto"/>
            <w:vAlign w:val="center"/>
          </w:tcPr>
          <w:p>
            <w:pPr>
              <w:widowControl/>
              <w:jc w:val="center"/>
              <w:rPr>
                <w:kern w:val="0"/>
                <w:sz w:val="20"/>
                <w:szCs w:val="20"/>
              </w:rPr>
            </w:pPr>
            <w:r>
              <w:rPr>
                <w:kern w:val="0"/>
                <w:sz w:val="20"/>
                <w:szCs w:val="20"/>
              </w:rPr>
              <w:t>8583</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奉节县生态工业园加油站配套建设工程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w:t>
            </w:r>
            <w:r>
              <w:rPr>
                <w:rFonts w:eastAsia="楷体"/>
                <w:kern w:val="0"/>
                <w:sz w:val="20"/>
                <w:szCs w:val="20"/>
              </w:rPr>
              <w:t>15</w:t>
            </w:r>
            <w:r>
              <w:rPr>
                <w:rFonts w:hint="eastAsia" w:ascii="楷体" w:hAnsi="楷体" w:eastAsia="楷体" w:cs="宋体"/>
                <w:kern w:val="0"/>
                <w:sz w:val="20"/>
                <w:szCs w:val="20"/>
              </w:rPr>
              <w:t>亩，配套建设场坪、挡墙、道路等基础设施</w:t>
            </w:r>
          </w:p>
        </w:tc>
        <w:tc>
          <w:tcPr>
            <w:tcW w:w="1503" w:type="dxa"/>
            <w:shd w:val="clear" w:color="auto" w:fill="auto"/>
            <w:vAlign w:val="center"/>
          </w:tcPr>
          <w:p>
            <w:pPr>
              <w:widowControl/>
              <w:jc w:val="center"/>
              <w:rPr>
                <w:kern w:val="0"/>
                <w:sz w:val="20"/>
                <w:szCs w:val="20"/>
              </w:rPr>
            </w:pPr>
            <w:r>
              <w:rPr>
                <w:kern w:val="0"/>
                <w:sz w:val="20"/>
                <w:szCs w:val="20"/>
              </w:rPr>
              <w:t>2000</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（三）2</w:t>
            </w:r>
            <w:r>
              <w:rPr>
                <w:rFonts w:ascii="楷体" w:hAnsi="楷体" w:eastAsia="楷体" w:cs="宋体"/>
                <w:b/>
                <w:kern w:val="0"/>
                <w:sz w:val="24"/>
                <w:szCs w:val="20"/>
              </w:rPr>
              <w:t>024年前建成项目</w:t>
            </w:r>
            <w:r>
              <w:rPr>
                <w:rFonts w:hint="eastAsia" w:ascii="楷体" w:hAnsi="楷体" w:eastAsia="楷体" w:cs="宋体"/>
                <w:b/>
                <w:kern w:val="0"/>
                <w:sz w:val="24"/>
                <w:szCs w:val="20"/>
              </w:rPr>
              <w:t>（</w:t>
            </w:r>
            <w:r>
              <w:rPr>
                <w:rFonts w:ascii="楷体" w:hAnsi="楷体" w:eastAsia="楷体" w:cs="宋体"/>
                <w:b/>
                <w:kern w:val="0"/>
                <w:sz w:val="24"/>
                <w:szCs w:val="20"/>
              </w:rPr>
              <w:t>4</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37256</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奉节县甘溪沟小微社会园项目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夔州街道</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总建筑面积为93905.62平方米，地下建筑面积为10571.72平方米。</w:t>
            </w:r>
          </w:p>
        </w:tc>
        <w:tc>
          <w:tcPr>
            <w:tcW w:w="1503" w:type="dxa"/>
            <w:shd w:val="clear" w:color="auto" w:fill="auto"/>
            <w:vAlign w:val="center"/>
          </w:tcPr>
          <w:p>
            <w:pPr>
              <w:widowControl/>
              <w:jc w:val="center"/>
              <w:rPr>
                <w:kern w:val="0"/>
                <w:sz w:val="20"/>
                <w:szCs w:val="20"/>
              </w:rPr>
            </w:pPr>
            <w:r>
              <w:rPr>
                <w:kern w:val="0"/>
                <w:sz w:val="20"/>
                <w:szCs w:val="20"/>
              </w:rPr>
              <w:t>18689</w:t>
            </w:r>
          </w:p>
        </w:tc>
        <w:tc>
          <w:tcPr>
            <w:tcW w:w="1276" w:type="dxa"/>
            <w:shd w:val="clear" w:color="auto" w:fill="auto"/>
            <w:vAlign w:val="center"/>
          </w:tcPr>
          <w:p>
            <w:pPr>
              <w:widowControl/>
              <w:jc w:val="center"/>
              <w:rPr>
                <w:kern w:val="0"/>
                <w:sz w:val="20"/>
                <w:szCs w:val="20"/>
              </w:rPr>
            </w:pPr>
            <w:r>
              <w:rPr>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奉节移动新办公楼建设项目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夔州街道</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新建楼宇8538.46㎡。</w:t>
            </w:r>
          </w:p>
        </w:tc>
        <w:tc>
          <w:tcPr>
            <w:tcW w:w="1503" w:type="dxa"/>
            <w:shd w:val="clear" w:color="auto" w:fill="auto"/>
            <w:vAlign w:val="center"/>
          </w:tcPr>
          <w:p>
            <w:pPr>
              <w:widowControl/>
              <w:jc w:val="center"/>
              <w:rPr>
                <w:kern w:val="0"/>
                <w:sz w:val="20"/>
                <w:szCs w:val="20"/>
              </w:rPr>
            </w:pPr>
            <w:r>
              <w:rPr>
                <w:kern w:val="0"/>
                <w:sz w:val="20"/>
                <w:szCs w:val="20"/>
              </w:rPr>
              <w:t>5567</w:t>
            </w:r>
          </w:p>
        </w:tc>
        <w:tc>
          <w:tcPr>
            <w:tcW w:w="1276" w:type="dxa"/>
            <w:shd w:val="clear" w:color="auto" w:fill="auto"/>
            <w:vAlign w:val="center"/>
          </w:tcPr>
          <w:p>
            <w:pPr>
              <w:widowControl/>
              <w:jc w:val="center"/>
              <w:rPr>
                <w:kern w:val="0"/>
                <w:sz w:val="20"/>
                <w:szCs w:val="20"/>
              </w:rPr>
            </w:pPr>
            <w:r>
              <w:rPr>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奉节县康乐消落区岸线环境综合治理工程（二期）</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消落区二期治理</w:t>
            </w:r>
            <w:r>
              <w:rPr>
                <w:rFonts w:eastAsia="楷体"/>
                <w:kern w:val="0"/>
                <w:sz w:val="20"/>
                <w:szCs w:val="20"/>
              </w:rPr>
              <w:t>KS0+472.42</w:t>
            </w:r>
            <w:r>
              <w:rPr>
                <w:rFonts w:hint="eastAsia" w:ascii="楷体" w:hAnsi="楷体" w:eastAsia="楷体" w:cs="宋体"/>
                <w:kern w:val="0"/>
                <w:sz w:val="20"/>
                <w:szCs w:val="20"/>
              </w:rPr>
              <w:t>～</w:t>
            </w:r>
            <w:r>
              <w:rPr>
                <w:rFonts w:eastAsia="楷体"/>
                <w:kern w:val="0"/>
                <w:sz w:val="20"/>
                <w:szCs w:val="20"/>
              </w:rPr>
              <w:t>KS1+176</w:t>
            </w:r>
            <w:r>
              <w:rPr>
                <w:rFonts w:hint="eastAsia" w:ascii="楷体" w:hAnsi="楷体" w:eastAsia="楷体" w:cs="宋体"/>
                <w:kern w:val="0"/>
                <w:sz w:val="20"/>
                <w:szCs w:val="20"/>
              </w:rPr>
              <w:t>段。包括护岸工程、下河梯道等</w:t>
            </w:r>
          </w:p>
        </w:tc>
        <w:tc>
          <w:tcPr>
            <w:tcW w:w="1503" w:type="dxa"/>
            <w:shd w:val="clear" w:color="auto" w:fill="auto"/>
            <w:vAlign w:val="center"/>
          </w:tcPr>
          <w:p>
            <w:pPr>
              <w:widowControl/>
              <w:jc w:val="center"/>
              <w:rPr>
                <w:kern w:val="0"/>
                <w:sz w:val="20"/>
                <w:szCs w:val="20"/>
              </w:rPr>
            </w:pPr>
            <w:r>
              <w:rPr>
                <w:kern w:val="0"/>
                <w:sz w:val="20"/>
                <w:szCs w:val="20"/>
              </w:rPr>
              <w:t>9000</w:t>
            </w:r>
          </w:p>
        </w:tc>
        <w:tc>
          <w:tcPr>
            <w:tcW w:w="1276" w:type="dxa"/>
            <w:shd w:val="clear" w:color="auto" w:fill="auto"/>
            <w:vAlign w:val="center"/>
          </w:tcPr>
          <w:p>
            <w:pPr>
              <w:widowControl/>
              <w:jc w:val="center"/>
              <w:rPr>
                <w:kern w:val="0"/>
                <w:sz w:val="20"/>
                <w:szCs w:val="20"/>
              </w:rPr>
            </w:pPr>
            <w:r>
              <w:rPr>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奉节县生态工业园多功能加油站</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占地10亩，规划建设加油、加气、充电多功能加油站。</w:t>
            </w:r>
          </w:p>
        </w:tc>
        <w:tc>
          <w:tcPr>
            <w:tcW w:w="1503" w:type="dxa"/>
            <w:shd w:val="clear" w:color="auto" w:fill="auto"/>
            <w:vAlign w:val="center"/>
          </w:tcPr>
          <w:p>
            <w:pPr>
              <w:widowControl/>
              <w:jc w:val="center"/>
              <w:rPr>
                <w:kern w:val="0"/>
                <w:sz w:val="20"/>
                <w:szCs w:val="20"/>
              </w:rPr>
            </w:pPr>
            <w:r>
              <w:rPr>
                <w:kern w:val="0"/>
                <w:sz w:val="20"/>
                <w:szCs w:val="20"/>
              </w:rPr>
              <w:t>4000</w:t>
            </w:r>
          </w:p>
        </w:tc>
        <w:tc>
          <w:tcPr>
            <w:tcW w:w="1276" w:type="dxa"/>
            <w:shd w:val="clear" w:color="auto" w:fill="auto"/>
            <w:vAlign w:val="center"/>
          </w:tcPr>
          <w:p>
            <w:pPr>
              <w:widowControl/>
              <w:jc w:val="center"/>
              <w:rPr>
                <w:kern w:val="0"/>
                <w:sz w:val="20"/>
                <w:szCs w:val="20"/>
              </w:rPr>
            </w:pPr>
            <w:r>
              <w:rPr>
                <w:kern w:val="0"/>
                <w:sz w:val="20"/>
                <w:szCs w:val="20"/>
              </w:rPr>
              <w:t>2023-2024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（四）2</w:t>
            </w:r>
            <w:r>
              <w:rPr>
                <w:rFonts w:ascii="楷体" w:hAnsi="楷体" w:eastAsia="楷体" w:cs="宋体"/>
                <w:b/>
                <w:kern w:val="0"/>
                <w:sz w:val="24"/>
                <w:szCs w:val="20"/>
              </w:rPr>
              <w:t>025年前建成项目</w:t>
            </w:r>
            <w:r>
              <w:rPr>
                <w:rFonts w:hint="eastAsia" w:ascii="楷体" w:hAnsi="楷体" w:eastAsia="楷体" w:cs="宋体"/>
                <w:b/>
                <w:kern w:val="0"/>
                <w:sz w:val="24"/>
                <w:szCs w:val="20"/>
              </w:rPr>
              <w:t>（</w:t>
            </w:r>
            <w:r>
              <w:rPr>
                <w:rFonts w:ascii="楷体" w:hAnsi="楷体" w:eastAsia="楷体" w:cs="宋体"/>
                <w:b/>
                <w:kern w:val="0"/>
                <w:sz w:val="24"/>
                <w:szCs w:val="20"/>
              </w:rPr>
              <w:t>12</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525650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奉节县生态工业园三期标准厂房建设工程（</w:t>
            </w:r>
            <w:r>
              <w:rPr>
                <w:rFonts w:eastAsia="楷体"/>
                <w:kern w:val="0"/>
                <w:sz w:val="20"/>
                <w:szCs w:val="20"/>
              </w:rPr>
              <w:t>10-22#</w:t>
            </w:r>
            <w:r>
              <w:rPr>
                <w:rFonts w:hint="eastAsia" w:ascii="楷体" w:hAnsi="楷体" w:eastAsia="楷体" w:cs="宋体"/>
                <w:kern w:val="0"/>
                <w:sz w:val="20"/>
                <w:szCs w:val="20"/>
              </w:rPr>
              <w:t>楼）</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奉节县生态工业园三期标准厂房工程，总建筑面积为</w:t>
            </w:r>
            <w:r>
              <w:rPr>
                <w:rFonts w:eastAsia="楷体"/>
                <w:kern w:val="0"/>
                <w:sz w:val="20"/>
                <w:szCs w:val="20"/>
              </w:rPr>
              <w:t>20</w:t>
            </w:r>
            <w:r>
              <w:rPr>
                <w:rFonts w:hint="eastAsia" w:ascii="楷体" w:hAnsi="楷体" w:eastAsia="楷体" w:cs="宋体"/>
                <w:kern w:val="0"/>
                <w:sz w:val="20"/>
                <w:szCs w:val="20"/>
              </w:rPr>
              <w:t>万㎡</w:t>
            </w:r>
            <w:r>
              <w:rPr>
                <w:rFonts w:eastAsia="楷体"/>
                <w:kern w:val="0"/>
                <w:sz w:val="20"/>
                <w:szCs w:val="20"/>
              </w:rPr>
              <w:t xml:space="preserve">, </w:t>
            </w:r>
            <w:r>
              <w:rPr>
                <w:rFonts w:hint="eastAsia" w:ascii="楷体" w:hAnsi="楷体" w:eastAsia="楷体" w:cs="宋体"/>
                <w:kern w:val="0"/>
                <w:sz w:val="20"/>
                <w:szCs w:val="20"/>
              </w:rPr>
              <w:t>厂房结构为框架结构，地上四层，主要为</w:t>
            </w:r>
            <w:r>
              <w:rPr>
                <w:rFonts w:eastAsia="楷体"/>
                <w:kern w:val="0"/>
                <w:sz w:val="20"/>
                <w:szCs w:val="20"/>
              </w:rPr>
              <w:t>6</w:t>
            </w:r>
            <w:r>
              <w:rPr>
                <w:rFonts w:hint="eastAsia" w:ascii="楷体" w:hAnsi="楷体" w:eastAsia="楷体" w:cs="宋体"/>
                <w:kern w:val="0"/>
                <w:sz w:val="20"/>
                <w:szCs w:val="20"/>
              </w:rPr>
              <w:t>栋标准厂房的土建及室内外安装、公厕土建及安装、室外道路、管网、给排水等</w:t>
            </w:r>
          </w:p>
        </w:tc>
        <w:tc>
          <w:tcPr>
            <w:tcW w:w="1503" w:type="dxa"/>
            <w:shd w:val="clear" w:color="auto" w:fill="auto"/>
            <w:vAlign w:val="center"/>
          </w:tcPr>
          <w:p>
            <w:pPr>
              <w:widowControl/>
              <w:jc w:val="center"/>
              <w:rPr>
                <w:kern w:val="0"/>
                <w:sz w:val="20"/>
                <w:szCs w:val="20"/>
              </w:rPr>
            </w:pPr>
            <w:r>
              <w:rPr>
                <w:kern w:val="0"/>
                <w:sz w:val="20"/>
                <w:szCs w:val="20"/>
              </w:rPr>
              <w:t>100000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奉节县生态工业园三期标准厂房工程第六批</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总建筑面积为87621.72m2, 厂房结构为框架结构，地上四层，主要为3栋标准厂房的土建及室内外安装、室外道路、管网、给排水、消防、绿化、景观照明、硬质铺装等。</w:t>
            </w:r>
          </w:p>
        </w:tc>
        <w:tc>
          <w:tcPr>
            <w:tcW w:w="1503" w:type="dxa"/>
            <w:shd w:val="clear" w:color="auto" w:fill="auto"/>
            <w:vAlign w:val="center"/>
          </w:tcPr>
          <w:p>
            <w:pPr>
              <w:widowControl/>
              <w:jc w:val="center"/>
              <w:rPr>
                <w:kern w:val="0"/>
                <w:sz w:val="20"/>
                <w:szCs w:val="20"/>
              </w:rPr>
            </w:pPr>
            <w:r>
              <w:rPr>
                <w:kern w:val="0"/>
                <w:sz w:val="20"/>
                <w:szCs w:val="20"/>
              </w:rPr>
              <w:t>22500</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奉节县环草堂湖库岸整治及道路工程（工业园区污水处理厂</w:t>
            </w:r>
            <w:r>
              <w:rPr>
                <w:rFonts w:eastAsia="楷体"/>
                <w:kern w:val="0"/>
                <w:sz w:val="20"/>
                <w:szCs w:val="20"/>
              </w:rPr>
              <w:t>~</w:t>
            </w:r>
            <w:r>
              <w:rPr>
                <w:rFonts w:hint="eastAsia" w:ascii="楷体" w:hAnsi="楷体" w:eastAsia="楷体" w:cs="宋体"/>
                <w:kern w:val="0"/>
                <w:sz w:val="20"/>
                <w:szCs w:val="20"/>
              </w:rPr>
              <w:t>伍家嘴大桥段）</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库岸整治工程、道路工程（含大桥一座）、斜坡式护岸、直墙式护岸等。</w:t>
            </w:r>
          </w:p>
        </w:tc>
        <w:tc>
          <w:tcPr>
            <w:tcW w:w="1503" w:type="dxa"/>
            <w:shd w:val="clear" w:color="auto" w:fill="auto"/>
            <w:vAlign w:val="center"/>
          </w:tcPr>
          <w:p>
            <w:pPr>
              <w:widowControl/>
              <w:jc w:val="center"/>
              <w:rPr>
                <w:kern w:val="0"/>
                <w:sz w:val="20"/>
                <w:szCs w:val="20"/>
              </w:rPr>
            </w:pPr>
            <w:r>
              <w:rPr>
                <w:kern w:val="0"/>
                <w:sz w:val="20"/>
                <w:szCs w:val="20"/>
              </w:rPr>
              <w:t>36015</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19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奉节县生态工业园眼镜镜架表面处理车间及工业污水处理厂建设项目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建设电镀车间厂房和日处理工业污水500吨。</w:t>
            </w:r>
          </w:p>
        </w:tc>
        <w:tc>
          <w:tcPr>
            <w:tcW w:w="1503" w:type="dxa"/>
            <w:shd w:val="clear" w:color="auto" w:fill="auto"/>
            <w:vAlign w:val="center"/>
          </w:tcPr>
          <w:p>
            <w:pPr>
              <w:widowControl/>
              <w:jc w:val="center"/>
              <w:rPr>
                <w:kern w:val="0"/>
                <w:sz w:val="20"/>
                <w:szCs w:val="20"/>
              </w:rPr>
            </w:pPr>
            <w:r>
              <w:rPr>
                <w:kern w:val="0"/>
                <w:sz w:val="20"/>
                <w:szCs w:val="20"/>
              </w:rPr>
              <w:t>5036</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奉节县工业园区（康乐组团）七星大道建设工程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规划设计七星大道全长2.96km，寂静互通连接道全长650m。其中沿线布置大桥3座，全长690m。</w:t>
            </w:r>
          </w:p>
        </w:tc>
        <w:tc>
          <w:tcPr>
            <w:tcW w:w="1503" w:type="dxa"/>
            <w:shd w:val="clear" w:color="auto" w:fill="auto"/>
            <w:vAlign w:val="center"/>
          </w:tcPr>
          <w:p>
            <w:pPr>
              <w:widowControl/>
              <w:jc w:val="center"/>
              <w:rPr>
                <w:kern w:val="0"/>
                <w:sz w:val="20"/>
                <w:szCs w:val="20"/>
              </w:rPr>
            </w:pPr>
            <w:r>
              <w:rPr>
                <w:kern w:val="0"/>
                <w:sz w:val="20"/>
                <w:szCs w:val="20"/>
              </w:rPr>
              <w:t>18585</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851" w:type="dxa"/>
            <w:shd w:val="clear" w:color="auto" w:fill="auto"/>
            <w:vAlign w:val="center"/>
          </w:tcPr>
          <w:p>
            <w:pPr>
              <w:widowControl/>
              <w:jc w:val="center"/>
              <w:rPr>
                <w:kern w:val="0"/>
                <w:sz w:val="20"/>
                <w:szCs w:val="20"/>
              </w:rPr>
            </w:pPr>
            <w:r>
              <w:rPr>
                <w:kern w:val="0"/>
                <w:sz w:val="20"/>
                <w:szCs w:val="20"/>
              </w:rPr>
              <w:t>21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奉节县工业园区（康乐组团）七星片区库岸综合整治工程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库岸顶轴线长2.25km，包含库岸平顺，岸坡防护、排水箱涵、内侧场平回填至175.14m等建设内容，估算占库容约250万方，造地253000m2。</w:t>
            </w:r>
          </w:p>
        </w:tc>
        <w:tc>
          <w:tcPr>
            <w:tcW w:w="1503" w:type="dxa"/>
            <w:shd w:val="clear" w:color="auto" w:fill="auto"/>
            <w:vAlign w:val="center"/>
          </w:tcPr>
          <w:p>
            <w:pPr>
              <w:widowControl/>
              <w:jc w:val="center"/>
              <w:rPr>
                <w:kern w:val="0"/>
                <w:sz w:val="20"/>
                <w:szCs w:val="20"/>
              </w:rPr>
            </w:pPr>
            <w:r>
              <w:rPr>
                <w:kern w:val="0"/>
                <w:sz w:val="20"/>
                <w:szCs w:val="20"/>
              </w:rPr>
              <w:t>16169</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奉节县眼镜小镇建设工程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规划建设眼镜小镇。</w:t>
            </w:r>
          </w:p>
        </w:tc>
        <w:tc>
          <w:tcPr>
            <w:tcW w:w="1503" w:type="dxa"/>
            <w:shd w:val="clear" w:color="auto" w:fill="auto"/>
            <w:vAlign w:val="center"/>
          </w:tcPr>
          <w:p>
            <w:pPr>
              <w:widowControl/>
              <w:jc w:val="center"/>
              <w:rPr>
                <w:kern w:val="0"/>
                <w:sz w:val="20"/>
                <w:szCs w:val="20"/>
              </w:rPr>
            </w:pPr>
            <w:r>
              <w:rPr>
                <w:kern w:val="0"/>
                <w:sz w:val="20"/>
                <w:szCs w:val="20"/>
              </w:rPr>
              <w:t>100000</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奉节县草堂组团二期基础设施建设</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奉节县草堂组团规划范围</w:t>
            </w:r>
            <w:r>
              <w:rPr>
                <w:rFonts w:eastAsia="楷体"/>
                <w:kern w:val="0"/>
                <w:sz w:val="20"/>
                <w:szCs w:val="20"/>
              </w:rPr>
              <w:t>2.21k</w:t>
            </w:r>
            <w:r>
              <w:rPr>
                <w:rFonts w:hint="eastAsia" w:ascii="楷体" w:hAnsi="楷体" w:eastAsia="楷体" w:cs="宋体"/>
                <w:kern w:val="0"/>
                <w:sz w:val="20"/>
                <w:szCs w:val="20"/>
              </w:rPr>
              <w:t>㎡内道路、管网、场坪等基础设施建设</w:t>
            </w:r>
          </w:p>
        </w:tc>
        <w:tc>
          <w:tcPr>
            <w:tcW w:w="1503" w:type="dxa"/>
            <w:shd w:val="clear" w:color="auto" w:fill="auto"/>
            <w:vAlign w:val="center"/>
          </w:tcPr>
          <w:p>
            <w:pPr>
              <w:widowControl/>
              <w:jc w:val="center"/>
              <w:rPr>
                <w:kern w:val="0"/>
                <w:sz w:val="20"/>
                <w:szCs w:val="20"/>
              </w:rPr>
            </w:pPr>
            <w:r>
              <w:rPr>
                <w:kern w:val="0"/>
                <w:sz w:val="20"/>
                <w:szCs w:val="20"/>
              </w:rPr>
              <w:t>80000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24</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奉节县康乐工业园区环湖路工程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包括环湖路和</w:t>
            </w:r>
            <w:r>
              <w:rPr>
                <w:rFonts w:eastAsia="楷体"/>
                <w:kern w:val="0"/>
                <w:sz w:val="20"/>
                <w:szCs w:val="20"/>
              </w:rPr>
              <w:t xml:space="preserve"> 5 </w:t>
            </w:r>
            <w:r>
              <w:rPr>
                <w:rFonts w:hint="eastAsia" w:ascii="楷体" w:hAnsi="楷体" w:eastAsia="楷体" w:cs="宋体"/>
                <w:kern w:val="0"/>
                <w:sz w:val="20"/>
                <w:szCs w:val="20"/>
              </w:rPr>
              <w:t>条支路，总长</w:t>
            </w:r>
            <w:r>
              <w:rPr>
                <w:rFonts w:eastAsia="楷体"/>
                <w:kern w:val="0"/>
                <w:sz w:val="20"/>
                <w:szCs w:val="20"/>
              </w:rPr>
              <w:t xml:space="preserve"> 2355.01m</w:t>
            </w:r>
            <w:r>
              <w:rPr>
                <w:rFonts w:hint="eastAsia" w:ascii="楷体" w:hAnsi="楷体" w:eastAsia="楷体" w:cs="宋体"/>
                <w:kern w:val="0"/>
                <w:sz w:val="20"/>
                <w:szCs w:val="20"/>
              </w:rPr>
              <w:t>，包括道路工程、交通工程、桥梁工程、给排水工程、强弱电管沟工程、照明工程、绿化工程及其它附属工程。</w:t>
            </w:r>
          </w:p>
        </w:tc>
        <w:tc>
          <w:tcPr>
            <w:tcW w:w="1503" w:type="dxa"/>
            <w:shd w:val="clear" w:color="auto" w:fill="auto"/>
            <w:vAlign w:val="center"/>
          </w:tcPr>
          <w:p>
            <w:pPr>
              <w:widowControl/>
              <w:jc w:val="center"/>
              <w:rPr>
                <w:kern w:val="0"/>
                <w:sz w:val="20"/>
                <w:szCs w:val="20"/>
              </w:rPr>
            </w:pPr>
            <w:r>
              <w:rPr>
                <w:kern w:val="0"/>
                <w:sz w:val="20"/>
                <w:szCs w:val="20"/>
              </w:rPr>
              <w:t>3246</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25</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奉节县康乐工业园区张家沟桥梁工程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本次设计为环湖路上的一座桥梁，其中：环湖路全长</w:t>
            </w:r>
            <w:r>
              <w:rPr>
                <w:rFonts w:eastAsia="楷体"/>
                <w:kern w:val="0"/>
                <w:sz w:val="20"/>
                <w:szCs w:val="20"/>
              </w:rPr>
              <w:t xml:space="preserve"> 1147.77m</w:t>
            </w:r>
            <w:r>
              <w:rPr>
                <w:rFonts w:hint="eastAsia" w:ascii="楷体" w:hAnsi="楷体" w:eastAsia="楷体" w:cs="宋体"/>
                <w:kern w:val="0"/>
                <w:sz w:val="20"/>
                <w:szCs w:val="20"/>
              </w:rPr>
              <w:t>，道路起点接规划环湖路，通往上坝片区，道路终点接</w:t>
            </w:r>
            <w:r>
              <w:rPr>
                <w:rFonts w:eastAsia="楷体"/>
                <w:kern w:val="0"/>
                <w:sz w:val="20"/>
                <w:szCs w:val="20"/>
              </w:rPr>
              <w:t xml:space="preserve"> G348</w:t>
            </w:r>
            <w:r>
              <w:rPr>
                <w:rFonts w:hint="eastAsia" w:ascii="楷体" w:hAnsi="楷体" w:eastAsia="楷体" w:cs="宋体"/>
                <w:kern w:val="0"/>
                <w:sz w:val="20"/>
                <w:szCs w:val="20"/>
              </w:rPr>
              <w:t>国道，通往奉节县城。标准路幅宽度为</w:t>
            </w:r>
            <w:r>
              <w:rPr>
                <w:rFonts w:eastAsia="楷体"/>
                <w:kern w:val="0"/>
                <w:sz w:val="20"/>
                <w:szCs w:val="20"/>
              </w:rPr>
              <w:t xml:space="preserve"> 16m</w:t>
            </w:r>
            <w:r>
              <w:rPr>
                <w:rFonts w:hint="eastAsia" w:ascii="楷体" w:hAnsi="楷体" w:eastAsia="楷体" w:cs="宋体"/>
                <w:kern w:val="0"/>
                <w:sz w:val="20"/>
                <w:szCs w:val="20"/>
              </w:rPr>
              <w:t>。其中</w:t>
            </w:r>
            <w:r>
              <w:rPr>
                <w:rFonts w:eastAsia="楷体"/>
                <w:kern w:val="0"/>
                <w:sz w:val="20"/>
                <w:szCs w:val="20"/>
              </w:rPr>
              <w:t xml:space="preserve"> K0+801.5~K1+088.5 </w:t>
            </w:r>
            <w:r>
              <w:rPr>
                <w:rFonts w:hint="eastAsia" w:ascii="楷体" w:hAnsi="楷体" w:eastAsia="楷体" w:cs="宋体"/>
                <w:kern w:val="0"/>
                <w:sz w:val="20"/>
                <w:szCs w:val="20"/>
              </w:rPr>
              <w:t>段为新建张家沟大桥，全长</w:t>
            </w:r>
            <w:r>
              <w:rPr>
                <w:rFonts w:eastAsia="楷体"/>
                <w:kern w:val="0"/>
                <w:sz w:val="20"/>
                <w:szCs w:val="20"/>
              </w:rPr>
              <w:t>287m</w:t>
            </w:r>
            <w:r>
              <w:rPr>
                <w:rFonts w:hint="eastAsia" w:ascii="楷体" w:hAnsi="楷体" w:eastAsia="楷体" w:cs="宋体"/>
                <w:kern w:val="0"/>
                <w:sz w:val="20"/>
                <w:szCs w:val="20"/>
              </w:rPr>
              <w:t>，为</w:t>
            </w:r>
            <w:r>
              <w:rPr>
                <w:rFonts w:eastAsia="楷体"/>
                <w:kern w:val="0"/>
                <w:sz w:val="20"/>
                <w:szCs w:val="20"/>
              </w:rPr>
              <w:t xml:space="preserve"> 6×30+4×25 </w:t>
            </w:r>
            <w:r>
              <w:rPr>
                <w:rFonts w:hint="eastAsia" w:ascii="楷体" w:hAnsi="楷体" w:eastAsia="楷体" w:cs="宋体"/>
                <w:kern w:val="0"/>
                <w:sz w:val="20"/>
                <w:szCs w:val="20"/>
              </w:rPr>
              <w:t>预应力混凝土小箱梁。</w:t>
            </w:r>
          </w:p>
        </w:tc>
        <w:tc>
          <w:tcPr>
            <w:tcW w:w="1503" w:type="dxa"/>
            <w:shd w:val="clear" w:color="auto" w:fill="auto"/>
            <w:vAlign w:val="center"/>
          </w:tcPr>
          <w:p>
            <w:pPr>
              <w:widowControl/>
              <w:jc w:val="center"/>
              <w:rPr>
                <w:kern w:val="0"/>
                <w:sz w:val="20"/>
                <w:szCs w:val="20"/>
              </w:rPr>
            </w:pPr>
            <w:r>
              <w:rPr>
                <w:kern w:val="0"/>
                <w:sz w:val="20"/>
                <w:szCs w:val="20"/>
              </w:rPr>
              <w:t>4099</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26</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奉节县草堂镇棚户区改造市政基础设施配套工程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完成棚户区改造范围的规划方案的编制，道路基础的回填，启动电力、通信线路的改迁，启动土地调规及争取用地指标等前期工作。</w:t>
            </w:r>
          </w:p>
        </w:tc>
        <w:tc>
          <w:tcPr>
            <w:tcW w:w="1503" w:type="dxa"/>
            <w:shd w:val="clear" w:color="auto" w:fill="auto"/>
            <w:vAlign w:val="center"/>
          </w:tcPr>
          <w:p>
            <w:pPr>
              <w:widowControl/>
              <w:jc w:val="center"/>
              <w:rPr>
                <w:kern w:val="0"/>
                <w:sz w:val="20"/>
                <w:szCs w:val="20"/>
              </w:rPr>
            </w:pPr>
            <w:r>
              <w:rPr>
                <w:kern w:val="0"/>
                <w:sz w:val="20"/>
                <w:szCs w:val="20"/>
              </w:rPr>
              <w:t>80000</w:t>
            </w:r>
          </w:p>
        </w:tc>
        <w:tc>
          <w:tcPr>
            <w:tcW w:w="1276" w:type="dxa"/>
            <w:shd w:val="clear" w:color="auto" w:fill="auto"/>
            <w:vAlign w:val="center"/>
          </w:tcPr>
          <w:p>
            <w:pPr>
              <w:widowControl/>
              <w:jc w:val="center"/>
              <w:rPr>
                <w:kern w:val="0"/>
                <w:sz w:val="20"/>
                <w:szCs w:val="20"/>
              </w:rPr>
            </w:pPr>
            <w:r>
              <w:rPr>
                <w:kern w:val="0"/>
                <w:sz w:val="20"/>
                <w:szCs w:val="20"/>
              </w:rPr>
              <w:t>2023-2025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奉节县食品加工产业园建设项目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项目占地</w:t>
            </w:r>
            <w:r>
              <w:rPr>
                <w:rFonts w:eastAsia="楷体"/>
                <w:kern w:val="0"/>
                <w:sz w:val="20"/>
                <w:szCs w:val="20"/>
              </w:rPr>
              <w:t>300</w:t>
            </w:r>
            <w:r>
              <w:rPr>
                <w:rFonts w:hint="eastAsia" w:ascii="楷体" w:hAnsi="楷体" w:eastAsia="楷体" w:cs="宋体"/>
                <w:kern w:val="0"/>
                <w:sz w:val="20"/>
                <w:szCs w:val="20"/>
              </w:rPr>
              <w:t>亩，新建食品加工厂房</w:t>
            </w:r>
            <w:r>
              <w:rPr>
                <w:rFonts w:eastAsia="楷体"/>
                <w:kern w:val="0"/>
                <w:sz w:val="20"/>
                <w:szCs w:val="20"/>
              </w:rPr>
              <w:t>60000</w:t>
            </w:r>
            <w:r>
              <w:rPr>
                <w:rFonts w:hint="eastAsia" w:ascii="楷体" w:hAnsi="楷体" w:eastAsia="楷体" w:cs="宋体"/>
                <w:kern w:val="0"/>
                <w:sz w:val="20"/>
                <w:szCs w:val="20"/>
              </w:rPr>
              <w:t>㎡，配套建设园区内道路、供排水、绿化等基础设施</w:t>
            </w:r>
          </w:p>
        </w:tc>
        <w:tc>
          <w:tcPr>
            <w:tcW w:w="1503" w:type="dxa"/>
            <w:shd w:val="clear" w:color="auto" w:fill="auto"/>
            <w:vAlign w:val="center"/>
          </w:tcPr>
          <w:p>
            <w:pPr>
              <w:widowControl/>
              <w:jc w:val="center"/>
              <w:rPr>
                <w:kern w:val="0"/>
                <w:sz w:val="20"/>
                <w:szCs w:val="20"/>
              </w:rPr>
            </w:pPr>
            <w:r>
              <w:rPr>
                <w:kern w:val="0"/>
                <w:sz w:val="20"/>
                <w:szCs w:val="20"/>
              </w:rPr>
              <w:t>60000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spacing w:line="240" w:lineRule="exact"/>
              <w:jc w:val="left"/>
              <w:rPr>
                <w:rFonts w:ascii="楷体" w:hAnsi="楷体" w:eastAsia="楷体" w:cs="宋体"/>
                <w:b/>
                <w:bCs/>
                <w:kern w:val="0"/>
                <w:sz w:val="28"/>
                <w:szCs w:val="28"/>
              </w:rPr>
            </w:pPr>
            <w:r>
              <w:rPr>
                <w:rFonts w:hint="eastAsia" w:ascii="楷体" w:hAnsi="楷体" w:eastAsia="楷体" w:cs="宋体"/>
                <w:b/>
                <w:bCs/>
                <w:kern w:val="0"/>
                <w:sz w:val="28"/>
                <w:szCs w:val="28"/>
              </w:rPr>
              <w:t>二、工业产业类项目（48个）</w:t>
            </w:r>
          </w:p>
        </w:tc>
        <w:tc>
          <w:tcPr>
            <w:tcW w:w="1503"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1971500</w:t>
            </w:r>
          </w:p>
        </w:tc>
        <w:tc>
          <w:tcPr>
            <w:tcW w:w="1276"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c>
          <w:tcPr>
            <w:tcW w:w="2401"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spacing w:line="240" w:lineRule="exact"/>
              <w:jc w:val="left"/>
              <w:rPr>
                <w:rFonts w:ascii="楷体" w:hAnsi="楷体" w:eastAsia="楷体" w:cs="宋体"/>
                <w:b/>
                <w:kern w:val="0"/>
                <w:sz w:val="24"/>
                <w:szCs w:val="20"/>
              </w:rPr>
            </w:pPr>
            <w:r>
              <w:rPr>
                <w:rFonts w:hint="eastAsia" w:ascii="楷体" w:hAnsi="楷体" w:eastAsia="楷体" w:cs="宋体"/>
                <w:b/>
                <w:kern w:val="0"/>
                <w:sz w:val="24"/>
                <w:szCs w:val="20"/>
              </w:rPr>
              <w:t>（一）2</w:t>
            </w:r>
            <w:r>
              <w:rPr>
                <w:rFonts w:ascii="楷体" w:hAnsi="楷体" w:eastAsia="楷体" w:cs="宋体"/>
                <w:b/>
                <w:kern w:val="0"/>
                <w:sz w:val="24"/>
                <w:szCs w:val="20"/>
              </w:rPr>
              <w:t>022年前建成项目</w:t>
            </w:r>
            <w:r>
              <w:rPr>
                <w:rFonts w:hint="eastAsia" w:ascii="楷体" w:hAnsi="楷体" w:eastAsia="楷体" w:cs="宋体"/>
                <w:b/>
                <w:kern w:val="0"/>
                <w:sz w:val="24"/>
                <w:szCs w:val="20"/>
              </w:rPr>
              <w:t>（</w:t>
            </w:r>
            <w:r>
              <w:rPr>
                <w:rFonts w:ascii="楷体" w:hAnsi="楷体" w:eastAsia="楷体" w:cs="宋体"/>
                <w:b/>
                <w:kern w:val="0"/>
                <w:sz w:val="24"/>
                <w:szCs w:val="20"/>
              </w:rPr>
              <w:t>12</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242800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w:t>
            </w:r>
            <w:r>
              <w:rPr>
                <w:rFonts w:eastAsia="楷体"/>
                <w:kern w:val="0"/>
                <w:sz w:val="20"/>
                <w:szCs w:val="20"/>
              </w:rPr>
              <w:t>30</w:t>
            </w:r>
            <w:r>
              <w:rPr>
                <w:rFonts w:hint="eastAsia" w:ascii="楷体" w:hAnsi="楷体" w:eastAsia="楷体" w:cs="宋体"/>
                <w:kern w:val="0"/>
                <w:sz w:val="20"/>
                <w:szCs w:val="20"/>
              </w:rPr>
              <w:t>万方</w:t>
            </w:r>
            <w:r>
              <w:rPr>
                <w:rFonts w:eastAsia="楷体"/>
                <w:kern w:val="0"/>
                <w:sz w:val="20"/>
                <w:szCs w:val="20"/>
              </w:rPr>
              <w:t>ALC</w:t>
            </w:r>
            <w:r>
              <w:rPr>
                <w:rFonts w:hint="eastAsia" w:ascii="楷体" w:hAnsi="楷体" w:eastAsia="楷体" w:cs="宋体"/>
                <w:kern w:val="0"/>
                <w:sz w:val="20"/>
                <w:szCs w:val="20"/>
              </w:rPr>
              <w:t>轻质板材生产项目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w:t>
            </w:r>
            <w:r>
              <w:rPr>
                <w:rFonts w:eastAsia="楷体"/>
                <w:kern w:val="0"/>
                <w:sz w:val="20"/>
                <w:szCs w:val="20"/>
              </w:rPr>
              <w:t>50</w:t>
            </w:r>
            <w:r>
              <w:rPr>
                <w:rFonts w:hint="eastAsia" w:ascii="楷体" w:hAnsi="楷体" w:eastAsia="楷体" w:cs="宋体"/>
                <w:kern w:val="0"/>
                <w:sz w:val="20"/>
                <w:szCs w:val="20"/>
              </w:rPr>
              <w:t>亩，建设</w:t>
            </w:r>
            <w:r>
              <w:rPr>
                <w:rFonts w:eastAsia="楷体"/>
                <w:kern w:val="0"/>
                <w:sz w:val="20"/>
                <w:szCs w:val="20"/>
              </w:rPr>
              <w:t>30</w:t>
            </w:r>
            <w:r>
              <w:rPr>
                <w:rFonts w:hint="eastAsia" w:ascii="楷体" w:hAnsi="楷体" w:eastAsia="楷体" w:cs="宋体"/>
                <w:kern w:val="0"/>
                <w:sz w:val="20"/>
                <w:szCs w:val="20"/>
              </w:rPr>
              <w:t>万方</w:t>
            </w:r>
            <w:r>
              <w:rPr>
                <w:rFonts w:eastAsia="楷体"/>
                <w:kern w:val="0"/>
                <w:sz w:val="20"/>
                <w:szCs w:val="20"/>
              </w:rPr>
              <w:t>ALC</w:t>
            </w:r>
            <w:r>
              <w:rPr>
                <w:rFonts w:hint="eastAsia" w:ascii="楷体" w:hAnsi="楷体" w:eastAsia="楷体" w:cs="宋体"/>
                <w:kern w:val="0"/>
                <w:sz w:val="20"/>
                <w:szCs w:val="20"/>
              </w:rPr>
              <w:t>轻质板材生产厂房</w:t>
            </w:r>
            <w:r>
              <w:rPr>
                <w:rFonts w:eastAsia="楷体"/>
                <w:kern w:val="0"/>
                <w:sz w:val="20"/>
                <w:szCs w:val="20"/>
              </w:rPr>
              <w:t>25000</w:t>
            </w:r>
            <w:r>
              <w:rPr>
                <w:rFonts w:hint="eastAsia" w:ascii="楷体" w:hAnsi="楷体" w:eastAsia="楷体" w:cs="宋体"/>
                <w:kern w:val="0"/>
                <w:sz w:val="20"/>
                <w:szCs w:val="20"/>
              </w:rPr>
              <w:t>㎡，配套设施及设备安装等</w:t>
            </w:r>
          </w:p>
        </w:tc>
        <w:tc>
          <w:tcPr>
            <w:tcW w:w="1503" w:type="dxa"/>
            <w:shd w:val="clear" w:color="auto" w:fill="auto"/>
            <w:vAlign w:val="center"/>
          </w:tcPr>
          <w:p>
            <w:pPr>
              <w:widowControl/>
              <w:jc w:val="center"/>
              <w:rPr>
                <w:kern w:val="0"/>
                <w:sz w:val="20"/>
                <w:szCs w:val="20"/>
              </w:rPr>
            </w:pPr>
            <w:r>
              <w:rPr>
                <w:kern w:val="0"/>
                <w:sz w:val="20"/>
                <w:szCs w:val="20"/>
              </w:rPr>
              <w:t>13000</w:t>
            </w:r>
          </w:p>
        </w:tc>
        <w:tc>
          <w:tcPr>
            <w:tcW w:w="1276" w:type="dxa"/>
            <w:shd w:val="clear" w:color="auto" w:fill="auto"/>
            <w:vAlign w:val="center"/>
          </w:tcPr>
          <w:p>
            <w:pPr>
              <w:widowControl/>
              <w:jc w:val="center"/>
              <w:rPr>
                <w:kern w:val="0"/>
                <w:sz w:val="20"/>
                <w:szCs w:val="20"/>
              </w:rPr>
            </w:pPr>
            <w:r>
              <w:rPr>
                <w:kern w:val="0"/>
                <w:sz w:val="20"/>
                <w:szCs w:val="20"/>
              </w:rPr>
              <w:t>2020-2021</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29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奉节美迪电声器件研发制造项目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租用标准厂房</w:t>
            </w:r>
            <w:r>
              <w:rPr>
                <w:rFonts w:eastAsia="楷体"/>
                <w:kern w:val="0"/>
                <w:sz w:val="20"/>
                <w:szCs w:val="20"/>
              </w:rPr>
              <w:t>4000</w:t>
            </w:r>
            <w:r>
              <w:rPr>
                <w:rFonts w:hint="eastAsia" w:ascii="楷体" w:hAnsi="楷体" w:eastAsia="楷体" w:cs="宋体"/>
                <w:kern w:val="0"/>
                <w:sz w:val="20"/>
                <w:szCs w:val="20"/>
              </w:rPr>
              <w:t>㎡，购置</w:t>
            </w:r>
            <w:r>
              <w:rPr>
                <w:rFonts w:eastAsia="楷体"/>
                <w:kern w:val="0"/>
                <w:sz w:val="20"/>
                <w:szCs w:val="20"/>
              </w:rPr>
              <w:t>115</w:t>
            </w:r>
            <w:r>
              <w:rPr>
                <w:rFonts w:hint="eastAsia" w:ascii="楷体" w:hAnsi="楷体" w:eastAsia="楷体" w:cs="宋体"/>
                <w:kern w:val="0"/>
                <w:sz w:val="20"/>
                <w:szCs w:val="20"/>
              </w:rPr>
              <w:t>台生产设备，建成年产</w:t>
            </w:r>
            <w:r>
              <w:rPr>
                <w:rFonts w:eastAsia="楷体"/>
                <w:kern w:val="0"/>
                <w:sz w:val="20"/>
                <w:szCs w:val="20"/>
              </w:rPr>
              <w:t>5000</w:t>
            </w:r>
            <w:r>
              <w:rPr>
                <w:rFonts w:hint="eastAsia" w:ascii="楷体" w:hAnsi="楷体" w:eastAsia="楷体" w:cs="宋体"/>
                <w:kern w:val="0"/>
                <w:sz w:val="20"/>
                <w:szCs w:val="20"/>
              </w:rPr>
              <w:t>万个电声器件的生产车间</w:t>
            </w:r>
          </w:p>
        </w:tc>
        <w:tc>
          <w:tcPr>
            <w:tcW w:w="1503" w:type="dxa"/>
            <w:shd w:val="clear" w:color="auto" w:fill="auto"/>
            <w:vAlign w:val="center"/>
          </w:tcPr>
          <w:p>
            <w:pPr>
              <w:widowControl/>
              <w:jc w:val="center"/>
              <w:rPr>
                <w:kern w:val="0"/>
                <w:sz w:val="20"/>
                <w:szCs w:val="20"/>
              </w:rPr>
            </w:pPr>
            <w:r>
              <w:rPr>
                <w:kern w:val="0"/>
                <w:sz w:val="20"/>
                <w:szCs w:val="20"/>
              </w:rPr>
              <w:t>5000</w:t>
            </w:r>
          </w:p>
        </w:tc>
        <w:tc>
          <w:tcPr>
            <w:tcW w:w="1276" w:type="dxa"/>
            <w:shd w:val="clear" w:color="auto" w:fill="auto"/>
            <w:vAlign w:val="center"/>
          </w:tcPr>
          <w:p>
            <w:pPr>
              <w:widowControl/>
              <w:jc w:val="center"/>
              <w:rPr>
                <w:kern w:val="0"/>
                <w:sz w:val="20"/>
                <w:szCs w:val="20"/>
              </w:rPr>
            </w:pPr>
            <w:r>
              <w:rPr>
                <w:kern w:val="0"/>
                <w:sz w:val="20"/>
                <w:szCs w:val="20"/>
              </w:rPr>
              <w:t>2020-2021</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鲁抗中药材深加工项目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一期主要生产易拉罐包装饮品，包括4500万听的冬虫夏草饮料、2000万听金银花凉茶及1000万听的葛根茯苓汤；二期主要以当地的中草药为原料，对中草药进行深加工，制取中草药提取物原料药</w:t>
            </w:r>
          </w:p>
        </w:tc>
        <w:tc>
          <w:tcPr>
            <w:tcW w:w="1503" w:type="dxa"/>
            <w:shd w:val="clear" w:color="auto" w:fill="auto"/>
            <w:vAlign w:val="center"/>
          </w:tcPr>
          <w:p>
            <w:pPr>
              <w:widowControl/>
              <w:jc w:val="center"/>
              <w:rPr>
                <w:kern w:val="0"/>
                <w:sz w:val="20"/>
                <w:szCs w:val="20"/>
              </w:rPr>
            </w:pPr>
            <w:r>
              <w:rPr>
                <w:kern w:val="0"/>
                <w:sz w:val="20"/>
                <w:szCs w:val="20"/>
              </w:rPr>
              <w:t>37000</w:t>
            </w:r>
          </w:p>
        </w:tc>
        <w:tc>
          <w:tcPr>
            <w:tcW w:w="1276" w:type="dxa"/>
            <w:shd w:val="clear" w:color="auto" w:fill="auto"/>
            <w:vAlign w:val="center"/>
          </w:tcPr>
          <w:p>
            <w:pPr>
              <w:widowControl/>
              <w:jc w:val="center"/>
              <w:rPr>
                <w:kern w:val="0"/>
                <w:sz w:val="20"/>
                <w:szCs w:val="20"/>
              </w:rPr>
            </w:pPr>
            <w:r>
              <w:rPr>
                <w:kern w:val="0"/>
                <w:sz w:val="20"/>
                <w:szCs w:val="20"/>
              </w:rPr>
              <w:t>2020-2021</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县投资促进中心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31</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富时达眼镜镜架生产项目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生产注塑镜架，太阳镜，</w:t>
            </w:r>
            <w:r>
              <w:rPr>
                <w:rFonts w:hint="eastAsia" w:ascii="楷体" w:hAnsi="楷体" w:eastAsia="楷体" w:cs="宋体"/>
                <w:kern w:val="0"/>
                <w:sz w:val="20"/>
                <w:szCs w:val="20"/>
                <w:lang w:eastAsia="zh-CN"/>
              </w:rPr>
              <w:t>老花眼镜</w:t>
            </w:r>
            <w:r>
              <w:rPr>
                <w:rFonts w:hint="eastAsia" w:ascii="楷体" w:hAnsi="楷体" w:eastAsia="楷体" w:cs="宋体"/>
                <w:kern w:val="0"/>
                <w:sz w:val="20"/>
                <w:szCs w:val="20"/>
              </w:rPr>
              <w:t>，年产成品镜</w:t>
            </w:r>
            <w:r>
              <w:rPr>
                <w:rFonts w:eastAsia="楷体"/>
                <w:kern w:val="0"/>
                <w:sz w:val="20"/>
                <w:szCs w:val="20"/>
              </w:rPr>
              <w:t>600</w:t>
            </w:r>
            <w:r>
              <w:rPr>
                <w:rFonts w:hint="eastAsia" w:ascii="楷体" w:hAnsi="楷体" w:eastAsia="楷体" w:cs="宋体"/>
                <w:kern w:val="0"/>
                <w:sz w:val="20"/>
                <w:szCs w:val="20"/>
              </w:rPr>
              <w:t>万副。</w:t>
            </w:r>
          </w:p>
        </w:tc>
        <w:tc>
          <w:tcPr>
            <w:tcW w:w="1503" w:type="dxa"/>
            <w:shd w:val="clear" w:color="auto" w:fill="auto"/>
            <w:vAlign w:val="center"/>
          </w:tcPr>
          <w:p>
            <w:pPr>
              <w:widowControl/>
              <w:jc w:val="center"/>
              <w:rPr>
                <w:kern w:val="0"/>
                <w:sz w:val="20"/>
                <w:szCs w:val="20"/>
              </w:rPr>
            </w:pPr>
            <w:r>
              <w:rPr>
                <w:kern w:val="0"/>
                <w:sz w:val="20"/>
                <w:szCs w:val="20"/>
              </w:rPr>
              <w:t>2000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32</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光学镜片和眼镜镜架生产项目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生产注塑镜架，光学镜片、护目镜等，年产镜片</w:t>
            </w:r>
            <w:r>
              <w:rPr>
                <w:rFonts w:eastAsia="楷体"/>
                <w:kern w:val="0"/>
                <w:sz w:val="20"/>
                <w:szCs w:val="20"/>
              </w:rPr>
              <w:t>3000</w:t>
            </w:r>
            <w:r>
              <w:rPr>
                <w:rFonts w:hint="eastAsia" w:ascii="楷体" w:hAnsi="楷体" w:eastAsia="楷体" w:cs="宋体"/>
                <w:kern w:val="0"/>
                <w:sz w:val="20"/>
                <w:szCs w:val="20"/>
              </w:rPr>
              <w:t>万副，注塑眼镜</w:t>
            </w:r>
            <w:r>
              <w:rPr>
                <w:rFonts w:eastAsia="楷体"/>
                <w:kern w:val="0"/>
                <w:sz w:val="20"/>
                <w:szCs w:val="20"/>
              </w:rPr>
              <w:t>2200</w:t>
            </w:r>
            <w:r>
              <w:rPr>
                <w:rFonts w:hint="eastAsia" w:ascii="楷体" w:hAnsi="楷体" w:eastAsia="楷体" w:cs="宋体"/>
                <w:kern w:val="0"/>
                <w:sz w:val="20"/>
                <w:szCs w:val="20"/>
              </w:rPr>
              <w:t>万副。</w:t>
            </w:r>
          </w:p>
        </w:tc>
        <w:tc>
          <w:tcPr>
            <w:tcW w:w="1503" w:type="dxa"/>
            <w:shd w:val="clear" w:color="auto" w:fill="auto"/>
            <w:vAlign w:val="center"/>
          </w:tcPr>
          <w:p>
            <w:pPr>
              <w:widowControl/>
              <w:jc w:val="center"/>
              <w:rPr>
                <w:kern w:val="0"/>
                <w:sz w:val="20"/>
                <w:szCs w:val="20"/>
              </w:rPr>
            </w:pPr>
            <w:r>
              <w:rPr>
                <w:kern w:val="0"/>
                <w:sz w:val="20"/>
                <w:szCs w:val="20"/>
              </w:rPr>
              <w:t>3200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33</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生产太阳镜，老花镜，年产</w:t>
            </w:r>
            <w:r>
              <w:rPr>
                <w:rFonts w:eastAsia="楷体"/>
                <w:kern w:val="0"/>
                <w:sz w:val="20"/>
                <w:szCs w:val="20"/>
              </w:rPr>
              <w:t>600</w:t>
            </w:r>
            <w:r>
              <w:rPr>
                <w:rFonts w:hint="eastAsia" w:ascii="楷体" w:hAnsi="楷体" w:eastAsia="楷体" w:cs="宋体"/>
                <w:kern w:val="0"/>
                <w:sz w:val="20"/>
                <w:szCs w:val="20"/>
              </w:rPr>
              <w:t>万副。</w:t>
            </w:r>
          </w:p>
        </w:tc>
        <w:tc>
          <w:tcPr>
            <w:tcW w:w="1503" w:type="dxa"/>
            <w:shd w:val="clear" w:color="auto" w:fill="auto"/>
            <w:vAlign w:val="center"/>
          </w:tcPr>
          <w:p>
            <w:pPr>
              <w:widowControl/>
              <w:jc w:val="center"/>
              <w:rPr>
                <w:kern w:val="0"/>
                <w:sz w:val="20"/>
                <w:szCs w:val="20"/>
              </w:rPr>
            </w:pPr>
            <w:r>
              <w:rPr>
                <w:kern w:val="0"/>
                <w:sz w:val="20"/>
                <w:szCs w:val="20"/>
              </w:rPr>
              <w:t>2500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奉节县规模化生物天然气工程试点项目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康乐组团</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占地约</w:t>
            </w:r>
            <w:r>
              <w:rPr>
                <w:rFonts w:eastAsia="楷体"/>
                <w:kern w:val="0"/>
                <w:sz w:val="20"/>
                <w:szCs w:val="20"/>
              </w:rPr>
              <w:t>35</w:t>
            </w:r>
            <w:r>
              <w:rPr>
                <w:rFonts w:hint="eastAsia" w:ascii="楷体" w:hAnsi="楷体" w:eastAsia="楷体" w:cs="宋体"/>
                <w:kern w:val="0"/>
                <w:sz w:val="20"/>
                <w:szCs w:val="20"/>
              </w:rPr>
              <w:t>亩，总规模</w:t>
            </w:r>
            <w:r>
              <w:rPr>
                <w:rFonts w:eastAsia="楷体"/>
                <w:kern w:val="0"/>
                <w:sz w:val="20"/>
                <w:szCs w:val="20"/>
              </w:rPr>
              <w:t>500</w:t>
            </w:r>
            <w:r>
              <w:rPr>
                <w:rFonts w:hint="eastAsia" w:ascii="楷体" w:hAnsi="楷体" w:eastAsia="楷体" w:cs="宋体"/>
                <w:kern w:val="0"/>
                <w:sz w:val="20"/>
                <w:szCs w:val="20"/>
              </w:rPr>
              <w:t>吨</w:t>
            </w:r>
            <w:r>
              <w:rPr>
                <w:rFonts w:eastAsia="楷体"/>
                <w:kern w:val="0"/>
                <w:sz w:val="20"/>
                <w:szCs w:val="20"/>
              </w:rPr>
              <w:t>/</w:t>
            </w:r>
            <w:r>
              <w:rPr>
                <w:rFonts w:hint="eastAsia" w:ascii="楷体" w:hAnsi="楷体" w:eastAsia="楷体" w:cs="宋体"/>
                <w:kern w:val="0"/>
                <w:sz w:val="20"/>
                <w:szCs w:val="20"/>
              </w:rPr>
              <w:t>天，一期</w:t>
            </w:r>
            <w:r>
              <w:rPr>
                <w:rFonts w:eastAsia="楷体"/>
                <w:kern w:val="0"/>
                <w:sz w:val="20"/>
                <w:szCs w:val="20"/>
              </w:rPr>
              <w:t>200</w:t>
            </w:r>
            <w:r>
              <w:rPr>
                <w:rFonts w:hint="eastAsia" w:ascii="楷体" w:hAnsi="楷体" w:eastAsia="楷体" w:cs="宋体"/>
                <w:kern w:val="0"/>
                <w:sz w:val="20"/>
                <w:szCs w:val="20"/>
              </w:rPr>
              <w:t>吨</w:t>
            </w:r>
            <w:r>
              <w:rPr>
                <w:rFonts w:eastAsia="楷体"/>
                <w:kern w:val="0"/>
                <w:sz w:val="20"/>
                <w:szCs w:val="20"/>
              </w:rPr>
              <w:t>/</w:t>
            </w:r>
            <w:r>
              <w:rPr>
                <w:rFonts w:hint="eastAsia" w:ascii="楷体" w:hAnsi="楷体" w:eastAsia="楷体" w:cs="宋体"/>
                <w:kern w:val="0"/>
                <w:sz w:val="20"/>
                <w:szCs w:val="20"/>
              </w:rPr>
              <w:t>天餐厨垃圾处理能力；二期规模</w:t>
            </w:r>
            <w:r>
              <w:rPr>
                <w:rFonts w:eastAsia="楷体"/>
                <w:kern w:val="0"/>
                <w:sz w:val="20"/>
                <w:szCs w:val="20"/>
              </w:rPr>
              <w:t>300</w:t>
            </w:r>
            <w:r>
              <w:rPr>
                <w:rFonts w:hint="eastAsia" w:ascii="楷体" w:hAnsi="楷体" w:eastAsia="楷体" w:cs="宋体"/>
                <w:kern w:val="0"/>
                <w:sz w:val="20"/>
                <w:szCs w:val="20"/>
              </w:rPr>
              <w:t>吨</w:t>
            </w:r>
            <w:r>
              <w:rPr>
                <w:rFonts w:eastAsia="楷体"/>
                <w:kern w:val="0"/>
                <w:sz w:val="20"/>
                <w:szCs w:val="20"/>
              </w:rPr>
              <w:t>/</w:t>
            </w:r>
            <w:r>
              <w:rPr>
                <w:rFonts w:hint="eastAsia" w:ascii="楷体" w:hAnsi="楷体" w:eastAsia="楷体" w:cs="宋体"/>
                <w:kern w:val="0"/>
                <w:sz w:val="20"/>
                <w:szCs w:val="20"/>
              </w:rPr>
              <w:t>天（含餐厨及厨余垃圾）处理能力</w:t>
            </w:r>
          </w:p>
        </w:tc>
        <w:tc>
          <w:tcPr>
            <w:tcW w:w="1503" w:type="dxa"/>
            <w:shd w:val="clear" w:color="auto" w:fill="auto"/>
            <w:vAlign w:val="center"/>
          </w:tcPr>
          <w:p>
            <w:pPr>
              <w:widowControl/>
              <w:jc w:val="center"/>
              <w:rPr>
                <w:kern w:val="0"/>
                <w:sz w:val="20"/>
                <w:szCs w:val="20"/>
              </w:rPr>
            </w:pPr>
            <w:r>
              <w:rPr>
                <w:kern w:val="0"/>
                <w:sz w:val="20"/>
                <w:szCs w:val="20"/>
              </w:rPr>
              <w:t>12600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35</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奉节县入驻标准厂房50家眼镜企业</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厂房装修完成并生产。</w:t>
            </w:r>
          </w:p>
        </w:tc>
        <w:tc>
          <w:tcPr>
            <w:tcW w:w="1503" w:type="dxa"/>
            <w:shd w:val="clear" w:color="auto" w:fill="auto"/>
            <w:vAlign w:val="center"/>
          </w:tcPr>
          <w:p>
            <w:pPr>
              <w:widowControl/>
              <w:jc w:val="center"/>
              <w:rPr>
                <w:kern w:val="0"/>
                <w:sz w:val="20"/>
                <w:szCs w:val="20"/>
              </w:rPr>
            </w:pPr>
            <w:r>
              <w:rPr>
                <w:kern w:val="0"/>
                <w:sz w:val="20"/>
                <w:szCs w:val="20"/>
              </w:rPr>
              <w:t>150000</w:t>
            </w:r>
          </w:p>
        </w:tc>
        <w:tc>
          <w:tcPr>
            <w:tcW w:w="1276" w:type="dxa"/>
            <w:shd w:val="clear" w:color="auto" w:fill="auto"/>
            <w:vAlign w:val="center"/>
          </w:tcPr>
          <w:p>
            <w:pPr>
              <w:widowControl/>
              <w:jc w:val="center"/>
              <w:rPr>
                <w:kern w:val="0"/>
                <w:sz w:val="20"/>
                <w:szCs w:val="20"/>
              </w:rPr>
            </w:pPr>
            <w:r>
              <w:rPr>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36</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年产</w:t>
            </w:r>
            <w:r>
              <w:rPr>
                <w:rFonts w:eastAsia="楷体"/>
                <w:kern w:val="0"/>
                <w:sz w:val="20"/>
                <w:szCs w:val="20"/>
              </w:rPr>
              <w:t>12</w:t>
            </w:r>
            <w:r>
              <w:rPr>
                <w:rFonts w:hint="eastAsia" w:ascii="楷体" w:hAnsi="楷体" w:eastAsia="楷体" w:cs="宋体"/>
                <w:kern w:val="0"/>
                <w:sz w:val="20"/>
                <w:szCs w:val="20"/>
              </w:rPr>
              <w:t>万吨饲料生产项目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项目占地</w:t>
            </w:r>
            <w:r>
              <w:rPr>
                <w:rFonts w:eastAsia="楷体"/>
                <w:kern w:val="0"/>
                <w:sz w:val="20"/>
                <w:szCs w:val="20"/>
              </w:rPr>
              <w:t>30</w:t>
            </w:r>
            <w:r>
              <w:rPr>
                <w:rFonts w:hint="eastAsia" w:ascii="楷体" w:hAnsi="楷体" w:eastAsia="楷体" w:cs="宋体"/>
                <w:kern w:val="0"/>
                <w:sz w:val="20"/>
                <w:szCs w:val="20"/>
              </w:rPr>
              <w:t>亩，建设年产六万吨畜禽饲料生产线两条，成品车间一栋</w:t>
            </w:r>
            <w:r>
              <w:rPr>
                <w:rFonts w:eastAsia="楷体"/>
                <w:kern w:val="0"/>
                <w:sz w:val="20"/>
                <w:szCs w:val="20"/>
              </w:rPr>
              <w:t>1632</w:t>
            </w:r>
            <w:r>
              <w:rPr>
                <w:rFonts w:hint="eastAsia" w:ascii="楷体" w:hAnsi="楷体" w:eastAsia="楷体" w:cs="宋体"/>
                <w:kern w:val="0"/>
                <w:sz w:val="20"/>
                <w:szCs w:val="20"/>
              </w:rPr>
              <w:t>平方米，原料车间一栋</w:t>
            </w:r>
            <w:r>
              <w:rPr>
                <w:rFonts w:eastAsia="楷体"/>
                <w:kern w:val="0"/>
                <w:sz w:val="20"/>
                <w:szCs w:val="20"/>
              </w:rPr>
              <w:t>2268</w:t>
            </w:r>
            <w:r>
              <w:rPr>
                <w:rFonts w:hint="eastAsia" w:ascii="楷体" w:hAnsi="楷体" w:eastAsia="楷体" w:cs="宋体"/>
                <w:kern w:val="0"/>
                <w:sz w:val="20"/>
                <w:szCs w:val="20"/>
              </w:rPr>
              <w:t>平方米，</w:t>
            </w:r>
            <w:r>
              <w:rPr>
                <w:rFonts w:eastAsia="楷体"/>
                <w:kern w:val="0"/>
                <w:sz w:val="20"/>
                <w:szCs w:val="20"/>
              </w:rPr>
              <w:t>1000</w:t>
            </w:r>
            <w:r>
              <w:rPr>
                <w:rFonts w:hint="eastAsia" w:ascii="楷体" w:hAnsi="楷体" w:eastAsia="楷体" w:cs="宋体"/>
                <w:kern w:val="0"/>
                <w:sz w:val="20"/>
                <w:szCs w:val="20"/>
              </w:rPr>
              <w:t>吨立筒仓</w:t>
            </w:r>
            <w:r>
              <w:rPr>
                <w:rFonts w:eastAsia="楷体"/>
                <w:kern w:val="0"/>
                <w:sz w:val="20"/>
                <w:szCs w:val="20"/>
              </w:rPr>
              <w:t>4</w:t>
            </w:r>
            <w:r>
              <w:rPr>
                <w:rFonts w:hint="eastAsia" w:ascii="楷体" w:hAnsi="楷体" w:eastAsia="楷体" w:cs="宋体"/>
                <w:kern w:val="0"/>
                <w:sz w:val="20"/>
                <w:szCs w:val="20"/>
              </w:rPr>
              <w:t>个，生产主车间一栋</w:t>
            </w:r>
            <w:r>
              <w:rPr>
                <w:rFonts w:eastAsia="楷体"/>
                <w:kern w:val="0"/>
                <w:sz w:val="20"/>
                <w:szCs w:val="20"/>
              </w:rPr>
              <w:t>1860</w:t>
            </w:r>
            <w:r>
              <w:rPr>
                <w:rFonts w:hint="eastAsia" w:ascii="楷体" w:hAnsi="楷体" w:eastAsia="楷体" w:cs="宋体"/>
                <w:kern w:val="0"/>
                <w:sz w:val="20"/>
                <w:szCs w:val="20"/>
              </w:rPr>
              <w:t>平方米，研发办公综合楼一栋</w:t>
            </w:r>
            <w:r>
              <w:rPr>
                <w:rFonts w:eastAsia="楷体"/>
                <w:kern w:val="0"/>
                <w:sz w:val="20"/>
                <w:szCs w:val="20"/>
              </w:rPr>
              <w:t>2250</w:t>
            </w:r>
            <w:r>
              <w:rPr>
                <w:rFonts w:hint="eastAsia" w:ascii="楷体" w:hAnsi="楷体" w:eastAsia="楷体" w:cs="宋体"/>
                <w:kern w:val="0"/>
                <w:sz w:val="20"/>
                <w:szCs w:val="20"/>
              </w:rPr>
              <w:t>平方米。</w:t>
            </w:r>
          </w:p>
        </w:tc>
        <w:tc>
          <w:tcPr>
            <w:tcW w:w="1503" w:type="dxa"/>
            <w:shd w:val="clear" w:color="auto" w:fill="auto"/>
            <w:vAlign w:val="center"/>
          </w:tcPr>
          <w:p>
            <w:pPr>
              <w:widowControl/>
              <w:jc w:val="center"/>
              <w:rPr>
                <w:kern w:val="0"/>
                <w:sz w:val="20"/>
                <w:szCs w:val="20"/>
              </w:rPr>
            </w:pPr>
            <w:r>
              <w:rPr>
                <w:kern w:val="0"/>
                <w:sz w:val="20"/>
                <w:szCs w:val="20"/>
              </w:rPr>
              <w:t>6000</w:t>
            </w:r>
          </w:p>
        </w:tc>
        <w:tc>
          <w:tcPr>
            <w:tcW w:w="1276" w:type="dxa"/>
            <w:shd w:val="clear" w:color="auto" w:fill="auto"/>
            <w:vAlign w:val="center"/>
          </w:tcPr>
          <w:p>
            <w:pPr>
              <w:widowControl/>
              <w:jc w:val="center"/>
              <w:rPr>
                <w:kern w:val="0"/>
                <w:sz w:val="20"/>
                <w:szCs w:val="20"/>
              </w:rPr>
            </w:pPr>
            <w:r>
              <w:rPr>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851" w:type="dxa"/>
            <w:shd w:val="clear" w:color="auto" w:fill="auto"/>
            <w:vAlign w:val="center"/>
          </w:tcPr>
          <w:p>
            <w:pPr>
              <w:widowControl/>
              <w:jc w:val="center"/>
              <w:rPr>
                <w:kern w:val="0"/>
                <w:sz w:val="20"/>
                <w:szCs w:val="20"/>
              </w:rPr>
            </w:pPr>
            <w:r>
              <w:rPr>
                <w:kern w:val="0"/>
                <w:sz w:val="20"/>
                <w:szCs w:val="20"/>
              </w:rPr>
              <w:t>37</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金刚石砂轮系列产品生产制造项目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建设两座厂房，一座配套设施（办公楼），项目总建筑面积为9156㎡。其中厂房为</w:t>
            </w:r>
            <w:r>
              <w:rPr>
                <w:rFonts w:hint="eastAsia" w:ascii="楷体" w:hAnsi="楷体" w:eastAsia="楷体" w:cs="宋体"/>
                <w:kern w:val="0"/>
                <w:sz w:val="20"/>
                <w:szCs w:val="20"/>
                <w:lang w:eastAsia="zh-CN"/>
              </w:rPr>
              <w:t>单层钢结构</w:t>
            </w:r>
            <w:r>
              <w:rPr>
                <w:rFonts w:hint="eastAsia" w:ascii="楷体" w:hAnsi="楷体" w:eastAsia="楷体" w:cs="宋体"/>
                <w:kern w:val="0"/>
                <w:sz w:val="20"/>
                <w:szCs w:val="20"/>
              </w:rPr>
              <w:t>，建筑面积8646㎡，占地面积7096㎡，建筑总高度9.00m；配套设施（办公楼）为框架结构，建筑面积1510㎡。建成金刚石砂轮、CBN砂轮等生产线各一条，国内外先进设备30台，生产规模达到年产砂轮5000件，磨盘1000件。</w:t>
            </w:r>
          </w:p>
        </w:tc>
        <w:tc>
          <w:tcPr>
            <w:tcW w:w="1503" w:type="dxa"/>
            <w:shd w:val="clear" w:color="auto" w:fill="auto"/>
            <w:vAlign w:val="center"/>
          </w:tcPr>
          <w:p>
            <w:pPr>
              <w:widowControl/>
              <w:jc w:val="center"/>
              <w:rPr>
                <w:kern w:val="0"/>
                <w:sz w:val="20"/>
                <w:szCs w:val="20"/>
              </w:rPr>
            </w:pPr>
            <w:r>
              <w:rPr>
                <w:kern w:val="0"/>
                <w:sz w:val="20"/>
                <w:szCs w:val="20"/>
              </w:rPr>
              <w:t>5000</w:t>
            </w:r>
          </w:p>
        </w:tc>
        <w:tc>
          <w:tcPr>
            <w:tcW w:w="1276" w:type="dxa"/>
            <w:shd w:val="clear" w:color="auto" w:fill="auto"/>
            <w:vAlign w:val="center"/>
          </w:tcPr>
          <w:p>
            <w:pPr>
              <w:widowControl/>
              <w:jc w:val="center"/>
              <w:rPr>
                <w:kern w:val="0"/>
                <w:sz w:val="20"/>
                <w:szCs w:val="20"/>
              </w:rPr>
            </w:pPr>
            <w:r>
              <w:rPr>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851" w:type="dxa"/>
            <w:shd w:val="clear" w:color="auto" w:fill="auto"/>
            <w:vAlign w:val="center"/>
          </w:tcPr>
          <w:p>
            <w:pPr>
              <w:widowControl/>
              <w:jc w:val="center"/>
              <w:rPr>
                <w:kern w:val="0"/>
                <w:sz w:val="20"/>
                <w:szCs w:val="20"/>
              </w:rPr>
            </w:pPr>
            <w:r>
              <w:rPr>
                <w:kern w:val="0"/>
                <w:sz w:val="20"/>
                <w:szCs w:val="20"/>
              </w:rPr>
              <w:t>38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奉节县大树镇电子配件加工项目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大树镇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建设电子配件加工生产线2条，建立并扩展产品供销渠道。</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3500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851" w:type="dxa"/>
            <w:shd w:val="clear" w:color="auto" w:fill="auto"/>
            <w:vAlign w:val="center"/>
          </w:tcPr>
          <w:p>
            <w:pPr>
              <w:widowControl/>
              <w:jc w:val="center"/>
              <w:rPr>
                <w:kern w:val="0"/>
                <w:sz w:val="20"/>
                <w:szCs w:val="20"/>
              </w:rPr>
            </w:pPr>
            <w:r>
              <w:rPr>
                <w:kern w:val="0"/>
                <w:sz w:val="20"/>
                <w:szCs w:val="20"/>
              </w:rPr>
              <w:t>39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美硕健康科技有限公司服装厂项目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吐祥镇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租用建设厂房进行服装、服饰的加工制作与销售，租用期限暂定为3 年。租用房屋期满后迁入吐祥镇返乡创业园，该房屋预计占地约800 ㎡，初步装配制衣流水线4条。</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（二）2</w:t>
            </w:r>
            <w:r>
              <w:rPr>
                <w:rFonts w:ascii="楷体" w:hAnsi="楷体" w:eastAsia="楷体" w:cs="宋体"/>
                <w:b/>
                <w:kern w:val="0"/>
                <w:sz w:val="24"/>
                <w:szCs w:val="20"/>
              </w:rPr>
              <w:t>023年前建成项目</w:t>
            </w:r>
            <w:r>
              <w:rPr>
                <w:rFonts w:hint="eastAsia" w:ascii="楷体" w:hAnsi="楷体" w:eastAsia="楷体" w:cs="宋体"/>
                <w:b/>
                <w:kern w:val="0"/>
                <w:sz w:val="24"/>
                <w:szCs w:val="20"/>
              </w:rPr>
              <w:t>（</w:t>
            </w:r>
            <w:r>
              <w:rPr>
                <w:rFonts w:ascii="楷体" w:hAnsi="楷体" w:eastAsia="楷体" w:cs="宋体"/>
                <w:b/>
                <w:kern w:val="0"/>
                <w:sz w:val="24"/>
                <w:szCs w:val="20"/>
              </w:rPr>
              <w:t>19</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97500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40</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奉节白茶深加工项目</w:t>
            </w:r>
            <w:r>
              <w:rPr>
                <w:rFonts w:eastAsia="楷体"/>
                <w:kern w:val="0"/>
                <w:sz w:val="20"/>
                <w:szCs w:val="20"/>
              </w:rPr>
              <w:t xml:space="preserve"> </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拟占地面积</w:t>
            </w:r>
            <w:r>
              <w:rPr>
                <w:rFonts w:eastAsia="楷体"/>
                <w:kern w:val="0"/>
                <w:sz w:val="20"/>
                <w:szCs w:val="20"/>
              </w:rPr>
              <w:t>30</w:t>
            </w:r>
            <w:r>
              <w:rPr>
                <w:rFonts w:hint="eastAsia" w:ascii="楷体" w:hAnsi="楷体" w:eastAsia="楷体" w:cs="宋体"/>
                <w:kern w:val="0"/>
                <w:sz w:val="20"/>
                <w:szCs w:val="20"/>
              </w:rPr>
              <w:t>亩，总建筑面积</w:t>
            </w:r>
            <w:r>
              <w:rPr>
                <w:rFonts w:eastAsia="楷体"/>
                <w:kern w:val="0"/>
                <w:sz w:val="20"/>
                <w:szCs w:val="20"/>
              </w:rPr>
              <w:t>17800</w:t>
            </w:r>
            <w:r>
              <w:rPr>
                <w:rFonts w:hint="eastAsia" w:ascii="楷体" w:hAnsi="楷体" w:eastAsia="楷体" w:cs="宋体"/>
                <w:kern w:val="0"/>
                <w:sz w:val="20"/>
                <w:szCs w:val="20"/>
              </w:rPr>
              <w:t>㎡。内容包括单层厂房及其配套设施。</w:t>
            </w:r>
          </w:p>
        </w:tc>
        <w:tc>
          <w:tcPr>
            <w:tcW w:w="1503" w:type="dxa"/>
            <w:shd w:val="clear" w:color="auto" w:fill="auto"/>
            <w:vAlign w:val="center"/>
          </w:tcPr>
          <w:p>
            <w:pPr>
              <w:widowControl/>
              <w:jc w:val="center"/>
              <w:rPr>
                <w:kern w:val="0"/>
                <w:sz w:val="20"/>
                <w:szCs w:val="20"/>
              </w:rPr>
            </w:pPr>
            <w:r>
              <w:rPr>
                <w:kern w:val="0"/>
                <w:sz w:val="20"/>
                <w:szCs w:val="20"/>
              </w:rPr>
              <w:t>8000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41</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奉节县腊肉及配套产业项目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占地</w:t>
            </w:r>
            <w:r>
              <w:rPr>
                <w:rFonts w:eastAsia="楷体"/>
                <w:kern w:val="0"/>
                <w:sz w:val="20"/>
                <w:szCs w:val="20"/>
              </w:rPr>
              <w:t>30</w:t>
            </w:r>
            <w:r>
              <w:rPr>
                <w:rFonts w:hint="eastAsia" w:ascii="楷体" w:hAnsi="楷体" w:eastAsia="楷体" w:cs="宋体"/>
                <w:kern w:val="0"/>
                <w:sz w:val="20"/>
                <w:szCs w:val="20"/>
              </w:rPr>
              <w:t>亩，建成年产奉节腊肉制品</w:t>
            </w:r>
            <w:r>
              <w:rPr>
                <w:rFonts w:eastAsia="楷体"/>
                <w:kern w:val="0"/>
                <w:sz w:val="20"/>
                <w:szCs w:val="20"/>
              </w:rPr>
              <w:t>2</w:t>
            </w:r>
            <w:r>
              <w:rPr>
                <w:rFonts w:hint="eastAsia" w:ascii="楷体" w:hAnsi="楷体" w:eastAsia="楷体" w:cs="宋体"/>
                <w:kern w:val="0"/>
                <w:sz w:val="20"/>
                <w:szCs w:val="20"/>
              </w:rPr>
              <w:t>万吨，低温肉和调理肉制品</w:t>
            </w:r>
            <w:r>
              <w:rPr>
                <w:rFonts w:eastAsia="楷体"/>
                <w:kern w:val="0"/>
                <w:sz w:val="20"/>
                <w:szCs w:val="20"/>
              </w:rPr>
              <w:t>5</w:t>
            </w:r>
            <w:r>
              <w:rPr>
                <w:rFonts w:hint="eastAsia" w:ascii="楷体" w:hAnsi="楷体" w:eastAsia="楷体" w:cs="宋体"/>
                <w:kern w:val="0"/>
                <w:sz w:val="20"/>
                <w:szCs w:val="20"/>
              </w:rPr>
              <w:t>万吨。</w:t>
            </w:r>
          </w:p>
        </w:tc>
        <w:tc>
          <w:tcPr>
            <w:tcW w:w="1503" w:type="dxa"/>
            <w:shd w:val="clear" w:color="auto" w:fill="auto"/>
            <w:vAlign w:val="center"/>
          </w:tcPr>
          <w:p>
            <w:pPr>
              <w:widowControl/>
              <w:jc w:val="center"/>
              <w:rPr>
                <w:kern w:val="0"/>
                <w:sz w:val="20"/>
                <w:szCs w:val="20"/>
              </w:rPr>
            </w:pPr>
            <w:r>
              <w:rPr>
                <w:kern w:val="0"/>
                <w:sz w:val="20"/>
                <w:szCs w:val="20"/>
              </w:rPr>
              <w:t>35000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851" w:type="dxa"/>
            <w:shd w:val="clear" w:color="auto" w:fill="auto"/>
            <w:vAlign w:val="center"/>
          </w:tcPr>
          <w:p>
            <w:pPr>
              <w:widowControl/>
              <w:jc w:val="center"/>
              <w:rPr>
                <w:kern w:val="0"/>
                <w:sz w:val="20"/>
                <w:szCs w:val="20"/>
              </w:rPr>
            </w:pPr>
            <w:r>
              <w:rPr>
                <w:kern w:val="0"/>
                <w:sz w:val="20"/>
                <w:szCs w:val="20"/>
              </w:rPr>
              <w:t>42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眼镜烫印加工项目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租赁标准厂房1500平方米，引进印花、热转印、包花设备以及配套设备，建成烫印生产流水线1条，年配套8000</w:t>
            </w:r>
            <w:r>
              <w:rPr>
                <w:rFonts w:hint="eastAsia" w:ascii="楷体" w:hAnsi="楷体" w:eastAsia="楷体" w:cs="宋体"/>
                <w:kern w:val="0"/>
                <w:sz w:val="20"/>
                <w:szCs w:val="20"/>
                <w:lang w:eastAsia="zh-CN"/>
              </w:rPr>
              <w:t>万副</w:t>
            </w:r>
            <w:r>
              <w:rPr>
                <w:rFonts w:hint="eastAsia" w:ascii="楷体" w:hAnsi="楷体" w:eastAsia="楷体" w:cs="宋体"/>
                <w:kern w:val="0"/>
                <w:sz w:val="20"/>
                <w:szCs w:val="20"/>
              </w:rPr>
              <w:t>眼镜烫印。</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1500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43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租赁标准厂房3500平方米，引进注塑眼镜生产线1条，年产注塑镜架1000万副。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851" w:type="dxa"/>
            <w:shd w:val="clear" w:color="auto" w:fill="auto"/>
            <w:vAlign w:val="center"/>
          </w:tcPr>
          <w:p>
            <w:pPr>
              <w:widowControl/>
              <w:jc w:val="center"/>
              <w:rPr>
                <w:kern w:val="0"/>
                <w:sz w:val="20"/>
                <w:szCs w:val="20"/>
              </w:rPr>
            </w:pPr>
            <w:r>
              <w:rPr>
                <w:kern w:val="0"/>
                <w:sz w:val="20"/>
                <w:szCs w:val="20"/>
              </w:rPr>
              <w:t>44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租赁标准厂房3000平方米，引进注塑眼镜生产线1条，年产注塑镜架800万副。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45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轻量化车厢表面处理材料生产项目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租用标准厂房4000平方米，建设表面处理材料生产线2条。</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1" w:type="dxa"/>
            <w:shd w:val="clear" w:color="auto" w:fill="auto"/>
            <w:vAlign w:val="center"/>
          </w:tcPr>
          <w:p>
            <w:pPr>
              <w:widowControl/>
              <w:jc w:val="center"/>
              <w:rPr>
                <w:kern w:val="0"/>
                <w:sz w:val="20"/>
                <w:szCs w:val="20"/>
              </w:rPr>
            </w:pPr>
            <w:r>
              <w:rPr>
                <w:kern w:val="0"/>
                <w:sz w:val="20"/>
                <w:szCs w:val="20"/>
              </w:rPr>
              <w:t>46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坚果加工项目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租赁标准厂房5000平方米，引进坚果加工、包装生产线等设备，建成农副产品深加工生产线4条，年加工500吨。</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851" w:type="dxa"/>
            <w:shd w:val="clear" w:color="auto" w:fill="auto"/>
            <w:vAlign w:val="center"/>
          </w:tcPr>
          <w:p>
            <w:pPr>
              <w:widowControl/>
              <w:jc w:val="center"/>
              <w:rPr>
                <w:kern w:val="0"/>
                <w:sz w:val="20"/>
                <w:szCs w:val="20"/>
              </w:rPr>
            </w:pPr>
            <w:r>
              <w:rPr>
                <w:kern w:val="0"/>
                <w:sz w:val="20"/>
                <w:szCs w:val="20"/>
              </w:rPr>
              <w:t>47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小黄人祙子生产项目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租用标准厂房5000平方米，购置安装设备200台（套）。</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51" w:type="dxa"/>
            <w:shd w:val="clear" w:color="auto" w:fill="auto"/>
            <w:vAlign w:val="center"/>
          </w:tcPr>
          <w:p>
            <w:pPr>
              <w:widowControl/>
              <w:jc w:val="center"/>
              <w:rPr>
                <w:kern w:val="0"/>
                <w:sz w:val="20"/>
                <w:szCs w:val="20"/>
              </w:rPr>
            </w:pPr>
            <w:r>
              <w:rPr>
                <w:kern w:val="0"/>
                <w:sz w:val="20"/>
                <w:szCs w:val="20"/>
              </w:rPr>
              <w:t>48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租赁标准厂房3000平方米，引进注塑眼镜生产线2条，年产注塑镜架1000万副。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49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眼镜镜片生产项目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租赁标准厂房3500平方米，引进尼龙镜片生产线1条，亚克力镜片生产线1条，年产镜片5000万副。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锌合金眼镜配件生产项目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租赁标准厂房2000平方米，引进锌合金眼镜配件生产线1条，年产锌合金配件10000万套。</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眼镜综合生产项目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一期租赁标准厂房8000平方米，引进全新260EV系列注塑机，横走式伺服机械臂，全自动数控清洗强化机等自动化机械设备，年产龙太阳镜片，尼龙偏光镜片，PC偏光镜片，AC太阳镜片等各类眼镜镜片5000万副，眼镜成镜800万副。二期购地30亩。</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10000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租赁标准厂房3800平方米，引进注塑眼镜生产线1条，年产注塑镜架800万副。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高端眼镜镜架生产项目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租赁标准厂房5000平方米，引进注塑眼镜生产线1条，年产注塑镜架800万副，金属镜架生产线1条，年产金属镜架200万副。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3000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眼镜配件生产项目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乙方租赁甲方标准厂房2500平方米，引进数字化、自动化设备，建成眼镜配件生产线3条。</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注塑眼镜生产项目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租赁标准厂房2000平方米，引进注塑眼镜设备以及配套设备，建成光学眼镜、太阳镜、老花镜生产线各1条，年产成品眼镜1000万副。</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运动鞋生产销售项目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竹园镇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租赁民房1000平方米，含车间、仓储、办公及生活区域，配备制鞋机械设备及生产线2条。</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服装生产销售项目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竹园镇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租赁民房2000平方米，含车间、仓储、办公及生活区域，购置服装生产设备及生产线8条，打造高端服装生产加工生产车间。</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8000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甲高镇制鞋产业投资项目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甲高镇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流转7亩土地，建设2幢厂房和1栋办公楼，采购车间生产机器100台，生产流水线4条。</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5000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（三）2</w:t>
            </w:r>
            <w:r>
              <w:rPr>
                <w:rFonts w:ascii="楷体" w:hAnsi="楷体" w:eastAsia="楷体" w:cs="宋体"/>
                <w:b/>
                <w:kern w:val="0"/>
                <w:sz w:val="24"/>
                <w:szCs w:val="20"/>
              </w:rPr>
              <w:t>024年前建成项目</w:t>
            </w:r>
            <w:r>
              <w:rPr>
                <w:rFonts w:hint="eastAsia" w:ascii="楷体" w:hAnsi="楷体" w:eastAsia="楷体" w:cs="宋体"/>
                <w:b/>
                <w:kern w:val="0"/>
                <w:sz w:val="24"/>
                <w:szCs w:val="20"/>
              </w:rPr>
              <w:t>（</w:t>
            </w:r>
            <w:r>
              <w:rPr>
                <w:rFonts w:ascii="楷体" w:hAnsi="楷体" w:eastAsia="楷体" w:cs="宋体"/>
                <w:b/>
                <w:kern w:val="0"/>
                <w:sz w:val="24"/>
                <w:szCs w:val="20"/>
              </w:rPr>
              <w:t>3</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80200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59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公平电声配件生产项目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公平镇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租用厂房2000平方米，建设2条胶边、音盆生产线。</w:t>
            </w:r>
          </w:p>
        </w:tc>
        <w:tc>
          <w:tcPr>
            <w:tcW w:w="1503"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60</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奉节县生态工业园眼镜科研试验基地建设工程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草堂组团</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总用地面积约为122081.00m2，总建筑面积约为210000.00m2。建设内容包括土建工程、装修工程、电气工程、给排水工程、通风防排烟、总图工程等。</w:t>
            </w:r>
          </w:p>
        </w:tc>
        <w:tc>
          <w:tcPr>
            <w:tcW w:w="1503" w:type="dxa"/>
            <w:shd w:val="clear" w:color="auto" w:fill="auto"/>
            <w:vAlign w:val="center"/>
          </w:tcPr>
          <w:p>
            <w:pPr>
              <w:widowControl/>
              <w:jc w:val="center"/>
              <w:rPr>
                <w:kern w:val="0"/>
                <w:sz w:val="20"/>
                <w:szCs w:val="20"/>
              </w:rPr>
            </w:pPr>
            <w:r>
              <w:rPr>
                <w:kern w:val="0"/>
                <w:sz w:val="20"/>
                <w:szCs w:val="20"/>
              </w:rPr>
              <w:t>76000</w:t>
            </w:r>
          </w:p>
        </w:tc>
        <w:tc>
          <w:tcPr>
            <w:tcW w:w="1276" w:type="dxa"/>
            <w:shd w:val="clear" w:color="auto" w:fill="auto"/>
            <w:vAlign w:val="center"/>
          </w:tcPr>
          <w:p>
            <w:pPr>
              <w:widowControl/>
              <w:jc w:val="center"/>
              <w:rPr>
                <w:kern w:val="0"/>
                <w:sz w:val="20"/>
                <w:szCs w:val="20"/>
              </w:rPr>
            </w:pPr>
            <w:r>
              <w:rPr>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61</w:t>
            </w:r>
          </w:p>
        </w:tc>
        <w:tc>
          <w:tcPr>
            <w:tcW w:w="3118" w:type="dxa"/>
            <w:shd w:val="clear" w:color="auto" w:fill="auto"/>
            <w:vAlign w:val="center"/>
          </w:tcPr>
          <w:p>
            <w:pPr>
              <w:widowControl/>
              <w:jc w:val="left"/>
              <w:rPr>
                <w:rFonts w:ascii="楷体" w:hAnsi="楷体" w:eastAsia="楷体" w:cs="宋体"/>
                <w:kern w:val="0"/>
                <w:sz w:val="20"/>
                <w:szCs w:val="20"/>
              </w:rPr>
            </w:pPr>
            <w:r>
              <w:rPr>
                <w:rFonts w:hint="eastAsia" w:ascii="楷体" w:hAnsi="楷体" w:eastAsia="楷体" w:cs="宋体"/>
                <w:kern w:val="0"/>
                <w:sz w:val="20"/>
                <w:szCs w:val="20"/>
              </w:rPr>
              <w:t>奉节县蜜蜂产业建设项目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left"/>
              <w:rPr>
                <w:rFonts w:ascii="楷体" w:hAnsi="楷体" w:eastAsia="楷体" w:cs="宋体"/>
                <w:kern w:val="0"/>
                <w:sz w:val="20"/>
                <w:szCs w:val="20"/>
              </w:rPr>
            </w:pPr>
            <w:r>
              <w:rPr>
                <w:rFonts w:hint="eastAsia" w:ascii="楷体" w:hAnsi="楷体" w:eastAsia="楷体" w:cs="宋体"/>
                <w:kern w:val="0"/>
                <w:sz w:val="20"/>
                <w:szCs w:val="20"/>
              </w:rPr>
              <w:t>建年保有量</w:t>
            </w:r>
            <w:r>
              <w:rPr>
                <w:rFonts w:eastAsia="楷体"/>
                <w:kern w:val="0"/>
                <w:sz w:val="20"/>
                <w:szCs w:val="20"/>
              </w:rPr>
              <w:t>200</w:t>
            </w:r>
            <w:r>
              <w:rPr>
                <w:rFonts w:hint="eastAsia" w:ascii="楷体" w:hAnsi="楷体" w:eastAsia="楷体" w:cs="宋体"/>
                <w:kern w:val="0"/>
                <w:sz w:val="20"/>
                <w:szCs w:val="20"/>
              </w:rPr>
              <w:t>群规模的标准蜂场</w:t>
            </w:r>
            <w:r>
              <w:rPr>
                <w:rFonts w:eastAsia="楷体"/>
                <w:kern w:val="0"/>
                <w:sz w:val="20"/>
                <w:szCs w:val="20"/>
              </w:rPr>
              <w:t>1</w:t>
            </w:r>
            <w:r>
              <w:rPr>
                <w:rFonts w:hint="eastAsia" w:ascii="楷体" w:hAnsi="楷体" w:eastAsia="楷体" w:cs="宋体"/>
                <w:kern w:val="0"/>
                <w:sz w:val="20"/>
                <w:szCs w:val="20"/>
              </w:rPr>
              <w:t>个，蜂产品加工开发厂房建设，蜂产品展示厅及蜜蜂文化博物馆及配套用房。</w:t>
            </w:r>
          </w:p>
        </w:tc>
        <w:tc>
          <w:tcPr>
            <w:tcW w:w="1503" w:type="dxa"/>
            <w:shd w:val="clear" w:color="auto" w:fill="auto"/>
            <w:vAlign w:val="center"/>
          </w:tcPr>
          <w:p>
            <w:pPr>
              <w:widowControl/>
              <w:jc w:val="center"/>
              <w:rPr>
                <w:kern w:val="0"/>
                <w:sz w:val="20"/>
                <w:szCs w:val="20"/>
              </w:rPr>
            </w:pPr>
            <w:r>
              <w:rPr>
                <w:kern w:val="0"/>
                <w:sz w:val="20"/>
                <w:szCs w:val="20"/>
              </w:rPr>
              <w:t>2200</w:t>
            </w:r>
          </w:p>
        </w:tc>
        <w:tc>
          <w:tcPr>
            <w:tcW w:w="1276" w:type="dxa"/>
            <w:shd w:val="clear" w:color="auto" w:fill="auto"/>
            <w:vAlign w:val="center"/>
          </w:tcPr>
          <w:p>
            <w:pPr>
              <w:widowControl/>
              <w:jc w:val="center"/>
              <w:rPr>
                <w:kern w:val="0"/>
                <w:sz w:val="20"/>
                <w:szCs w:val="20"/>
              </w:rPr>
            </w:pPr>
            <w:r>
              <w:rPr>
                <w:kern w:val="0"/>
                <w:sz w:val="20"/>
                <w:szCs w:val="20"/>
              </w:rPr>
              <w:t>2022-2024</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spacing w:line="240" w:lineRule="exact"/>
              <w:jc w:val="left"/>
              <w:rPr>
                <w:rFonts w:ascii="楷体" w:hAnsi="楷体" w:eastAsia="楷体" w:cs="宋体"/>
                <w:b/>
                <w:kern w:val="0"/>
                <w:sz w:val="24"/>
                <w:szCs w:val="20"/>
              </w:rPr>
            </w:pPr>
            <w:r>
              <w:rPr>
                <w:rFonts w:hint="eastAsia" w:ascii="楷体" w:hAnsi="楷体" w:eastAsia="楷体" w:cs="宋体"/>
                <w:b/>
                <w:kern w:val="0"/>
                <w:sz w:val="24"/>
                <w:szCs w:val="20"/>
              </w:rPr>
              <w:t>（四）2</w:t>
            </w:r>
            <w:r>
              <w:rPr>
                <w:rFonts w:ascii="楷体" w:hAnsi="楷体" w:eastAsia="楷体" w:cs="宋体"/>
                <w:b/>
                <w:kern w:val="0"/>
                <w:sz w:val="24"/>
                <w:szCs w:val="20"/>
              </w:rPr>
              <w:t>025年前建成项目</w:t>
            </w:r>
            <w:r>
              <w:rPr>
                <w:rFonts w:hint="eastAsia" w:ascii="楷体" w:hAnsi="楷体" w:eastAsia="楷体" w:cs="宋体"/>
                <w:b/>
                <w:kern w:val="0"/>
                <w:sz w:val="24"/>
                <w:szCs w:val="20"/>
              </w:rPr>
              <w:t>（</w:t>
            </w:r>
            <w:r>
              <w:rPr>
                <w:rFonts w:ascii="楷体" w:hAnsi="楷体" w:eastAsia="楷体" w:cs="宋体"/>
                <w:b/>
                <w:kern w:val="0"/>
                <w:sz w:val="24"/>
                <w:szCs w:val="20"/>
              </w:rPr>
              <w:t>8</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513000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奉节县复合材料产业园建设项目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项目占地</w:t>
            </w:r>
            <w:r>
              <w:rPr>
                <w:rFonts w:eastAsia="楷体"/>
                <w:kern w:val="0"/>
                <w:sz w:val="20"/>
                <w:szCs w:val="20"/>
              </w:rPr>
              <w:t>50</w:t>
            </w:r>
            <w:r>
              <w:rPr>
                <w:rFonts w:hint="eastAsia" w:ascii="楷体" w:hAnsi="楷体" w:eastAsia="楷体" w:cs="宋体"/>
                <w:kern w:val="0"/>
                <w:sz w:val="20"/>
                <w:szCs w:val="20"/>
              </w:rPr>
              <w:t>亩，打造集研发、制造、销售于一体的复合材料产业园</w:t>
            </w:r>
          </w:p>
        </w:tc>
        <w:tc>
          <w:tcPr>
            <w:tcW w:w="1503" w:type="dxa"/>
            <w:shd w:val="clear" w:color="auto" w:fill="auto"/>
            <w:vAlign w:val="center"/>
          </w:tcPr>
          <w:p>
            <w:pPr>
              <w:widowControl/>
              <w:jc w:val="center"/>
              <w:rPr>
                <w:kern w:val="0"/>
                <w:sz w:val="20"/>
                <w:szCs w:val="20"/>
              </w:rPr>
            </w:pPr>
            <w:r>
              <w:rPr>
                <w:kern w:val="0"/>
                <w:sz w:val="20"/>
                <w:szCs w:val="20"/>
              </w:rPr>
              <w:t>100000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奉节县装配式建筑产业基地建设项目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安坪镇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w:t>
            </w:r>
            <w:r>
              <w:rPr>
                <w:rFonts w:eastAsia="楷体"/>
                <w:kern w:val="0"/>
                <w:sz w:val="20"/>
                <w:szCs w:val="20"/>
              </w:rPr>
              <w:t>1000</w:t>
            </w:r>
            <w:r>
              <w:rPr>
                <w:rFonts w:hint="eastAsia" w:ascii="楷体" w:hAnsi="楷体" w:eastAsia="楷体" w:cs="宋体"/>
                <w:kern w:val="0"/>
                <w:sz w:val="20"/>
                <w:szCs w:val="20"/>
              </w:rPr>
              <w:t>亩，建设装配式建筑产业园，打造</w:t>
            </w:r>
            <w:r>
              <w:rPr>
                <w:rFonts w:eastAsia="楷体"/>
                <w:kern w:val="0"/>
                <w:sz w:val="20"/>
                <w:szCs w:val="20"/>
              </w:rPr>
              <w:t>200</w:t>
            </w:r>
            <w:r>
              <w:rPr>
                <w:rFonts w:hint="eastAsia" w:ascii="楷体" w:hAnsi="楷体" w:eastAsia="楷体" w:cs="宋体"/>
                <w:kern w:val="0"/>
                <w:sz w:val="20"/>
                <w:szCs w:val="20"/>
              </w:rPr>
              <w:t>亿级装配式建筑产业集群</w:t>
            </w:r>
          </w:p>
        </w:tc>
        <w:tc>
          <w:tcPr>
            <w:tcW w:w="1503" w:type="dxa"/>
            <w:shd w:val="clear" w:color="auto" w:fill="auto"/>
            <w:vAlign w:val="center"/>
          </w:tcPr>
          <w:p>
            <w:pPr>
              <w:widowControl/>
              <w:jc w:val="center"/>
              <w:rPr>
                <w:kern w:val="0"/>
                <w:sz w:val="20"/>
                <w:szCs w:val="20"/>
              </w:rPr>
            </w:pPr>
            <w:r>
              <w:rPr>
                <w:kern w:val="0"/>
                <w:sz w:val="20"/>
                <w:szCs w:val="20"/>
              </w:rPr>
              <w:t>240000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奉节县康乐组团装配式建筑材料生产项目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项目占地</w:t>
            </w:r>
            <w:r>
              <w:rPr>
                <w:rFonts w:eastAsia="楷体"/>
                <w:kern w:val="0"/>
                <w:sz w:val="20"/>
                <w:szCs w:val="20"/>
              </w:rPr>
              <w:t>50</w:t>
            </w:r>
            <w:r>
              <w:rPr>
                <w:rFonts w:hint="eastAsia" w:ascii="楷体" w:hAnsi="楷体" w:eastAsia="楷体" w:cs="宋体"/>
                <w:kern w:val="0"/>
                <w:sz w:val="20"/>
                <w:szCs w:val="20"/>
              </w:rPr>
              <w:t>亩，综合利用华电奉节电厂粉煤灰、脱硫石膏，建成年产高性能装配式混凝土构件</w:t>
            </w:r>
            <w:r>
              <w:rPr>
                <w:rFonts w:eastAsia="楷体"/>
                <w:kern w:val="0"/>
                <w:sz w:val="20"/>
                <w:szCs w:val="20"/>
              </w:rPr>
              <w:t>100</w:t>
            </w:r>
            <w:r>
              <w:rPr>
                <w:rFonts w:hint="eastAsia" w:ascii="楷体" w:hAnsi="楷体" w:eastAsia="楷体" w:cs="宋体"/>
                <w:kern w:val="0"/>
                <w:sz w:val="20"/>
                <w:szCs w:val="20"/>
              </w:rPr>
              <w:t>万方生产能力</w:t>
            </w:r>
          </w:p>
        </w:tc>
        <w:tc>
          <w:tcPr>
            <w:tcW w:w="1503" w:type="dxa"/>
            <w:shd w:val="clear" w:color="auto" w:fill="auto"/>
            <w:vAlign w:val="center"/>
          </w:tcPr>
          <w:p>
            <w:pPr>
              <w:widowControl/>
              <w:jc w:val="center"/>
              <w:rPr>
                <w:kern w:val="0"/>
                <w:sz w:val="20"/>
                <w:szCs w:val="20"/>
              </w:rPr>
            </w:pPr>
            <w:r>
              <w:rPr>
                <w:kern w:val="0"/>
                <w:sz w:val="20"/>
                <w:szCs w:val="20"/>
              </w:rPr>
              <w:t>40000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奉节县中药材精深加工项目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有关乡镇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占地面积100000㎡。库房，厂房建设，仓储物流，设备购置，绿化等相关配套项目</w:t>
            </w:r>
          </w:p>
        </w:tc>
        <w:tc>
          <w:tcPr>
            <w:tcW w:w="1503" w:type="dxa"/>
            <w:shd w:val="clear" w:color="auto" w:fill="auto"/>
            <w:vAlign w:val="center"/>
          </w:tcPr>
          <w:p>
            <w:pPr>
              <w:widowControl/>
              <w:jc w:val="center"/>
              <w:rPr>
                <w:kern w:val="0"/>
                <w:sz w:val="20"/>
                <w:szCs w:val="20"/>
              </w:rPr>
            </w:pPr>
            <w:r>
              <w:rPr>
                <w:kern w:val="0"/>
                <w:sz w:val="20"/>
                <w:szCs w:val="20"/>
              </w:rPr>
              <w:t>50000</w:t>
            </w:r>
          </w:p>
        </w:tc>
        <w:tc>
          <w:tcPr>
            <w:tcW w:w="1276" w:type="dxa"/>
            <w:shd w:val="clear" w:color="auto" w:fill="auto"/>
            <w:vAlign w:val="center"/>
          </w:tcPr>
          <w:p>
            <w:pPr>
              <w:widowControl/>
              <w:jc w:val="center"/>
              <w:rPr>
                <w:kern w:val="0"/>
                <w:sz w:val="20"/>
                <w:szCs w:val="20"/>
              </w:rPr>
            </w:pPr>
            <w:r>
              <w:rPr>
                <w:kern w:val="0"/>
                <w:sz w:val="20"/>
                <w:szCs w:val="20"/>
              </w:rPr>
              <w:t>2022-2025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奉节县自动缫丝制绸深加工项目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全县30个乡镇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占地面积50000㎡。缫丝车间，剑杆织机车间，真丝数码印花车间，真丝服装车间等相关配套项目</w:t>
            </w:r>
          </w:p>
        </w:tc>
        <w:tc>
          <w:tcPr>
            <w:tcW w:w="1503" w:type="dxa"/>
            <w:shd w:val="clear" w:color="auto" w:fill="auto"/>
            <w:vAlign w:val="center"/>
          </w:tcPr>
          <w:p>
            <w:pPr>
              <w:widowControl/>
              <w:jc w:val="center"/>
              <w:rPr>
                <w:kern w:val="0"/>
                <w:sz w:val="20"/>
                <w:szCs w:val="20"/>
              </w:rPr>
            </w:pPr>
            <w:r>
              <w:rPr>
                <w:kern w:val="0"/>
                <w:sz w:val="20"/>
                <w:szCs w:val="20"/>
              </w:rPr>
              <w:t>50000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奉节县木本油料综合加工项目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草堂组团</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占地面积40000㎡。厂房建设，设备购置，绿化等相关配套项目</w:t>
            </w:r>
          </w:p>
        </w:tc>
        <w:tc>
          <w:tcPr>
            <w:tcW w:w="1503" w:type="dxa"/>
            <w:shd w:val="clear" w:color="auto" w:fill="auto"/>
            <w:vAlign w:val="center"/>
          </w:tcPr>
          <w:p>
            <w:pPr>
              <w:widowControl/>
              <w:jc w:val="center"/>
              <w:rPr>
                <w:kern w:val="0"/>
                <w:sz w:val="20"/>
                <w:szCs w:val="20"/>
              </w:rPr>
            </w:pPr>
            <w:r>
              <w:rPr>
                <w:kern w:val="0"/>
                <w:sz w:val="20"/>
                <w:szCs w:val="20"/>
              </w:rPr>
              <w:t>20000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奉节县茶叶深加工项目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spacing w:line="240" w:lineRule="exact"/>
              <w:jc w:val="center"/>
              <w:rPr>
                <w:rFonts w:ascii="楷体" w:hAnsi="楷体" w:eastAsia="楷体" w:cs="宋体"/>
                <w:kern w:val="0"/>
                <w:sz w:val="20"/>
                <w:szCs w:val="20"/>
              </w:rPr>
            </w:pPr>
            <w:r>
              <w:rPr>
                <w:rFonts w:hint="eastAsia" w:ascii="楷体" w:hAnsi="楷体" w:eastAsia="楷体" w:cs="宋体"/>
                <w:kern w:val="0"/>
                <w:sz w:val="20"/>
                <w:szCs w:val="20"/>
              </w:rPr>
              <w:t>占地30亩，建筑面积7500㎡。加工厂房，加工生产设备，冷藏库，管理用房，仓库，车库，等配套工程</w:t>
            </w:r>
          </w:p>
        </w:tc>
        <w:tc>
          <w:tcPr>
            <w:tcW w:w="1503" w:type="dxa"/>
            <w:shd w:val="clear" w:color="auto" w:fill="auto"/>
            <w:vAlign w:val="center"/>
          </w:tcPr>
          <w:p>
            <w:pPr>
              <w:widowControl/>
              <w:jc w:val="center"/>
              <w:rPr>
                <w:kern w:val="0"/>
                <w:sz w:val="20"/>
                <w:szCs w:val="20"/>
              </w:rPr>
            </w:pPr>
            <w:r>
              <w:rPr>
                <w:kern w:val="0"/>
                <w:sz w:val="20"/>
                <w:szCs w:val="20"/>
              </w:rPr>
              <w:t>8000</w:t>
            </w:r>
          </w:p>
        </w:tc>
        <w:tc>
          <w:tcPr>
            <w:tcW w:w="1276" w:type="dxa"/>
            <w:shd w:val="clear" w:color="auto" w:fill="auto"/>
            <w:vAlign w:val="center"/>
          </w:tcPr>
          <w:p>
            <w:pPr>
              <w:widowControl/>
              <w:jc w:val="center"/>
              <w:rPr>
                <w:kern w:val="0"/>
                <w:sz w:val="20"/>
                <w:szCs w:val="20"/>
              </w:rPr>
            </w:pPr>
            <w:r>
              <w:rPr>
                <w:kern w:val="0"/>
                <w:sz w:val="20"/>
                <w:szCs w:val="20"/>
              </w:rPr>
              <w:t>2021-2025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69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奉节果酒厂建设项目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占地面积20亩，建筑面积8000㎡。办公楼，厂房，检测设备，灌装，原料仓储，成品仓储，车库，门卫，食堂，配电房等相关配套设施</w:t>
            </w:r>
          </w:p>
        </w:tc>
        <w:tc>
          <w:tcPr>
            <w:tcW w:w="1503" w:type="dxa"/>
            <w:shd w:val="clear" w:color="auto" w:fill="auto"/>
            <w:vAlign w:val="center"/>
          </w:tcPr>
          <w:p>
            <w:pPr>
              <w:widowControl/>
              <w:jc w:val="center"/>
              <w:rPr>
                <w:kern w:val="0"/>
                <w:sz w:val="20"/>
                <w:szCs w:val="20"/>
              </w:rPr>
            </w:pPr>
            <w:r>
              <w:rPr>
                <w:kern w:val="0"/>
                <w:sz w:val="20"/>
                <w:szCs w:val="20"/>
              </w:rPr>
              <w:t>5000</w:t>
            </w:r>
          </w:p>
        </w:tc>
        <w:tc>
          <w:tcPr>
            <w:tcW w:w="1276" w:type="dxa"/>
            <w:shd w:val="clear" w:color="auto" w:fill="auto"/>
            <w:vAlign w:val="center"/>
          </w:tcPr>
          <w:p>
            <w:pPr>
              <w:widowControl/>
              <w:jc w:val="center"/>
              <w:rPr>
                <w:kern w:val="0"/>
                <w:sz w:val="20"/>
                <w:szCs w:val="20"/>
              </w:rPr>
            </w:pPr>
            <w:r>
              <w:rPr>
                <w:kern w:val="0"/>
                <w:sz w:val="20"/>
                <w:szCs w:val="20"/>
              </w:rPr>
              <w:t>2022-2025</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县投资促进中心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（五）建设期限待定（</w:t>
            </w:r>
            <w:r>
              <w:rPr>
                <w:rFonts w:ascii="楷体" w:hAnsi="楷体" w:eastAsia="楷体" w:cs="宋体"/>
                <w:b/>
                <w:kern w:val="0"/>
                <w:sz w:val="24"/>
                <w:szCs w:val="20"/>
              </w:rPr>
              <w:t>6</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1038000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脐橙深加工项目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集中脐橙深加工产品研发、制造、销售为一体的综合体项目。项目拟占地30亩，引进高新技术因地制宜发展奉节脐橙深加工业，研发生产脐橙酵素原液、脐橙饮料、脐橙果干等相关产品，带动脐橙贮藏、保鲜、分类、包装、营销环节的发展，延展脐橙产业链，促进奉节脐橙产业提档升级。</w:t>
            </w:r>
          </w:p>
        </w:tc>
        <w:tc>
          <w:tcPr>
            <w:tcW w:w="1503" w:type="dxa"/>
            <w:shd w:val="clear" w:color="auto" w:fill="auto"/>
            <w:vAlign w:val="center"/>
          </w:tcPr>
          <w:p>
            <w:pPr>
              <w:widowControl/>
              <w:jc w:val="center"/>
              <w:rPr>
                <w:kern w:val="0"/>
                <w:sz w:val="20"/>
                <w:szCs w:val="20"/>
              </w:rPr>
            </w:pPr>
            <w:r>
              <w:rPr>
                <w:kern w:val="0"/>
                <w:sz w:val="20"/>
                <w:szCs w:val="20"/>
              </w:rPr>
              <w:t>10000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中高档眼镜生产项目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投资集中高档眼镜开发、设计、生产、销售、服务为一体的眼镜综合体项目。项目拟占地30亩，引进眼镜研发、生产、加工的高新技术设备，建设中高档眼镜研发中心与生产车间，打造中高档眼镜品牌，补强园区眼镜产业链。</w:t>
            </w:r>
          </w:p>
        </w:tc>
        <w:tc>
          <w:tcPr>
            <w:tcW w:w="1503" w:type="dxa"/>
            <w:shd w:val="clear" w:color="auto" w:fill="auto"/>
            <w:vAlign w:val="center"/>
          </w:tcPr>
          <w:p>
            <w:pPr>
              <w:widowControl/>
              <w:jc w:val="center"/>
              <w:rPr>
                <w:kern w:val="0"/>
                <w:sz w:val="20"/>
                <w:szCs w:val="20"/>
              </w:rPr>
            </w:pPr>
            <w:r>
              <w:rPr>
                <w:kern w:val="0"/>
                <w:sz w:val="20"/>
                <w:szCs w:val="20"/>
              </w:rPr>
              <w:t>10000</w:t>
            </w:r>
          </w:p>
        </w:tc>
        <w:tc>
          <w:tcPr>
            <w:tcW w:w="1276" w:type="dxa"/>
            <w:shd w:val="clear" w:color="auto" w:fill="auto"/>
            <w:vAlign w:val="center"/>
          </w:tcPr>
          <w:p>
            <w:pPr>
              <w:widowControl/>
              <w:jc w:val="center"/>
              <w:rPr>
                <w:kern w:val="0"/>
                <w:sz w:val="20"/>
                <w:szCs w:val="20"/>
              </w:rPr>
            </w:pPr>
            <w:r>
              <w:rPr>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休闲食品生产加工项目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投资休闲食品研发、生产、销售一体化的综合体项目，引进原料清洗、研磨、加工、包装等环节的配套技术设备，建设数字化、自动化生产流水线，打造“基地化、规范化、品牌化”休闲食品生产加工基地。</w:t>
            </w:r>
          </w:p>
        </w:tc>
        <w:tc>
          <w:tcPr>
            <w:tcW w:w="1503" w:type="dxa"/>
            <w:shd w:val="clear" w:color="auto" w:fill="auto"/>
            <w:vAlign w:val="center"/>
          </w:tcPr>
          <w:p>
            <w:pPr>
              <w:widowControl/>
              <w:jc w:val="center"/>
              <w:rPr>
                <w:kern w:val="0"/>
                <w:sz w:val="20"/>
                <w:szCs w:val="20"/>
              </w:rPr>
            </w:pPr>
            <w:r>
              <w:rPr>
                <w:kern w:val="0"/>
                <w:sz w:val="20"/>
                <w:szCs w:val="20"/>
              </w:rPr>
              <w:t>5000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县生态工业园区管委会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奉节县木百年实木定制加工项目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永乐镇长凼村新农村建设用地搭建临时厂房2500平方米。投资建设实木定制家具生产线2条（不包括原木蒸煮、烘烤加工）。</w:t>
            </w:r>
            <w:r>
              <w:rPr>
                <w:rFonts w:hint="eastAsia" w:ascii="楷体" w:hAnsi="楷体" w:eastAsia="楷体" w:cs="宋体"/>
                <w:kern w:val="0"/>
                <w:sz w:val="20"/>
                <w:szCs w:val="20"/>
              </w:rPr>
              <w:br w:type="textWrapping"/>
            </w:r>
            <w:r>
              <w:rPr>
                <w:rFonts w:hint="eastAsia" w:ascii="楷体" w:hAnsi="楷体" w:eastAsia="楷体" w:cs="宋体"/>
                <w:kern w:val="0"/>
                <w:sz w:val="20"/>
                <w:szCs w:val="20"/>
              </w:rPr>
              <w:t>奉节县甘溪沟小微企业园租用标准厂房6000平方米建设实木定制家具生产线4条，年产实木定制家具20000平方米。</w:t>
            </w:r>
          </w:p>
        </w:tc>
        <w:tc>
          <w:tcPr>
            <w:tcW w:w="1503" w:type="dxa"/>
            <w:shd w:val="clear" w:color="auto" w:fill="auto"/>
            <w:vAlign w:val="center"/>
          </w:tcPr>
          <w:p>
            <w:pPr>
              <w:widowControl/>
              <w:jc w:val="center"/>
              <w:rPr>
                <w:kern w:val="0"/>
                <w:sz w:val="20"/>
                <w:szCs w:val="20"/>
              </w:rPr>
            </w:pPr>
            <w:r>
              <w:rPr>
                <w:kern w:val="0"/>
                <w:sz w:val="20"/>
                <w:szCs w:val="20"/>
              </w:rPr>
              <w:t>8000</w:t>
            </w:r>
          </w:p>
        </w:tc>
        <w:tc>
          <w:tcPr>
            <w:tcW w:w="1276"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奉节全屋定制家具厂项目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标准厂房2000平方米，引进全智能数控板式家具生产设备，建成全自动预铣+跟踪封边机生产线2条，年产板式家具5万平方。</w:t>
            </w:r>
          </w:p>
        </w:tc>
        <w:tc>
          <w:tcPr>
            <w:tcW w:w="1503" w:type="dxa"/>
            <w:shd w:val="clear" w:color="auto" w:fill="auto"/>
            <w:vAlign w:val="center"/>
          </w:tcPr>
          <w:p>
            <w:pPr>
              <w:widowControl/>
              <w:jc w:val="center"/>
              <w:rPr>
                <w:kern w:val="0"/>
                <w:sz w:val="20"/>
                <w:szCs w:val="20"/>
              </w:rPr>
            </w:pPr>
            <w:r>
              <w:rPr>
                <w:kern w:val="0"/>
                <w:sz w:val="20"/>
                <w:szCs w:val="20"/>
              </w:rPr>
              <w:t>5000</w:t>
            </w:r>
          </w:p>
        </w:tc>
        <w:tc>
          <w:tcPr>
            <w:tcW w:w="1276" w:type="dxa"/>
            <w:shd w:val="clear" w:color="auto" w:fill="auto"/>
            <w:vAlign w:val="center"/>
          </w:tcPr>
          <w:p>
            <w:pPr>
              <w:widowControl/>
              <w:jc w:val="center"/>
              <w:rPr>
                <w:kern w:val="0"/>
                <w:sz w:val="20"/>
                <w:szCs w:val="20"/>
              </w:rPr>
            </w:pPr>
            <w:r>
              <w:rPr>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固态聚合物锂电池投资项目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待定</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项目瞄准“中国制造2025”发展方向，以固态聚合物锂电池研发技术、设备和市场为基础（所生产电池用于纯电动大巴车，满电继航里程超过1000公里），合作投资开发并生产2GWH规模固态聚合物锂离子动力电池、换电设备和储能管理系统等产品和设备</w:t>
            </w:r>
          </w:p>
        </w:tc>
        <w:tc>
          <w:tcPr>
            <w:tcW w:w="1503" w:type="dxa"/>
            <w:shd w:val="clear" w:color="auto" w:fill="auto"/>
            <w:vAlign w:val="center"/>
          </w:tcPr>
          <w:p>
            <w:pPr>
              <w:widowControl/>
              <w:jc w:val="center"/>
              <w:rPr>
                <w:kern w:val="0"/>
                <w:sz w:val="20"/>
                <w:szCs w:val="20"/>
              </w:rPr>
            </w:pPr>
            <w:r>
              <w:rPr>
                <w:kern w:val="0"/>
                <w:sz w:val="20"/>
                <w:szCs w:val="20"/>
              </w:rPr>
              <w:t>1000000</w:t>
            </w:r>
          </w:p>
        </w:tc>
        <w:tc>
          <w:tcPr>
            <w:tcW w:w="1276" w:type="dxa"/>
            <w:shd w:val="clear" w:color="auto" w:fill="auto"/>
            <w:vAlign w:val="center"/>
          </w:tcPr>
          <w:p>
            <w:pPr>
              <w:widowControl/>
              <w:jc w:val="center"/>
              <w:rPr>
                <w:kern w:val="0"/>
                <w:sz w:val="20"/>
                <w:szCs w:val="20"/>
              </w:rPr>
            </w:pPr>
            <w:r>
              <w:rPr>
                <w:kern w:val="0"/>
                <w:sz w:val="20"/>
                <w:szCs w:val="20"/>
              </w:rPr>
              <w:t>　</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三、能源电力类项目（52个）</w:t>
            </w:r>
          </w:p>
        </w:tc>
        <w:tc>
          <w:tcPr>
            <w:tcW w:w="1503"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2416119</w:t>
            </w:r>
          </w:p>
        </w:tc>
        <w:tc>
          <w:tcPr>
            <w:tcW w:w="1276"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c>
          <w:tcPr>
            <w:tcW w:w="2401"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（一）2</w:t>
            </w:r>
            <w:r>
              <w:rPr>
                <w:rFonts w:ascii="楷体" w:hAnsi="楷体" w:eastAsia="楷体" w:cs="宋体"/>
                <w:b/>
                <w:kern w:val="0"/>
                <w:sz w:val="24"/>
                <w:szCs w:val="20"/>
              </w:rPr>
              <w:t>022年前建成项目</w:t>
            </w:r>
            <w:r>
              <w:rPr>
                <w:rFonts w:hint="eastAsia" w:ascii="楷体" w:hAnsi="楷体" w:eastAsia="楷体" w:cs="宋体"/>
                <w:b/>
                <w:kern w:val="0"/>
                <w:sz w:val="24"/>
                <w:szCs w:val="20"/>
              </w:rPr>
              <w:t>（</w:t>
            </w:r>
            <w:r>
              <w:rPr>
                <w:rFonts w:ascii="楷体" w:hAnsi="楷体" w:eastAsia="楷体" w:cs="宋体"/>
                <w:b/>
                <w:kern w:val="0"/>
                <w:sz w:val="24"/>
                <w:szCs w:val="20"/>
              </w:rPr>
              <w:t>15</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536779</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重庆华电奉节康乐50MW分布式光伏发电项目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建设选用530Wp的单晶高效半片组件86470块，总装机容量为50MW，占地面积约2300亩。</w:t>
            </w:r>
          </w:p>
        </w:tc>
        <w:tc>
          <w:tcPr>
            <w:tcW w:w="1503" w:type="dxa"/>
            <w:shd w:val="clear" w:color="auto" w:fill="auto"/>
            <w:vAlign w:val="center"/>
          </w:tcPr>
          <w:p>
            <w:pPr>
              <w:widowControl/>
              <w:jc w:val="center"/>
              <w:rPr>
                <w:kern w:val="0"/>
                <w:sz w:val="20"/>
                <w:szCs w:val="20"/>
              </w:rPr>
            </w:pPr>
            <w:r>
              <w:rPr>
                <w:kern w:val="0"/>
                <w:sz w:val="20"/>
                <w:szCs w:val="20"/>
              </w:rPr>
              <w:t>20000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青龙镇200MW光伏项目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青龙镇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装机容量200MW</w:t>
            </w:r>
          </w:p>
        </w:tc>
        <w:tc>
          <w:tcPr>
            <w:tcW w:w="1503" w:type="dxa"/>
            <w:shd w:val="clear" w:color="auto" w:fill="auto"/>
            <w:vAlign w:val="center"/>
          </w:tcPr>
          <w:p>
            <w:pPr>
              <w:widowControl/>
              <w:jc w:val="center"/>
              <w:rPr>
                <w:kern w:val="0"/>
                <w:sz w:val="20"/>
                <w:szCs w:val="20"/>
              </w:rPr>
            </w:pPr>
            <w:r>
              <w:rPr>
                <w:kern w:val="0"/>
                <w:sz w:val="20"/>
                <w:szCs w:val="20"/>
              </w:rPr>
              <w:t>80000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重庆华电奉节草堂50MW分布式光伏发电项目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建设选用530Wp的单晶高效半片组件86470块，总装机容量为50MW，占地面积约2300亩。</w:t>
            </w:r>
          </w:p>
        </w:tc>
        <w:tc>
          <w:tcPr>
            <w:tcW w:w="1503" w:type="dxa"/>
            <w:shd w:val="clear" w:color="auto" w:fill="auto"/>
            <w:vAlign w:val="center"/>
          </w:tcPr>
          <w:p>
            <w:pPr>
              <w:widowControl/>
              <w:jc w:val="center"/>
              <w:rPr>
                <w:kern w:val="0"/>
                <w:sz w:val="20"/>
                <w:szCs w:val="20"/>
              </w:rPr>
            </w:pPr>
            <w:r>
              <w:rPr>
                <w:kern w:val="0"/>
                <w:sz w:val="20"/>
                <w:szCs w:val="20"/>
              </w:rPr>
              <w:t>20000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79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奉节县石岗公平100MW复合光伏发电项目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相关乡镇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购置安装太阳能组件、逆变器、支架等相关组件设备，形成100MW装机容量规模。</w:t>
            </w:r>
          </w:p>
        </w:tc>
        <w:tc>
          <w:tcPr>
            <w:tcW w:w="1503" w:type="dxa"/>
            <w:shd w:val="clear" w:color="auto" w:fill="auto"/>
            <w:vAlign w:val="center"/>
          </w:tcPr>
          <w:p>
            <w:pPr>
              <w:widowControl/>
              <w:jc w:val="center"/>
              <w:rPr>
                <w:kern w:val="0"/>
                <w:sz w:val="20"/>
                <w:szCs w:val="20"/>
              </w:rPr>
            </w:pPr>
            <w:r>
              <w:rPr>
                <w:kern w:val="0"/>
                <w:sz w:val="20"/>
                <w:szCs w:val="20"/>
              </w:rPr>
              <w:t>53000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奉节县青莲80MW复合光伏发电项目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青莲镇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购置安装太阳能组件、逆变器、支架等相关组建设备，形成80MW装机容量规模。</w:t>
            </w:r>
          </w:p>
        </w:tc>
        <w:tc>
          <w:tcPr>
            <w:tcW w:w="1503" w:type="dxa"/>
            <w:shd w:val="clear" w:color="auto" w:fill="auto"/>
            <w:vAlign w:val="center"/>
          </w:tcPr>
          <w:p>
            <w:pPr>
              <w:widowControl/>
              <w:jc w:val="center"/>
              <w:rPr>
                <w:kern w:val="0"/>
                <w:sz w:val="20"/>
                <w:szCs w:val="20"/>
              </w:rPr>
            </w:pPr>
            <w:r>
              <w:rPr>
                <w:kern w:val="0"/>
                <w:sz w:val="20"/>
                <w:szCs w:val="20"/>
              </w:rPr>
              <w:t>42000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奉节县红土50MW复合光伏发电项目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红土乡</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续建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购置安装太阳能组件、逆变器、支架等相关组建设备，形成50MW装机容量规模。</w:t>
            </w:r>
          </w:p>
        </w:tc>
        <w:tc>
          <w:tcPr>
            <w:tcW w:w="1503" w:type="dxa"/>
            <w:shd w:val="clear" w:color="auto" w:fill="auto"/>
            <w:vAlign w:val="center"/>
          </w:tcPr>
          <w:p>
            <w:pPr>
              <w:widowControl/>
              <w:jc w:val="center"/>
              <w:rPr>
                <w:kern w:val="0"/>
                <w:sz w:val="20"/>
                <w:szCs w:val="20"/>
              </w:rPr>
            </w:pPr>
            <w:r>
              <w:rPr>
                <w:kern w:val="0"/>
                <w:sz w:val="20"/>
                <w:szCs w:val="20"/>
              </w:rPr>
              <w:t>23000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奉节分水岭风电项目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太和乡、云雾乡</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装机容量100MW</w:t>
            </w:r>
          </w:p>
        </w:tc>
        <w:tc>
          <w:tcPr>
            <w:tcW w:w="1503" w:type="dxa"/>
            <w:shd w:val="clear" w:color="auto" w:fill="auto"/>
            <w:vAlign w:val="center"/>
          </w:tcPr>
          <w:p>
            <w:pPr>
              <w:widowControl/>
              <w:jc w:val="center"/>
              <w:rPr>
                <w:kern w:val="0"/>
                <w:sz w:val="20"/>
                <w:szCs w:val="20"/>
              </w:rPr>
            </w:pPr>
            <w:r>
              <w:rPr>
                <w:kern w:val="0"/>
                <w:sz w:val="20"/>
                <w:szCs w:val="20"/>
              </w:rPr>
              <w:t>77000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奉节城区老旧小区燃气管道配套设施整改工程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奉节城镇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燃气中压管道42184米、低压19180米，阀井146座</w:t>
            </w:r>
          </w:p>
        </w:tc>
        <w:tc>
          <w:tcPr>
            <w:tcW w:w="1503" w:type="dxa"/>
            <w:shd w:val="clear" w:color="auto" w:fill="auto"/>
            <w:vAlign w:val="center"/>
          </w:tcPr>
          <w:p>
            <w:pPr>
              <w:widowControl/>
              <w:jc w:val="center"/>
              <w:rPr>
                <w:kern w:val="0"/>
                <w:sz w:val="20"/>
                <w:szCs w:val="20"/>
              </w:rPr>
            </w:pPr>
            <w:r>
              <w:rPr>
                <w:kern w:val="0"/>
                <w:sz w:val="20"/>
                <w:szCs w:val="20"/>
              </w:rPr>
              <w:t>2679</w:t>
            </w:r>
          </w:p>
        </w:tc>
        <w:tc>
          <w:tcPr>
            <w:tcW w:w="1276" w:type="dxa"/>
            <w:shd w:val="clear" w:color="auto" w:fill="auto"/>
            <w:vAlign w:val="center"/>
          </w:tcPr>
          <w:p>
            <w:pPr>
              <w:widowControl/>
              <w:jc w:val="center"/>
              <w:rPr>
                <w:kern w:val="0"/>
                <w:sz w:val="20"/>
                <w:szCs w:val="20"/>
              </w:rPr>
            </w:pPr>
            <w:r>
              <w:rPr>
                <w:kern w:val="0"/>
                <w:sz w:val="20"/>
                <w:szCs w:val="20"/>
              </w:rPr>
              <w:t>2020.-2022.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2022年电网升级改造</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相关乡镇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改造10kV及以下线路45km，增加变压器12500kVA。</w:t>
            </w:r>
          </w:p>
        </w:tc>
        <w:tc>
          <w:tcPr>
            <w:tcW w:w="1503" w:type="dxa"/>
            <w:shd w:val="clear" w:color="auto" w:fill="auto"/>
            <w:vAlign w:val="center"/>
          </w:tcPr>
          <w:p>
            <w:pPr>
              <w:widowControl/>
              <w:jc w:val="center"/>
              <w:rPr>
                <w:kern w:val="0"/>
                <w:sz w:val="20"/>
                <w:szCs w:val="20"/>
              </w:rPr>
            </w:pPr>
            <w:r>
              <w:rPr>
                <w:kern w:val="0"/>
                <w:sz w:val="20"/>
                <w:szCs w:val="20"/>
              </w:rPr>
              <w:t>11000</w:t>
            </w:r>
          </w:p>
        </w:tc>
        <w:tc>
          <w:tcPr>
            <w:tcW w:w="1276" w:type="dxa"/>
            <w:shd w:val="clear" w:color="auto" w:fill="auto"/>
            <w:vAlign w:val="center"/>
          </w:tcPr>
          <w:p>
            <w:pPr>
              <w:widowControl/>
              <w:jc w:val="center"/>
              <w:rPr>
                <w:kern w:val="0"/>
                <w:sz w:val="20"/>
                <w:szCs w:val="20"/>
              </w:rPr>
            </w:pPr>
            <w:r>
              <w:rPr>
                <w:kern w:val="0"/>
                <w:sz w:val="20"/>
                <w:szCs w:val="20"/>
              </w:rPr>
              <w:t>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奉节南岸片区LCNG加气站建设</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永乐镇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加气站用地、基础建设、设备设施等</w:t>
            </w:r>
          </w:p>
        </w:tc>
        <w:tc>
          <w:tcPr>
            <w:tcW w:w="1503" w:type="dxa"/>
            <w:shd w:val="clear" w:color="auto" w:fill="auto"/>
            <w:vAlign w:val="center"/>
          </w:tcPr>
          <w:p>
            <w:pPr>
              <w:widowControl/>
              <w:jc w:val="center"/>
              <w:rPr>
                <w:kern w:val="0"/>
                <w:sz w:val="20"/>
                <w:szCs w:val="20"/>
              </w:rPr>
            </w:pPr>
            <w:r>
              <w:rPr>
                <w:kern w:val="0"/>
                <w:sz w:val="20"/>
                <w:szCs w:val="20"/>
              </w:rPr>
              <w:t>1500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奉节朝阳坪风电场项目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云雾乡、太和乡</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装机容量50MW</w:t>
            </w:r>
          </w:p>
        </w:tc>
        <w:tc>
          <w:tcPr>
            <w:tcW w:w="1503" w:type="dxa"/>
            <w:shd w:val="clear" w:color="auto" w:fill="auto"/>
            <w:vAlign w:val="center"/>
          </w:tcPr>
          <w:p>
            <w:pPr>
              <w:widowControl/>
              <w:jc w:val="center"/>
              <w:rPr>
                <w:kern w:val="0"/>
                <w:sz w:val="20"/>
                <w:szCs w:val="20"/>
              </w:rPr>
            </w:pPr>
            <w:r>
              <w:rPr>
                <w:kern w:val="0"/>
                <w:sz w:val="20"/>
                <w:szCs w:val="20"/>
              </w:rPr>
              <w:t>42000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奉节蜀鄂风电场项目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龙桥乡</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装机容量51MW</w:t>
            </w:r>
          </w:p>
        </w:tc>
        <w:tc>
          <w:tcPr>
            <w:tcW w:w="1503" w:type="dxa"/>
            <w:shd w:val="clear" w:color="auto" w:fill="auto"/>
            <w:vAlign w:val="center"/>
          </w:tcPr>
          <w:p>
            <w:pPr>
              <w:widowControl/>
              <w:jc w:val="center"/>
              <w:rPr>
                <w:kern w:val="0"/>
                <w:sz w:val="20"/>
                <w:szCs w:val="20"/>
              </w:rPr>
            </w:pPr>
            <w:r>
              <w:rPr>
                <w:kern w:val="0"/>
                <w:sz w:val="20"/>
                <w:szCs w:val="20"/>
              </w:rPr>
              <w:t>42000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88</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奉节县环保能源发电厂项目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奉节县康乐镇横路村</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储备</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装机容量18MW</w:t>
            </w:r>
          </w:p>
        </w:tc>
        <w:tc>
          <w:tcPr>
            <w:tcW w:w="1503" w:type="dxa"/>
            <w:shd w:val="clear" w:color="auto" w:fill="auto"/>
            <w:vAlign w:val="center"/>
          </w:tcPr>
          <w:p>
            <w:pPr>
              <w:widowControl/>
              <w:jc w:val="center"/>
              <w:rPr>
                <w:kern w:val="0"/>
                <w:sz w:val="20"/>
                <w:szCs w:val="20"/>
              </w:rPr>
            </w:pPr>
            <w:r>
              <w:rPr>
                <w:kern w:val="0"/>
                <w:sz w:val="20"/>
                <w:szCs w:val="20"/>
              </w:rPr>
              <w:t>62000</w:t>
            </w:r>
          </w:p>
        </w:tc>
        <w:tc>
          <w:tcPr>
            <w:tcW w:w="1276" w:type="dxa"/>
            <w:shd w:val="clear" w:color="auto" w:fill="auto"/>
            <w:vAlign w:val="center"/>
          </w:tcPr>
          <w:p>
            <w:pPr>
              <w:widowControl/>
              <w:jc w:val="center"/>
              <w:rPr>
                <w:kern w:val="0"/>
                <w:sz w:val="20"/>
                <w:szCs w:val="20"/>
              </w:rPr>
            </w:pPr>
            <w:r>
              <w:rPr>
                <w:kern w:val="0"/>
                <w:sz w:val="20"/>
                <w:szCs w:val="20"/>
              </w:rPr>
              <w:t>2021-2022</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89</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奉节县金凤山风电场二期扩建项目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兴隆镇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装机容量65MW</w:t>
            </w:r>
          </w:p>
        </w:tc>
        <w:tc>
          <w:tcPr>
            <w:tcW w:w="1503" w:type="dxa"/>
            <w:shd w:val="clear" w:color="auto" w:fill="auto"/>
            <w:vAlign w:val="center"/>
          </w:tcPr>
          <w:p>
            <w:pPr>
              <w:widowControl/>
              <w:jc w:val="center"/>
              <w:rPr>
                <w:kern w:val="0"/>
                <w:sz w:val="20"/>
                <w:szCs w:val="20"/>
              </w:rPr>
            </w:pPr>
            <w:r>
              <w:rPr>
                <w:kern w:val="0"/>
                <w:sz w:val="20"/>
                <w:szCs w:val="20"/>
              </w:rPr>
              <w:t>60000</w:t>
            </w:r>
          </w:p>
        </w:tc>
        <w:tc>
          <w:tcPr>
            <w:tcW w:w="1276" w:type="dxa"/>
            <w:shd w:val="clear" w:color="auto" w:fill="auto"/>
            <w:vAlign w:val="center"/>
          </w:tcPr>
          <w:p>
            <w:pPr>
              <w:widowControl/>
              <w:jc w:val="center"/>
              <w:rPr>
                <w:kern w:val="0"/>
                <w:sz w:val="20"/>
                <w:szCs w:val="20"/>
              </w:rPr>
            </w:pPr>
            <w:r>
              <w:rPr>
                <w:kern w:val="0"/>
                <w:sz w:val="20"/>
                <w:szCs w:val="20"/>
              </w:rPr>
              <w:t>2020-2021</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90</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奉节草堂工业园区储配站</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草堂工业园区</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建设撬站及100水立方储罐</w:t>
            </w:r>
          </w:p>
        </w:tc>
        <w:tc>
          <w:tcPr>
            <w:tcW w:w="1503" w:type="dxa"/>
            <w:shd w:val="clear" w:color="auto" w:fill="auto"/>
            <w:vAlign w:val="center"/>
          </w:tcPr>
          <w:p>
            <w:pPr>
              <w:widowControl/>
              <w:jc w:val="center"/>
              <w:rPr>
                <w:kern w:val="0"/>
                <w:sz w:val="20"/>
                <w:szCs w:val="20"/>
              </w:rPr>
            </w:pPr>
            <w:r>
              <w:rPr>
                <w:kern w:val="0"/>
                <w:sz w:val="20"/>
                <w:szCs w:val="20"/>
              </w:rPr>
              <w:t>600</w:t>
            </w:r>
          </w:p>
        </w:tc>
        <w:tc>
          <w:tcPr>
            <w:tcW w:w="1276" w:type="dxa"/>
            <w:shd w:val="clear" w:color="auto" w:fill="auto"/>
            <w:vAlign w:val="center"/>
          </w:tcPr>
          <w:p>
            <w:pPr>
              <w:widowControl/>
              <w:jc w:val="center"/>
              <w:rPr>
                <w:kern w:val="0"/>
                <w:sz w:val="20"/>
                <w:szCs w:val="20"/>
              </w:rPr>
            </w:pPr>
            <w:r>
              <w:rPr>
                <w:kern w:val="0"/>
                <w:sz w:val="20"/>
                <w:szCs w:val="20"/>
              </w:rPr>
              <w:t>2021-2021</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（二）2</w:t>
            </w:r>
            <w:r>
              <w:rPr>
                <w:rFonts w:ascii="楷体" w:hAnsi="楷体" w:eastAsia="楷体" w:cs="宋体"/>
                <w:b/>
                <w:kern w:val="0"/>
                <w:sz w:val="24"/>
                <w:szCs w:val="20"/>
              </w:rPr>
              <w:t>023年前建成项目</w:t>
            </w:r>
            <w:r>
              <w:rPr>
                <w:rFonts w:hint="eastAsia" w:ascii="楷体" w:hAnsi="楷体" w:eastAsia="楷体" w:cs="宋体"/>
                <w:b/>
                <w:kern w:val="0"/>
                <w:sz w:val="24"/>
                <w:szCs w:val="20"/>
              </w:rPr>
              <w:t>（7个）</w:t>
            </w:r>
          </w:p>
        </w:tc>
        <w:tc>
          <w:tcPr>
            <w:tcW w:w="1503" w:type="dxa"/>
            <w:shd w:val="clear" w:color="auto" w:fill="auto"/>
            <w:vAlign w:val="center"/>
          </w:tcPr>
          <w:p>
            <w:pPr>
              <w:widowControl/>
              <w:jc w:val="center"/>
              <w:rPr>
                <w:b/>
                <w:kern w:val="0"/>
                <w:sz w:val="24"/>
                <w:szCs w:val="20"/>
              </w:rPr>
            </w:pPr>
            <w:r>
              <w:rPr>
                <w:b/>
                <w:kern w:val="0"/>
                <w:sz w:val="24"/>
                <w:szCs w:val="20"/>
              </w:rPr>
              <w:t>257620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91</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重庆奉节红马-汾河35kV线路增容改造工程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康乐镇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改造35kV线路7.6km。</w:t>
            </w:r>
          </w:p>
        </w:tc>
        <w:tc>
          <w:tcPr>
            <w:tcW w:w="1503" w:type="dxa"/>
            <w:shd w:val="clear" w:color="auto" w:fill="auto"/>
            <w:vAlign w:val="center"/>
          </w:tcPr>
          <w:p>
            <w:pPr>
              <w:widowControl/>
              <w:jc w:val="center"/>
              <w:rPr>
                <w:kern w:val="0"/>
                <w:sz w:val="20"/>
                <w:szCs w:val="20"/>
              </w:rPr>
            </w:pPr>
            <w:r>
              <w:rPr>
                <w:kern w:val="0"/>
                <w:sz w:val="20"/>
                <w:szCs w:val="20"/>
              </w:rPr>
              <w:t>860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92</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华电奉节发电厂工业节能低碳项目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拟建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#1机组空预器蓄热元件改造；#2机组空预器蓄热元件改造；#1炉烟气余热利用改造；#2炉烟气余热利用改造；锅炉灵活性改造；燃料智能化建设</w:t>
            </w:r>
          </w:p>
        </w:tc>
        <w:tc>
          <w:tcPr>
            <w:tcW w:w="1503" w:type="dxa"/>
            <w:shd w:val="clear" w:color="auto" w:fill="auto"/>
            <w:vAlign w:val="center"/>
          </w:tcPr>
          <w:p>
            <w:pPr>
              <w:widowControl/>
              <w:jc w:val="center"/>
              <w:rPr>
                <w:kern w:val="0"/>
                <w:sz w:val="20"/>
                <w:szCs w:val="20"/>
              </w:rPr>
            </w:pPr>
            <w:r>
              <w:rPr>
                <w:kern w:val="0"/>
                <w:sz w:val="20"/>
                <w:szCs w:val="20"/>
              </w:rPr>
              <w:t>6710</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93</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奉节县南岸片区乡镇供气工程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各乡镇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新民镇、羊市镇、青龙镇、五马镇、安坪镇、鹤峰乡、云雾乡、冯坪乡、龙桥乡、太和乡、长安乡南岸共计11个乡镇LNG液化天然气供气站及管网工程。</w:t>
            </w:r>
          </w:p>
        </w:tc>
        <w:tc>
          <w:tcPr>
            <w:tcW w:w="1503" w:type="dxa"/>
            <w:shd w:val="clear" w:color="auto" w:fill="auto"/>
            <w:vAlign w:val="center"/>
          </w:tcPr>
          <w:p>
            <w:pPr>
              <w:widowControl/>
              <w:jc w:val="center"/>
              <w:rPr>
                <w:kern w:val="0"/>
                <w:sz w:val="20"/>
                <w:szCs w:val="20"/>
              </w:rPr>
            </w:pPr>
            <w:r>
              <w:rPr>
                <w:kern w:val="0"/>
                <w:sz w:val="20"/>
                <w:szCs w:val="20"/>
              </w:rPr>
              <w:t>12000</w:t>
            </w:r>
          </w:p>
        </w:tc>
        <w:tc>
          <w:tcPr>
            <w:tcW w:w="1276" w:type="dxa"/>
            <w:shd w:val="clear" w:color="auto" w:fill="auto"/>
            <w:vAlign w:val="center"/>
          </w:tcPr>
          <w:p>
            <w:pPr>
              <w:widowControl/>
              <w:jc w:val="center"/>
              <w:rPr>
                <w:kern w:val="0"/>
                <w:sz w:val="20"/>
                <w:szCs w:val="20"/>
              </w:rPr>
            </w:pPr>
            <w:r>
              <w:rPr>
                <w:kern w:val="0"/>
                <w:sz w:val="20"/>
                <w:szCs w:val="20"/>
              </w:rPr>
              <w:t>2020-2023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94</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云奉巫天然气管道复线建设项目</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相关乡镇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自中石油万云线末站，途径奉节西部新区配气站，至巫山县配气站，修建天然气输送管道，管道全长144.8km，管径D323.9mm。</w:t>
            </w:r>
          </w:p>
        </w:tc>
        <w:tc>
          <w:tcPr>
            <w:tcW w:w="1503" w:type="dxa"/>
            <w:shd w:val="clear" w:color="auto" w:fill="auto"/>
            <w:vAlign w:val="center"/>
          </w:tcPr>
          <w:p>
            <w:pPr>
              <w:widowControl/>
              <w:jc w:val="center"/>
              <w:rPr>
                <w:kern w:val="0"/>
                <w:sz w:val="20"/>
                <w:szCs w:val="20"/>
              </w:rPr>
            </w:pPr>
            <w:r>
              <w:rPr>
                <w:kern w:val="0"/>
                <w:sz w:val="20"/>
                <w:szCs w:val="20"/>
              </w:rPr>
              <w:t>69800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95</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重庆奉节新能源充电桩建设</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全县</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建设1800个公共充电桩（360个快充桩、1440个慢充桩），分散式充电桩20200个，共22000个充电桩。</w:t>
            </w:r>
          </w:p>
        </w:tc>
        <w:tc>
          <w:tcPr>
            <w:tcW w:w="1503" w:type="dxa"/>
            <w:shd w:val="clear" w:color="auto" w:fill="auto"/>
            <w:vAlign w:val="center"/>
          </w:tcPr>
          <w:p>
            <w:pPr>
              <w:widowControl/>
              <w:jc w:val="center"/>
              <w:rPr>
                <w:kern w:val="0"/>
                <w:sz w:val="20"/>
                <w:szCs w:val="20"/>
              </w:rPr>
            </w:pPr>
            <w:r>
              <w:rPr>
                <w:kern w:val="0"/>
                <w:sz w:val="20"/>
                <w:szCs w:val="20"/>
              </w:rPr>
              <w:t>150000</w:t>
            </w:r>
          </w:p>
        </w:tc>
        <w:tc>
          <w:tcPr>
            <w:tcW w:w="1276" w:type="dxa"/>
            <w:shd w:val="clear" w:color="auto" w:fill="auto"/>
            <w:vAlign w:val="center"/>
          </w:tcPr>
          <w:p>
            <w:pPr>
              <w:widowControl/>
              <w:jc w:val="center"/>
              <w:rPr>
                <w:kern w:val="0"/>
                <w:sz w:val="20"/>
                <w:szCs w:val="20"/>
              </w:rPr>
            </w:pPr>
            <w:r>
              <w:rPr>
                <w:kern w:val="0"/>
                <w:sz w:val="20"/>
                <w:szCs w:val="20"/>
              </w:rPr>
              <w:t>2021-2023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96</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重庆奉节大木-铁甲110kV线路工程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相关乡镇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改造线路29.7km。</w:t>
            </w:r>
          </w:p>
        </w:tc>
        <w:tc>
          <w:tcPr>
            <w:tcW w:w="1503" w:type="dxa"/>
            <w:shd w:val="clear" w:color="auto" w:fill="auto"/>
            <w:vAlign w:val="center"/>
          </w:tcPr>
          <w:p>
            <w:pPr>
              <w:widowControl/>
              <w:jc w:val="center"/>
              <w:rPr>
                <w:kern w:val="0"/>
                <w:sz w:val="20"/>
                <w:szCs w:val="20"/>
              </w:rPr>
            </w:pPr>
            <w:r>
              <w:rPr>
                <w:kern w:val="0"/>
                <w:sz w:val="20"/>
                <w:szCs w:val="20"/>
              </w:rPr>
              <w:t>8650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kern w:val="0"/>
                <w:sz w:val="20"/>
                <w:szCs w:val="20"/>
              </w:rPr>
              <w:t>97</w:t>
            </w:r>
          </w:p>
        </w:tc>
        <w:tc>
          <w:tcPr>
            <w:tcW w:w="31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重庆奉节铁甲-朱衣110千伏线路工程</w:t>
            </w:r>
          </w:p>
        </w:tc>
        <w:tc>
          <w:tcPr>
            <w:tcW w:w="1418"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新民镇、朱衣镇</w:t>
            </w:r>
          </w:p>
        </w:tc>
        <w:tc>
          <w:tcPr>
            <w:tcW w:w="1254"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w:t>
            </w:r>
          </w:p>
        </w:tc>
        <w:tc>
          <w:tcPr>
            <w:tcW w:w="4320"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新建110kV线路32km。</w:t>
            </w:r>
          </w:p>
        </w:tc>
        <w:tc>
          <w:tcPr>
            <w:tcW w:w="1503" w:type="dxa"/>
            <w:shd w:val="clear" w:color="auto" w:fill="auto"/>
            <w:vAlign w:val="center"/>
          </w:tcPr>
          <w:p>
            <w:pPr>
              <w:widowControl/>
              <w:jc w:val="center"/>
              <w:rPr>
                <w:kern w:val="0"/>
                <w:sz w:val="20"/>
                <w:szCs w:val="20"/>
              </w:rPr>
            </w:pPr>
            <w:r>
              <w:rPr>
                <w:kern w:val="0"/>
                <w:sz w:val="20"/>
                <w:szCs w:val="20"/>
              </w:rPr>
              <w:t>9600</w:t>
            </w:r>
          </w:p>
        </w:tc>
        <w:tc>
          <w:tcPr>
            <w:tcW w:w="1276" w:type="dxa"/>
            <w:shd w:val="clear" w:color="auto" w:fill="auto"/>
            <w:vAlign w:val="center"/>
          </w:tcPr>
          <w:p>
            <w:pPr>
              <w:widowControl/>
              <w:jc w:val="center"/>
              <w:rPr>
                <w:kern w:val="0"/>
                <w:sz w:val="20"/>
                <w:szCs w:val="20"/>
              </w:rPr>
            </w:pPr>
            <w:r>
              <w:rPr>
                <w:kern w:val="0"/>
                <w:sz w:val="20"/>
                <w:szCs w:val="20"/>
              </w:rPr>
              <w:t>2022-2023</w:t>
            </w:r>
          </w:p>
        </w:tc>
        <w:tc>
          <w:tcPr>
            <w:tcW w:w="2401" w:type="dxa"/>
            <w:shd w:val="clear" w:color="auto" w:fill="auto"/>
            <w:vAlign w:val="center"/>
          </w:tcPr>
          <w:p>
            <w:pPr>
              <w:widowControl/>
              <w:jc w:val="center"/>
              <w:rPr>
                <w:rFonts w:ascii="楷体" w:hAnsi="楷体" w:eastAsia="楷体" w:cs="宋体"/>
                <w:kern w:val="0"/>
                <w:sz w:val="20"/>
                <w:szCs w:val="20"/>
              </w:rPr>
            </w:pPr>
            <w:r>
              <w:rPr>
                <w:rFonts w:hint="eastAsia" w:ascii="楷体" w:hAnsi="楷体" w:eastAsia="楷体" w:cs="宋体"/>
                <w:kern w:val="0"/>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（三）2</w:t>
            </w:r>
            <w:r>
              <w:rPr>
                <w:rFonts w:ascii="楷体" w:hAnsi="楷体" w:eastAsia="楷体" w:cs="宋体"/>
                <w:b/>
                <w:kern w:val="0"/>
                <w:sz w:val="24"/>
                <w:szCs w:val="20"/>
              </w:rPr>
              <w:t>024年前建成项目</w:t>
            </w:r>
            <w:r>
              <w:rPr>
                <w:rFonts w:hint="eastAsia" w:ascii="楷体" w:hAnsi="楷体" w:eastAsia="楷体" w:cs="宋体"/>
                <w:b/>
                <w:kern w:val="0"/>
                <w:sz w:val="24"/>
                <w:szCs w:val="20"/>
              </w:rPr>
              <w:t>（</w:t>
            </w:r>
            <w:r>
              <w:rPr>
                <w:rFonts w:ascii="楷体" w:hAnsi="楷体" w:eastAsia="楷体" w:cs="宋体"/>
                <w:b/>
                <w:kern w:val="0"/>
                <w:sz w:val="24"/>
                <w:szCs w:val="20"/>
              </w:rPr>
              <w:t>8</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510300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sz w:val="20"/>
                <w:szCs w:val="20"/>
              </w:rPr>
              <w:t>98</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重庆奉节草堂110kV输变电工程</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草堂镇、汾河镇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1.开断110kV奉泾线Π接进拟建草堂110kV变电站，线路长度2*1.5km；新建1回奉节-草堂站110kV线路15km。2.新建变电站1座，变电容量2*50MVA，110/35/10；110kV远期4回，本期3回，35kV远期6回，本期4回，10kV远期36回，本期24回。3.奉节站扩建110kV间隔1个。</w:t>
            </w:r>
          </w:p>
        </w:tc>
        <w:tc>
          <w:tcPr>
            <w:tcW w:w="1503" w:type="dxa"/>
            <w:shd w:val="clear" w:color="auto" w:fill="auto"/>
            <w:vAlign w:val="center"/>
          </w:tcPr>
          <w:p>
            <w:pPr>
              <w:jc w:val="center"/>
              <w:rPr>
                <w:sz w:val="20"/>
                <w:szCs w:val="20"/>
              </w:rPr>
            </w:pPr>
            <w:r>
              <w:rPr>
                <w:sz w:val="20"/>
                <w:szCs w:val="20"/>
              </w:rPr>
              <w:t>6750</w:t>
            </w:r>
          </w:p>
        </w:tc>
        <w:tc>
          <w:tcPr>
            <w:tcW w:w="1276" w:type="dxa"/>
            <w:shd w:val="clear" w:color="auto" w:fill="auto"/>
            <w:vAlign w:val="center"/>
          </w:tcPr>
          <w:p>
            <w:pPr>
              <w:jc w:val="center"/>
              <w:rPr>
                <w:sz w:val="20"/>
                <w:szCs w:val="20"/>
              </w:rPr>
            </w:pPr>
            <w:r>
              <w:rPr>
                <w:sz w:val="20"/>
                <w:szCs w:val="20"/>
              </w:rPr>
              <w:t>2023-2024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99</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奉节尖子山风电场（一期、二期）项目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云雾乡</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续建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装机容量：一期60MW、二期50MW</w:t>
            </w:r>
          </w:p>
        </w:tc>
        <w:tc>
          <w:tcPr>
            <w:tcW w:w="1503" w:type="dxa"/>
            <w:shd w:val="clear" w:color="auto" w:fill="auto"/>
            <w:vAlign w:val="center"/>
          </w:tcPr>
          <w:p>
            <w:pPr>
              <w:jc w:val="center"/>
              <w:rPr>
                <w:sz w:val="20"/>
                <w:szCs w:val="20"/>
              </w:rPr>
            </w:pPr>
            <w:r>
              <w:rPr>
                <w:sz w:val="20"/>
                <w:szCs w:val="20"/>
              </w:rPr>
              <w:t>139000</w:t>
            </w:r>
          </w:p>
        </w:tc>
        <w:tc>
          <w:tcPr>
            <w:tcW w:w="1276" w:type="dxa"/>
            <w:shd w:val="clear" w:color="auto" w:fill="auto"/>
            <w:vAlign w:val="center"/>
          </w:tcPr>
          <w:p>
            <w:pPr>
              <w:jc w:val="center"/>
              <w:rPr>
                <w:sz w:val="20"/>
                <w:szCs w:val="20"/>
              </w:rPr>
            </w:pPr>
            <w:r>
              <w:rPr>
                <w:sz w:val="20"/>
                <w:szCs w:val="20"/>
              </w:rPr>
              <w:t>2020-2024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100</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重庆华电奉节杉树包二期30MW风电项目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装机规模3万千瓦风电。</w:t>
            </w:r>
          </w:p>
        </w:tc>
        <w:tc>
          <w:tcPr>
            <w:tcW w:w="1503" w:type="dxa"/>
            <w:shd w:val="clear" w:color="auto" w:fill="auto"/>
            <w:vAlign w:val="center"/>
          </w:tcPr>
          <w:p>
            <w:pPr>
              <w:jc w:val="center"/>
              <w:rPr>
                <w:sz w:val="20"/>
                <w:szCs w:val="20"/>
              </w:rPr>
            </w:pPr>
            <w:r>
              <w:rPr>
                <w:sz w:val="20"/>
                <w:szCs w:val="20"/>
              </w:rPr>
              <w:t>25200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101</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重庆华电奉节龙家坪50MW风电项目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装机规模5万千瓦风电。</w:t>
            </w:r>
          </w:p>
        </w:tc>
        <w:tc>
          <w:tcPr>
            <w:tcW w:w="1503" w:type="dxa"/>
            <w:shd w:val="clear" w:color="auto" w:fill="auto"/>
            <w:vAlign w:val="center"/>
          </w:tcPr>
          <w:p>
            <w:pPr>
              <w:jc w:val="center"/>
              <w:rPr>
                <w:sz w:val="20"/>
                <w:szCs w:val="20"/>
              </w:rPr>
            </w:pPr>
            <w:r>
              <w:rPr>
                <w:sz w:val="20"/>
                <w:szCs w:val="20"/>
              </w:rPr>
              <w:t>42000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102</w:t>
            </w:r>
          </w:p>
        </w:tc>
        <w:tc>
          <w:tcPr>
            <w:tcW w:w="3118" w:type="dxa"/>
            <w:shd w:val="clear" w:color="auto" w:fill="auto"/>
            <w:vAlign w:val="center"/>
          </w:tcPr>
          <w:p>
            <w:pPr>
              <w:jc w:val="left"/>
              <w:rPr>
                <w:rFonts w:ascii="楷体" w:hAnsi="楷体" w:eastAsia="楷体" w:cs="宋体"/>
                <w:sz w:val="20"/>
                <w:szCs w:val="20"/>
              </w:rPr>
            </w:pPr>
            <w:r>
              <w:rPr>
                <w:rFonts w:hint="eastAsia" w:ascii="楷体" w:hAnsi="楷体" w:eastAsia="楷体"/>
                <w:sz w:val="20"/>
                <w:szCs w:val="20"/>
              </w:rPr>
              <w:t>重庆大唐青莲</w:t>
            </w:r>
            <w:r>
              <w:rPr>
                <w:rFonts w:eastAsia="楷体"/>
                <w:sz w:val="20"/>
                <w:szCs w:val="20"/>
              </w:rPr>
              <w:t>130MW</w:t>
            </w:r>
            <w:r>
              <w:rPr>
                <w:rFonts w:hint="eastAsia" w:ascii="楷体" w:hAnsi="楷体" w:eastAsia="楷体"/>
                <w:sz w:val="20"/>
                <w:szCs w:val="20"/>
              </w:rPr>
              <w:t>风电项目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装机规模</w:t>
            </w:r>
            <w:r>
              <w:rPr>
                <w:rFonts w:eastAsia="楷体"/>
                <w:sz w:val="20"/>
                <w:szCs w:val="20"/>
              </w:rPr>
              <w:t>13</w:t>
            </w:r>
            <w:r>
              <w:rPr>
                <w:rFonts w:hint="eastAsia" w:ascii="楷体" w:hAnsi="楷体" w:eastAsia="楷体"/>
                <w:sz w:val="20"/>
                <w:szCs w:val="20"/>
              </w:rPr>
              <w:t>万千瓦风电。</w:t>
            </w:r>
          </w:p>
        </w:tc>
        <w:tc>
          <w:tcPr>
            <w:tcW w:w="1503" w:type="dxa"/>
            <w:shd w:val="clear" w:color="auto" w:fill="auto"/>
            <w:vAlign w:val="center"/>
          </w:tcPr>
          <w:p>
            <w:pPr>
              <w:jc w:val="center"/>
              <w:rPr>
                <w:sz w:val="20"/>
                <w:szCs w:val="20"/>
              </w:rPr>
            </w:pPr>
            <w:r>
              <w:rPr>
                <w:sz w:val="20"/>
                <w:szCs w:val="20"/>
              </w:rPr>
              <w:t>109200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103</w:t>
            </w:r>
          </w:p>
        </w:tc>
        <w:tc>
          <w:tcPr>
            <w:tcW w:w="3118" w:type="dxa"/>
            <w:shd w:val="clear" w:color="auto" w:fill="auto"/>
            <w:vAlign w:val="center"/>
          </w:tcPr>
          <w:p>
            <w:pPr>
              <w:jc w:val="left"/>
              <w:rPr>
                <w:rFonts w:ascii="楷体" w:hAnsi="楷体" w:eastAsia="楷体" w:cs="宋体"/>
                <w:sz w:val="20"/>
                <w:szCs w:val="20"/>
              </w:rPr>
            </w:pPr>
            <w:r>
              <w:rPr>
                <w:rFonts w:hint="eastAsia" w:ascii="楷体" w:hAnsi="楷体" w:eastAsia="楷体"/>
                <w:sz w:val="20"/>
                <w:szCs w:val="20"/>
              </w:rPr>
              <w:t>重庆大唐大树</w:t>
            </w:r>
            <w:r>
              <w:rPr>
                <w:rFonts w:eastAsia="楷体"/>
                <w:sz w:val="20"/>
                <w:szCs w:val="20"/>
              </w:rPr>
              <w:t>60MW</w:t>
            </w:r>
            <w:r>
              <w:rPr>
                <w:rFonts w:hint="eastAsia" w:ascii="楷体" w:hAnsi="楷体" w:eastAsia="楷体"/>
                <w:sz w:val="20"/>
                <w:szCs w:val="20"/>
              </w:rPr>
              <w:t>风电项目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装机规模</w:t>
            </w:r>
            <w:r>
              <w:rPr>
                <w:rFonts w:eastAsia="楷体"/>
                <w:sz w:val="20"/>
                <w:szCs w:val="20"/>
              </w:rPr>
              <w:t>6</w:t>
            </w:r>
            <w:r>
              <w:rPr>
                <w:rFonts w:hint="eastAsia" w:ascii="楷体" w:hAnsi="楷体" w:eastAsia="楷体"/>
                <w:sz w:val="20"/>
                <w:szCs w:val="20"/>
              </w:rPr>
              <w:t>万千瓦风电。</w:t>
            </w:r>
          </w:p>
        </w:tc>
        <w:tc>
          <w:tcPr>
            <w:tcW w:w="1503" w:type="dxa"/>
            <w:shd w:val="clear" w:color="auto" w:fill="auto"/>
            <w:vAlign w:val="center"/>
          </w:tcPr>
          <w:p>
            <w:pPr>
              <w:jc w:val="center"/>
              <w:rPr>
                <w:sz w:val="20"/>
                <w:szCs w:val="20"/>
              </w:rPr>
            </w:pPr>
            <w:r>
              <w:rPr>
                <w:sz w:val="20"/>
                <w:szCs w:val="20"/>
              </w:rPr>
              <w:t>50400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104</w:t>
            </w:r>
          </w:p>
        </w:tc>
        <w:tc>
          <w:tcPr>
            <w:tcW w:w="3118" w:type="dxa"/>
            <w:shd w:val="clear" w:color="auto" w:fill="auto"/>
            <w:vAlign w:val="center"/>
          </w:tcPr>
          <w:p>
            <w:pPr>
              <w:jc w:val="left"/>
              <w:rPr>
                <w:rFonts w:ascii="楷体" w:hAnsi="楷体" w:eastAsia="楷体" w:cs="宋体"/>
                <w:sz w:val="20"/>
                <w:szCs w:val="20"/>
              </w:rPr>
            </w:pPr>
            <w:r>
              <w:rPr>
                <w:rFonts w:hint="eastAsia" w:ascii="楷体" w:hAnsi="楷体" w:eastAsia="楷体"/>
                <w:sz w:val="20"/>
                <w:szCs w:val="20"/>
              </w:rPr>
              <w:t>分布式光伏项目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新建</w:t>
            </w:r>
            <w:r>
              <w:rPr>
                <w:rFonts w:eastAsia="楷体"/>
                <w:sz w:val="20"/>
                <w:szCs w:val="20"/>
              </w:rPr>
              <w:t>0.6</w:t>
            </w:r>
            <w:r>
              <w:rPr>
                <w:rFonts w:hint="eastAsia" w:ascii="楷体" w:hAnsi="楷体" w:eastAsia="楷体"/>
                <w:sz w:val="20"/>
                <w:szCs w:val="20"/>
              </w:rPr>
              <w:t>千瓦分布式光伏</w:t>
            </w:r>
            <w:r>
              <w:rPr>
                <w:rFonts w:eastAsia="楷体"/>
                <w:sz w:val="20"/>
                <w:szCs w:val="20"/>
              </w:rPr>
              <w:t>10</w:t>
            </w:r>
            <w:r>
              <w:rPr>
                <w:rFonts w:hint="eastAsia" w:ascii="楷体" w:hAnsi="楷体" w:eastAsia="楷体"/>
                <w:sz w:val="20"/>
                <w:szCs w:val="20"/>
              </w:rPr>
              <w:t>个</w:t>
            </w:r>
          </w:p>
        </w:tc>
        <w:tc>
          <w:tcPr>
            <w:tcW w:w="1503" w:type="dxa"/>
            <w:shd w:val="clear" w:color="auto" w:fill="auto"/>
            <w:vAlign w:val="center"/>
          </w:tcPr>
          <w:p>
            <w:pPr>
              <w:jc w:val="center"/>
              <w:rPr>
                <w:sz w:val="20"/>
                <w:szCs w:val="20"/>
              </w:rPr>
            </w:pPr>
            <w:r>
              <w:rPr>
                <w:sz w:val="20"/>
                <w:szCs w:val="20"/>
              </w:rPr>
              <w:t>30000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105</w:t>
            </w:r>
          </w:p>
        </w:tc>
        <w:tc>
          <w:tcPr>
            <w:tcW w:w="3118" w:type="dxa"/>
            <w:shd w:val="clear" w:color="auto" w:fill="auto"/>
            <w:vAlign w:val="center"/>
          </w:tcPr>
          <w:p>
            <w:pPr>
              <w:jc w:val="left"/>
              <w:rPr>
                <w:rFonts w:ascii="楷体" w:hAnsi="楷体" w:eastAsia="楷体" w:cs="宋体"/>
                <w:sz w:val="20"/>
                <w:szCs w:val="20"/>
              </w:rPr>
            </w:pPr>
            <w:r>
              <w:rPr>
                <w:rFonts w:hint="eastAsia" w:ascii="楷体" w:hAnsi="楷体" w:eastAsia="楷体"/>
                <w:sz w:val="20"/>
                <w:szCs w:val="20"/>
              </w:rPr>
              <w:t>整县屋顶分布式光伏项目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新建</w:t>
            </w:r>
            <w:r>
              <w:rPr>
                <w:rFonts w:eastAsia="楷体"/>
                <w:sz w:val="20"/>
                <w:szCs w:val="20"/>
              </w:rPr>
              <w:t>21.55</w:t>
            </w:r>
            <w:r>
              <w:rPr>
                <w:rFonts w:hint="eastAsia" w:ascii="楷体" w:hAnsi="楷体" w:eastAsia="楷体"/>
                <w:sz w:val="20"/>
                <w:szCs w:val="20"/>
              </w:rPr>
              <w:t>万千瓦屋顶分布式光伏项目</w:t>
            </w:r>
          </w:p>
        </w:tc>
        <w:tc>
          <w:tcPr>
            <w:tcW w:w="1503" w:type="dxa"/>
            <w:shd w:val="clear" w:color="auto" w:fill="auto"/>
            <w:vAlign w:val="center"/>
          </w:tcPr>
          <w:p>
            <w:pPr>
              <w:jc w:val="center"/>
              <w:rPr>
                <w:sz w:val="20"/>
                <w:szCs w:val="20"/>
              </w:rPr>
            </w:pPr>
            <w:r>
              <w:rPr>
                <w:sz w:val="20"/>
                <w:szCs w:val="20"/>
              </w:rPr>
              <w:t>107750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（四）2</w:t>
            </w:r>
            <w:r>
              <w:rPr>
                <w:rFonts w:ascii="楷体" w:hAnsi="楷体" w:eastAsia="楷体" w:cs="宋体"/>
                <w:b/>
                <w:kern w:val="0"/>
                <w:sz w:val="24"/>
                <w:szCs w:val="20"/>
              </w:rPr>
              <w:t>025年前建成项目</w:t>
            </w:r>
            <w:r>
              <w:rPr>
                <w:rFonts w:hint="eastAsia" w:ascii="楷体" w:hAnsi="楷体" w:eastAsia="楷体" w:cs="宋体"/>
                <w:b/>
                <w:kern w:val="0"/>
                <w:sz w:val="24"/>
                <w:szCs w:val="20"/>
              </w:rPr>
              <w:t>（</w:t>
            </w:r>
            <w:r>
              <w:rPr>
                <w:rFonts w:ascii="楷体" w:hAnsi="楷体" w:eastAsia="楷体" w:cs="宋体"/>
                <w:b/>
                <w:kern w:val="0"/>
                <w:sz w:val="24"/>
                <w:szCs w:val="20"/>
              </w:rPr>
              <w:t>17</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221666</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106</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陆地集中式光伏</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新建30万千瓦陆地集中式光伏项目</w:t>
            </w:r>
          </w:p>
        </w:tc>
        <w:tc>
          <w:tcPr>
            <w:tcW w:w="1503" w:type="dxa"/>
            <w:shd w:val="clear" w:color="auto" w:fill="auto"/>
            <w:vAlign w:val="center"/>
          </w:tcPr>
          <w:p>
            <w:pPr>
              <w:jc w:val="center"/>
              <w:rPr>
                <w:sz w:val="20"/>
                <w:szCs w:val="20"/>
              </w:rPr>
            </w:pPr>
            <w:r>
              <w:rPr>
                <w:sz w:val="20"/>
                <w:szCs w:val="20"/>
              </w:rPr>
              <w:t>150000</w:t>
            </w:r>
          </w:p>
        </w:tc>
        <w:tc>
          <w:tcPr>
            <w:tcW w:w="1276" w:type="dxa"/>
            <w:shd w:val="clear" w:color="auto" w:fill="auto"/>
            <w:vAlign w:val="center"/>
          </w:tcPr>
          <w:p>
            <w:pPr>
              <w:jc w:val="center"/>
              <w:rPr>
                <w:sz w:val="20"/>
                <w:szCs w:val="20"/>
              </w:rPr>
            </w:pPr>
            <w:r>
              <w:rPr>
                <w:sz w:val="20"/>
                <w:szCs w:val="20"/>
              </w:rPr>
              <w:t>2023-2025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107</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云奉南岸长输管网</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长输管道、场站及相关设施</w:t>
            </w:r>
          </w:p>
        </w:tc>
        <w:tc>
          <w:tcPr>
            <w:tcW w:w="1503" w:type="dxa"/>
            <w:shd w:val="clear" w:color="auto" w:fill="auto"/>
            <w:vAlign w:val="center"/>
          </w:tcPr>
          <w:p>
            <w:pPr>
              <w:jc w:val="center"/>
              <w:rPr>
                <w:sz w:val="20"/>
                <w:szCs w:val="20"/>
              </w:rPr>
            </w:pPr>
            <w:r>
              <w:rPr>
                <w:sz w:val="20"/>
                <w:szCs w:val="20"/>
              </w:rPr>
              <w:t>20000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108</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永乐LNG船加注站码头</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永乐镇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码头基础建设、加注船舶工艺设备设施、储存300立方储罐2个等</w:t>
            </w:r>
          </w:p>
        </w:tc>
        <w:tc>
          <w:tcPr>
            <w:tcW w:w="1503" w:type="dxa"/>
            <w:shd w:val="clear" w:color="auto" w:fill="auto"/>
            <w:vAlign w:val="center"/>
          </w:tcPr>
          <w:p>
            <w:pPr>
              <w:jc w:val="center"/>
              <w:rPr>
                <w:sz w:val="20"/>
                <w:szCs w:val="20"/>
              </w:rPr>
            </w:pPr>
            <w:r>
              <w:rPr>
                <w:sz w:val="20"/>
                <w:szCs w:val="20"/>
              </w:rPr>
              <w:t>12500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109</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重庆奉节新民35千伏变电站1、2号主变增容改造工程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新民镇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主变2台，容量20MVA；线路长度1.82km。</w:t>
            </w:r>
          </w:p>
        </w:tc>
        <w:tc>
          <w:tcPr>
            <w:tcW w:w="1503" w:type="dxa"/>
            <w:shd w:val="clear" w:color="auto" w:fill="auto"/>
            <w:vAlign w:val="center"/>
          </w:tcPr>
          <w:p>
            <w:pPr>
              <w:jc w:val="center"/>
              <w:rPr>
                <w:sz w:val="20"/>
                <w:szCs w:val="20"/>
              </w:rPr>
            </w:pPr>
            <w:r>
              <w:rPr>
                <w:sz w:val="20"/>
                <w:szCs w:val="20"/>
              </w:rPr>
              <w:t>1425</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110</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重庆奉节下坝35千伏变电站1、2号主变增容改造工程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安坪镇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主变2台，容量12.6MVA；线路长度2km。</w:t>
            </w:r>
          </w:p>
        </w:tc>
        <w:tc>
          <w:tcPr>
            <w:tcW w:w="1503" w:type="dxa"/>
            <w:shd w:val="clear" w:color="auto" w:fill="auto"/>
            <w:vAlign w:val="center"/>
          </w:tcPr>
          <w:p>
            <w:pPr>
              <w:jc w:val="center"/>
              <w:rPr>
                <w:sz w:val="20"/>
                <w:szCs w:val="20"/>
              </w:rPr>
            </w:pPr>
            <w:r>
              <w:rPr>
                <w:sz w:val="20"/>
                <w:szCs w:val="20"/>
              </w:rPr>
              <w:t>1164</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111</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重庆奉节草堂110千伏变电站35千伏送出工程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草堂镇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新建线路34km.</w:t>
            </w:r>
          </w:p>
        </w:tc>
        <w:tc>
          <w:tcPr>
            <w:tcW w:w="1503" w:type="dxa"/>
            <w:shd w:val="clear" w:color="auto" w:fill="auto"/>
            <w:vAlign w:val="center"/>
          </w:tcPr>
          <w:p>
            <w:pPr>
              <w:jc w:val="center"/>
              <w:rPr>
                <w:sz w:val="20"/>
                <w:szCs w:val="20"/>
              </w:rPr>
            </w:pPr>
            <w:r>
              <w:rPr>
                <w:sz w:val="20"/>
                <w:szCs w:val="20"/>
              </w:rPr>
              <w:t>3110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112</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重庆奉节羊市35千伏输变电工程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羊市镇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主变2台，容量12.6MVA；线路长度32km。</w:t>
            </w:r>
          </w:p>
        </w:tc>
        <w:tc>
          <w:tcPr>
            <w:tcW w:w="1503" w:type="dxa"/>
            <w:shd w:val="clear" w:color="auto" w:fill="auto"/>
            <w:vAlign w:val="center"/>
          </w:tcPr>
          <w:p>
            <w:pPr>
              <w:jc w:val="center"/>
              <w:rPr>
                <w:sz w:val="20"/>
                <w:szCs w:val="20"/>
              </w:rPr>
            </w:pPr>
            <w:r>
              <w:rPr>
                <w:sz w:val="20"/>
                <w:szCs w:val="20"/>
              </w:rPr>
              <w:t>3545</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113</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重庆奉节红马-覃家包35千伏线路增容改造工程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公平镇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改造线路25.37km.</w:t>
            </w:r>
          </w:p>
        </w:tc>
        <w:tc>
          <w:tcPr>
            <w:tcW w:w="1503" w:type="dxa"/>
            <w:shd w:val="clear" w:color="auto" w:fill="auto"/>
            <w:vAlign w:val="center"/>
          </w:tcPr>
          <w:p>
            <w:pPr>
              <w:jc w:val="center"/>
              <w:rPr>
                <w:sz w:val="20"/>
                <w:szCs w:val="20"/>
              </w:rPr>
            </w:pPr>
            <w:r>
              <w:rPr>
                <w:sz w:val="20"/>
                <w:szCs w:val="20"/>
              </w:rPr>
              <w:t>1903</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114</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重庆奉节覃家包-新政35千伏线路增容改造工程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公平镇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改造线路18.67km.</w:t>
            </w:r>
          </w:p>
        </w:tc>
        <w:tc>
          <w:tcPr>
            <w:tcW w:w="1503" w:type="dxa"/>
            <w:shd w:val="clear" w:color="auto" w:fill="auto"/>
            <w:vAlign w:val="center"/>
          </w:tcPr>
          <w:p>
            <w:pPr>
              <w:jc w:val="center"/>
              <w:rPr>
                <w:sz w:val="20"/>
                <w:szCs w:val="20"/>
              </w:rPr>
            </w:pPr>
            <w:r>
              <w:rPr>
                <w:sz w:val="20"/>
                <w:szCs w:val="20"/>
              </w:rPr>
              <w:t>1400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115</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重庆奉节大木-兴隆35千伏线路增容改造工程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兴隆镇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改造线路29.9km.</w:t>
            </w:r>
          </w:p>
        </w:tc>
        <w:tc>
          <w:tcPr>
            <w:tcW w:w="1503" w:type="dxa"/>
            <w:shd w:val="clear" w:color="auto" w:fill="auto"/>
            <w:vAlign w:val="center"/>
          </w:tcPr>
          <w:p>
            <w:pPr>
              <w:jc w:val="center"/>
              <w:rPr>
                <w:sz w:val="20"/>
                <w:szCs w:val="20"/>
              </w:rPr>
            </w:pPr>
            <w:r>
              <w:rPr>
                <w:sz w:val="20"/>
                <w:szCs w:val="20"/>
              </w:rPr>
              <w:t>2243</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116</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重庆奉节大木-吐祥35千伏线路工程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吐祥镇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新建线路22km</w:t>
            </w:r>
          </w:p>
        </w:tc>
        <w:tc>
          <w:tcPr>
            <w:tcW w:w="1503" w:type="dxa"/>
            <w:shd w:val="clear" w:color="auto" w:fill="auto"/>
            <w:vAlign w:val="center"/>
          </w:tcPr>
          <w:p>
            <w:pPr>
              <w:jc w:val="center"/>
              <w:rPr>
                <w:sz w:val="20"/>
                <w:szCs w:val="20"/>
              </w:rPr>
            </w:pPr>
            <w:r>
              <w:rPr>
                <w:sz w:val="20"/>
                <w:szCs w:val="20"/>
              </w:rPr>
              <w:t>1650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117</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重庆奉节羊市坪-安坪35千伏线路增容改造工程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永乐镇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改造线路18.5km.</w:t>
            </w:r>
          </w:p>
        </w:tc>
        <w:tc>
          <w:tcPr>
            <w:tcW w:w="1503" w:type="dxa"/>
            <w:shd w:val="clear" w:color="auto" w:fill="auto"/>
            <w:vAlign w:val="center"/>
          </w:tcPr>
          <w:p>
            <w:pPr>
              <w:jc w:val="center"/>
              <w:rPr>
                <w:sz w:val="20"/>
                <w:szCs w:val="20"/>
              </w:rPr>
            </w:pPr>
            <w:r>
              <w:rPr>
                <w:sz w:val="20"/>
                <w:szCs w:val="20"/>
              </w:rPr>
              <w:t>1406</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118</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重庆奉节朱衣110千伏输变电工程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朱衣镇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主变2台，容量100MVA；线路长度17.2km。</w:t>
            </w:r>
          </w:p>
        </w:tc>
        <w:tc>
          <w:tcPr>
            <w:tcW w:w="1503" w:type="dxa"/>
            <w:shd w:val="clear" w:color="auto" w:fill="auto"/>
            <w:vAlign w:val="center"/>
          </w:tcPr>
          <w:p>
            <w:pPr>
              <w:jc w:val="center"/>
              <w:rPr>
                <w:sz w:val="20"/>
                <w:szCs w:val="20"/>
              </w:rPr>
            </w:pPr>
            <w:r>
              <w:rPr>
                <w:sz w:val="20"/>
                <w:szCs w:val="20"/>
              </w:rPr>
              <w:t>4725</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51" w:type="dxa"/>
            <w:shd w:val="clear" w:color="auto" w:fill="auto"/>
            <w:vAlign w:val="center"/>
          </w:tcPr>
          <w:p>
            <w:pPr>
              <w:jc w:val="center"/>
              <w:rPr>
                <w:sz w:val="20"/>
                <w:szCs w:val="20"/>
              </w:rPr>
            </w:pPr>
            <w:r>
              <w:rPr>
                <w:sz w:val="20"/>
                <w:szCs w:val="20"/>
              </w:rPr>
              <w:t>119</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重庆奉节清水110千伏变电站3号主变扩建工程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西部新区</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主变2台，容量80MVA；增容至120MVA。</w:t>
            </w:r>
          </w:p>
        </w:tc>
        <w:tc>
          <w:tcPr>
            <w:tcW w:w="1503" w:type="dxa"/>
            <w:shd w:val="clear" w:color="auto" w:fill="auto"/>
            <w:vAlign w:val="center"/>
          </w:tcPr>
          <w:p>
            <w:pPr>
              <w:jc w:val="center"/>
              <w:rPr>
                <w:sz w:val="20"/>
                <w:szCs w:val="20"/>
              </w:rPr>
            </w:pPr>
            <w:r>
              <w:rPr>
                <w:sz w:val="20"/>
                <w:szCs w:val="20"/>
              </w:rPr>
              <w:t>545</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120</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重庆奉节云雾山风电220千伏送出工程</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新民镇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新建220千伏线路53km。</w:t>
            </w:r>
          </w:p>
        </w:tc>
        <w:tc>
          <w:tcPr>
            <w:tcW w:w="1503" w:type="dxa"/>
            <w:shd w:val="clear" w:color="auto" w:fill="auto"/>
            <w:vAlign w:val="center"/>
          </w:tcPr>
          <w:p>
            <w:pPr>
              <w:jc w:val="center"/>
              <w:rPr>
                <w:sz w:val="20"/>
                <w:szCs w:val="20"/>
              </w:rPr>
            </w:pPr>
            <w:r>
              <w:rPr>
                <w:sz w:val="20"/>
                <w:szCs w:val="20"/>
              </w:rPr>
              <w:t>6450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121</w:t>
            </w:r>
          </w:p>
        </w:tc>
        <w:tc>
          <w:tcPr>
            <w:tcW w:w="3118" w:type="dxa"/>
            <w:shd w:val="clear" w:color="auto" w:fill="auto"/>
            <w:vAlign w:val="center"/>
          </w:tcPr>
          <w:p>
            <w:pPr>
              <w:spacing w:line="240" w:lineRule="exact"/>
              <w:jc w:val="center"/>
              <w:rPr>
                <w:rFonts w:ascii="楷体" w:hAnsi="楷体" w:eastAsia="楷体" w:cs="宋体"/>
                <w:sz w:val="20"/>
                <w:szCs w:val="20"/>
              </w:rPr>
            </w:pPr>
            <w:r>
              <w:rPr>
                <w:rFonts w:hint="eastAsia" w:ascii="楷体" w:hAnsi="楷体" w:eastAsia="楷体"/>
                <w:sz w:val="20"/>
                <w:szCs w:val="20"/>
              </w:rPr>
              <w:t>纤维厂一二级电站</w:t>
            </w:r>
          </w:p>
        </w:tc>
        <w:tc>
          <w:tcPr>
            <w:tcW w:w="1418"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康乐镇、汾河镇</w:t>
            </w:r>
          </w:p>
        </w:tc>
        <w:tc>
          <w:tcPr>
            <w:tcW w:w="1254"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spacing w:line="240" w:lineRule="exact"/>
              <w:jc w:val="center"/>
              <w:rPr>
                <w:rFonts w:ascii="楷体" w:hAnsi="楷体" w:eastAsia="楷体"/>
                <w:sz w:val="20"/>
                <w:szCs w:val="20"/>
              </w:rPr>
            </w:pPr>
            <w:r>
              <w:rPr>
                <w:rFonts w:hint="eastAsia" w:ascii="楷体" w:hAnsi="楷体" w:eastAsia="楷体"/>
                <w:sz w:val="20"/>
                <w:szCs w:val="20"/>
              </w:rPr>
              <w:t>装机容量0.53万千瓦</w:t>
            </w:r>
          </w:p>
        </w:tc>
        <w:tc>
          <w:tcPr>
            <w:tcW w:w="1503" w:type="dxa"/>
            <w:shd w:val="clear" w:color="auto" w:fill="auto"/>
            <w:vAlign w:val="center"/>
          </w:tcPr>
          <w:p>
            <w:pPr>
              <w:jc w:val="center"/>
              <w:rPr>
                <w:sz w:val="20"/>
                <w:szCs w:val="20"/>
              </w:rPr>
            </w:pPr>
            <w:r>
              <w:rPr>
                <w:sz w:val="20"/>
                <w:szCs w:val="20"/>
              </w:rPr>
              <w:t>4000</w:t>
            </w:r>
          </w:p>
        </w:tc>
        <w:tc>
          <w:tcPr>
            <w:tcW w:w="1276"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2025年前建成投用</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122</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竹林湾电站</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五马镇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装机容量0.48万千瓦</w:t>
            </w:r>
          </w:p>
        </w:tc>
        <w:tc>
          <w:tcPr>
            <w:tcW w:w="1503" w:type="dxa"/>
            <w:shd w:val="clear" w:color="auto" w:fill="auto"/>
            <w:vAlign w:val="center"/>
          </w:tcPr>
          <w:p>
            <w:pPr>
              <w:jc w:val="center"/>
              <w:rPr>
                <w:sz w:val="20"/>
                <w:szCs w:val="20"/>
              </w:rPr>
            </w:pPr>
            <w:r>
              <w:rPr>
                <w:sz w:val="20"/>
                <w:szCs w:val="20"/>
              </w:rPr>
              <w:t>5600</w:t>
            </w:r>
          </w:p>
        </w:tc>
        <w:tc>
          <w:tcPr>
            <w:tcW w:w="1276"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2025年前建成投用</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123</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茅草坝水电站</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长安乡</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装机容量7万千瓦</w:t>
            </w:r>
          </w:p>
        </w:tc>
        <w:tc>
          <w:tcPr>
            <w:tcW w:w="1503" w:type="dxa"/>
            <w:shd w:val="clear" w:color="auto" w:fill="auto"/>
            <w:vAlign w:val="center"/>
          </w:tcPr>
          <w:p>
            <w:pPr>
              <w:jc w:val="center"/>
              <w:rPr>
                <w:sz w:val="20"/>
                <w:szCs w:val="20"/>
              </w:rPr>
            </w:pPr>
            <w:r>
              <w:rPr>
                <w:sz w:val="20"/>
                <w:szCs w:val="20"/>
              </w:rPr>
              <w:t>　</w:t>
            </w:r>
          </w:p>
        </w:tc>
        <w:tc>
          <w:tcPr>
            <w:tcW w:w="1276"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2025年前建成投用</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（五）建设期限待定（4个）</w:t>
            </w:r>
          </w:p>
        </w:tc>
        <w:tc>
          <w:tcPr>
            <w:tcW w:w="1503" w:type="dxa"/>
            <w:shd w:val="clear" w:color="auto" w:fill="auto"/>
            <w:vAlign w:val="center"/>
          </w:tcPr>
          <w:p>
            <w:pPr>
              <w:widowControl/>
              <w:jc w:val="center"/>
              <w:rPr>
                <w:b/>
                <w:kern w:val="0"/>
                <w:sz w:val="24"/>
                <w:szCs w:val="20"/>
              </w:rPr>
            </w:pPr>
            <w:r>
              <w:rPr>
                <w:b/>
                <w:kern w:val="0"/>
                <w:sz w:val="24"/>
                <w:szCs w:val="20"/>
              </w:rPr>
              <w:t>889754</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124</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重庆市菜籽坝电站项目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兴隆镇、冯坪乡</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装机容量120MW</w:t>
            </w:r>
          </w:p>
        </w:tc>
        <w:tc>
          <w:tcPr>
            <w:tcW w:w="1503" w:type="dxa"/>
            <w:shd w:val="clear" w:color="auto" w:fill="auto"/>
            <w:vAlign w:val="center"/>
          </w:tcPr>
          <w:p>
            <w:pPr>
              <w:jc w:val="center"/>
              <w:rPr>
                <w:sz w:val="20"/>
                <w:szCs w:val="20"/>
              </w:rPr>
            </w:pPr>
            <w:r>
              <w:rPr>
                <w:rFonts w:hint="eastAsia"/>
                <w:sz w:val="20"/>
                <w:szCs w:val="20"/>
              </w:rPr>
              <w:t>821546</w:t>
            </w:r>
          </w:p>
        </w:tc>
        <w:tc>
          <w:tcPr>
            <w:tcW w:w="1276" w:type="dxa"/>
            <w:shd w:val="clear" w:color="auto" w:fill="auto"/>
            <w:vAlign w:val="center"/>
          </w:tcPr>
          <w:p>
            <w:pPr>
              <w:jc w:val="center"/>
              <w:rPr>
                <w:rFonts w:ascii="宋体" w:hAnsi="宋体" w:cs="宋体"/>
                <w:sz w:val="20"/>
                <w:szCs w:val="20"/>
              </w:rPr>
            </w:pPr>
            <w:r>
              <w:rPr>
                <w:rFonts w:hint="eastAsia"/>
                <w:sz w:val="20"/>
                <w:szCs w:val="20"/>
              </w:rPr>
              <w:t>　</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125</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璧山渡水电站整改扩容工程</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公平镇、石岗乡</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由拦河坝、引（取）水建筑区、发电建筑物组成。拦水建筑物沿用原电站拦水坝，并利用原取水口进行取水，本次设计仅对取水口进行改建，以满足引水要求，改建后闸门尺寸 5.5m×5.5m，闸门底高程 211.50m，闸门后接引水明渠。拟建电站采用隧洞引水，引水隧洞全长 16.335km，引水隧洞接取水闸门后明渠，设计引用流量 56.3m 3 /s，隧洞采用城门洞型，净空底宽 5.5m，直墙高 5.2m，拱高 1.6m。</w:t>
            </w:r>
          </w:p>
        </w:tc>
        <w:tc>
          <w:tcPr>
            <w:tcW w:w="1503" w:type="dxa"/>
            <w:shd w:val="clear" w:color="auto" w:fill="auto"/>
            <w:vAlign w:val="center"/>
          </w:tcPr>
          <w:p>
            <w:pPr>
              <w:jc w:val="center"/>
              <w:rPr>
                <w:sz w:val="20"/>
                <w:szCs w:val="20"/>
              </w:rPr>
            </w:pPr>
            <w:r>
              <w:rPr>
                <w:sz w:val="20"/>
                <w:szCs w:val="20"/>
              </w:rPr>
              <w:t>21854</w:t>
            </w:r>
          </w:p>
        </w:tc>
        <w:tc>
          <w:tcPr>
            <w:tcW w:w="1276" w:type="dxa"/>
            <w:shd w:val="clear" w:color="auto" w:fill="auto"/>
            <w:vAlign w:val="center"/>
          </w:tcPr>
          <w:p>
            <w:pPr>
              <w:jc w:val="center"/>
              <w:rPr>
                <w:rFonts w:ascii="宋体" w:hAnsi="宋体" w:cs="宋体"/>
                <w:sz w:val="20"/>
                <w:szCs w:val="20"/>
              </w:rPr>
            </w:pPr>
            <w:r>
              <w:rPr>
                <w:rFonts w:hint="eastAsia"/>
                <w:sz w:val="20"/>
                <w:szCs w:val="20"/>
              </w:rPr>
              <w:t>　</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县发展改革委、水利局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126</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奉节县草堂风电场项目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汾河镇等</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装机容量50MW</w:t>
            </w:r>
          </w:p>
        </w:tc>
        <w:tc>
          <w:tcPr>
            <w:tcW w:w="1503" w:type="dxa"/>
            <w:shd w:val="clear" w:color="auto" w:fill="auto"/>
            <w:vAlign w:val="center"/>
          </w:tcPr>
          <w:p>
            <w:pPr>
              <w:jc w:val="center"/>
              <w:rPr>
                <w:sz w:val="20"/>
                <w:szCs w:val="20"/>
              </w:rPr>
            </w:pPr>
            <w:r>
              <w:rPr>
                <w:sz w:val="20"/>
                <w:szCs w:val="20"/>
              </w:rPr>
              <w:t>37900</w:t>
            </w:r>
          </w:p>
        </w:tc>
        <w:tc>
          <w:tcPr>
            <w:tcW w:w="1276" w:type="dxa"/>
            <w:shd w:val="clear" w:color="auto" w:fill="auto"/>
            <w:vAlign w:val="center"/>
          </w:tcPr>
          <w:p>
            <w:pPr>
              <w:jc w:val="center"/>
              <w:rPr>
                <w:rFonts w:ascii="宋体" w:hAnsi="宋体" w:cs="宋体"/>
                <w:sz w:val="20"/>
                <w:szCs w:val="20"/>
              </w:rPr>
            </w:pPr>
            <w:r>
              <w:rPr>
                <w:rFonts w:hint="eastAsia"/>
                <w:sz w:val="20"/>
                <w:szCs w:val="20"/>
              </w:rPr>
              <w:t>　</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127</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园区、医院、商业综合体等大型用能单位的分布式能源项目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奉节县</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奉节县人民政府与投资方共同组建设立合资公司，参与奉节县天然气管网规划以及建设，新建LNG加气站、加氢站和充电桩等新能源基础设施。</w:t>
            </w:r>
          </w:p>
        </w:tc>
        <w:tc>
          <w:tcPr>
            <w:tcW w:w="1503" w:type="dxa"/>
            <w:shd w:val="clear" w:color="auto" w:fill="auto"/>
            <w:vAlign w:val="center"/>
          </w:tcPr>
          <w:p>
            <w:pPr>
              <w:jc w:val="center"/>
              <w:rPr>
                <w:sz w:val="20"/>
                <w:szCs w:val="20"/>
              </w:rPr>
            </w:pPr>
            <w:r>
              <w:rPr>
                <w:sz w:val="20"/>
                <w:szCs w:val="20"/>
              </w:rPr>
              <w:t>50000</w:t>
            </w:r>
          </w:p>
        </w:tc>
        <w:tc>
          <w:tcPr>
            <w:tcW w:w="1276" w:type="dxa"/>
            <w:shd w:val="clear" w:color="auto" w:fill="auto"/>
            <w:vAlign w:val="center"/>
          </w:tcPr>
          <w:p>
            <w:pPr>
              <w:jc w:val="center"/>
              <w:rPr>
                <w:sz w:val="20"/>
                <w:szCs w:val="20"/>
              </w:rPr>
            </w:pPr>
            <w:r>
              <w:rPr>
                <w:sz w:val="20"/>
                <w:szCs w:val="20"/>
              </w:rPr>
              <w:t>　</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四、大数据及信息化类项目（1</w:t>
            </w:r>
            <w:r>
              <w:rPr>
                <w:rFonts w:ascii="楷体" w:hAnsi="楷体" w:eastAsia="楷体" w:cs="宋体"/>
                <w:b/>
                <w:bCs/>
                <w:kern w:val="0"/>
                <w:sz w:val="28"/>
                <w:szCs w:val="28"/>
              </w:rPr>
              <w:t>8</w:t>
            </w:r>
            <w:r>
              <w:rPr>
                <w:rFonts w:hint="eastAsia" w:ascii="楷体" w:hAnsi="楷体" w:eastAsia="楷体" w:cs="宋体"/>
                <w:b/>
                <w:bCs/>
                <w:kern w:val="0"/>
                <w:sz w:val="28"/>
                <w:szCs w:val="28"/>
              </w:rPr>
              <w:t>个）</w:t>
            </w:r>
          </w:p>
        </w:tc>
        <w:tc>
          <w:tcPr>
            <w:tcW w:w="1503" w:type="dxa"/>
            <w:shd w:val="clear" w:color="auto" w:fill="auto"/>
            <w:vAlign w:val="center"/>
          </w:tcPr>
          <w:p>
            <w:pPr>
              <w:widowControl/>
              <w:jc w:val="left"/>
              <w:rPr>
                <w:rFonts w:ascii="楷体" w:hAnsi="楷体" w:eastAsia="楷体" w:cs="宋体"/>
                <w:b/>
                <w:bCs/>
                <w:kern w:val="0"/>
                <w:sz w:val="28"/>
                <w:szCs w:val="28"/>
              </w:rPr>
            </w:pPr>
            <w:r>
              <w:rPr>
                <w:rFonts w:ascii="楷体" w:hAnsi="楷体" w:eastAsia="楷体" w:cs="宋体"/>
                <w:b/>
                <w:bCs/>
                <w:kern w:val="0"/>
                <w:sz w:val="28"/>
                <w:szCs w:val="28"/>
              </w:rPr>
              <w:t>322390</w:t>
            </w:r>
          </w:p>
        </w:tc>
        <w:tc>
          <w:tcPr>
            <w:tcW w:w="1276"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c>
          <w:tcPr>
            <w:tcW w:w="2401" w:type="dxa"/>
            <w:shd w:val="clear" w:color="auto" w:fill="auto"/>
            <w:vAlign w:val="center"/>
          </w:tcPr>
          <w:p>
            <w:pPr>
              <w:widowControl/>
              <w:jc w:val="left"/>
              <w:rPr>
                <w:rFonts w:ascii="楷体" w:hAnsi="楷体" w:eastAsia="楷体" w:cs="宋体"/>
                <w:b/>
                <w:bCs/>
                <w:kern w:val="0"/>
                <w:sz w:val="28"/>
                <w:szCs w:val="28"/>
              </w:rPr>
            </w:pPr>
            <w:r>
              <w:rPr>
                <w:rFonts w:hint="eastAsia" w:ascii="楷体" w:hAnsi="楷体" w:eastAsia="楷体" w:cs="宋体"/>
                <w:b/>
                <w:bCs/>
                <w:kern w:val="0"/>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（一）2</w:t>
            </w:r>
            <w:r>
              <w:rPr>
                <w:rFonts w:ascii="楷体" w:hAnsi="楷体" w:eastAsia="楷体" w:cs="宋体"/>
                <w:b/>
                <w:kern w:val="0"/>
                <w:sz w:val="24"/>
                <w:szCs w:val="20"/>
              </w:rPr>
              <w:t>022年前建成项目</w:t>
            </w:r>
            <w:r>
              <w:rPr>
                <w:rFonts w:hint="eastAsia" w:ascii="楷体" w:hAnsi="楷体" w:eastAsia="楷体" w:cs="宋体"/>
                <w:b/>
                <w:kern w:val="0"/>
                <w:sz w:val="24"/>
                <w:szCs w:val="20"/>
              </w:rPr>
              <w:t>（</w:t>
            </w:r>
            <w:r>
              <w:rPr>
                <w:rFonts w:ascii="楷体" w:hAnsi="楷体" w:eastAsia="楷体" w:cs="宋体"/>
                <w:b/>
                <w:kern w:val="0"/>
                <w:sz w:val="24"/>
                <w:szCs w:val="20"/>
              </w:rPr>
              <w:t>3</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7300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sz w:val="20"/>
                <w:szCs w:val="20"/>
              </w:rPr>
              <w:t>128</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人工智能训练数据标注孵化基地项目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商会大厦</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建设开发运营人工智能训练标注孵化基地，服务成渝地区双城经济圈建设，进一步开拓全国数据标注业务市场。</w:t>
            </w:r>
          </w:p>
        </w:tc>
        <w:tc>
          <w:tcPr>
            <w:tcW w:w="1503"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2500</w:t>
            </w:r>
          </w:p>
        </w:tc>
        <w:tc>
          <w:tcPr>
            <w:tcW w:w="1276"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2022</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县投促中心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129</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奉节电信2021年5G建设项目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场镇建设70个5G基站。</w:t>
            </w:r>
          </w:p>
        </w:tc>
        <w:tc>
          <w:tcPr>
            <w:tcW w:w="1503"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 xml:space="preserve">2,100 </w:t>
            </w:r>
          </w:p>
        </w:tc>
        <w:tc>
          <w:tcPr>
            <w:tcW w:w="1276"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2022</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130</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2022年中国联通重庆奉节5G等无线网及配套建设项目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相关乡镇</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left"/>
              <w:rPr>
                <w:rFonts w:ascii="楷体" w:hAnsi="楷体" w:eastAsia="楷体"/>
                <w:sz w:val="20"/>
                <w:szCs w:val="20"/>
              </w:rPr>
            </w:pPr>
            <w:r>
              <w:rPr>
                <w:rFonts w:hint="eastAsia" w:ascii="楷体" w:hAnsi="楷体" w:eastAsia="楷体"/>
                <w:sz w:val="20"/>
                <w:szCs w:val="20"/>
              </w:rPr>
              <w:t>新建5G基站70个。</w:t>
            </w:r>
          </w:p>
        </w:tc>
        <w:tc>
          <w:tcPr>
            <w:tcW w:w="1503"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 xml:space="preserve">2,700 </w:t>
            </w:r>
          </w:p>
        </w:tc>
        <w:tc>
          <w:tcPr>
            <w:tcW w:w="1276"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2022</w:t>
            </w:r>
          </w:p>
        </w:tc>
        <w:tc>
          <w:tcPr>
            <w:tcW w:w="2401"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县经济信息委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（二）2</w:t>
            </w:r>
            <w:r>
              <w:rPr>
                <w:rFonts w:ascii="楷体" w:hAnsi="楷体" w:eastAsia="楷体" w:cs="宋体"/>
                <w:b/>
                <w:kern w:val="0"/>
                <w:sz w:val="24"/>
                <w:szCs w:val="20"/>
              </w:rPr>
              <w:t>024年前建成项目</w:t>
            </w:r>
            <w:r>
              <w:rPr>
                <w:rFonts w:hint="eastAsia" w:ascii="楷体" w:hAnsi="楷体" w:eastAsia="楷体" w:cs="宋体"/>
                <w:b/>
                <w:kern w:val="0"/>
                <w:sz w:val="24"/>
                <w:szCs w:val="20"/>
              </w:rPr>
              <w:t>（</w:t>
            </w:r>
            <w:r>
              <w:rPr>
                <w:rFonts w:ascii="楷体" w:hAnsi="楷体" w:eastAsia="楷体" w:cs="宋体"/>
                <w:b/>
                <w:kern w:val="0"/>
                <w:sz w:val="24"/>
                <w:szCs w:val="20"/>
              </w:rPr>
              <w:t>1</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20000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131</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奉节县新型智慧城市“智能中枢”项目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夔州街道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rPr>
                <w:rFonts w:ascii="楷体" w:hAnsi="楷体" w:eastAsia="楷体"/>
                <w:sz w:val="20"/>
                <w:szCs w:val="20"/>
              </w:rPr>
            </w:pPr>
            <w:r>
              <w:rPr>
                <w:rFonts w:hint="eastAsia" w:ascii="楷体" w:hAnsi="楷体" w:eastAsia="楷体"/>
                <w:sz w:val="20"/>
                <w:szCs w:val="20"/>
              </w:rPr>
              <w:t>1.统筹、拓展奉节已建设数据机房，建设奉节非结构化数据中心；2.建设新型智慧城市运行管理实体大厅3000平方米；3.建设部门政务数据资源池建设、主题数据库以及完善奉节县政务数据资源共享交换系统；4.建设时空信息平台、大数据分析平台、业务融合平台、智慧城市运行管理平台、特色应用场景以及市民生活统一服务门户。</w:t>
            </w:r>
          </w:p>
        </w:tc>
        <w:tc>
          <w:tcPr>
            <w:tcW w:w="1503" w:type="dxa"/>
            <w:shd w:val="clear" w:color="auto" w:fill="auto"/>
            <w:vAlign w:val="center"/>
          </w:tcPr>
          <w:p>
            <w:pPr>
              <w:jc w:val="center"/>
              <w:rPr>
                <w:sz w:val="20"/>
                <w:szCs w:val="20"/>
              </w:rPr>
            </w:pPr>
            <w:r>
              <w:rPr>
                <w:sz w:val="20"/>
                <w:szCs w:val="20"/>
              </w:rPr>
              <w:t>20000</w:t>
            </w:r>
          </w:p>
        </w:tc>
        <w:tc>
          <w:tcPr>
            <w:tcW w:w="1276" w:type="dxa"/>
            <w:shd w:val="clear" w:color="auto" w:fill="auto"/>
            <w:vAlign w:val="center"/>
          </w:tcPr>
          <w:p>
            <w:pPr>
              <w:jc w:val="center"/>
              <w:rPr>
                <w:sz w:val="20"/>
                <w:szCs w:val="20"/>
              </w:rPr>
            </w:pPr>
            <w:r>
              <w:rPr>
                <w:sz w:val="20"/>
                <w:szCs w:val="20"/>
              </w:rPr>
              <w:t>2022-2024</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（三）2</w:t>
            </w:r>
            <w:r>
              <w:rPr>
                <w:rFonts w:ascii="楷体" w:hAnsi="楷体" w:eastAsia="楷体" w:cs="宋体"/>
                <w:b/>
                <w:kern w:val="0"/>
                <w:sz w:val="24"/>
                <w:szCs w:val="20"/>
              </w:rPr>
              <w:t>025年前建成项目</w:t>
            </w:r>
            <w:r>
              <w:rPr>
                <w:rFonts w:hint="eastAsia" w:ascii="楷体" w:hAnsi="楷体" w:eastAsia="楷体" w:cs="宋体"/>
                <w:b/>
                <w:kern w:val="0"/>
                <w:sz w:val="24"/>
                <w:szCs w:val="20"/>
              </w:rPr>
              <w:t>（1</w:t>
            </w:r>
            <w:r>
              <w:rPr>
                <w:rFonts w:ascii="楷体" w:hAnsi="楷体" w:eastAsia="楷体" w:cs="宋体"/>
                <w:b/>
                <w:kern w:val="0"/>
                <w:sz w:val="24"/>
                <w:szCs w:val="20"/>
              </w:rPr>
              <w:t>3</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275890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132</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低碳经济产业园</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夔州街道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rPr>
                <w:rFonts w:ascii="楷体" w:hAnsi="楷体" w:eastAsia="楷体"/>
                <w:sz w:val="20"/>
                <w:szCs w:val="20"/>
              </w:rPr>
            </w:pPr>
            <w:r>
              <w:rPr>
                <w:rFonts w:hint="eastAsia" w:ascii="楷体" w:hAnsi="楷体" w:eastAsia="楷体"/>
                <w:sz w:val="20"/>
                <w:szCs w:val="20"/>
              </w:rPr>
              <w:t>一期工程：数据加工、产业实训、信创服务，商会大厦、能源大厦（总建筑面积10.4万平方米，其中商会大厦4.4万平方米，能源大厦6万平方米）；职教中心占地250亩。二期工程：低碳街区，低碳路政设施、建筑、交通、废弃物处置、水循环。新建20万平方米数字产业楼宇，10万平方米标准厂房（研发基地），5万平方米生活配套区。</w:t>
            </w:r>
          </w:p>
        </w:tc>
        <w:tc>
          <w:tcPr>
            <w:tcW w:w="1503" w:type="dxa"/>
            <w:shd w:val="clear" w:color="auto" w:fill="auto"/>
            <w:vAlign w:val="center"/>
          </w:tcPr>
          <w:p>
            <w:pPr>
              <w:jc w:val="center"/>
              <w:rPr>
                <w:sz w:val="20"/>
                <w:szCs w:val="20"/>
              </w:rPr>
            </w:pPr>
            <w:r>
              <w:rPr>
                <w:sz w:val="20"/>
                <w:szCs w:val="20"/>
              </w:rPr>
              <w:t>30000</w:t>
            </w:r>
          </w:p>
        </w:tc>
        <w:tc>
          <w:tcPr>
            <w:tcW w:w="1276" w:type="dxa"/>
            <w:shd w:val="clear" w:color="auto" w:fill="auto"/>
            <w:vAlign w:val="center"/>
          </w:tcPr>
          <w:p>
            <w:pPr>
              <w:jc w:val="center"/>
              <w:rPr>
                <w:sz w:val="20"/>
                <w:szCs w:val="20"/>
              </w:rPr>
            </w:pPr>
            <w:r>
              <w:rPr>
                <w:sz w:val="20"/>
                <w:szCs w:val="20"/>
              </w:rPr>
              <w:t>2022-2025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县科技局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133</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中国移动奉节分公司5G基站建设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1000个</w:t>
            </w:r>
          </w:p>
        </w:tc>
        <w:tc>
          <w:tcPr>
            <w:tcW w:w="1503" w:type="dxa"/>
            <w:shd w:val="clear" w:color="auto" w:fill="auto"/>
            <w:vAlign w:val="center"/>
          </w:tcPr>
          <w:p>
            <w:pPr>
              <w:jc w:val="center"/>
              <w:rPr>
                <w:sz w:val="20"/>
                <w:szCs w:val="20"/>
              </w:rPr>
            </w:pPr>
            <w:r>
              <w:rPr>
                <w:sz w:val="20"/>
                <w:szCs w:val="20"/>
              </w:rPr>
              <w:t>30000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134</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中国电信奉节分公司5G基站建设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700个</w:t>
            </w:r>
          </w:p>
        </w:tc>
        <w:tc>
          <w:tcPr>
            <w:tcW w:w="1503" w:type="dxa"/>
            <w:shd w:val="clear" w:color="auto" w:fill="auto"/>
            <w:vAlign w:val="center"/>
          </w:tcPr>
          <w:p>
            <w:pPr>
              <w:jc w:val="center"/>
              <w:rPr>
                <w:sz w:val="20"/>
                <w:szCs w:val="20"/>
              </w:rPr>
            </w:pPr>
            <w:r>
              <w:rPr>
                <w:sz w:val="20"/>
                <w:szCs w:val="20"/>
              </w:rPr>
              <w:t>31500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135</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中国联通奉节分公司5G基站建设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350个</w:t>
            </w:r>
          </w:p>
        </w:tc>
        <w:tc>
          <w:tcPr>
            <w:tcW w:w="1503" w:type="dxa"/>
            <w:shd w:val="clear" w:color="auto" w:fill="auto"/>
            <w:vAlign w:val="center"/>
          </w:tcPr>
          <w:p>
            <w:pPr>
              <w:jc w:val="center"/>
              <w:rPr>
                <w:sz w:val="20"/>
                <w:szCs w:val="20"/>
              </w:rPr>
            </w:pPr>
            <w:r>
              <w:rPr>
                <w:sz w:val="20"/>
                <w:szCs w:val="20"/>
              </w:rPr>
              <w:t>15000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136</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中国移动奉节分公司4G基站建设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500个</w:t>
            </w:r>
          </w:p>
        </w:tc>
        <w:tc>
          <w:tcPr>
            <w:tcW w:w="1503" w:type="dxa"/>
            <w:shd w:val="clear" w:color="auto" w:fill="auto"/>
            <w:vAlign w:val="center"/>
          </w:tcPr>
          <w:p>
            <w:pPr>
              <w:jc w:val="center"/>
              <w:rPr>
                <w:sz w:val="20"/>
                <w:szCs w:val="20"/>
              </w:rPr>
            </w:pPr>
            <w:r>
              <w:rPr>
                <w:sz w:val="20"/>
                <w:szCs w:val="20"/>
              </w:rPr>
              <w:t>10000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137</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中国电信奉节分公司4G基站建设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100个</w:t>
            </w:r>
          </w:p>
        </w:tc>
        <w:tc>
          <w:tcPr>
            <w:tcW w:w="1503" w:type="dxa"/>
            <w:shd w:val="clear" w:color="auto" w:fill="auto"/>
            <w:vAlign w:val="center"/>
          </w:tcPr>
          <w:p>
            <w:pPr>
              <w:jc w:val="center"/>
              <w:rPr>
                <w:sz w:val="20"/>
                <w:szCs w:val="20"/>
              </w:rPr>
            </w:pPr>
            <w:r>
              <w:rPr>
                <w:sz w:val="20"/>
                <w:szCs w:val="20"/>
              </w:rPr>
              <w:t>1000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138</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中国移动奉节分公司传输光缆建设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5000千米</w:t>
            </w:r>
          </w:p>
        </w:tc>
        <w:tc>
          <w:tcPr>
            <w:tcW w:w="1503" w:type="dxa"/>
            <w:shd w:val="clear" w:color="auto" w:fill="auto"/>
            <w:vAlign w:val="center"/>
          </w:tcPr>
          <w:p>
            <w:pPr>
              <w:jc w:val="center"/>
              <w:rPr>
                <w:sz w:val="20"/>
                <w:szCs w:val="20"/>
              </w:rPr>
            </w:pPr>
            <w:r>
              <w:rPr>
                <w:sz w:val="20"/>
                <w:szCs w:val="20"/>
              </w:rPr>
              <w:t>5000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139</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中国电信奉节分公司传输光缆建设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500千米</w:t>
            </w:r>
          </w:p>
        </w:tc>
        <w:tc>
          <w:tcPr>
            <w:tcW w:w="1503" w:type="dxa"/>
            <w:shd w:val="clear" w:color="auto" w:fill="auto"/>
            <w:vAlign w:val="center"/>
          </w:tcPr>
          <w:p>
            <w:pPr>
              <w:jc w:val="center"/>
              <w:rPr>
                <w:sz w:val="20"/>
                <w:szCs w:val="20"/>
              </w:rPr>
            </w:pPr>
            <w:r>
              <w:rPr>
                <w:sz w:val="20"/>
                <w:szCs w:val="20"/>
              </w:rPr>
              <w:t>750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140</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中国联通奉节分公司传输光缆建设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800千米</w:t>
            </w:r>
          </w:p>
        </w:tc>
        <w:tc>
          <w:tcPr>
            <w:tcW w:w="1503" w:type="dxa"/>
            <w:shd w:val="clear" w:color="auto" w:fill="auto"/>
            <w:vAlign w:val="center"/>
          </w:tcPr>
          <w:p>
            <w:pPr>
              <w:jc w:val="center"/>
              <w:rPr>
                <w:sz w:val="20"/>
                <w:szCs w:val="20"/>
              </w:rPr>
            </w:pPr>
            <w:r>
              <w:rPr>
                <w:sz w:val="20"/>
                <w:szCs w:val="20"/>
              </w:rPr>
              <w:t>1200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141</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中国移动奉节分公司光网络端口设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15万个</w:t>
            </w:r>
          </w:p>
        </w:tc>
        <w:tc>
          <w:tcPr>
            <w:tcW w:w="1503" w:type="dxa"/>
            <w:shd w:val="clear" w:color="auto" w:fill="auto"/>
            <w:vAlign w:val="center"/>
          </w:tcPr>
          <w:p>
            <w:pPr>
              <w:jc w:val="center"/>
              <w:rPr>
                <w:sz w:val="20"/>
                <w:szCs w:val="20"/>
              </w:rPr>
            </w:pPr>
            <w:r>
              <w:rPr>
                <w:sz w:val="20"/>
                <w:szCs w:val="20"/>
              </w:rPr>
              <w:t>150000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中国移动奉节分公司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142</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中国电信奉节分公司光网络端口建设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3万个</w:t>
            </w:r>
          </w:p>
        </w:tc>
        <w:tc>
          <w:tcPr>
            <w:tcW w:w="1503" w:type="dxa"/>
            <w:shd w:val="clear" w:color="auto" w:fill="auto"/>
            <w:vAlign w:val="center"/>
          </w:tcPr>
          <w:p>
            <w:pPr>
              <w:jc w:val="center"/>
              <w:rPr>
                <w:sz w:val="20"/>
                <w:szCs w:val="20"/>
              </w:rPr>
            </w:pPr>
            <w:r>
              <w:rPr>
                <w:sz w:val="20"/>
                <w:szCs w:val="20"/>
              </w:rPr>
              <w:t>690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143</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中国联通奉节分公司光网络端口建设</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新建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1万个</w:t>
            </w:r>
          </w:p>
        </w:tc>
        <w:tc>
          <w:tcPr>
            <w:tcW w:w="1503" w:type="dxa"/>
            <w:shd w:val="clear" w:color="auto" w:fill="auto"/>
            <w:vAlign w:val="center"/>
          </w:tcPr>
          <w:p>
            <w:pPr>
              <w:jc w:val="center"/>
              <w:rPr>
                <w:sz w:val="20"/>
                <w:szCs w:val="20"/>
              </w:rPr>
            </w:pPr>
            <w:r>
              <w:rPr>
                <w:sz w:val="20"/>
                <w:szCs w:val="20"/>
              </w:rPr>
              <w:t>600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widowControl/>
              <w:jc w:val="center"/>
              <w:rPr>
                <w:kern w:val="0"/>
                <w:sz w:val="20"/>
                <w:szCs w:val="20"/>
              </w:rPr>
            </w:pPr>
            <w:r>
              <w:rPr>
                <w:sz w:val="20"/>
                <w:szCs w:val="20"/>
              </w:rPr>
              <w:t>144</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中国联通奉节分公司技改工作</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各乡镇街道</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改建</w:t>
            </w:r>
          </w:p>
        </w:tc>
        <w:tc>
          <w:tcPr>
            <w:tcW w:w="4320"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线路、动力配套改造</w:t>
            </w:r>
          </w:p>
        </w:tc>
        <w:tc>
          <w:tcPr>
            <w:tcW w:w="1503" w:type="dxa"/>
            <w:shd w:val="clear" w:color="auto" w:fill="auto"/>
            <w:vAlign w:val="center"/>
          </w:tcPr>
          <w:p>
            <w:pPr>
              <w:jc w:val="center"/>
              <w:rPr>
                <w:sz w:val="20"/>
                <w:szCs w:val="20"/>
              </w:rPr>
            </w:pPr>
            <w:r>
              <w:rPr>
                <w:sz w:val="20"/>
                <w:szCs w:val="20"/>
              </w:rPr>
              <w:t>150</w:t>
            </w:r>
          </w:p>
        </w:tc>
        <w:tc>
          <w:tcPr>
            <w:tcW w:w="1276" w:type="dxa"/>
            <w:shd w:val="clear" w:color="auto" w:fill="auto"/>
            <w:vAlign w:val="center"/>
          </w:tcPr>
          <w:p>
            <w:pPr>
              <w:jc w:val="center"/>
              <w:rPr>
                <w:sz w:val="20"/>
                <w:szCs w:val="20"/>
              </w:rPr>
            </w:pPr>
            <w:r>
              <w:rPr>
                <w:sz w:val="20"/>
                <w:szCs w:val="20"/>
              </w:rPr>
              <w:t>2021-2025</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中国联通奉节分公司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1" w:type="dxa"/>
            <w:gridSpan w:val="5"/>
            <w:shd w:val="clear" w:color="auto" w:fill="auto"/>
            <w:vAlign w:val="center"/>
          </w:tcPr>
          <w:p>
            <w:pPr>
              <w:widowControl/>
              <w:jc w:val="left"/>
              <w:rPr>
                <w:rFonts w:ascii="楷体" w:hAnsi="楷体" w:eastAsia="楷体" w:cs="宋体"/>
                <w:b/>
                <w:kern w:val="0"/>
                <w:sz w:val="24"/>
                <w:szCs w:val="20"/>
              </w:rPr>
            </w:pPr>
            <w:r>
              <w:rPr>
                <w:rFonts w:hint="eastAsia" w:ascii="楷体" w:hAnsi="楷体" w:eastAsia="楷体" w:cs="宋体"/>
                <w:b/>
                <w:kern w:val="0"/>
                <w:sz w:val="24"/>
                <w:szCs w:val="20"/>
              </w:rPr>
              <w:t>（四）建设期限待定（</w:t>
            </w:r>
            <w:r>
              <w:rPr>
                <w:rFonts w:ascii="楷体" w:hAnsi="楷体" w:eastAsia="楷体" w:cs="宋体"/>
                <w:b/>
                <w:kern w:val="0"/>
                <w:sz w:val="24"/>
                <w:szCs w:val="20"/>
              </w:rPr>
              <w:t>1</w:t>
            </w:r>
            <w:r>
              <w:rPr>
                <w:rFonts w:hint="eastAsia" w:ascii="楷体" w:hAnsi="楷体" w:eastAsia="楷体" w:cs="宋体"/>
                <w:b/>
                <w:kern w:val="0"/>
                <w:sz w:val="24"/>
                <w:szCs w:val="20"/>
              </w:rPr>
              <w:t>个）</w:t>
            </w:r>
          </w:p>
        </w:tc>
        <w:tc>
          <w:tcPr>
            <w:tcW w:w="1503" w:type="dxa"/>
            <w:shd w:val="clear" w:color="auto" w:fill="auto"/>
            <w:vAlign w:val="center"/>
          </w:tcPr>
          <w:p>
            <w:pPr>
              <w:widowControl/>
              <w:jc w:val="center"/>
              <w:rPr>
                <w:b/>
                <w:kern w:val="0"/>
                <w:sz w:val="24"/>
                <w:szCs w:val="20"/>
              </w:rPr>
            </w:pPr>
            <w:r>
              <w:rPr>
                <w:b/>
                <w:kern w:val="0"/>
                <w:sz w:val="24"/>
                <w:szCs w:val="20"/>
              </w:rPr>
              <w:t>19200</w:t>
            </w:r>
          </w:p>
        </w:tc>
        <w:tc>
          <w:tcPr>
            <w:tcW w:w="1276" w:type="dxa"/>
            <w:shd w:val="clear" w:color="auto" w:fill="auto"/>
            <w:vAlign w:val="center"/>
          </w:tcPr>
          <w:p>
            <w:pPr>
              <w:widowControl/>
              <w:jc w:val="center"/>
              <w:rPr>
                <w:b/>
                <w:kern w:val="0"/>
                <w:sz w:val="24"/>
                <w:szCs w:val="20"/>
              </w:rPr>
            </w:pPr>
          </w:p>
        </w:tc>
        <w:tc>
          <w:tcPr>
            <w:tcW w:w="2401" w:type="dxa"/>
            <w:shd w:val="clear" w:color="auto" w:fill="auto"/>
            <w:vAlign w:val="center"/>
          </w:tcPr>
          <w:p>
            <w:pPr>
              <w:widowControl/>
              <w:jc w:val="center"/>
              <w:rPr>
                <w:rFonts w:ascii="楷体" w:hAnsi="楷体" w:eastAsia="楷体" w:cs="宋体"/>
                <w:b/>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jc w:val="center"/>
              <w:rPr>
                <w:sz w:val="20"/>
                <w:szCs w:val="20"/>
              </w:rPr>
            </w:pPr>
            <w:r>
              <w:rPr>
                <w:sz w:val="20"/>
                <w:szCs w:val="20"/>
              </w:rPr>
              <w:t>145</w:t>
            </w:r>
          </w:p>
        </w:tc>
        <w:tc>
          <w:tcPr>
            <w:tcW w:w="3118"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“数智奉节”建设项目</w:t>
            </w:r>
          </w:p>
        </w:tc>
        <w:tc>
          <w:tcPr>
            <w:tcW w:w="1418"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待定</w:t>
            </w:r>
          </w:p>
        </w:tc>
        <w:tc>
          <w:tcPr>
            <w:tcW w:w="1254" w:type="dxa"/>
            <w:shd w:val="clear" w:color="auto" w:fill="auto"/>
            <w:vAlign w:val="center"/>
          </w:tcPr>
          <w:p>
            <w:pPr>
              <w:jc w:val="center"/>
              <w:rPr>
                <w:rFonts w:ascii="楷体" w:hAnsi="楷体" w:eastAsia="楷体"/>
                <w:sz w:val="20"/>
                <w:szCs w:val="20"/>
              </w:rPr>
            </w:pPr>
            <w:r>
              <w:rPr>
                <w:rFonts w:hint="eastAsia" w:ascii="楷体" w:hAnsi="楷体" w:eastAsia="楷体"/>
                <w:sz w:val="20"/>
                <w:szCs w:val="20"/>
              </w:rPr>
              <w:t>拟建</w:t>
            </w:r>
          </w:p>
        </w:tc>
        <w:tc>
          <w:tcPr>
            <w:tcW w:w="4320" w:type="dxa"/>
            <w:shd w:val="clear" w:color="auto" w:fill="auto"/>
            <w:vAlign w:val="center"/>
          </w:tcPr>
          <w:p>
            <w:pPr>
              <w:rPr>
                <w:rFonts w:ascii="楷体" w:hAnsi="楷体" w:eastAsia="楷体"/>
                <w:sz w:val="20"/>
                <w:szCs w:val="20"/>
              </w:rPr>
            </w:pPr>
            <w:r>
              <w:rPr>
                <w:rFonts w:hint="eastAsia" w:ascii="楷体" w:hAnsi="楷体" w:eastAsia="楷体"/>
                <w:sz w:val="20"/>
                <w:szCs w:val="20"/>
              </w:rPr>
              <w:t>构建云网一体化信息基础设施。乙方加快云改数转战略部署，巩固网络优势，构建云网融合、安全可控、平台化的新型信息基础设施。互联网+5G 行业融合应用。与各机关部门在行业信息化、数据中心租用、联合创新、资源共享等多方面展开合作。</w:t>
            </w:r>
          </w:p>
        </w:tc>
        <w:tc>
          <w:tcPr>
            <w:tcW w:w="1503" w:type="dxa"/>
            <w:shd w:val="clear" w:color="auto" w:fill="auto"/>
            <w:vAlign w:val="center"/>
          </w:tcPr>
          <w:p>
            <w:pPr>
              <w:jc w:val="center"/>
              <w:rPr>
                <w:sz w:val="20"/>
                <w:szCs w:val="20"/>
              </w:rPr>
            </w:pPr>
            <w:r>
              <w:rPr>
                <w:sz w:val="20"/>
                <w:szCs w:val="20"/>
              </w:rPr>
              <w:t>19200</w:t>
            </w:r>
          </w:p>
        </w:tc>
        <w:tc>
          <w:tcPr>
            <w:tcW w:w="1276" w:type="dxa"/>
            <w:shd w:val="clear" w:color="auto" w:fill="auto"/>
            <w:vAlign w:val="center"/>
          </w:tcPr>
          <w:p>
            <w:pPr>
              <w:jc w:val="center"/>
              <w:rPr>
                <w:sz w:val="20"/>
                <w:szCs w:val="20"/>
              </w:rPr>
            </w:pPr>
            <w:r>
              <w:rPr>
                <w:sz w:val="20"/>
                <w:szCs w:val="20"/>
              </w:rPr>
              <w:t>　</w:t>
            </w:r>
          </w:p>
        </w:tc>
        <w:tc>
          <w:tcPr>
            <w:tcW w:w="2401" w:type="dxa"/>
            <w:shd w:val="clear" w:color="auto" w:fill="auto"/>
            <w:vAlign w:val="center"/>
          </w:tcPr>
          <w:p>
            <w:pPr>
              <w:jc w:val="center"/>
              <w:rPr>
                <w:rFonts w:ascii="楷体" w:hAnsi="楷体" w:eastAsia="楷体" w:cs="宋体"/>
                <w:sz w:val="20"/>
                <w:szCs w:val="20"/>
              </w:rPr>
            </w:pPr>
            <w:r>
              <w:rPr>
                <w:rFonts w:hint="eastAsia" w:ascii="楷体" w:hAnsi="楷体" w:eastAsia="楷体"/>
                <w:sz w:val="20"/>
                <w:szCs w:val="20"/>
              </w:rPr>
              <w:t>中国电信股份有限公司重庆分公司</w:t>
            </w:r>
          </w:p>
        </w:tc>
      </w:tr>
    </w:tbl>
    <w:p>
      <w:pPr>
        <w:pStyle w:val="12"/>
        <w:ind w:firstLine="640"/>
        <w:sectPr>
          <w:pgSz w:w="16838" w:h="11906" w:orient="landscape"/>
          <w:pgMar w:top="1800" w:right="1440" w:bottom="1800" w:left="1440" w:header="851" w:footer="992" w:gutter="0"/>
          <w:cols w:space="425" w:num="1"/>
          <w:docGrid w:type="lines" w:linePitch="312" w:charSpace="0"/>
        </w:sectPr>
      </w:pPr>
    </w:p>
    <w:p>
      <w:bookmarkStart w:id="282" w:name="_Toc103805299"/>
      <w:r>
        <w:rPr>
          <w:rStyle w:val="52"/>
          <w:rFonts w:hint="eastAsia" w:ascii="黑体" w:hAnsi="黑体" w:eastAsia="黑体"/>
          <w:sz w:val="36"/>
        </w:rPr>
        <w:t>附件二</w:t>
      </w:r>
      <w:r>
        <w:rPr>
          <w:rStyle w:val="52"/>
          <w:rFonts w:ascii="黑体" w:hAnsi="黑体" w:eastAsia="黑体"/>
          <w:sz w:val="36"/>
        </w:rPr>
        <w:t xml:space="preserve"> </w:t>
      </w:r>
      <w:r>
        <w:rPr>
          <w:rStyle w:val="52"/>
          <w:rFonts w:hint="eastAsia" w:ascii="黑体" w:hAnsi="黑体" w:eastAsia="黑体"/>
          <w:sz w:val="36"/>
        </w:rPr>
        <w:t>奉节县工业和信息化“十四五”重大项目布局</w:t>
      </w:r>
      <w:bookmarkEnd w:id="282"/>
      <w:r>
        <w:drawing>
          <wp:inline distT="0" distB="0" distL="0" distR="0">
            <wp:extent cx="5782945" cy="7743825"/>
            <wp:effectExtent l="0" t="0" r="825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
                      <a:extLst>
                        <a:ext uri="{28A0092B-C50C-407E-A947-70E740481C1C}">
                          <a14:useLocalDpi xmlns:a14="http://schemas.microsoft.com/office/drawing/2010/main" val="0"/>
                        </a:ext>
                      </a:extLst>
                    </a:blip>
                    <a:srcRect l="6318" t="6302" r="9566" b="8219"/>
                    <a:stretch>
                      <a:fillRect/>
                    </a:stretch>
                  </pic:blipFill>
                  <pic:spPr>
                    <a:xfrm>
                      <a:off x="0" y="0"/>
                      <a:ext cx="5788328" cy="7750894"/>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640" w:firstLine="360"/>
      <w:jc w:val="center"/>
    </w:pPr>
    <w:r>
      <w:fldChar w:fldCharType="begin"/>
    </w:r>
    <w:r>
      <w:instrText xml:space="preserve">PAGE   \* MERGEFORMAT</w:instrText>
    </w:r>
    <w:r>
      <w:fldChar w:fldCharType="separate"/>
    </w:r>
    <w:r>
      <w:rPr>
        <w:lang w:val="zh-CN"/>
      </w:rPr>
      <w:t>74</w:t>
    </w:r>
    <w:r>
      <w:rPr>
        <w:lang w:val="zh-CN"/>
      </w:rPr>
      <w:fldChar w:fldCharType="end"/>
    </w:r>
  </w:p>
  <w:p>
    <w:pPr>
      <w:pStyle w:val="17"/>
      <w:ind w:left="64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985222"/>
    <w:multiLevelType w:val="multilevel"/>
    <w:tmpl w:val="70985222"/>
    <w:lvl w:ilvl="0" w:tentative="0">
      <w:start w:val="2"/>
      <w:numFmt w:val="japaneseCounting"/>
      <w:pStyle w:val="37"/>
      <w:lvlText w:val="%1、"/>
      <w:lvlJc w:val="left"/>
      <w:pPr>
        <w:tabs>
          <w:tab w:val="left" w:pos="1352"/>
        </w:tabs>
        <w:ind w:left="1352" w:hanging="720"/>
      </w:pPr>
      <w:rPr>
        <w:rFonts w:hint="default"/>
      </w:rPr>
    </w:lvl>
    <w:lvl w:ilvl="1" w:tentative="0">
      <w:start w:val="1"/>
      <w:numFmt w:val="lowerLetter"/>
      <w:lvlText w:val="%2)"/>
      <w:lvlJc w:val="left"/>
      <w:pPr>
        <w:tabs>
          <w:tab w:val="left" w:pos="1472"/>
        </w:tabs>
        <w:ind w:left="1472" w:hanging="420"/>
      </w:pPr>
    </w:lvl>
    <w:lvl w:ilvl="2" w:tentative="0">
      <w:start w:val="1"/>
      <w:numFmt w:val="lowerRoman"/>
      <w:lvlText w:val="%3."/>
      <w:lvlJc w:val="right"/>
      <w:pPr>
        <w:tabs>
          <w:tab w:val="left" w:pos="1892"/>
        </w:tabs>
        <w:ind w:left="1892" w:hanging="420"/>
      </w:pPr>
    </w:lvl>
    <w:lvl w:ilvl="3" w:tentative="0">
      <w:start w:val="1"/>
      <w:numFmt w:val="decimal"/>
      <w:lvlText w:val="%4."/>
      <w:lvlJc w:val="left"/>
      <w:pPr>
        <w:tabs>
          <w:tab w:val="left" w:pos="2312"/>
        </w:tabs>
        <w:ind w:left="2312" w:hanging="420"/>
      </w:pPr>
    </w:lvl>
    <w:lvl w:ilvl="4" w:tentative="0">
      <w:start w:val="1"/>
      <w:numFmt w:val="lowerLetter"/>
      <w:lvlText w:val="%5)"/>
      <w:lvlJc w:val="left"/>
      <w:pPr>
        <w:tabs>
          <w:tab w:val="left" w:pos="2732"/>
        </w:tabs>
        <w:ind w:left="2732" w:hanging="420"/>
      </w:pPr>
    </w:lvl>
    <w:lvl w:ilvl="5" w:tentative="0">
      <w:start w:val="1"/>
      <w:numFmt w:val="lowerRoman"/>
      <w:lvlText w:val="%6."/>
      <w:lvlJc w:val="right"/>
      <w:pPr>
        <w:tabs>
          <w:tab w:val="left" w:pos="3152"/>
        </w:tabs>
        <w:ind w:left="3152" w:hanging="420"/>
      </w:pPr>
    </w:lvl>
    <w:lvl w:ilvl="6" w:tentative="0">
      <w:start w:val="1"/>
      <w:numFmt w:val="decimal"/>
      <w:lvlText w:val="%7."/>
      <w:lvlJc w:val="left"/>
      <w:pPr>
        <w:tabs>
          <w:tab w:val="left" w:pos="3572"/>
        </w:tabs>
        <w:ind w:left="3572" w:hanging="420"/>
      </w:pPr>
    </w:lvl>
    <w:lvl w:ilvl="7" w:tentative="0">
      <w:start w:val="1"/>
      <w:numFmt w:val="lowerLetter"/>
      <w:lvlText w:val="%8)"/>
      <w:lvlJc w:val="left"/>
      <w:pPr>
        <w:tabs>
          <w:tab w:val="left" w:pos="3992"/>
        </w:tabs>
        <w:ind w:left="3992" w:hanging="420"/>
      </w:pPr>
    </w:lvl>
    <w:lvl w:ilvl="8" w:tentative="0">
      <w:start w:val="1"/>
      <w:numFmt w:val="lowerRoman"/>
      <w:lvlText w:val="%9."/>
      <w:lvlJc w:val="right"/>
      <w:pPr>
        <w:tabs>
          <w:tab w:val="left" w:pos="4412"/>
        </w:tabs>
        <w:ind w:left="441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yZDBjYTQ4Y2I0MGFkOTY2YmU1OTFjYTBhMGIyZGUifQ=="/>
  </w:docVars>
  <w:rsids>
    <w:rsidRoot w:val="00A33AD5"/>
    <w:rsid w:val="000007BD"/>
    <w:rsid w:val="000008AE"/>
    <w:rsid w:val="00003FA7"/>
    <w:rsid w:val="000041FF"/>
    <w:rsid w:val="00004451"/>
    <w:rsid w:val="00005893"/>
    <w:rsid w:val="000058D0"/>
    <w:rsid w:val="00006314"/>
    <w:rsid w:val="0000653C"/>
    <w:rsid w:val="000077B0"/>
    <w:rsid w:val="000116A0"/>
    <w:rsid w:val="000137C1"/>
    <w:rsid w:val="00014EDD"/>
    <w:rsid w:val="00015AD6"/>
    <w:rsid w:val="00015DB9"/>
    <w:rsid w:val="00015FF7"/>
    <w:rsid w:val="00016833"/>
    <w:rsid w:val="00017709"/>
    <w:rsid w:val="0002038E"/>
    <w:rsid w:val="00020B30"/>
    <w:rsid w:val="00020B5F"/>
    <w:rsid w:val="000211BD"/>
    <w:rsid w:val="000215CE"/>
    <w:rsid w:val="00021E13"/>
    <w:rsid w:val="000225E5"/>
    <w:rsid w:val="000228D6"/>
    <w:rsid w:val="00022E78"/>
    <w:rsid w:val="000266E0"/>
    <w:rsid w:val="00026739"/>
    <w:rsid w:val="00026AD3"/>
    <w:rsid w:val="00027910"/>
    <w:rsid w:val="00030409"/>
    <w:rsid w:val="0003085C"/>
    <w:rsid w:val="000313F6"/>
    <w:rsid w:val="000336A3"/>
    <w:rsid w:val="0003498F"/>
    <w:rsid w:val="00035819"/>
    <w:rsid w:val="00035C52"/>
    <w:rsid w:val="00036348"/>
    <w:rsid w:val="00036449"/>
    <w:rsid w:val="00037DC3"/>
    <w:rsid w:val="00041296"/>
    <w:rsid w:val="0004139C"/>
    <w:rsid w:val="00041D15"/>
    <w:rsid w:val="000420D7"/>
    <w:rsid w:val="000427CA"/>
    <w:rsid w:val="0004285B"/>
    <w:rsid w:val="00042C99"/>
    <w:rsid w:val="000437EF"/>
    <w:rsid w:val="00043BE4"/>
    <w:rsid w:val="0004455E"/>
    <w:rsid w:val="00044844"/>
    <w:rsid w:val="00045AFD"/>
    <w:rsid w:val="00046C32"/>
    <w:rsid w:val="00046C38"/>
    <w:rsid w:val="00047191"/>
    <w:rsid w:val="000474A3"/>
    <w:rsid w:val="0005174E"/>
    <w:rsid w:val="00052DC2"/>
    <w:rsid w:val="0005376D"/>
    <w:rsid w:val="000542A1"/>
    <w:rsid w:val="000542E3"/>
    <w:rsid w:val="00054568"/>
    <w:rsid w:val="000569D1"/>
    <w:rsid w:val="000573E8"/>
    <w:rsid w:val="00057CE1"/>
    <w:rsid w:val="00062786"/>
    <w:rsid w:val="00062F0C"/>
    <w:rsid w:val="00064A8B"/>
    <w:rsid w:val="0006662B"/>
    <w:rsid w:val="000669EC"/>
    <w:rsid w:val="000670D4"/>
    <w:rsid w:val="000678D7"/>
    <w:rsid w:val="000702C7"/>
    <w:rsid w:val="0007055D"/>
    <w:rsid w:val="00070B99"/>
    <w:rsid w:val="000718D1"/>
    <w:rsid w:val="00074790"/>
    <w:rsid w:val="000758CC"/>
    <w:rsid w:val="00076374"/>
    <w:rsid w:val="00076AC2"/>
    <w:rsid w:val="00076C47"/>
    <w:rsid w:val="00077EDF"/>
    <w:rsid w:val="0008082B"/>
    <w:rsid w:val="000808F0"/>
    <w:rsid w:val="0008160B"/>
    <w:rsid w:val="0008666E"/>
    <w:rsid w:val="0008702E"/>
    <w:rsid w:val="00087F84"/>
    <w:rsid w:val="00090F51"/>
    <w:rsid w:val="00092104"/>
    <w:rsid w:val="00094ADF"/>
    <w:rsid w:val="00095ACA"/>
    <w:rsid w:val="00096028"/>
    <w:rsid w:val="00096682"/>
    <w:rsid w:val="000A1CB6"/>
    <w:rsid w:val="000A303A"/>
    <w:rsid w:val="000A31FF"/>
    <w:rsid w:val="000A3935"/>
    <w:rsid w:val="000A3BED"/>
    <w:rsid w:val="000A6B94"/>
    <w:rsid w:val="000A6C56"/>
    <w:rsid w:val="000A7B36"/>
    <w:rsid w:val="000B0B60"/>
    <w:rsid w:val="000B0D7E"/>
    <w:rsid w:val="000B103C"/>
    <w:rsid w:val="000B2B01"/>
    <w:rsid w:val="000B3D7D"/>
    <w:rsid w:val="000B4303"/>
    <w:rsid w:val="000B4E99"/>
    <w:rsid w:val="000B4F56"/>
    <w:rsid w:val="000B56AA"/>
    <w:rsid w:val="000B582D"/>
    <w:rsid w:val="000B5A6F"/>
    <w:rsid w:val="000B5ED1"/>
    <w:rsid w:val="000B66C2"/>
    <w:rsid w:val="000B730F"/>
    <w:rsid w:val="000B7E18"/>
    <w:rsid w:val="000C0A78"/>
    <w:rsid w:val="000C0C46"/>
    <w:rsid w:val="000C27C0"/>
    <w:rsid w:val="000C2C99"/>
    <w:rsid w:val="000C3AFA"/>
    <w:rsid w:val="000C3B02"/>
    <w:rsid w:val="000C3FF6"/>
    <w:rsid w:val="000C5A3B"/>
    <w:rsid w:val="000C5FA6"/>
    <w:rsid w:val="000C60F9"/>
    <w:rsid w:val="000C6E41"/>
    <w:rsid w:val="000C701C"/>
    <w:rsid w:val="000D0180"/>
    <w:rsid w:val="000D03CA"/>
    <w:rsid w:val="000D1ABE"/>
    <w:rsid w:val="000D2553"/>
    <w:rsid w:val="000D2D64"/>
    <w:rsid w:val="000D461E"/>
    <w:rsid w:val="000D47AF"/>
    <w:rsid w:val="000D523A"/>
    <w:rsid w:val="000D5518"/>
    <w:rsid w:val="000D69F2"/>
    <w:rsid w:val="000D69FE"/>
    <w:rsid w:val="000D7EF9"/>
    <w:rsid w:val="000E27DB"/>
    <w:rsid w:val="000E2937"/>
    <w:rsid w:val="000E2D15"/>
    <w:rsid w:val="000E5134"/>
    <w:rsid w:val="000E6414"/>
    <w:rsid w:val="000E7769"/>
    <w:rsid w:val="000E794A"/>
    <w:rsid w:val="000E7C57"/>
    <w:rsid w:val="000E7E4A"/>
    <w:rsid w:val="000F078E"/>
    <w:rsid w:val="000F095C"/>
    <w:rsid w:val="000F1E08"/>
    <w:rsid w:val="000F36D6"/>
    <w:rsid w:val="000F5DD6"/>
    <w:rsid w:val="000F7A4B"/>
    <w:rsid w:val="000F7E5D"/>
    <w:rsid w:val="000F7EAB"/>
    <w:rsid w:val="00100053"/>
    <w:rsid w:val="001001EA"/>
    <w:rsid w:val="00100482"/>
    <w:rsid w:val="00101727"/>
    <w:rsid w:val="00102730"/>
    <w:rsid w:val="00103400"/>
    <w:rsid w:val="001040B4"/>
    <w:rsid w:val="001045A4"/>
    <w:rsid w:val="001061B9"/>
    <w:rsid w:val="00107664"/>
    <w:rsid w:val="00107FCE"/>
    <w:rsid w:val="001104EB"/>
    <w:rsid w:val="001125AE"/>
    <w:rsid w:val="00112E9E"/>
    <w:rsid w:val="001132AC"/>
    <w:rsid w:val="00113A87"/>
    <w:rsid w:val="00115074"/>
    <w:rsid w:val="0011550B"/>
    <w:rsid w:val="001155FC"/>
    <w:rsid w:val="001177F4"/>
    <w:rsid w:val="00122B14"/>
    <w:rsid w:val="0012371C"/>
    <w:rsid w:val="0012480D"/>
    <w:rsid w:val="00125109"/>
    <w:rsid w:val="001252BA"/>
    <w:rsid w:val="0012635A"/>
    <w:rsid w:val="00126A6D"/>
    <w:rsid w:val="00127653"/>
    <w:rsid w:val="001278D7"/>
    <w:rsid w:val="001301A9"/>
    <w:rsid w:val="00130593"/>
    <w:rsid w:val="0013083B"/>
    <w:rsid w:val="00130B44"/>
    <w:rsid w:val="00130F5E"/>
    <w:rsid w:val="00131939"/>
    <w:rsid w:val="0013193B"/>
    <w:rsid w:val="00131ABA"/>
    <w:rsid w:val="00131ED6"/>
    <w:rsid w:val="001334D1"/>
    <w:rsid w:val="00133850"/>
    <w:rsid w:val="00133E8E"/>
    <w:rsid w:val="001345BF"/>
    <w:rsid w:val="00134BAC"/>
    <w:rsid w:val="00135510"/>
    <w:rsid w:val="001357A4"/>
    <w:rsid w:val="00135D8B"/>
    <w:rsid w:val="001407AC"/>
    <w:rsid w:val="00141557"/>
    <w:rsid w:val="001427CD"/>
    <w:rsid w:val="00144034"/>
    <w:rsid w:val="001440FF"/>
    <w:rsid w:val="00144530"/>
    <w:rsid w:val="00145764"/>
    <w:rsid w:val="00146294"/>
    <w:rsid w:val="001476B5"/>
    <w:rsid w:val="00147AC9"/>
    <w:rsid w:val="001500F1"/>
    <w:rsid w:val="001503A6"/>
    <w:rsid w:val="001506AB"/>
    <w:rsid w:val="00150D40"/>
    <w:rsid w:val="00151C0F"/>
    <w:rsid w:val="001527CA"/>
    <w:rsid w:val="00152A6C"/>
    <w:rsid w:val="00154533"/>
    <w:rsid w:val="00154C31"/>
    <w:rsid w:val="00156B02"/>
    <w:rsid w:val="001573F1"/>
    <w:rsid w:val="001576DA"/>
    <w:rsid w:val="001606F1"/>
    <w:rsid w:val="0016124F"/>
    <w:rsid w:val="0016242A"/>
    <w:rsid w:val="001625B6"/>
    <w:rsid w:val="00163234"/>
    <w:rsid w:val="001639D0"/>
    <w:rsid w:val="001649E9"/>
    <w:rsid w:val="00165B22"/>
    <w:rsid w:val="00166383"/>
    <w:rsid w:val="00166E57"/>
    <w:rsid w:val="00167196"/>
    <w:rsid w:val="00167C7C"/>
    <w:rsid w:val="0017063C"/>
    <w:rsid w:val="00170DA2"/>
    <w:rsid w:val="00171066"/>
    <w:rsid w:val="001732AF"/>
    <w:rsid w:val="00173789"/>
    <w:rsid w:val="00173BE8"/>
    <w:rsid w:val="001777D5"/>
    <w:rsid w:val="00177BD4"/>
    <w:rsid w:val="00177D12"/>
    <w:rsid w:val="00182834"/>
    <w:rsid w:val="001833F6"/>
    <w:rsid w:val="00183764"/>
    <w:rsid w:val="00186499"/>
    <w:rsid w:val="001917FB"/>
    <w:rsid w:val="001935ED"/>
    <w:rsid w:val="00193B5E"/>
    <w:rsid w:val="00195F47"/>
    <w:rsid w:val="00196303"/>
    <w:rsid w:val="00196399"/>
    <w:rsid w:val="00196A1F"/>
    <w:rsid w:val="00196B5A"/>
    <w:rsid w:val="00196CA8"/>
    <w:rsid w:val="001978F0"/>
    <w:rsid w:val="001A0174"/>
    <w:rsid w:val="001A0C5C"/>
    <w:rsid w:val="001A2BC5"/>
    <w:rsid w:val="001A2EC2"/>
    <w:rsid w:val="001A2FC4"/>
    <w:rsid w:val="001A3063"/>
    <w:rsid w:val="001A36DB"/>
    <w:rsid w:val="001A3C4F"/>
    <w:rsid w:val="001A3CB4"/>
    <w:rsid w:val="001A4E33"/>
    <w:rsid w:val="001A4EA1"/>
    <w:rsid w:val="001A51C5"/>
    <w:rsid w:val="001A79E3"/>
    <w:rsid w:val="001A7AEA"/>
    <w:rsid w:val="001A7DDC"/>
    <w:rsid w:val="001A7EC3"/>
    <w:rsid w:val="001B06FA"/>
    <w:rsid w:val="001B105E"/>
    <w:rsid w:val="001B13D7"/>
    <w:rsid w:val="001B1F0F"/>
    <w:rsid w:val="001B1F6C"/>
    <w:rsid w:val="001B4BF9"/>
    <w:rsid w:val="001B4F39"/>
    <w:rsid w:val="001B4F71"/>
    <w:rsid w:val="001B598E"/>
    <w:rsid w:val="001B5AF0"/>
    <w:rsid w:val="001B5B8F"/>
    <w:rsid w:val="001B6125"/>
    <w:rsid w:val="001B78C2"/>
    <w:rsid w:val="001B798D"/>
    <w:rsid w:val="001B7DAD"/>
    <w:rsid w:val="001C16DF"/>
    <w:rsid w:val="001C1703"/>
    <w:rsid w:val="001C28D0"/>
    <w:rsid w:val="001C340E"/>
    <w:rsid w:val="001C3B5B"/>
    <w:rsid w:val="001C3C15"/>
    <w:rsid w:val="001C3D3D"/>
    <w:rsid w:val="001C448A"/>
    <w:rsid w:val="001C524B"/>
    <w:rsid w:val="001C6580"/>
    <w:rsid w:val="001C665F"/>
    <w:rsid w:val="001C66A2"/>
    <w:rsid w:val="001C67C1"/>
    <w:rsid w:val="001C6D95"/>
    <w:rsid w:val="001C75BC"/>
    <w:rsid w:val="001D2BB8"/>
    <w:rsid w:val="001D320A"/>
    <w:rsid w:val="001D3EB5"/>
    <w:rsid w:val="001D475A"/>
    <w:rsid w:val="001D4900"/>
    <w:rsid w:val="001D4BC2"/>
    <w:rsid w:val="001D5120"/>
    <w:rsid w:val="001D5255"/>
    <w:rsid w:val="001D5E44"/>
    <w:rsid w:val="001D717C"/>
    <w:rsid w:val="001D7822"/>
    <w:rsid w:val="001D7F85"/>
    <w:rsid w:val="001E10A5"/>
    <w:rsid w:val="001E1A53"/>
    <w:rsid w:val="001E1B11"/>
    <w:rsid w:val="001E23BA"/>
    <w:rsid w:val="001E4A27"/>
    <w:rsid w:val="001E4D3F"/>
    <w:rsid w:val="001E59EE"/>
    <w:rsid w:val="001E5C2E"/>
    <w:rsid w:val="001E7218"/>
    <w:rsid w:val="001E7276"/>
    <w:rsid w:val="001E7763"/>
    <w:rsid w:val="001F055A"/>
    <w:rsid w:val="001F05DE"/>
    <w:rsid w:val="001F1259"/>
    <w:rsid w:val="001F229A"/>
    <w:rsid w:val="001F3E48"/>
    <w:rsid w:val="001F3FD6"/>
    <w:rsid w:val="001F52E5"/>
    <w:rsid w:val="001F5767"/>
    <w:rsid w:val="001F617D"/>
    <w:rsid w:val="001F63C1"/>
    <w:rsid w:val="001F7412"/>
    <w:rsid w:val="001F7C55"/>
    <w:rsid w:val="00201A5B"/>
    <w:rsid w:val="0020242A"/>
    <w:rsid w:val="00203251"/>
    <w:rsid w:val="00203985"/>
    <w:rsid w:val="00204919"/>
    <w:rsid w:val="00204CF7"/>
    <w:rsid w:val="002051CA"/>
    <w:rsid w:val="00206793"/>
    <w:rsid w:val="00211026"/>
    <w:rsid w:val="00211063"/>
    <w:rsid w:val="002127E2"/>
    <w:rsid w:val="00212C42"/>
    <w:rsid w:val="00215C69"/>
    <w:rsid w:val="00217648"/>
    <w:rsid w:val="00220096"/>
    <w:rsid w:val="00220E3F"/>
    <w:rsid w:val="002217E7"/>
    <w:rsid w:val="002239D0"/>
    <w:rsid w:val="0022473F"/>
    <w:rsid w:val="00224B76"/>
    <w:rsid w:val="0022576F"/>
    <w:rsid w:val="00225A74"/>
    <w:rsid w:val="00225EF7"/>
    <w:rsid w:val="0022650C"/>
    <w:rsid w:val="002269AD"/>
    <w:rsid w:val="002276DB"/>
    <w:rsid w:val="00230699"/>
    <w:rsid w:val="0023078D"/>
    <w:rsid w:val="00231031"/>
    <w:rsid w:val="002326CC"/>
    <w:rsid w:val="002332F3"/>
    <w:rsid w:val="00233E7F"/>
    <w:rsid w:val="00235F53"/>
    <w:rsid w:val="002365BD"/>
    <w:rsid w:val="00236B0B"/>
    <w:rsid w:val="00237E18"/>
    <w:rsid w:val="00240193"/>
    <w:rsid w:val="00241107"/>
    <w:rsid w:val="00241B1C"/>
    <w:rsid w:val="0024386E"/>
    <w:rsid w:val="00244332"/>
    <w:rsid w:val="00244617"/>
    <w:rsid w:val="00245DEA"/>
    <w:rsid w:val="00252CE4"/>
    <w:rsid w:val="0025309E"/>
    <w:rsid w:val="0025476C"/>
    <w:rsid w:val="0025524F"/>
    <w:rsid w:val="0025663A"/>
    <w:rsid w:val="002573B8"/>
    <w:rsid w:val="00257B58"/>
    <w:rsid w:val="00261545"/>
    <w:rsid w:val="00262DE0"/>
    <w:rsid w:val="00263406"/>
    <w:rsid w:val="00263AC1"/>
    <w:rsid w:val="002644B7"/>
    <w:rsid w:val="00264BD7"/>
    <w:rsid w:val="0027053C"/>
    <w:rsid w:val="00270C26"/>
    <w:rsid w:val="002726D3"/>
    <w:rsid w:val="00274929"/>
    <w:rsid w:val="002761C4"/>
    <w:rsid w:val="002771D2"/>
    <w:rsid w:val="00277FC5"/>
    <w:rsid w:val="00280D06"/>
    <w:rsid w:val="00281CC7"/>
    <w:rsid w:val="00281E71"/>
    <w:rsid w:val="00282DED"/>
    <w:rsid w:val="0028350B"/>
    <w:rsid w:val="002835F4"/>
    <w:rsid w:val="00283C79"/>
    <w:rsid w:val="00283F2A"/>
    <w:rsid w:val="00284CC2"/>
    <w:rsid w:val="00284CD8"/>
    <w:rsid w:val="00284E34"/>
    <w:rsid w:val="00286D5A"/>
    <w:rsid w:val="002877C5"/>
    <w:rsid w:val="00291BD3"/>
    <w:rsid w:val="00291CB4"/>
    <w:rsid w:val="00291FC0"/>
    <w:rsid w:val="002936AE"/>
    <w:rsid w:val="00293B14"/>
    <w:rsid w:val="00294154"/>
    <w:rsid w:val="00294345"/>
    <w:rsid w:val="00294F39"/>
    <w:rsid w:val="00296011"/>
    <w:rsid w:val="002976C1"/>
    <w:rsid w:val="002978E2"/>
    <w:rsid w:val="00297915"/>
    <w:rsid w:val="00297F6E"/>
    <w:rsid w:val="002A4455"/>
    <w:rsid w:val="002A500B"/>
    <w:rsid w:val="002A6B34"/>
    <w:rsid w:val="002A795E"/>
    <w:rsid w:val="002B0166"/>
    <w:rsid w:val="002B071B"/>
    <w:rsid w:val="002B09B4"/>
    <w:rsid w:val="002B0B20"/>
    <w:rsid w:val="002B10D8"/>
    <w:rsid w:val="002B1201"/>
    <w:rsid w:val="002B143E"/>
    <w:rsid w:val="002B1CE4"/>
    <w:rsid w:val="002B28EF"/>
    <w:rsid w:val="002B2C81"/>
    <w:rsid w:val="002B4482"/>
    <w:rsid w:val="002B4DE2"/>
    <w:rsid w:val="002B5F42"/>
    <w:rsid w:val="002C034C"/>
    <w:rsid w:val="002C2511"/>
    <w:rsid w:val="002C390E"/>
    <w:rsid w:val="002C4B9D"/>
    <w:rsid w:val="002C74AE"/>
    <w:rsid w:val="002D06CC"/>
    <w:rsid w:val="002D0E1C"/>
    <w:rsid w:val="002D225C"/>
    <w:rsid w:val="002D2EAB"/>
    <w:rsid w:val="002D3624"/>
    <w:rsid w:val="002D3E6E"/>
    <w:rsid w:val="002D4E6C"/>
    <w:rsid w:val="002D5800"/>
    <w:rsid w:val="002D5ED2"/>
    <w:rsid w:val="002E0480"/>
    <w:rsid w:val="002E1901"/>
    <w:rsid w:val="002E4E03"/>
    <w:rsid w:val="002E4FE5"/>
    <w:rsid w:val="002E59EF"/>
    <w:rsid w:val="002E68BC"/>
    <w:rsid w:val="002E795F"/>
    <w:rsid w:val="002F0B5F"/>
    <w:rsid w:val="002F0DC1"/>
    <w:rsid w:val="002F1F4D"/>
    <w:rsid w:val="002F3BB0"/>
    <w:rsid w:val="003025DC"/>
    <w:rsid w:val="00302E25"/>
    <w:rsid w:val="00303093"/>
    <w:rsid w:val="00303749"/>
    <w:rsid w:val="003056AC"/>
    <w:rsid w:val="0030607C"/>
    <w:rsid w:val="00306887"/>
    <w:rsid w:val="003101F9"/>
    <w:rsid w:val="0031039C"/>
    <w:rsid w:val="00310A79"/>
    <w:rsid w:val="003114AC"/>
    <w:rsid w:val="00311589"/>
    <w:rsid w:val="00312F81"/>
    <w:rsid w:val="00315254"/>
    <w:rsid w:val="0031542E"/>
    <w:rsid w:val="00316E0F"/>
    <w:rsid w:val="00317E4D"/>
    <w:rsid w:val="00320101"/>
    <w:rsid w:val="0032110A"/>
    <w:rsid w:val="0032238A"/>
    <w:rsid w:val="003242BA"/>
    <w:rsid w:val="00324ACE"/>
    <w:rsid w:val="00324D3B"/>
    <w:rsid w:val="003271E1"/>
    <w:rsid w:val="00327E1C"/>
    <w:rsid w:val="003314D1"/>
    <w:rsid w:val="003316AD"/>
    <w:rsid w:val="00331C52"/>
    <w:rsid w:val="00332433"/>
    <w:rsid w:val="0033297D"/>
    <w:rsid w:val="00334793"/>
    <w:rsid w:val="00334B7A"/>
    <w:rsid w:val="003352CB"/>
    <w:rsid w:val="00336219"/>
    <w:rsid w:val="00336502"/>
    <w:rsid w:val="00336A11"/>
    <w:rsid w:val="003405D2"/>
    <w:rsid w:val="0034089B"/>
    <w:rsid w:val="003413C2"/>
    <w:rsid w:val="003423AF"/>
    <w:rsid w:val="00342C56"/>
    <w:rsid w:val="00343B10"/>
    <w:rsid w:val="00344478"/>
    <w:rsid w:val="0034533E"/>
    <w:rsid w:val="00347185"/>
    <w:rsid w:val="0035299B"/>
    <w:rsid w:val="00352BD1"/>
    <w:rsid w:val="003535A9"/>
    <w:rsid w:val="00354A9E"/>
    <w:rsid w:val="00354C08"/>
    <w:rsid w:val="00355450"/>
    <w:rsid w:val="00355AF1"/>
    <w:rsid w:val="00355E7C"/>
    <w:rsid w:val="00360F2A"/>
    <w:rsid w:val="003613C8"/>
    <w:rsid w:val="00361501"/>
    <w:rsid w:val="00361E7C"/>
    <w:rsid w:val="003628BB"/>
    <w:rsid w:val="003633B5"/>
    <w:rsid w:val="00364E21"/>
    <w:rsid w:val="003664BD"/>
    <w:rsid w:val="00366CC6"/>
    <w:rsid w:val="003714D5"/>
    <w:rsid w:val="003719E6"/>
    <w:rsid w:val="0037202D"/>
    <w:rsid w:val="0037238E"/>
    <w:rsid w:val="003726D8"/>
    <w:rsid w:val="00372935"/>
    <w:rsid w:val="00372A55"/>
    <w:rsid w:val="003742DC"/>
    <w:rsid w:val="00374BB3"/>
    <w:rsid w:val="00374D10"/>
    <w:rsid w:val="0037533B"/>
    <w:rsid w:val="0037682E"/>
    <w:rsid w:val="00376BB9"/>
    <w:rsid w:val="00376C31"/>
    <w:rsid w:val="0038084D"/>
    <w:rsid w:val="00380DA0"/>
    <w:rsid w:val="00381301"/>
    <w:rsid w:val="0038234D"/>
    <w:rsid w:val="003826E6"/>
    <w:rsid w:val="00382766"/>
    <w:rsid w:val="00382BA4"/>
    <w:rsid w:val="00383213"/>
    <w:rsid w:val="00383927"/>
    <w:rsid w:val="00384E70"/>
    <w:rsid w:val="00385004"/>
    <w:rsid w:val="003855B3"/>
    <w:rsid w:val="00391F94"/>
    <w:rsid w:val="003924B8"/>
    <w:rsid w:val="00394BF1"/>
    <w:rsid w:val="00395589"/>
    <w:rsid w:val="00396C10"/>
    <w:rsid w:val="00396F7E"/>
    <w:rsid w:val="00397B8A"/>
    <w:rsid w:val="00397D10"/>
    <w:rsid w:val="003A06A0"/>
    <w:rsid w:val="003A0EB4"/>
    <w:rsid w:val="003A18D9"/>
    <w:rsid w:val="003A1E1F"/>
    <w:rsid w:val="003A21F9"/>
    <w:rsid w:val="003A24B8"/>
    <w:rsid w:val="003A3E5E"/>
    <w:rsid w:val="003A454C"/>
    <w:rsid w:val="003A5564"/>
    <w:rsid w:val="003A6290"/>
    <w:rsid w:val="003A62D9"/>
    <w:rsid w:val="003A6440"/>
    <w:rsid w:val="003A6988"/>
    <w:rsid w:val="003A6993"/>
    <w:rsid w:val="003A767F"/>
    <w:rsid w:val="003B2DD8"/>
    <w:rsid w:val="003B30B5"/>
    <w:rsid w:val="003B45C1"/>
    <w:rsid w:val="003B4752"/>
    <w:rsid w:val="003B509D"/>
    <w:rsid w:val="003B53AB"/>
    <w:rsid w:val="003B53D3"/>
    <w:rsid w:val="003B616C"/>
    <w:rsid w:val="003B6B74"/>
    <w:rsid w:val="003B7BEE"/>
    <w:rsid w:val="003C0709"/>
    <w:rsid w:val="003C2167"/>
    <w:rsid w:val="003C281C"/>
    <w:rsid w:val="003C2EB1"/>
    <w:rsid w:val="003C38B6"/>
    <w:rsid w:val="003C50A4"/>
    <w:rsid w:val="003C593E"/>
    <w:rsid w:val="003C5C5B"/>
    <w:rsid w:val="003C5CA5"/>
    <w:rsid w:val="003C736D"/>
    <w:rsid w:val="003C7723"/>
    <w:rsid w:val="003C7826"/>
    <w:rsid w:val="003C7FC4"/>
    <w:rsid w:val="003D0609"/>
    <w:rsid w:val="003D06B1"/>
    <w:rsid w:val="003D1998"/>
    <w:rsid w:val="003D20AA"/>
    <w:rsid w:val="003D2919"/>
    <w:rsid w:val="003D2E8B"/>
    <w:rsid w:val="003D32CD"/>
    <w:rsid w:val="003D347A"/>
    <w:rsid w:val="003D5F1D"/>
    <w:rsid w:val="003D6634"/>
    <w:rsid w:val="003D78B9"/>
    <w:rsid w:val="003E0DE0"/>
    <w:rsid w:val="003E1C37"/>
    <w:rsid w:val="003E1D36"/>
    <w:rsid w:val="003E3639"/>
    <w:rsid w:val="003E4D2F"/>
    <w:rsid w:val="003E4FF4"/>
    <w:rsid w:val="003E5607"/>
    <w:rsid w:val="003E70BB"/>
    <w:rsid w:val="003E778E"/>
    <w:rsid w:val="003F02E2"/>
    <w:rsid w:val="003F0CF9"/>
    <w:rsid w:val="003F1534"/>
    <w:rsid w:val="003F3F6A"/>
    <w:rsid w:val="003F4A83"/>
    <w:rsid w:val="003F4F14"/>
    <w:rsid w:val="003F5903"/>
    <w:rsid w:val="003F6352"/>
    <w:rsid w:val="003F692D"/>
    <w:rsid w:val="003F6B96"/>
    <w:rsid w:val="003F7245"/>
    <w:rsid w:val="003F7EBA"/>
    <w:rsid w:val="0040007E"/>
    <w:rsid w:val="00401B95"/>
    <w:rsid w:val="0040255B"/>
    <w:rsid w:val="00403350"/>
    <w:rsid w:val="00403C21"/>
    <w:rsid w:val="00404E9F"/>
    <w:rsid w:val="00405430"/>
    <w:rsid w:val="0040691B"/>
    <w:rsid w:val="00406E7F"/>
    <w:rsid w:val="00406EDB"/>
    <w:rsid w:val="00410D19"/>
    <w:rsid w:val="00411190"/>
    <w:rsid w:val="0041137E"/>
    <w:rsid w:val="0041139D"/>
    <w:rsid w:val="004115C0"/>
    <w:rsid w:val="00411CAB"/>
    <w:rsid w:val="00412079"/>
    <w:rsid w:val="0041296D"/>
    <w:rsid w:val="00413CFD"/>
    <w:rsid w:val="00413E4B"/>
    <w:rsid w:val="00416467"/>
    <w:rsid w:val="004215F5"/>
    <w:rsid w:val="0042204C"/>
    <w:rsid w:val="004249AD"/>
    <w:rsid w:val="00425988"/>
    <w:rsid w:val="00425F61"/>
    <w:rsid w:val="0043040F"/>
    <w:rsid w:val="00430447"/>
    <w:rsid w:val="00430DD2"/>
    <w:rsid w:val="00430F51"/>
    <w:rsid w:val="00433B7B"/>
    <w:rsid w:val="00433F42"/>
    <w:rsid w:val="004345A4"/>
    <w:rsid w:val="00434B52"/>
    <w:rsid w:val="004356B4"/>
    <w:rsid w:val="00436970"/>
    <w:rsid w:val="004404DA"/>
    <w:rsid w:val="00440693"/>
    <w:rsid w:val="0044421B"/>
    <w:rsid w:val="004443ED"/>
    <w:rsid w:val="00445997"/>
    <w:rsid w:val="00446C8F"/>
    <w:rsid w:val="00447010"/>
    <w:rsid w:val="004473EE"/>
    <w:rsid w:val="00447607"/>
    <w:rsid w:val="00447871"/>
    <w:rsid w:val="00452943"/>
    <w:rsid w:val="0045300B"/>
    <w:rsid w:val="00457769"/>
    <w:rsid w:val="00460097"/>
    <w:rsid w:val="00460136"/>
    <w:rsid w:val="00461E6E"/>
    <w:rsid w:val="00462416"/>
    <w:rsid w:val="00462429"/>
    <w:rsid w:val="004627D6"/>
    <w:rsid w:val="00462A81"/>
    <w:rsid w:val="0046358C"/>
    <w:rsid w:val="004639E3"/>
    <w:rsid w:val="00464CFA"/>
    <w:rsid w:val="004652FD"/>
    <w:rsid w:val="004655F8"/>
    <w:rsid w:val="00466FD0"/>
    <w:rsid w:val="004679DE"/>
    <w:rsid w:val="00467DB8"/>
    <w:rsid w:val="00470947"/>
    <w:rsid w:val="00471686"/>
    <w:rsid w:val="004719A4"/>
    <w:rsid w:val="004724E6"/>
    <w:rsid w:val="004727E2"/>
    <w:rsid w:val="004743B6"/>
    <w:rsid w:val="004744B4"/>
    <w:rsid w:val="0047459F"/>
    <w:rsid w:val="0047621C"/>
    <w:rsid w:val="00476220"/>
    <w:rsid w:val="004767F0"/>
    <w:rsid w:val="00477F72"/>
    <w:rsid w:val="00480186"/>
    <w:rsid w:val="0048157D"/>
    <w:rsid w:val="0048158A"/>
    <w:rsid w:val="0048247D"/>
    <w:rsid w:val="004827FA"/>
    <w:rsid w:val="00484FC8"/>
    <w:rsid w:val="004859F8"/>
    <w:rsid w:val="00485F65"/>
    <w:rsid w:val="00487210"/>
    <w:rsid w:val="00487C1A"/>
    <w:rsid w:val="0049061C"/>
    <w:rsid w:val="00490714"/>
    <w:rsid w:val="00490A2C"/>
    <w:rsid w:val="00491C76"/>
    <w:rsid w:val="004932FF"/>
    <w:rsid w:val="004944C4"/>
    <w:rsid w:val="004952D8"/>
    <w:rsid w:val="00495B55"/>
    <w:rsid w:val="00495CB3"/>
    <w:rsid w:val="00495DFE"/>
    <w:rsid w:val="00496ECA"/>
    <w:rsid w:val="004A26BE"/>
    <w:rsid w:val="004A3EC8"/>
    <w:rsid w:val="004A3F66"/>
    <w:rsid w:val="004A51BA"/>
    <w:rsid w:val="004A6BBC"/>
    <w:rsid w:val="004A796B"/>
    <w:rsid w:val="004A7E37"/>
    <w:rsid w:val="004B22A9"/>
    <w:rsid w:val="004B296B"/>
    <w:rsid w:val="004B2CB1"/>
    <w:rsid w:val="004B37BF"/>
    <w:rsid w:val="004B3B3D"/>
    <w:rsid w:val="004B3F6A"/>
    <w:rsid w:val="004B4B0A"/>
    <w:rsid w:val="004B4D25"/>
    <w:rsid w:val="004B53D8"/>
    <w:rsid w:val="004B5956"/>
    <w:rsid w:val="004B5AF7"/>
    <w:rsid w:val="004B70E9"/>
    <w:rsid w:val="004B750C"/>
    <w:rsid w:val="004B7EF3"/>
    <w:rsid w:val="004C07AA"/>
    <w:rsid w:val="004C23FF"/>
    <w:rsid w:val="004C2BC0"/>
    <w:rsid w:val="004C4357"/>
    <w:rsid w:val="004C5907"/>
    <w:rsid w:val="004C5F6B"/>
    <w:rsid w:val="004C6CF2"/>
    <w:rsid w:val="004C6E5E"/>
    <w:rsid w:val="004D00DA"/>
    <w:rsid w:val="004D2AB1"/>
    <w:rsid w:val="004D2FFD"/>
    <w:rsid w:val="004D36AE"/>
    <w:rsid w:val="004D518E"/>
    <w:rsid w:val="004D55A3"/>
    <w:rsid w:val="004D5C63"/>
    <w:rsid w:val="004E0377"/>
    <w:rsid w:val="004E09BD"/>
    <w:rsid w:val="004E10E9"/>
    <w:rsid w:val="004E1195"/>
    <w:rsid w:val="004E1A42"/>
    <w:rsid w:val="004E2203"/>
    <w:rsid w:val="004E462F"/>
    <w:rsid w:val="004E58CE"/>
    <w:rsid w:val="004E7880"/>
    <w:rsid w:val="004F0207"/>
    <w:rsid w:val="004F034F"/>
    <w:rsid w:val="004F0797"/>
    <w:rsid w:val="004F096F"/>
    <w:rsid w:val="004F17B1"/>
    <w:rsid w:val="004F18DC"/>
    <w:rsid w:val="004F28B9"/>
    <w:rsid w:val="004F3B44"/>
    <w:rsid w:val="004F4134"/>
    <w:rsid w:val="004F41A3"/>
    <w:rsid w:val="004F4B62"/>
    <w:rsid w:val="004F5FDA"/>
    <w:rsid w:val="00500161"/>
    <w:rsid w:val="00500205"/>
    <w:rsid w:val="00502552"/>
    <w:rsid w:val="0050289D"/>
    <w:rsid w:val="00502FDF"/>
    <w:rsid w:val="00503933"/>
    <w:rsid w:val="005045AD"/>
    <w:rsid w:val="00504B84"/>
    <w:rsid w:val="00505BB4"/>
    <w:rsid w:val="00506938"/>
    <w:rsid w:val="005073AC"/>
    <w:rsid w:val="00507B59"/>
    <w:rsid w:val="00510F0A"/>
    <w:rsid w:val="0051272A"/>
    <w:rsid w:val="00512F04"/>
    <w:rsid w:val="00512F89"/>
    <w:rsid w:val="00513738"/>
    <w:rsid w:val="00514120"/>
    <w:rsid w:val="0051422B"/>
    <w:rsid w:val="00514318"/>
    <w:rsid w:val="0051481B"/>
    <w:rsid w:val="00514F72"/>
    <w:rsid w:val="00515CA2"/>
    <w:rsid w:val="00516B5C"/>
    <w:rsid w:val="00517108"/>
    <w:rsid w:val="0051731B"/>
    <w:rsid w:val="00517E90"/>
    <w:rsid w:val="00520B5F"/>
    <w:rsid w:val="00521545"/>
    <w:rsid w:val="00521B6E"/>
    <w:rsid w:val="00521E7C"/>
    <w:rsid w:val="00521E80"/>
    <w:rsid w:val="00522380"/>
    <w:rsid w:val="005234D3"/>
    <w:rsid w:val="005242FF"/>
    <w:rsid w:val="005249AB"/>
    <w:rsid w:val="00524A95"/>
    <w:rsid w:val="005255FB"/>
    <w:rsid w:val="00525C08"/>
    <w:rsid w:val="0052633F"/>
    <w:rsid w:val="0052648D"/>
    <w:rsid w:val="00526811"/>
    <w:rsid w:val="00526AAB"/>
    <w:rsid w:val="00526DD4"/>
    <w:rsid w:val="00527B9D"/>
    <w:rsid w:val="00527BAF"/>
    <w:rsid w:val="00527FD4"/>
    <w:rsid w:val="0053094A"/>
    <w:rsid w:val="0053298A"/>
    <w:rsid w:val="005330E4"/>
    <w:rsid w:val="00533642"/>
    <w:rsid w:val="005340A1"/>
    <w:rsid w:val="00535492"/>
    <w:rsid w:val="0053563E"/>
    <w:rsid w:val="00535BB4"/>
    <w:rsid w:val="00536EED"/>
    <w:rsid w:val="0053760E"/>
    <w:rsid w:val="00540507"/>
    <w:rsid w:val="00540A02"/>
    <w:rsid w:val="005417DF"/>
    <w:rsid w:val="0054197E"/>
    <w:rsid w:val="00542675"/>
    <w:rsid w:val="00542732"/>
    <w:rsid w:val="005430C2"/>
    <w:rsid w:val="005445AF"/>
    <w:rsid w:val="00544EEE"/>
    <w:rsid w:val="00546BDA"/>
    <w:rsid w:val="00546DDB"/>
    <w:rsid w:val="00550952"/>
    <w:rsid w:val="00550F84"/>
    <w:rsid w:val="005528B6"/>
    <w:rsid w:val="00553220"/>
    <w:rsid w:val="0055325A"/>
    <w:rsid w:val="0055619A"/>
    <w:rsid w:val="005562F3"/>
    <w:rsid w:val="0055635F"/>
    <w:rsid w:val="0055770D"/>
    <w:rsid w:val="00557ACA"/>
    <w:rsid w:val="00557E1C"/>
    <w:rsid w:val="005601C2"/>
    <w:rsid w:val="00560E82"/>
    <w:rsid w:val="00561933"/>
    <w:rsid w:val="00561F23"/>
    <w:rsid w:val="00562317"/>
    <w:rsid w:val="00562777"/>
    <w:rsid w:val="00562D99"/>
    <w:rsid w:val="00563E8B"/>
    <w:rsid w:val="00563FA5"/>
    <w:rsid w:val="005655EC"/>
    <w:rsid w:val="005656A1"/>
    <w:rsid w:val="0056574E"/>
    <w:rsid w:val="0056610E"/>
    <w:rsid w:val="00567486"/>
    <w:rsid w:val="00567A85"/>
    <w:rsid w:val="00570FCA"/>
    <w:rsid w:val="0057199B"/>
    <w:rsid w:val="005722FD"/>
    <w:rsid w:val="00572726"/>
    <w:rsid w:val="005729BE"/>
    <w:rsid w:val="00572ADF"/>
    <w:rsid w:val="00573789"/>
    <w:rsid w:val="00573872"/>
    <w:rsid w:val="00573C75"/>
    <w:rsid w:val="00573F9D"/>
    <w:rsid w:val="00575000"/>
    <w:rsid w:val="0057541B"/>
    <w:rsid w:val="005759ED"/>
    <w:rsid w:val="00576751"/>
    <w:rsid w:val="00580513"/>
    <w:rsid w:val="00580699"/>
    <w:rsid w:val="0058097F"/>
    <w:rsid w:val="00582C93"/>
    <w:rsid w:val="00582D72"/>
    <w:rsid w:val="00582E03"/>
    <w:rsid w:val="00583FC8"/>
    <w:rsid w:val="005853B3"/>
    <w:rsid w:val="00586ED3"/>
    <w:rsid w:val="0059064E"/>
    <w:rsid w:val="00590A53"/>
    <w:rsid w:val="005926E9"/>
    <w:rsid w:val="00592D12"/>
    <w:rsid w:val="00593065"/>
    <w:rsid w:val="00593114"/>
    <w:rsid w:val="00593787"/>
    <w:rsid w:val="00593C12"/>
    <w:rsid w:val="00593E69"/>
    <w:rsid w:val="0059591A"/>
    <w:rsid w:val="00596D38"/>
    <w:rsid w:val="005975E4"/>
    <w:rsid w:val="005A0C60"/>
    <w:rsid w:val="005A18A8"/>
    <w:rsid w:val="005A1CC7"/>
    <w:rsid w:val="005A2056"/>
    <w:rsid w:val="005A3976"/>
    <w:rsid w:val="005A4245"/>
    <w:rsid w:val="005A4843"/>
    <w:rsid w:val="005A4F44"/>
    <w:rsid w:val="005A5431"/>
    <w:rsid w:val="005A578A"/>
    <w:rsid w:val="005A583F"/>
    <w:rsid w:val="005A6BD1"/>
    <w:rsid w:val="005B003A"/>
    <w:rsid w:val="005B2E16"/>
    <w:rsid w:val="005B3FAA"/>
    <w:rsid w:val="005B4980"/>
    <w:rsid w:val="005B49CE"/>
    <w:rsid w:val="005B4A64"/>
    <w:rsid w:val="005B5556"/>
    <w:rsid w:val="005B56CA"/>
    <w:rsid w:val="005B5A65"/>
    <w:rsid w:val="005C4C64"/>
    <w:rsid w:val="005C5A7A"/>
    <w:rsid w:val="005C73E4"/>
    <w:rsid w:val="005D0674"/>
    <w:rsid w:val="005D074E"/>
    <w:rsid w:val="005D1128"/>
    <w:rsid w:val="005D1DA1"/>
    <w:rsid w:val="005D221B"/>
    <w:rsid w:val="005D336F"/>
    <w:rsid w:val="005D3C8D"/>
    <w:rsid w:val="005D42B9"/>
    <w:rsid w:val="005D5092"/>
    <w:rsid w:val="005D5A88"/>
    <w:rsid w:val="005D7EB0"/>
    <w:rsid w:val="005E022A"/>
    <w:rsid w:val="005E1EE4"/>
    <w:rsid w:val="005E26B5"/>
    <w:rsid w:val="005E287D"/>
    <w:rsid w:val="005E2C9D"/>
    <w:rsid w:val="005E2D30"/>
    <w:rsid w:val="005E3111"/>
    <w:rsid w:val="005E428B"/>
    <w:rsid w:val="005E448A"/>
    <w:rsid w:val="005E4722"/>
    <w:rsid w:val="005E62FC"/>
    <w:rsid w:val="005E6675"/>
    <w:rsid w:val="005F002C"/>
    <w:rsid w:val="005F1709"/>
    <w:rsid w:val="005F369E"/>
    <w:rsid w:val="005F3C13"/>
    <w:rsid w:val="005F4281"/>
    <w:rsid w:val="005F4B16"/>
    <w:rsid w:val="005F5AB4"/>
    <w:rsid w:val="005F6A9A"/>
    <w:rsid w:val="005F6DCE"/>
    <w:rsid w:val="006019C7"/>
    <w:rsid w:val="00602B63"/>
    <w:rsid w:val="006038E1"/>
    <w:rsid w:val="00604578"/>
    <w:rsid w:val="006065DC"/>
    <w:rsid w:val="00606817"/>
    <w:rsid w:val="00607469"/>
    <w:rsid w:val="006078FA"/>
    <w:rsid w:val="00607902"/>
    <w:rsid w:val="006105B7"/>
    <w:rsid w:val="006116CF"/>
    <w:rsid w:val="00611BD6"/>
    <w:rsid w:val="00612F4D"/>
    <w:rsid w:val="00613EC7"/>
    <w:rsid w:val="0061409E"/>
    <w:rsid w:val="00615A1B"/>
    <w:rsid w:val="00617C46"/>
    <w:rsid w:val="00620E4C"/>
    <w:rsid w:val="006210AE"/>
    <w:rsid w:val="00621B07"/>
    <w:rsid w:val="006253E9"/>
    <w:rsid w:val="0062548C"/>
    <w:rsid w:val="00626DB7"/>
    <w:rsid w:val="006278B4"/>
    <w:rsid w:val="00631887"/>
    <w:rsid w:val="006320A4"/>
    <w:rsid w:val="00633258"/>
    <w:rsid w:val="00633BC7"/>
    <w:rsid w:val="00633D80"/>
    <w:rsid w:val="00635B2B"/>
    <w:rsid w:val="00635F38"/>
    <w:rsid w:val="00635F8A"/>
    <w:rsid w:val="00636308"/>
    <w:rsid w:val="00636425"/>
    <w:rsid w:val="0063660B"/>
    <w:rsid w:val="00636A86"/>
    <w:rsid w:val="00636DBE"/>
    <w:rsid w:val="00636ECB"/>
    <w:rsid w:val="006371E5"/>
    <w:rsid w:val="00637646"/>
    <w:rsid w:val="006378FB"/>
    <w:rsid w:val="006404A1"/>
    <w:rsid w:val="0064114B"/>
    <w:rsid w:val="006419BC"/>
    <w:rsid w:val="00642292"/>
    <w:rsid w:val="00642418"/>
    <w:rsid w:val="00642B44"/>
    <w:rsid w:val="00643242"/>
    <w:rsid w:val="00643AC8"/>
    <w:rsid w:val="0064449B"/>
    <w:rsid w:val="00644D2F"/>
    <w:rsid w:val="00644F3E"/>
    <w:rsid w:val="00645B5B"/>
    <w:rsid w:val="00647E10"/>
    <w:rsid w:val="0065077D"/>
    <w:rsid w:val="006510FC"/>
    <w:rsid w:val="006513A4"/>
    <w:rsid w:val="00652064"/>
    <w:rsid w:val="00652BDD"/>
    <w:rsid w:val="00656360"/>
    <w:rsid w:val="00656451"/>
    <w:rsid w:val="0065662D"/>
    <w:rsid w:val="00660C93"/>
    <w:rsid w:val="00661259"/>
    <w:rsid w:val="0066137D"/>
    <w:rsid w:val="00661789"/>
    <w:rsid w:val="006619EF"/>
    <w:rsid w:val="006624A0"/>
    <w:rsid w:val="0066583D"/>
    <w:rsid w:val="00666C55"/>
    <w:rsid w:val="00667965"/>
    <w:rsid w:val="0067063C"/>
    <w:rsid w:val="0067083C"/>
    <w:rsid w:val="00671DC1"/>
    <w:rsid w:val="00672208"/>
    <w:rsid w:val="00672615"/>
    <w:rsid w:val="00673234"/>
    <w:rsid w:val="00675B30"/>
    <w:rsid w:val="00677A8D"/>
    <w:rsid w:val="00681762"/>
    <w:rsid w:val="00681CC0"/>
    <w:rsid w:val="00681DF2"/>
    <w:rsid w:val="00681E33"/>
    <w:rsid w:val="006822AD"/>
    <w:rsid w:val="00682A34"/>
    <w:rsid w:val="00683416"/>
    <w:rsid w:val="006854D7"/>
    <w:rsid w:val="0068631F"/>
    <w:rsid w:val="006870CB"/>
    <w:rsid w:val="00687743"/>
    <w:rsid w:val="00687963"/>
    <w:rsid w:val="00690BDE"/>
    <w:rsid w:val="0069107D"/>
    <w:rsid w:val="00692341"/>
    <w:rsid w:val="006938BB"/>
    <w:rsid w:val="00693B74"/>
    <w:rsid w:val="00695D34"/>
    <w:rsid w:val="0069706B"/>
    <w:rsid w:val="006A1947"/>
    <w:rsid w:val="006A1E0F"/>
    <w:rsid w:val="006A21BE"/>
    <w:rsid w:val="006A360E"/>
    <w:rsid w:val="006A5809"/>
    <w:rsid w:val="006A5AC7"/>
    <w:rsid w:val="006A5C1A"/>
    <w:rsid w:val="006A64D8"/>
    <w:rsid w:val="006A6F77"/>
    <w:rsid w:val="006A711D"/>
    <w:rsid w:val="006B002B"/>
    <w:rsid w:val="006B047E"/>
    <w:rsid w:val="006B0747"/>
    <w:rsid w:val="006B09CF"/>
    <w:rsid w:val="006B0BA3"/>
    <w:rsid w:val="006B2583"/>
    <w:rsid w:val="006B26C3"/>
    <w:rsid w:val="006B2E59"/>
    <w:rsid w:val="006B49AF"/>
    <w:rsid w:val="006B61FB"/>
    <w:rsid w:val="006C01D6"/>
    <w:rsid w:val="006C0441"/>
    <w:rsid w:val="006C05A3"/>
    <w:rsid w:val="006C072A"/>
    <w:rsid w:val="006C1F83"/>
    <w:rsid w:val="006C2E94"/>
    <w:rsid w:val="006C35E1"/>
    <w:rsid w:val="006C37C5"/>
    <w:rsid w:val="006C4D2A"/>
    <w:rsid w:val="006C6F66"/>
    <w:rsid w:val="006C7402"/>
    <w:rsid w:val="006C7A78"/>
    <w:rsid w:val="006D0435"/>
    <w:rsid w:val="006D046A"/>
    <w:rsid w:val="006D3879"/>
    <w:rsid w:val="006D3CAE"/>
    <w:rsid w:val="006D4288"/>
    <w:rsid w:val="006D484E"/>
    <w:rsid w:val="006D4A63"/>
    <w:rsid w:val="006D4AED"/>
    <w:rsid w:val="006D6FC7"/>
    <w:rsid w:val="006D7834"/>
    <w:rsid w:val="006E0903"/>
    <w:rsid w:val="006E0A4D"/>
    <w:rsid w:val="006E0D8C"/>
    <w:rsid w:val="006E3A10"/>
    <w:rsid w:val="006E3F0A"/>
    <w:rsid w:val="006E45C6"/>
    <w:rsid w:val="006E4F33"/>
    <w:rsid w:val="006E5384"/>
    <w:rsid w:val="006E54D6"/>
    <w:rsid w:val="006E67A8"/>
    <w:rsid w:val="006E68F5"/>
    <w:rsid w:val="006E6F76"/>
    <w:rsid w:val="006E76EC"/>
    <w:rsid w:val="006E78F8"/>
    <w:rsid w:val="006F03CD"/>
    <w:rsid w:val="006F0FFF"/>
    <w:rsid w:val="006F1A33"/>
    <w:rsid w:val="006F2D55"/>
    <w:rsid w:val="006F373E"/>
    <w:rsid w:val="006F4294"/>
    <w:rsid w:val="006F4300"/>
    <w:rsid w:val="006F4523"/>
    <w:rsid w:val="006F4787"/>
    <w:rsid w:val="006F54D0"/>
    <w:rsid w:val="006F5EFB"/>
    <w:rsid w:val="006F6138"/>
    <w:rsid w:val="006F70A9"/>
    <w:rsid w:val="00700B15"/>
    <w:rsid w:val="00701EC7"/>
    <w:rsid w:val="00702F30"/>
    <w:rsid w:val="0070324C"/>
    <w:rsid w:val="00703843"/>
    <w:rsid w:val="00703D46"/>
    <w:rsid w:val="0070648C"/>
    <w:rsid w:val="00706B58"/>
    <w:rsid w:val="0070740A"/>
    <w:rsid w:val="00711E27"/>
    <w:rsid w:val="00711F0E"/>
    <w:rsid w:val="00712123"/>
    <w:rsid w:val="007132F1"/>
    <w:rsid w:val="00714AEA"/>
    <w:rsid w:val="00714C6B"/>
    <w:rsid w:val="00714EBB"/>
    <w:rsid w:val="00715684"/>
    <w:rsid w:val="007169F9"/>
    <w:rsid w:val="0072299F"/>
    <w:rsid w:val="0072539F"/>
    <w:rsid w:val="007274DB"/>
    <w:rsid w:val="00727508"/>
    <w:rsid w:val="00730254"/>
    <w:rsid w:val="00730C94"/>
    <w:rsid w:val="0073137E"/>
    <w:rsid w:val="007328D6"/>
    <w:rsid w:val="007331E9"/>
    <w:rsid w:val="00734AD1"/>
    <w:rsid w:val="00735180"/>
    <w:rsid w:val="00736D70"/>
    <w:rsid w:val="0073769A"/>
    <w:rsid w:val="00737F5D"/>
    <w:rsid w:val="0074111B"/>
    <w:rsid w:val="0074371B"/>
    <w:rsid w:val="00744091"/>
    <w:rsid w:val="0074437A"/>
    <w:rsid w:val="0074492E"/>
    <w:rsid w:val="00744C28"/>
    <w:rsid w:val="00747756"/>
    <w:rsid w:val="007477F6"/>
    <w:rsid w:val="00747DE6"/>
    <w:rsid w:val="00751651"/>
    <w:rsid w:val="00751A41"/>
    <w:rsid w:val="00752112"/>
    <w:rsid w:val="00753395"/>
    <w:rsid w:val="007535A7"/>
    <w:rsid w:val="00753C9C"/>
    <w:rsid w:val="00753CA3"/>
    <w:rsid w:val="007540FE"/>
    <w:rsid w:val="00755A47"/>
    <w:rsid w:val="00756651"/>
    <w:rsid w:val="00756D2E"/>
    <w:rsid w:val="00757365"/>
    <w:rsid w:val="00761177"/>
    <w:rsid w:val="007615D1"/>
    <w:rsid w:val="00761824"/>
    <w:rsid w:val="00761DB7"/>
    <w:rsid w:val="00762303"/>
    <w:rsid w:val="007628F7"/>
    <w:rsid w:val="00762C41"/>
    <w:rsid w:val="00765231"/>
    <w:rsid w:val="00765793"/>
    <w:rsid w:val="00765BCB"/>
    <w:rsid w:val="00767217"/>
    <w:rsid w:val="00767779"/>
    <w:rsid w:val="007679F2"/>
    <w:rsid w:val="00772AFA"/>
    <w:rsid w:val="00773801"/>
    <w:rsid w:val="007751E2"/>
    <w:rsid w:val="007756C9"/>
    <w:rsid w:val="007761CB"/>
    <w:rsid w:val="00777209"/>
    <w:rsid w:val="00782B5F"/>
    <w:rsid w:val="0078446E"/>
    <w:rsid w:val="0078469E"/>
    <w:rsid w:val="00784DD9"/>
    <w:rsid w:val="00785E5A"/>
    <w:rsid w:val="00785F99"/>
    <w:rsid w:val="007864E6"/>
    <w:rsid w:val="00786786"/>
    <w:rsid w:val="0078757C"/>
    <w:rsid w:val="0078766B"/>
    <w:rsid w:val="00790210"/>
    <w:rsid w:val="0079320E"/>
    <w:rsid w:val="0079532E"/>
    <w:rsid w:val="0079569F"/>
    <w:rsid w:val="00795BBD"/>
    <w:rsid w:val="007961B9"/>
    <w:rsid w:val="007964A2"/>
    <w:rsid w:val="0079675F"/>
    <w:rsid w:val="00797851"/>
    <w:rsid w:val="00797CA8"/>
    <w:rsid w:val="00797E27"/>
    <w:rsid w:val="007A14CC"/>
    <w:rsid w:val="007A182B"/>
    <w:rsid w:val="007A347C"/>
    <w:rsid w:val="007A4D26"/>
    <w:rsid w:val="007A5129"/>
    <w:rsid w:val="007A6ABC"/>
    <w:rsid w:val="007B006D"/>
    <w:rsid w:val="007B1055"/>
    <w:rsid w:val="007B2D69"/>
    <w:rsid w:val="007B2DC4"/>
    <w:rsid w:val="007B3B74"/>
    <w:rsid w:val="007B49B7"/>
    <w:rsid w:val="007B5ADA"/>
    <w:rsid w:val="007C0300"/>
    <w:rsid w:val="007C0817"/>
    <w:rsid w:val="007C2865"/>
    <w:rsid w:val="007C37C4"/>
    <w:rsid w:val="007C4EE3"/>
    <w:rsid w:val="007C6140"/>
    <w:rsid w:val="007C7460"/>
    <w:rsid w:val="007D0667"/>
    <w:rsid w:val="007D2090"/>
    <w:rsid w:val="007D2F26"/>
    <w:rsid w:val="007D7015"/>
    <w:rsid w:val="007D787B"/>
    <w:rsid w:val="007E032F"/>
    <w:rsid w:val="007E1E39"/>
    <w:rsid w:val="007E3625"/>
    <w:rsid w:val="007E3B13"/>
    <w:rsid w:val="007E4AB7"/>
    <w:rsid w:val="007E70F9"/>
    <w:rsid w:val="007E7317"/>
    <w:rsid w:val="007E75FE"/>
    <w:rsid w:val="007F00B8"/>
    <w:rsid w:val="007F0DB3"/>
    <w:rsid w:val="007F1044"/>
    <w:rsid w:val="007F10CF"/>
    <w:rsid w:val="007F15EE"/>
    <w:rsid w:val="007F1E3D"/>
    <w:rsid w:val="007F1FED"/>
    <w:rsid w:val="007F6380"/>
    <w:rsid w:val="007F6DE7"/>
    <w:rsid w:val="007F70B1"/>
    <w:rsid w:val="007F7604"/>
    <w:rsid w:val="007F779D"/>
    <w:rsid w:val="007F7CF8"/>
    <w:rsid w:val="00800205"/>
    <w:rsid w:val="00800C14"/>
    <w:rsid w:val="00801080"/>
    <w:rsid w:val="008018BD"/>
    <w:rsid w:val="00801AF4"/>
    <w:rsid w:val="00801FB5"/>
    <w:rsid w:val="00801FE7"/>
    <w:rsid w:val="00801FFE"/>
    <w:rsid w:val="008036F3"/>
    <w:rsid w:val="0080424A"/>
    <w:rsid w:val="00804D28"/>
    <w:rsid w:val="00805E08"/>
    <w:rsid w:val="00807C95"/>
    <w:rsid w:val="00807E60"/>
    <w:rsid w:val="00810E22"/>
    <w:rsid w:val="00812CCE"/>
    <w:rsid w:val="00813ABF"/>
    <w:rsid w:val="00813F60"/>
    <w:rsid w:val="008140F2"/>
    <w:rsid w:val="00815403"/>
    <w:rsid w:val="00816F29"/>
    <w:rsid w:val="00821454"/>
    <w:rsid w:val="0082160C"/>
    <w:rsid w:val="008217E9"/>
    <w:rsid w:val="00821B22"/>
    <w:rsid w:val="00822FAB"/>
    <w:rsid w:val="00823B47"/>
    <w:rsid w:val="0082458D"/>
    <w:rsid w:val="00826023"/>
    <w:rsid w:val="008269BE"/>
    <w:rsid w:val="00827582"/>
    <w:rsid w:val="0082788C"/>
    <w:rsid w:val="0083109A"/>
    <w:rsid w:val="0083206C"/>
    <w:rsid w:val="00832B1D"/>
    <w:rsid w:val="00832F02"/>
    <w:rsid w:val="00832FA5"/>
    <w:rsid w:val="008334EE"/>
    <w:rsid w:val="00834A59"/>
    <w:rsid w:val="00835265"/>
    <w:rsid w:val="00835B2A"/>
    <w:rsid w:val="00835BCD"/>
    <w:rsid w:val="008366AF"/>
    <w:rsid w:val="00837416"/>
    <w:rsid w:val="00837A8B"/>
    <w:rsid w:val="008404A3"/>
    <w:rsid w:val="00840F34"/>
    <w:rsid w:val="00841858"/>
    <w:rsid w:val="00842B1B"/>
    <w:rsid w:val="00842FDD"/>
    <w:rsid w:val="00843780"/>
    <w:rsid w:val="00846F63"/>
    <w:rsid w:val="00851238"/>
    <w:rsid w:val="00852623"/>
    <w:rsid w:val="0085554A"/>
    <w:rsid w:val="008557A6"/>
    <w:rsid w:val="00856A09"/>
    <w:rsid w:val="00861042"/>
    <w:rsid w:val="00862115"/>
    <w:rsid w:val="0086226B"/>
    <w:rsid w:val="00863638"/>
    <w:rsid w:val="00865380"/>
    <w:rsid w:val="008659A2"/>
    <w:rsid w:val="00865AF9"/>
    <w:rsid w:val="0086614C"/>
    <w:rsid w:val="00866C3E"/>
    <w:rsid w:val="008671B1"/>
    <w:rsid w:val="00867247"/>
    <w:rsid w:val="0086766C"/>
    <w:rsid w:val="00867986"/>
    <w:rsid w:val="00867DBE"/>
    <w:rsid w:val="00870258"/>
    <w:rsid w:val="00870457"/>
    <w:rsid w:val="008708C9"/>
    <w:rsid w:val="008721F9"/>
    <w:rsid w:val="0087223C"/>
    <w:rsid w:val="00873182"/>
    <w:rsid w:val="00874F2F"/>
    <w:rsid w:val="0087539C"/>
    <w:rsid w:val="00876456"/>
    <w:rsid w:val="008775FC"/>
    <w:rsid w:val="00877FAA"/>
    <w:rsid w:val="008813BB"/>
    <w:rsid w:val="00881EBA"/>
    <w:rsid w:val="00882A15"/>
    <w:rsid w:val="00882F53"/>
    <w:rsid w:val="00882F7B"/>
    <w:rsid w:val="00884D31"/>
    <w:rsid w:val="00886108"/>
    <w:rsid w:val="008861F7"/>
    <w:rsid w:val="00886BA9"/>
    <w:rsid w:val="00886D97"/>
    <w:rsid w:val="008927DD"/>
    <w:rsid w:val="00893609"/>
    <w:rsid w:val="00893B38"/>
    <w:rsid w:val="00893E49"/>
    <w:rsid w:val="00893E6E"/>
    <w:rsid w:val="008944D0"/>
    <w:rsid w:val="00895EAF"/>
    <w:rsid w:val="00896182"/>
    <w:rsid w:val="0089627C"/>
    <w:rsid w:val="008963E6"/>
    <w:rsid w:val="008970E3"/>
    <w:rsid w:val="008A332A"/>
    <w:rsid w:val="008A3C80"/>
    <w:rsid w:val="008A4383"/>
    <w:rsid w:val="008A58C5"/>
    <w:rsid w:val="008A6686"/>
    <w:rsid w:val="008A6745"/>
    <w:rsid w:val="008A737F"/>
    <w:rsid w:val="008A761A"/>
    <w:rsid w:val="008B15E8"/>
    <w:rsid w:val="008B2C86"/>
    <w:rsid w:val="008B4210"/>
    <w:rsid w:val="008B42A9"/>
    <w:rsid w:val="008B4B72"/>
    <w:rsid w:val="008B4C09"/>
    <w:rsid w:val="008B4D7D"/>
    <w:rsid w:val="008B5E42"/>
    <w:rsid w:val="008B6CC1"/>
    <w:rsid w:val="008B780E"/>
    <w:rsid w:val="008C0DE7"/>
    <w:rsid w:val="008C14F4"/>
    <w:rsid w:val="008C1EB3"/>
    <w:rsid w:val="008C4A1A"/>
    <w:rsid w:val="008C4FCB"/>
    <w:rsid w:val="008C5E3F"/>
    <w:rsid w:val="008C677A"/>
    <w:rsid w:val="008C6AE2"/>
    <w:rsid w:val="008C70D1"/>
    <w:rsid w:val="008C724D"/>
    <w:rsid w:val="008D2E55"/>
    <w:rsid w:val="008D2F9E"/>
    <w:rsid w:val="008D398B"/>
    <w:rsid w:val="008D4BBB"/>
    <w:rsid w:val="008D5226"/>
    <w:rsid w:val="008D5DCE"/>
    <w:rsid w:val="008D66F0"/>
    <w:rsid w:val="008E00B8"/>
    <w:rsid w:val="008E074D"/>
    <w:rsid w:val="008E09F9"/>
    <w:rsid w:val="008E20E6"/>
    <w:rsid w:val="008E2AAA"/>
    <w:rsid w:val="008E2C96"/>
    <w:rsid w:val="008E3843"/>
    <w:rsid w:val="008E42A7"/>
    <w:rsid w:val="008E4C90"/>
    <w:rsid w:val="008E53D0"/>
    <w:rsid w:val="008E5617"/>
    <w:rsid w:val="008E6DEF"/>
    <w:rsid w:val="008E7620"/>
    <w:rsid w:val="008F0D38"/>
    <w:rsid w:val="008F1026"/>
    <w:rsid w:val="008F1239"/>
    <w:rsid w:val="008F1A72"/>
    <w:rsid w:val="008F39EE"/>
    <w:rsid w:val="008F5172"/>
    <w:rsid w:val="008F56D6"/>
    <w:rsid w:val="008F5D37"/>
    <w:rsid w:val="008F5E71"/>
    <w:rsid w:val="008F6105"/>
    <w:rsid w:val="008F655B"/>
    <w:rsid w:val="008F7F7D"/>
    <w:rsid w:val="009007D3"/>
    <w:rsid w:val="00901059"/>
    <w:rsid w:val="0090188B"/>
    <w:rsid w:val="00901E03"/>
    <w:rsid w:val="009026C0"/>
    <w:rsid w:val="009026D4"/>
    <w:rsid w:val="00902998"/>
    <w:rsid w:val="00904706"/>
    <w:rsid w:val="00904C73"/>
    <w:rsid w:val="00904E16"/>
    <w:rsid w:val="00904F3F"/>
    <w:rsid w:val="009050FF"/>
    <w:rsid w:val="00906450"/>
    <w:rsid w:val="009112B0"/>
    <w:rsid w:val="009124C1"/>
    <w:rsid w:val="0091283F"/>
    <w:rsid w:val="00913CDB"/>
    <w:rsid w:val="00914C03"/>
    <w:rsid w:val="00915089"/>
    <w:rsid w:val="00917D14"/>
    <w:rsid w:val="00917E06"/>
    <w:rsid w:val="0092077C"/>
    <w:rsid w:val="00920976"/>
    <w:rsid w:val="009222EC"/>
    <w:rsid w:val="00923803"/>
    <w:rsid w:val="009244D0"/>
    <w:rsid w:val="0092530C"/>
    <w:rsid w:val="009255B5"/>
    <w:rsid w:val="00925681"/>
    <w:rsid w:val="00925D9F"/>
    <w:rsid w:val="0092634D"/>
    <w:rsid w:val="00927366"/>
    <w:rsid w:val="0092750F"/>
    <w:rsid w:val="00927AFA"/>
    <w:rsid w:val="009305C0"/>
    <w:rsid w:val="00930DEE"/>
    <w:rsid w:val="009337F2"/>
    <w:rsid w:val="00933E26"/>
    <w:rsid w:val="0093470E"/>
    <w:rsid w:val="00934EBD"/>
    <w:rsid w:val="00935158"/>
    <w:rsid w:val="00935DD4"/>
    <w:rsid w:val="00936654"/>
    <w:rsid w:val="009366FE"/>
    <w:rsid w:val="00936945"/>
    <w:rsid w:val="009373E7"/>
    <w:rsid w:val="00937445"/>
    <w:rsid w:val="00940573"/>
    <w:rsid w:val="00941475"/>
    <w:rsid w:val="00941607"/>
    <w:rsid w:val="00942CD9"/>
    <w:rsid w:val="00943CCF"/>
    <w:rsid w:val="00943EF1"/>
    <w:rsid w:val="009445DF"/>
    <w:rsid w:val="00945F28"/>
    <w:rsid w:val="00946C7A"/>
    <w:rsid w:val="00947FC2"/>
    <w:rsid w:val="0095103E"/>
    <w:rsid w:val="00951F21"/>
    <w:rsid w:val="00955766"/>
    <w:rsid w:val="0095612E"/>
    <w:rsid w:val="00956C43"/>
    <w:rsid w:val="00957166"/>
    <w:rsid w:val="00961727"/>
    <w:rsid w:val="009620A3"/>
    <w:rsid w:val="00963A39"/>
    <w:rsid w:val="0096466B"/>
    <w:rsid w:val="009666CB"/>
    <w:rsid w:val="00966D6E"/>
    <w:rsid w:val="0096706A"/>
    <w:rsid w:val="00967739"/>
    <w:rsid w:val="009705BB"/>
    <w:rsid w:val="00970F5D"/>
    <w:rsid w:val="009712F9"/>
    <w:rsid w:val="009728A9"/>
    <w:rsid w:val="00973000"/>
    <w:rsid w:val="009749CC"/>
    <w:rsid w:val="00975D3D"/>
    <w:rsid w:val="009775FB"/>
    <w:rsid w:val="00980A37"/>
    <w:rsid w:val="00981684"/>
    <w:rsid w:val="009849DE"/>
    <w:rsid w:val="009858F3"/>
    <w:rsid w:val="00985D61"/>
    <w:rsid w:val="00985DC6"/>
    <w:rsid w:val="0098772E"/>
    <w:rsid w:val="00987D54"/>
    <w:rsid w:val="00991665"/>
    <w:rsid w:val="009916DC"/>
    <w:rsid w:val="0099175D"/>
    <w:rsid w:val="00991FE4"/>
    <w:rsid w:val="0099255D"/>
    <w:rsid w:val="00993181"/>
    <w:rsid w:val="0099399D"/>
    <w:rsid w:val="009949A2"/>
    <w:rsid w:val="009952E2"/>
    <w:rsid w:val="00996048"/>
    <w:rsid w:val="00996A21"/>
    <w:rsid w:val="00997CFB"/>
    <w:rsid w:val="009A0524"/>
    <w:rsid w:val="009A0690"/>
    <w:rsid w:val="009A3B9C"/>
    <w:rsid w:val="009A46C3"/>
    <w:rsid w:val="009A5F8F"/>
    <w:rsid w:val="009A61BA"/>
    <w:rsid w:val="009A6511"/>
    <w:rsid w:val="009A6E18"/>
    <w:rsid w:val="009A6EA7"/>
    <w:rsid w:val="009A739A"/>
    <w:rsid w:val="009A74C7"/>
    <w:rsid w:val="009A7BCF"/>
    <w:rsid w:val="009B4949"/>
    <w:rsid w:val="009B5399"/>
    <w:rsid w:val="009B6E93"/>
    <w:rsid w:val="009B72C0"/>
    <w:rsid w:val="009C01F6"/>
    <w:rsid w:val="009C0AEB"/>
    <w:rsid w:val="009C19AD"/>
    <w:rsid w:val="009C2427"/>
    <w:rsid w:val="009C2810"/>
    <w:rsid w:val="009C47B1"/>
    <w:rsid w:val="009C503E"/>
    <w:rsid w:val="009C5C52"/>
    <w:rsid w:val="009C7AB1"/>
    <w:rsid w:val="009C7FB1"/>
    <w:rsid w:val="009D008A"/>
    <w:rsid w:val="009D0B29"/>
    <w:rsid w:val="009D25B1"/>
    <w:rsid w:val="009D2987"/>
    <w:rsid w:val="009D2D99"/>
    <w:rsid w:val="009D60AE"/>
    <w:rsid w:val="009E093F"/>
    <w:rsid w:val="009E1EAE"/>
    <w:rsid w:val="009E25D5"/>
    <w:rsid w:val="009E34BB"/>
    <w:rsid w:val="009E3614"/>
    <w:rsid w:val="009E416A"/>
    <w:rsid w:val="009E483E"/>
    <w:rsid w:val="009E5ADC"/>
    <w:rsid w:val="009E5C2D"/>
    <w:rsid w:val="009E6770"/>
    <w:rsid w:val="009E717D"/>
    <w:rsid w:val="009F236C"/>
    <w:rsid w:val="009F258D"/>
    <w:rsid w:val="00A00294"/>
    <w:rsid w:val="00A0106F"/>
    <w:rsid w:val="00A016E5"/>
    <w:rsid w:val="00A01BFD"/>
    <w:rsid w:val="00A01FB8"/>
    <w:rsid w:val="00A02551"/>
    <w:rsid w:val="00A03031"/>
    <w:rsid w:val="00A03CC8"/>
    <w:rsid w:val="00A03FFB"/>
    <w:rsid w:val="00A054C7"/>
    <w:rsid w:val="00A05DFD"/>
    <w:rsid w:val="00A069AB"/>
    <w:rsid w:val="00A1065A"/>
    <w:rsid w:val="00A10832"/>
    <w:rsid w:val="00A1095F"/>
    <w:rsid w:val="00A10F0F"/>
    <w:rsid w:val="00A114A0"/>
    <w:rsid w:val="00A11AA9"/>
    <w:rsid w:val="00A11FF8"/>
    <w:rsid w:val="00A122EC"/>
    <w:rsid w:val="00A12BE8"/>
    <w:rsid w:val="00A13769"/>
    <w:rsid w:val="00A14BF5"/>
    <w:rsid w:val="00A15358"/>
    <w:rsid w:val="00A15DED"/>
    <w:rsid w:val="00A21099"/>
    <w:rsid w:val="00A221CE"/>
    <w:rsid w:val="00A22D83"/>
    <w:rsid w:val="00A240B5"/>
    <w:rsid w:val="00A24BF6"/>
    <w:rsid w:val="00A310AA"/>
    <w:rsid w:val="00A31BB2"/>
    <w:rsid w:val="00A31C14"/>
    <w:rsid w:val="00A3393B"/>
    <w:rsid w:val="00A33AD5"/>
    <w:rsid w:val="00A33B67"/>
    <w:rsid w:val="00A33BC2"/>
    <w:rsid w:val="00A34299"/>
    <w:rsid w:val="00A343FB"/>
    <w:rsid w:val="00A344C6"/>
    <w:rsid w:val="00A34575"/>
    <w:rsid w:val="00A36BEB"/>
    <w:rsid w:val="00A36F03"/>
    <w:rsid w:val="00A3769B"/>
    <w:rsid w:val="00A37738"/>
    <w:rsid w:val="00A4048F"/>
    <w:rsid w:val="00A42A79"/>
    <w:rsid w:val="00A43785"/>
    <w:rsid w:val="00A47A84"/>
    <w:rsid w:val="00A47B6B"/>
    <w:rsid w:val="00A50910"/>
    <w:rsid w:val="00A50A43"/>
    <w:rsid w:val="00A5122E"/>
    <w:rsid w:val="00A515FC"/>
    <w:rsid w:val="00A51A72"/>
    <w:rsid w:val="00A525F2"/>
    <w:rsid w:val="00A52C30"/>
    <w:rsid w:val="00A5321E"/>
    <w:rsid w:val="00A533E3"/>
    <w:rsid w:val="00A545AA"/>
    <w:rsid w:val="00A54A53"/>
    <w:rsid w:val="00A56542"/>
    <w:rsid w:val="00A573DC"/>
    <w:rsid w:val="00A60277"/>
    <w:rsid w:val="00A61D6B"/>
    <w:rsid w:val="00A620B8"/>
    <w:rsid w:val="00A6319C"/>
    <w:rsid w:val="00A640AF"/>
    <w:rsid w:val="00A655D0"/>
    <w:rsid w:val="00A71B4A"/>
    <w:rsid w:val="00A730EA"/>
    <w:rsid w:val="00A75B1A"/>
    <w:rsid w:val="00A7678F"/>
    <w:rsid w:val="00A80269"/>
    <w:rsid w:val="00A80ACD"/>
    <w:rsid w:val="00A8189D"/>
    <w:rsid w:val="00A81AE1"/>
    <w:rsid w:val="00A8499D"/>
    <w:rsid w:val="00A85336"/>
    <w:rsid w:val="00A866C4"/>
    <w:rsid w:val="00A87849"/>
    <w:rsid w:val="00A90FBB"/>
    <w:rsid w:val="00A914D4"/>
    <w:rsid w:val="00A921F6"/>
    <w:rsid w:val="00A9444D"/>
    <w:rsid w:val="00A94C27"/>
    <w:rsid w:val="00A95060"/>
    <w:rsid w:val="00A95395"/>
    <w:rsid w:val="00A957AB"/>
    <w:rsid w:val="00A9585B"/>
    <w:rsid w:val="00A977DC"/>
    <w:rsid w:val="00AA0A5B"/>
    <w:rsid w:val="00AA0DD8"/>
    <w:rsid w:val="00AA3276"/>
    <w:rsid w:val="00AA7974"/>
    <w:rsid w:val="00AA7EAA"/>
    <w:rsid w:val="00AB0D37"/>
    <w:rsid w:val="00AB14B2"/>
    <w:rsid w:val="00AB2182"/>
    <w:rsid w:val="00AB3816"/>
    <w:rsid w:val="00AB3898"/>
    <w:rsid w:val="00AB4F4F"/>
    <w:rsid w:val="00AB665F"/>
    <w:rsid w:val="00AB7326"/>
    <w:rsid w:val="00AC0416"/>
    <w:rsid w:val="00AC047F"/>
    <w:rsid w:val="00AC0A8F"/>
    <w:rsid w:val="00AC0D44"/>
    <w:rsid w:val="00AC1954"/>
    <w:rsid w:val="00AC1E53"/>
    <w:rsid w:val="00AC2558"/>
    <w:rsid w:val="00AC35E5"/>
    <w:rsid w:val="00AC391C"/>
    <w:rsid w:val="00AC47EC"/>
    <w:rsid w:val="00AC4846"/>
    <w:rsid w:val="00AC56D7"/>
    <w:rsid w:val="00AC5EA3"/>
    <w:rsid w:val="00AC629A"/>
    <w:rsid w:val="00AC677A"/>
    <w:rsid w:val="00AC6D79"/>
    <w:rsid w:val="00AD028B"/>
    <w:rsid w:val="00AD1799"/>
    <w:rsid w:val="00AD1BEF"/>
    <w:rsid w:val="00AD3B51"/>
    <w:rsid w:val="00AD62FF"/>
    <w:rsid w:val="00AD64BE"/>
    <w:rsid w:val="00AD67C9"/>
    <w:rsid w:val="00AD6B95"/>
    <w:rsid w:val="00AD7776"/>
    <w:rsid w:val="00AD7E5E"/>
    <w:rsid w:val="00AE3358"/>
    <w:rsid w:val="00AE564F"/>
    <w:rsid w:val="00AF03BE"/>
    <w:rsid w:val="00AF06F9"/>
    <w:rsid w:val="00AF2B03"/>
    <w:rsid w:val="00AF3DA8"/>
    <w:rsid w:val="00AF78C3"/>
    <w:rsid w:val="00AF7FD7"/>
    <w:rsid w:val="00B01344"/>
    <w:rsid w:val="00B02171"/>
    <w:rsid w:val="00B022F6"/>
    <w:rsid w:val="00B0343A"/>
    <w:rsid w:val="00B03DE5"/>
    <w:rsid w:val="00B04132"/>
    <w:rsid w:val="00B04B13"/>
    <w:rsid w:val="00B04FEC"/>
    <w:rsid w:val="00B05498"/>
    <w:rsid w:val="00B101E9"/>
    <w:rsid w:val="00B105DF"/>
    <w:rsid w:val="00B11061"/>
    <w:rsid w:val="00B11434"/>
    <w:rsid w:val="00B1196E"/>
    <w:rsid w:val="00B12B41"/>
    <w:rsid w:val="00B132A5"/>
    <w:rsid w:val="00B1474D"/>
    <w:rsid w:val="00B14B71"/>
    <w:rsid w:val="00B15456"/>
    <w:rsid w:val="00B1746C"/>
    <w:rsid w:val="00B2034E"/>
    <w:rsid w:val="00B21A96"/>
    <w:rsid w:val="00B22021"/>
    <w:rsid w:val="00B22920"/>
    <w:rsid w:val="00B22A66"/>
    <w:rsid w:val="00B231E2"/>
    <w:rsid w:val="00B24CBD"/>
    <w:rsid w:val="00B24F68"/>
    <w:rsid w:val="00B2600A"/>
    <w:rsid w:val="00B26124"/>
    <w:rsid w:val="00B262AA"/>
    <w:rsid w:val="00B26D99"/>
    <w:rsid w:val="00B26F19"/>
    <w:rsid w:val="00B31F0F"/>
    <w:rsid w:val="00B32406"/>
    <w:rsid w:val="00B329B9"/>
    <w:rsid w:val="00B32B84"/>
    <w:rsid w:val="00B32B92"/>
    <w:rsid w:val="00B354B8"/>
    <w:rsid w:val="00B36087"/>
    <w:rsid w:val="00B36282"/>
    <w:rsid w:val="00B36906"/>
    <w:rsid w:val="00B40C65"/>
    <w:rsid w:val="00B41250"/>
    <w:rsid w:val="00B41D4C"/>
    <w:rsid w:val="00B42C44"/>
    <w:rsid w:val="00B4354F"/>
    <w:rsid w:val="00B43C5A"/>
    <w:rsid w:val="00B457FA"/>
    <w:rsid w:val="00B468E9"/>
    <w:rsid w:val="00B46C88"/>
    <w:rsid w:val="00B47DD2"/>
    <w:rsid w:val="00B501D8"/>
    <w:rsid w:val="00B50498"/>
    <w:rsid w:val="00B50F59"/>
    <w:rsid w:val="00B522D1"/>
    <w:rsid w:val="00B525D6"/>
    <w:rsid w:val="00B529AF"/>
    <w:rsid w:val="00B54A8F"/>
    <w:rsid w:val="00B56301"/>
    <w:rsid w:val="00B56DC8"/>
    <w:rsid w:val="00B574F6"/>
    <w:rsid w:val="00B602D1"/>
    <w:rsid w:val="00B608DF"/>
    <w:rsid w:val="00B6259E"/>
    <w:rsid w:val="00B627DC"/>
    <w:rsid w:val="00B6295F"/>
    <w:rsid w:val="00B62D2F"/>
    <w:rsid w:val="00B62DB7"/>
    <w:rsid w:val="00B63A3D"/>
    <w:rsid w:val="00B63B74"/>
    <w:rsid w:val="00B64571"/>
    <w:rsid w:val="00B649DB"/>
    <w:rsid w:val="00B64ED0"/>
    <w:rsid w:val="00B651B6"/>
    <w:rsid w:val="00B65D8F"/>
    <w:rsid w:val="00B663BC"/>
    <w:rsid w:val="00B66648"/>
    <w:rsid w:val="00B66DEB"/>
    <w:rsid w:val="00B670FB"/>
    <w:rsid w:val="00B70180"/>
    <w:rsid w:val="00B70F95"/>
    <w:rsid w:val="00B71483"/>
    <w:rsid w:val="00B720E7"/>
    <w:rsid w:val="00B733AD"/>
    <w:rsid w:val="00B744ED"/>
    <w:rsid w:val="00B7504E"/>
    <w:rsid w:val="00B76150"/>
    <w:rsid w:val="00B769C5"/>
    <w:rsid w:val="00B76AC6"/>
    <w:rsid w:val="00B80063"/>
    <w:rsid w:val="00B80578"/>
    <w:rsid w:val="00B80EA9"/>
    <w:rsid w:val="00B81E83"/>
    <w:rsid w:val="00B82D9E"/>
    <w:rsid w:val="00B846DA"/>
    <w:rsid w:val="00B84893"/>
    <w:rsid w:val="00B84E6C"/>
    <w:rsid w:val="00B85EEF"/>
    <w:rsid w:val="00B8606C"/>
    <w:rsid w:val="00B8634F"/>
    <w:rsid w:val="00B86510"/>
    <w:rsid w:val="00B86F94"/>
    <w:rsid w:val="00B8754F"/>
    <w:rsid w:val="00B907F7"/>
    <w:rsid w:val="00B90EE7"/>
    <w:rsid w:val="00B918E0"/>
    <w:rsid w:val="00B92731"/>
    <w:rsid w:val="00B944A6"/>
    <w:rsid w:val="00B95A44"/>
    <w:rsid w:val="00B97382"/>
    <w:rsid w:val="00B97401"/>
    <w:rsid w:val="00BA179F"/>
    <w:rsid w:val="00BA1A77"/>
    <w:rsid w:val="00BA1D51"/>
    <w:rsid w:val="00BA20FF"/>
    <w:rsid w:val="00BA2817"/>
    <w:rsid w:val="00BA38EF"/>
    <w:rsid w:val="00BA3B15"/>
    <w:rsid w:val="00BA3ED6"/>
    <w:rsid w:val="00BA47A9"/>
    <w:rsid w:val="00BA5293"/>
    <w:rsid w:val="00BA668D"/>
    <w:rsid w:val="00BA6941"/>
    <w:rsid w:val="00BA71E7"/>
    <w:rsid w:val="00BA71FA"/>
    <w:rsid w:val="00BB0854"/>
    <w:rsid w:val="00BB0934"/>
    <w:rsid w:val="00BB0972"/>
    <w:rsid w:val="00BB0A16"/>
    <w:rsid w:val="00BB147D"/>
    <w:rsid w:val="00BB1581"/>
    <w:rsid w:val="00BB20B5"/>
    <w:rsid w:val="00BB22F9"/>
    <w:rsid w:val="00BB2A63"/>
    <w:rsid w:val="00BB4927"/>
    <w:rsid w:val="00BB7117"/>
    <w:rsid w:val="00BB76CB"/>
    <w:rsid w:val="00BB7F91"/>
    <w:rsid w:val="00BC04B2"/>
    <w:rsid w:val="00BC05C6"/>
    <w:rsid w:val="00BC0E9B"/>
    <w:rsid w:val="00BC19E2"/>
    <w:rsid w:val="00BC1E24"/>
    <w:rsid w:val="00BC3804"/>
    <w:rsid w:val="00BC3AB7"/>
    <w:rsid w:val="00BC3ED6"/>
    <w:rsid w:val="00BC45D5"/>
    <w:rsid w:val="00BC5292"/>
    <w:rsid w:val="00BC552B"/>
    <w:rsid w:val="00BC5AC4"/>
    <w:rsid w:val="00BC5B5E"/>
    <w:rsid w:val="00BC6DD4"/>
    <w:rsid w:val="00BC7C6A"/>
    <w:rsid w:val="00BD13B6"/>
    <w:rsid w:val="00BD163C"/>
    <w:rsid w:val="00BD16D0"/>
    <w:rsid w:val="00BD2459"/>
    <w:rsid w:val="00BD3365"/>
    <w:rsid w:val="00BD339C"/>
    <w:rsid w:val="00BD6154"/>
    <w:rsid w:val="00BD7D28"/>
    <w:rsid w:val="00BE3406"/>
    <w:rsid w:val="00BE3B3F"/>
    <w:rsid w:val="00BE3FEC"/>
    <w:rsid w:val="00BE4AD5"/>
    <w:rsid w:val="00BE7874"/>
    <w:rsid w:val="00BE798F"/>
    <w:rsid w:val="00BE7D6B"/>
    <w:rsid w:val="00BF3229"/>
    <w:rsid w:val="00BF395A"/>
    <w:rsid w:val="00BF3F1C"/>
    <w:rsid w:val="00BF5C63"/>
    <w:rsid w:val="00BF6245"/>
    <w:rsid w:val="00BF6743"/>
    <w:rsid w:val="00BF7AE6"/>
    <w:rsid w:val="00C00E79"/>
    <w:rsid w:val="00C010FA"/>
    <w:rsid w:val="00C011BD"/>
    <w:rsid w:val="00C05879"/>
    <w:rsid w:val="00C05CE2"/>
    <w:rsid w:val="00C06094"/>
    <w:rsid w:val="00C06299"/>
    <w:rsid w:val="00C062A2"/>
    <w:rsid w:val="00C06E32"/>
    <w:rsid w:val="00C07572"/>
    <w:rsid w:val="00C10251"/>
    <w:rsid w:val="00C120DF"/>
    <w:rsid w:val="00C121D8"/>
    <w:rsid w:val="00C126E8"/>
    <w:rsid w:val="00C129F1"/>
    <w:rsid w:val="00C12A75"/>
    <w:rsid w:val="00C132EC"/>
    <w:rsid w:val="00C1346C"/>
    <w:rsid w:val="00C13471"/>
    <w:rsid w:val="00C139CF"/>
    <w:rsid w:val="00C13F1C"/>
    <w:rsid w:val="00C15405"/>
    <w:rsid w:val="00C1543F"/>
    <w:rsid w:val="00C16920"/>
    <w:rsid w:val="00C16946"/>
    <w:rsid w:val="00C2255D"/>
    <w:rsid w:val="00C23BF7"/>
    <w:rsid w:val="00C23E34"/>
    <w:rsid w:val="00C24816"/>
    <w:rsid w:val="00C3062B"/>
    <w:rsid w:val="00C311B4"/>
    <w:rsid w:val="00C31C96"/>
    <w:rsid w:val="00C33D17"/>
    <w:rsid w:val="00C33D52"/>
    <w:rsid w:val="00C3453C"/>
    <w:rsid w:val="00C34E39"/>
    <w:rsid w:val="00C35001"/>
    <w:rsid w:val="00C35A32"/>
    <w:rsid w:val="00C368F6"/>
    <w:rsid w:val="00C41C0F"/>
    <w:rsid w:val="00C41E46"/>
    <w:rsid w:val="00C42A19"/>
    <w:rsid w:val="00C439D0"/>
    <w:rsid w:val="00C466C5"/>
    <w:rsid w:val="00C471AC"/>
    <w:rsid w:val="00C472B6"/>
    <w:rsid w:val="00C47355"/>
    <w:rsid w:val="00C47B09"/>
    <w:rsid w:val="00C5099E"/>
    <w:rsid w:val="00C50A24"/>
    <w:rsid w:val="00C5126A"/>
    <w:rsid w:val="00C519C9"/>
    <w:rsid w:val="00C51ED4"/>
    <w:rsid w:val="00C51F87"/>
    <w:rsid w:val="00C528F6"/>
    <w:rsid w:val="00C5293B"/>
    <w:rsid w:val="00C52C1C"/>
    <w:rsid w:val="00C534DC"/>
    <w:rsid w:val="00C5360D"/>
    <w:rsid w:val="00C5382B"/>
    <w:rsid w:val="00C53D15"/>
    <w:rsid w:val="00C540EE"/>
    <w:rsid w:val="00C54132"/>
    <w:rsid w:val="00C5452A"/>
    <w:rsid w:val="00C545DE"/>
    <w:rsid w:val="00C54D39"/>
    <w:rsid w:val="00C55B56"/>
    <w:rsid w:val="00C56055"/>
    <w:rsid w:val="00C5628D"/>
    <w:rsid w:val="00C56D6F"/>
    <w:rsid w:val="00C60C76"/>
    <w:rsid w:val="00C60CC3"/>
    <w:rsid w:val="00C64246"/>
    <w:rsid w:val="00C6689C"/>
    <w:rsid w:val="00C67065"/>
    <w:rsid w:val="00C67986"/>
    <w:rsid w:val="00C70964"/>
    <w:rsid w:val="00C70C8A"/>
    <w:rsid w:val="00C70E9C"/>
    <w:rsid w:val="00C71AFF"/>
    <w:rsid w:val="00C71DF4"/>
    <w:rsid w:val="00C74108"/>
    <w:rsid w:val="00C74E14"/>
    <w:rsid w:val="00C74FFA"/>
    <w:rsid w:val="00C7502C"/>
    <w:rsid w:val="00C7630A"/>
    <w:rsid w:val="00C8026A"/>
    <w:rsid w:val="00C80380"/>
    <w:rsid w:val="00C81C5D"/>
    <w:rsid w:val="00C82A50"/>
    <w:rsid w:val="00C83927"/>
    <w:rsid w:val="00C83C66"/>
    <w:rsid w:val="00C8441C"/>
    <w:rsid w:val="00C8462C"/>
    <w:rsid w:val="00C863DF"/>
    <w:rsid w:val="00C871A7"/>
    <w:rsid w:val="00C90247"/>
    <w:rsid w:val="00C9035C"/>
    <w:rsid w:val="00C90707"/>
    <w:rsid w:val="00C90968"/>
    <w:rsid w:val="00C90C3D"/>
    <w:rsid w:val="00C914AE"/>
    <w:rsid w:val="00C9182F"/>
    <w:rsid w:val="00C923BD"/>
    <w:rsid w:val="00C93005"/>
    <w:rsid w:val="00C93375"/>
    <w:rsid w:val="00C94FAC"/>
    <w:rsid w:val="00C950A2"/>
    <w:rsid w:val="00CA0FF7"/>
    <w:rsid w:val="00CA3090"/>
    <w:rsid w:val="00CA490C"/>
    <w:rsid w:val="00CA52D2"/>
    <w:rsid w:val="00CA5300"/>
    <w:rsid w:val="00CA640C"/>
    <w:rsid w:val="00CA7554"/>
    <w:rsid w:val="00CB023C"/>
    <w:rsid w:val="00CB04FC"/>
    <w:rsid w:val="00CB054D"/>
    <w:rsid w:val="00CB0CA1"/>
    <w:rsid w:val="00CB4251"/>
    <w:rsid w:val="00CB537D"/>
    <w:rsid w:val="00CB6161"/>
    <w:rsid w:val="00CB74E8"/>
    <w:rsid w:val="00CB78DF"/>
    <w:rsid w:val="00CC200C"/>
    <w:rsid w:val="00CC346A"/>
    <w:rsid w:val="00CC4747"/>
    <w:rsid w:val="00CC5863"/>
    <w:rsid w:val="00CC7778"/>
    <w:rsid w:val="00CD04B5"/>
    <w:rsid w:val="00CD1889"/>
    <w:rsid w:val="00CD1E76"/>
    <w:rsid w:val="00CD2410"/>
    <w:rsid w:val="00CD2C31"/>
    <w:rsid w:val="00CD47BC"/>
    <w:rsid w:val="00CD4CCD"/>
    <w:rsid w:val="00CD549D"/>
    <w:rsid w:val="00CD55F8"/>
    <w:rsid w:val="00CD6435"/>
    <w:rsid w:val="00CE02B0"/>
    <w:rsid w:val="00CE118C"/>
    <w:rsid w:val="00CE2915"/>
    <w:rsid w:val="00CE56CC"/>
    <w:rsid w:val="00CE713A"/>
    <w:rsid w:val="00CF045A"/>
    <w:rsid w:val="00CF04CA"/>
    <w:rsid w:val="00CF25EF"/>
    <w:rsid w:val="00CF35AD"/>
    <w:rsid w:val="00CF3644"/>
    <w:rsid w:val="00CF3F30"/>
    <w:rsid w:val="00CF4277"/>
    <w:rsid w:val="00CF4AFE"/>
    <w:rsid w:val="00CF5D6A"/>
    <w:rsid w:val="00CF5E3A"/>
    <w:rsid w:val="00D008FD"/>
    <w:rsid w:val="00D00FA0"/>
    <w:rsid w:val="00D03385"/>
    <w:rsid w:val="00D037BA"/>
    <w:rsid w:val="00D0419E"/>
    <w:rsid w:val="00D046E6"/>
    <w:rsid w:val="00D05CF1"/>
    <w:rsid w:val="00D061B8"/>
    <w:rsid w:val="00D077B1"/>
    <w:rsid w:val="00D100A9"/>
    <w:rsid w:val="00D1061A"/>
    <w:rsid w:val="00D10875"/>
    <w:rsid w:val="00D11224"/>
    <w:rsid w:val="00D1163C"/>
    <w:rsid w:val="00D123F4"/>
    <w:rsid w:val="00D13600"/>
    <w:rsid w:val="00D13EBC"/>
    <w:rsid w:val="00D15261"/>
    <w:rsid w:val="00D15BCF"/>
    <w:rsid w:val="00D16242"/>
    <w:rsid w:val="00D168B1"/>
    <w:rsid w:val="00D16C1D"/>
    <w:rsid w:val="00D179E2"/>
    <w:rsid w:val="00D201B7"/>
    <w:rsid w:val="00D21F11"/>
    <w:rsid w:val="00D222CF"/>
    <w:rsid w:val="00D223D8"/>
    <w:rsid w:val="00D227B7"/>
    <w:rsid w:val="00D237F9"/>
    <w:rsid w:val="00D24168"/>
    <w:rsid w:val="00D241D5"/>
    <w:rsid w:val="00D253BD"/>
    <w:rsid w:val="00D25471"/>
    <w:rsid w:val="00D25973"/>
    <w:rsid w:val="00D25B69"/>
    <w:rsid w:val="00D25E56"/>
    <w:rsid w:val="00D25F62"/>
    <w:rsid w:val="00D26753"/>
    <w:rsid w:val="00D26CC8"/>
    <w:rsid w:val="00D2705F"/>
    <w:rsid w:val="00D27809"/>
    <w:rsid w:val="00D30E1E"/>
    <w:rsid w:val="00D31566"/>
    <w:rsid w:val="00D315B7"/>
    <w:rsid w:val="00D31BC4"/>
    <w:rsid w:val="00D3202B"/>
    <w:rsid w:val="00D3226B"/>
    <w:rsid w:val="00D32875"/>
    <w:rsid w:val="00D333F1"/>
    <w:rsid w:val="00D33580"/>
    <w:rsid w:val="00D33C35"/>
    <w:rsid w:val="00D343CD"/>
    <w:rsid w:val="00D348FF"/>
    <w:rsid w:val="00D34AA6"/>
    <w:rsid w:val="00D35A84"/>
    <w:rsid w:val="00D378A1"/>
    <w:rsid w:val="00D37975"/>
    <w:rsid w:val="00D37A91"/>
    <w:rsid w:val="00D41860"/>
    <w:rsid w:val="00D41DCB"/>
    <w:rsid w:val="00D42A05"/>
    <w:rsid w:val="00D43064"/>
    <w:rsid w:val="00D43CEA"/>
    <w:rsid w:val="00D44F12"/>
    <w:rsid w:val="00D4516F"/>
    <w:rsid w:val="00D46736"/>
    <w:rsid w:val="00D4687F"/>
    <w:rsid w:val="00D4752F"/>
    <w:rsid w:val="00D47F8B"/>
    <w:rsid w:val="00D501BC"/>
    <w:rsid w:val="00D50AFC"/>
    <w:rsid w:val="00D50BCF"/>
    <w:rsid w:val="00D51C5A"/>
    <w:rsid w:val="00D51E7D"/>
    <w:rsid w:val="00D52090"/>
    <w:rsid w:val="00D53929"/>
    <w:rsid w:val="00D5446C"/>
    <w:rsid w:val="00D5575C"/>
    <w:rsid w:val="00D5609A"/>
    <w:rsid w:val="00D56D3A"/>
    <w:rsid w:val="00D57BE1"/>
    <w:rsid w:val="00D57CB0"/>
    <w:rsid w:val="00D6270E"/>
    <w:rsid w:val="00D627F9"/>
    <w:rsid w:val="00D6298E"/>
    <w:rsid w:val="00D62D68"/>
    <w:rsid w:val="00D63ADF"/>
    <w:rsid w:val="00D63F4A"/>
    <w:rsid w:val="00D64458"/>
    <w:rsid w:val="00D64642"/>
    <w:rsid w:val="00D64F9E"/>
    <w:rsid w:val="00D66F59"/>
    <w:rsid w:val="00D7005A"/>
    <w:rsid w:val="00D7097A"/>
    <w:rsid w:val="00D70A1C"/>
    <w:rsid w:val="00D70A4F"/>
    <w:rsid w:val="00D71101"/>
    <w:rsid w:val="00D7210D"/>
    <w:rsid w:val="00D7258D"/>
    <w:rsid w:val="00D72B4B"/>
    <w:rsid w:val="00D72BFA"/>
    <w:rsid w:val="00D73004"/>
    <w:rsid w:val="00D73AF7"/>
    <w:rsid w:val="00D740E9"/>
    <w:rsid w:val="00D74D72"/>
    <w:rsid w:val="00D74DB3"/>
    <w:rsid w:val="00D7748B"/>
    <w:rsid w:val="00D77537"/>
    <w:rsid w:val="00D779C5"/>
    <w:rsid w:val="00D77DE8"/>
    <w:rsid w:val="00D81CD6"/>
    <w:rsid w:val="00D826CD"/>
    <w:rsid w:val="00D83640"/>
    <w:rsid w:val="00D83799"/>
    <w:rsid w:val="00D83EC1"/>
    <w:rsid w:val="00D85679"/>
    <w:rsid w:val="00D85F07"/>
    <w:rsid w:val="00D87A0E"/>
    <w:rsid w:val="00D90026"/>
    <w:rsid w:val="00D901BC"/>
    <w:rsid w:val="00D90CC5"/>
    <w:rsid w:val="00D91FC4"/>
    <w:rsid w:val="00D93971"/>
    <w:rsid w:val="00D9397D"/>
    <w:rsid w:val="00D93A98"/>
    <w:rsid w:val="00D956FD"/>
    <w:rsid w:val="00DA06B2"/>
    <w:rsid w:val="00DA08A8"/>
    <w:rsid w:val="00DA09A8"/>
    <w:rsid w:val="00DA1CFA"/>
    <w:rsid w:val="00DA2446"/>
    <w:rsid w:val="00DA44AD"/>
    <w:rsid w:val="00DA5A90"/>
    <w:rsid w:val="00DA6DF5"/>
    <w:rsid w:val="00DA70D8"/>
    <w:rsid w:val="00DA7E2A"/>
    <w:rsid w:val="00DB0715"/>
    <w:rsid w:val="00DB0747"/>
    <w:rsid w:val="00DB1D30"/>
    <w:rsid w:val="00DB497A"/>
    <w:rsid w:val="00DB4B9A"/>
    <w:rsid w:val="00DB50F5"/>
    <w:rsid w:val="00DB6364"/>
    <w:rsid w:val="00DB6628"/>
    <w:rsid w:val="00DB79ED"/>
    <w:rsid w:val="00DC02AB"/>
    <w:rsid w:val="00DC067C"/>
    <w:rsid w:val="00DC080A"/>
    <w:rsid w:val="00DC3B74"/>
    <w:rsid w:val="00DC48D4"/>
    <w:rsid w:val="00DC4C6C"/>
    <w:rsid w:val="00DC4CEF"/>
    <w:rsid w:val="00DC4EE2"/>
    <w:rsid w:val="00DC5295"/>
    <w:rsid w:val="00DC57D2"/>
    <w:rsid w:val="00DC5F81"/>
    <w:rsid w:val="00DC7617"/>
    <w:rsid w:val="00DC79E7"/>
    <w:rsid w:val="00DD066B"/>
    <w:rsid w:val="00DD261D"/>
    <w:rsid w:val="00DD2D9E"/>
    <w:rsid w:val="00DD33D8"/>
    <w:rsid w:val="00DD3C0C"/>
    <w:rsid w:val="00DD5416"/>
    <w:rsid w:val="00DD55A8"/>
    <w:rsid w:val="00DD573B"/>
    <w:rsid w:val="00DD5B3E"/>
    <w:rsid w:val="00DD6F60"/>
    <w:rsid w:val="00DD71AF"/>
    <w:rsid w:val="00DE0CFB"/>
    <w:rsid w:val="00DE4C27"/>
    <w:rsid w:val="00DE4E51"/>
    <w:rsid w:val="00DE54A7"/>
    <w:rsid w:val="00DE6B46"/>
    <w:rsid w:val="00DE6EDC"/>
    <w:rsid w:val="00DF15EE"/>
    <w:rsid w:val="00DF1921"/>
    <w:rsid w:val="00DF2127"/>
    <w:rsid w:val="00DF2292"/>
    <w:rsid w:val="00DF2748"/>
    <w:rsid w:val="00DF2A36"/>
    <w:rsid w:val="00DF4777"/>
    <w:rsid w:val="00DF5D8F"/>
    <w:rsid w:val="00DF6AB0"/>
    <w:rsid w:val="00DF6DD3"/>
    <w:rsid w:val="00E00234"/>
    <w:rsid w:val="00E00A5E"/>
    <w:rsid w:val="00E00AE0"/>
    <w:rsid w:val="00E04888"/>
    <w:rsid w:val="00E04EAD"/>
    <w:rsid w:val="00E0554A"/>
    <w:rsid w:val="00E0632F"/>
    <w:rsid w:val="00E06B1B"/>
    <w:rsid w:val="00E10292"/>
    <w:rsid w:val="00E10AAE"/>
    <w:rsid w:val="00E14CDD"/>
    <w:rsid w:val="00E15A4D"/>
    <w:rsid w:val="00E16198"/>
    <w:rsid w:val="00E16A5E"/>
    <w:rsid w:val="00E16B08"/>
    <w:rsid w:val="00E20247"/>
    <w:rsid w:val="00E21CD5"/>
    <w:rsid w:val="00E21E55"/>
    <w:rsid w:val="00E2241E"/>
    <w:rsid w:val="00E22E52"/>
    <w:rsid w:val="00E23816"/>
    <w:rsid w:val="00E23833"/>
    <w:rsid w:val="00E2478A"/>
    <w:rsid w:val="00E249B4"/>
    <w:rsid w:val="00E2506B"/>
    <w:rsid w:val="00E25165"/>
    <w:rsid w:val="00E25708"/>
    <w:rsid w:val="00E260AD"/>
    <w:rsid w:val="00E26F53"/>
    <w:rsid w:val="00E27264"/>
    <w:rsid w:val="00E27654"/>
    <w:rsid w:val="00E27B60"/>
    <w:rsid w:val="00E31AED"/>
    <w:rsid w:val="00E32D26"/>
    <w:rsid w:val="00E33DC9"/>
    <w:rsid w:val="00E33FE2"/>
    <w:rsid w:val="00E342D8"/>
    <w:rsid w:val="00E3574A"/>
    <w:rsid w:val="00E359FC"/>
    <w:rsid w:val="00E36330"/>
    <w:rsid w:val="00E403E7"/>
    <w:rsid w:val="00E4124A"/>
    <w:rsid w:val="00E41D7B"/>
    <w:rsid w:val="00E432EE"/>
    <w:rsid w:val="00E45E17"/>
    <w:rsid w:val="00E47B70"/>
    <w:rsid w:val="00E5054D"/>
    <w:rsid w:val="00E50770"/>
    <w:rsid w:val="00E50A77"/>
    <w:rsid w:val="00E51FA3"/>
    <w:rsid w:val="00E52240"/>
    <w:rsid w:val="00E528AB"/>
    <w:rsid w:val="00E53780"/>
    <w:rsid w:val="00E53E68"/>
    <w:rsid w:val="00E55293"/>
    <w:rsid w:val="00E55CBB"/>
    <w:rsid w:val="00E55F30"/>
    <w:rsid w:val="00E56218"/>
    <w:rsid w:val="00E56339"/>
    <w:rsid w:val="00E60247"/>
    <w:rsid w:val="00E60CD4"/>
    <w:rsid w:val="00E61495"/>
    <w:rsid w:val="00E63703"/>
    <w:rsid w:val="00E638B3"/>
    <w:rsid w:val="00E63CAE"/>
    <w:rsid w:val="00E64514"/>
    <w:rsid w:val="00E65CC7"/>
    <w:rsid w:val="00E65EF7"/>
    <w:rsid w:val="00E71518"/>
    <w:rsid w:val="00E71667"/>
    <w:rsid w:val="00E74BFD"/>
    <w:rsid w:val="00E7593A"/>
    <w:rsid w:val="00E75EE6"/>
    <w:rsid w:val="00E77938"/>
    <w:rsid w:val="00E807D9"/>
    <w:rsid w:val="00E807E3"/>
    <w:rsid w:val="00E81544"/>
    <w:rsid w:val="00E82454"/>
    <w:rsid w:val="00E8271A"/>
    <w:rsid w:val="00E83AFD"/>
    <w:rsid w:val="00E84198"/>
    <w:rsid w:val="00E860D6"/>
    <w:rsid w:val="00E86F58"/>
    <w:rsid w:val="00E870D3"/>
    <w:rsid w:val="00E87D35"/>
    <w:rsid w:val="00E90D22"/>
    <w:rsid w:val="00E929AE"/>
    <w:rsid w:val="00E92AB2"/>
    <w:rsid w:val="00E93E4B"/>
    <w:rsid w:val="00E96B9F"/>
    <w:rsid w:val="00E97119"/>
    <w:rsid w:val="00E9717F"/>
    <w:rsid w:val="00E97198"/>
    <w:rsid w:val="00E9754B"/>
    <w:rsid w:val="00E97BD5"/>
    <w:rsid w:val="00EA021F"/>
    <w:rsid w:val="00EA1F89"/>
    <w:rsid w:val="00EA4CF9"/>
    <w:rsid w:val="00EA54CB"/>
    <w:rsid w:val="00EA5E8F"/>
    <w:rsid w:val="00EA61BE"/>
    <w:rsid w:val="00EA7677"/>
    <w:rsid w:val="00EA7ECC"/>
    <w:rsid w:val="00EB06FA"/>
    <w:rsid w:val="00EB07F5"/>
    <w:rsid w:val="00EB144F"/>
    <w:rsid w:val="00EB16E4"/>
    <w:rsid w:val="00EB256E"/>
    <w:rsid w:val="00EB31BD"/>
    <w:rsid w:val="00EB3331"/>
    <w:rsid w:val="00EB3494"/>
    <w:rsid w:val="00EB38F3"/>
    <w:rsid w:val="00EB4ED5"/>
    <w:rsid w:val="00EB53F6"/>
    <w:rsid w:val="00EB601A"/>
    <w:rsid w:val="00EB674F"/>
    <w:rsid w:val="00EB729B"/>
    <w:rsid w:val="00EB72E3"/>
    <w:rsid w:val="00EC0323"/>
    <w:rsid w:val="00EC369B"/>
    <w:rsid w:val="00EC6722"/>
    <w:rsid w:val="00EC7AD1"/>
    <w:rsid w:val="00EC7F3F"/>
    <w:rsid w:val="00ED11BF"/>
    <w:rsid w:val="00ED1278"/>
    <w:rsid w:val="00ED1B97"/>
    <w:rsid w:val="00ED2D85"/>
    <w:rsid w:val="00ED4F62"/>
    <w:rsid w:val="00ED4FAA"/>
    <w:rsid w:val="00ED58E3"/>
    <w:rsid w:val="00ED67BB"/>
    <w:rsid w:val="00ED6BDA"/>
    <w:rsid w:val="00ED7022"/>
    <w:rsid w:val="00ED7309"/>
    <w:rsid w:val="00ED7B2F"/>
    <w:rsid w:val="00EE075B"/>
    <w:rsid w:val="00EE1902"/>
    <w:rsid w:val="00EE1A24"/>
    <w:rsid w:val="00EE1B98"/>
    <w:rsid w:val="00EE32E7"/>
    <w:rsid w:val="00EE5565"/>
    <w:rsid w:val="00EE6E65"/>
    <w:rsid w:val="00EE7A90"/>
    <w:rsid w:val="00EF1D72"/>
    <w:rsid w:val="00EF48A4"/>
    <w:rsid w:val="00EF535F"/>
    <w:rsid w:val="00EF591F"/>
    <w:rsid w:val="00EF5EF0"/>
    <w:rsid w:val="00EF7E14"/>
    <w:rsid w:val="00F004AA"/>
    <w:rsid w:val="00F007A5"/>
    <w:rsid w:val="00F01AD9"/>
    <w:rsid w:val="00F02072"/>
    <w:rsid w:val="00F02757"/>
    <w:rsid w:val="00F02BD0"/>
    <w:rsid w:val="00F03A71"/>
    <w:rsid w:val="00F03A97"/>
    <w:rsid w:val="00F03E8A"/>
    <w:rsid w:val="00F044B1"/>
    <w:rsid w:val="00F04729"/>
    <w:rsid w:val="00F109A1"/>
    <w:rsid w:val="00F136AD"/>
    <w:rsid w:val="00F13F02"/>
    <w:rsid w:val="00F1576F"/>
    <w:rsid w:val="00F15C58"/>
    <w:rsid w:val="00F15EFE"/>
    <w:rsid w:val="00F167EF"/>
    <w:rsid w:val="00F16DA2"/>
    <w:rsid w:val="00F1707D"/>
    <w:rsid w:val="00F17B3B"/>
    <w:rsid w:val="00F20741"/>
    <w:rsid w:val="00F214ED"/>
    <w:rsid w:val="00F21703"/>
    <w:rsid w:val="00F21C03"/>
    <w:rsid w:val="00F22064"/>
    <w:rsid w:val="00F22E7A"/>
    <w:rsid w:val="00F22FBA"/>
    <w:rsid w:val="00F23068"/>
    <w:rsid w:val="00F23181"/>
    <w:rsid w:val="00F24733"/>
    <w:rsid w:val="00F25107"/>
    <w:rsid w:val="00F26886"/>
    <w:rsid w:val="00F2746F"/>
    <w:rsid w:val="00F27E9B"/>
    <w:rsid w:val="00F302EE"/>
    <w:rsid w:val="00F31252"/>
    <w:rsid w:val="00F317AC"/>
    <w:rsid w:val="00F32A43"/>
    <w:rsid w:val="00F33F8D"/>
    <w:rsid w:val="00F343DC"/>
    <w:rsid w:val="00F34F94"/>
    <w:rsid w:val="00F354F0"/>
    <w:rsid w:val="00F35903"/>
    <w:rsid w:val="00F3642A"/>
    <w:rsid w:val="00F36CCB"/>
    <w:rsid w:val="00F41A02"/>
    <w:rsid w:val="00F44B74"/>
    <w:rsid w:val="00F45620"/>
    <w:rsid w:val="00F45F1D"/>
    <w:rsid w:val="00F46B5D"/>
    <w:rsid w:val="00F477B5"/>
    <w:rsid w:val="00F50FF9"/>
    <w:rsid w:val="00F523AD"/>
    <w:rsid w:val="00F527EC"/>
    <w:rsid w:val="00F528AB"/>
    <w:rsid w:val="00F543F2"/>
    <w:rsid w:val="00F56146"/>
    <w:rsid w:val="00F56B39"/>
    <w:rsid w:val="00F56DBF"/>
    <w:rsid w:val="00F57D27"/>
    <w:rsid w:val="00F60056"/>
    <w:rsid w:val="00F60707"/>
    <w:rsid w:val="00F61802"/>
    <w:rsid w:val="00F63300"/>
    <w:rsid w:val="00F63FD6"/>
    <w:rsid w:val="00F642A1"/>
    <w:rsid w:val="00F64BB2"/>
    <w:rsid w:val="00F666CB"/>
    <w:rsid w:val="00F66DAD"/>
    <w:rsid w:val="00F6778A"/>
    <w:rsid w:val="00F7069C"/>
    <w:rsid w:val="00F71989"/>
    <w:rsid w:val="00F72B76"/>
    <w:rsid w:val="00F72E29"/>
    <w:rsid w:val="00F732D0"/>
    <w:rsid w:val="00F74AA9"/>
    <w:rsid w:val="00F75916"/>
    <w:rsid w:val="00F75AC9"/>
    <w:rsid w:val="00F80B43"/>
    <w:rsid w:val="00F80BE7"/>
    <w:rsid w:val="00F810E0"/>
    <w:rsid w:val="00F839B1"/>
    <w:rsid w:val="00F83F1C"/>
    <w:rsid w:val="00F84C38"/>
    <w:rsid w:val="00F863C6"/>
    <w:rsid w:val="00F8661E"/>
    <w:rsid w:val="00F86759"/>
    <w:rsid w:val="00F86F26"/>
    <w:rsid w:val="00F872DA"/>
    <w:rsid w:val="00F87CB5"/>
    <w:rsid w:val="00F90832"/>
    <w:rsid w:val="00F90E5D"/>
    <w:rsid w:val="00F91056"/>
    <w:rsid w:val="00F915A1"/>
    <w:rsid w:val="00F93C66"/>
    <w:rsid w:val="00F94149"/>
    <w:rsid w:val="00F94173"/>
    <w:rsid w:val="00F9525C"/>
    <w:rsid w:val="00F9671D"/>
    <w:rsid w:val="00F97A65"/>
    <w:rsid w:val="00F97F18"/>
    <w:rsid w:val="00FA11CE"/>
    <w:rsid w:val="00FA2FC0"/>
    <w:rsid w:val="00FA38CA"/>
    <w:rsid w:val="00FA3EB8"/>
    <w:rsid w:val="00FA4398"/>
    <w:rsid w:val="00FA5426"/>
    <w:rsid w:val="00FA5AD2"/>
    <w:rsid w:val="00FA6426"/>
    <w:rsid w:val="00FA7C8D"/>
    <w:rsid w:val="00FB1665"/>
    <w:rsid w:val="00FB1DF2"/>
    <w:rsid w:val="00FB2B78"/>
    <w:rsid w:val="00FB2B96"/>
    <w:rsid w:val="00FB3A5E"/>
    <w:rsid w:val="00FB3F72"/>
    <w:rsid w:val="00FB473B"/>
    <w:rsid w:val="00FB48F1"/>
    <w:rsid w:val="00FB497C"/>
    <w:rsid w:val="00FB4D89"/>
    <w:rsid w:val="00FB4E76"/>
    <w:rsid w:val="00FB64D1"/>
    <w:rsid w:val="00FB7655"/>
    <w:rsid w:val="00FC021B"/>
    <w:rsid w:val="00FC0D03"/>
    <w:rsid w:val="00FC23B5"/>
    <w:rsid w:val="00FC23B6"/>
    <w:rsid w:val="00FC316B"/>
    <w:rsid w:val="00FC35EF"/>
    <w:rsid w:val="00FC7D73"/>
    <w:rsid w:val="00FD06BF"/>
    <w:rsid w:val="00FD36EB"/>
    <w:rsid w:val="00FD3723"/>
    <w:rsid w:val="00FD377C"/>
    <w:rsid w:val="00FD476C"/>
    <w:rsid w:val="00FD49A0"/>
    <w:rsid w:val="00FD6955"/>
    <w:rsid w:val="00FD72A1"/>
    <w:rsid w:val="00FD7A9E"/>
    <w:rsid w:val="00FE0A26"/>
    <w:rsid w:val="00FE0D6E"/>
    <w:rsid w:val="00FE1AF2"/>
    <w:rsid w:val="00FE1B63"/>
    <w:rsid w:val="00FE20A9"/>
    <w:rsid w:val="00FE33EF"/>
    <w:rsid w:val="00FE4D0D"/>
    <w:rsid w:val="00FE63D6"/>
    <w:rsid w:val="00FF05C6"/>
    <w:rsid w:val="00FF063E"/>
    <w:rsid w:val="00FF2684"/>
    <w:rsid w:val="00FF41EF"/>
    <w:rsid w:val="00FF481D"/>
    <w:rsid w:val="00FF5357"/>
    <w:rsid w:val="00FF5825"/>
    <w:rsid w:val="00FF5A11"/>
    <w:rsid w:val="00FF5CE2"/>
    <w:rsid w:val="00FF6B29"/>
    <w:rsid w:val="00FF729A"/>
    <w:rsid w:val="00FF734D"/>
    <w:rsid w:val="00FF7447"/>
    <w:rsid w:val="02AE754B"/>
    <w:rsid w:val="02BD1AA8"/>
    <w:rsid w:val="0A40513D"/>
    <w:rsid w:val="0D1F117F"/>
    <w:rsid w:val="104E74B9"/>
    <w:rsid w:val="13654B0A"/>
    <w:rsid w:val="192E7A37"/>
    <w:rsid w:val="19BE6A0D"/>
    <w:rsid w:val="1ADB4105"/>
    <w:rsid w:val="1BE45C13"/>
    <w:rsid w:val="1EA72E4C"/>
    <w:rsid w:val="270E795C"/>
    <w:rsid w:val="292747C6"/>
    <w:rsid w:val="29443E17"/>
    <w:rsid w:val="2D2344F9"/>
    <w:rsid w:val="2EBD6C4D"/>
    <w:rsid w:val="2F0C257E"/>
    <w:rsid w:val="30492B42"/>
    <w:rsid w:val="339B6994"/>
    <w:rsid w:val="379745A0"/>
    <w:rsid w:val="38D14C6D"/>
    <w:rsid w:val="39EE54BD"/>
    <w:rsid w:val="441C5B27"/>
    <w:rsid w:val="4811761C"/>
    <w:rsid w:val="4D2B5740"/>
    <w:rsid w:val="4ED27104"/>
    <w:rsid w:val="4FB80274"/>
    <w:rsid w:val="5EEF517C"/>
    <w:rsid w:val="5FF649DC"/>
    <w:rsid w:val="64515E4A"/>
    <w:rsid w:val="6BD9612B"/>
    <w:rsid w:val="6C862C44"/>
    <w:rsid w:val="6D413CCA"/>
    <w:rsid w:val="6EF14B69"/>
    <w:rsid w:val="7882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52"/>
    <w:qFormat/>
    <w:uiPriority w:val="0"/>
    <w:pPr>
      <w:keepNext/>
      <w:keepLines/>
      <w:spacing w:before="340" w:after="330" w:line="578" w:lineRule="auto"/>
      <w:outlineLvl w:val="0"/>
    </w:pPr>
    <w:rPr>
      <w:b/>
      <w:kern w:val="44"/>
      <w:sz w:val="44"/>
      <w:szCs w:val="44"/>
    </w:rPr>
  </w:style>
  <w:style w:type="paragraph" w:styleId="5">
    <w:name w:val="heading 2"/>
    <w:basedOn w:val="1"/>
    <w:next w:val="1"/>
    <w:link w:val="53"/>
    <w:unhideWhenUsed/>
    <w:qFormat/>
    <w:uiPriority w:val="0"/>
    <w:pPr>
      <w:keepNext/>
      <w:keepLines/>
      <w:spacing w:before="260" w:after="260" w:line="416" w:lineRule="auto"/>
      <w:outlineLvl w:val="1"/>
    </w:pPr>
    <w:rPr>
      <w:rFonts w:ascii="等线 Light" w:hAnsi="等线 Light" w:eastAsia="等线 Light"/>
      <w:b/>
      <w:kern w:val="0"/>
      <w:sz w:val="32"/>
      <w:szCs w:val="32"/>
    </w:rPr>
  </w:style>
  <w:style w:type="paragraph" w:styleId="6">
    <w:name w:val="heading 3"/>
    <w:basedOn w:val="1"/>
    <w:next w:val="1"/>
    <w:link w:val="54"/>
    <w:unhideWhenUsed/>
    <w:qFormat/>
    <w:uiPriority w:val="9"/>
    <w:pPr>
      <w:keepNext/>
      <w:keepLines/>
      <w:spacing w:before="156" w:beforeLines="50" w:after="156" w:afterLines="50" w:line="360" w:lineRule="auto"/>
      <w:outlineLvl w:val="2"/>
    </w:pPr>
    <w:rPr>
      <w:rFonts w:ascii="仿宋_GB2312" w:eastAsia="仿宋_GB2312"/>
      <w:b/>
      <w:kern w:val="0"/>
      <w:sz w:val="32"/>
      <w:szCs w:val="32"/>
    </w:rPr>
  </w:style>
  <w:style w:type="character" w:default="1" w:styleId="28">
    <w:name w:val="Default Paragraph Font"/>
    <w:semiHidden/>
    <w:unhideWhenUsed/>
    <w:qFormat/>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customStyle="1" w:styleId="2">
    <w:name w:val="BodyText"/>
    <w:basedOn w:val="1"/>
    <w:next w:val="3"/>
    <w:qFormat/>
    <w:uiPriority w:val="0"/>
    <w:pPr>
      <w:jc w:val="center"/>
    </w:pPr>
    <w:rPr>
      <w:rFonts w:ascii="方正大标宋简体" w:eastAsia="方正大标宋简体"/>
      <w:sz w:val="36"/>
      <w:szCs w:val="36"/>
    </w:rPr>
  </w:style>
  <w:style w:type="paragraph" w:customStyle="1" w:styleId="3">
    <w:name w:val="TOC5"/>
    <w:basedOn w:val="1"/>
    <w:next w:val="1"/>
    <w:qFormat/>
    <w:uiPriority w:val="0"/>
    <w:pPr>
      <w:ind w:left="1680" w:leftChars="800"/>
      <w:textAlignment w:val="baseline"/>
    </w:pPr>
  </w:style>
  <w:style w:type="paragraph" w:styleId="7">
    <w:name w:val="toc 7"/>
    <w:basedOn w:val="1"/>
    <w:next w:val="1"/>
    <w:unhideWhenUsed/>
    <w:qFormat/>
    <w:uiPriority w:val="39"/>
    <w:pPr>
      <w:ind w:left="2520" w:leftChars="1200"/>
    </w:pPr>
    <w:rPr>
      <w:rFonts w:ascii="Calibri" w:hAnsi="Calibri"/>
    </w:rPr>
  </w:style>
  <w:style w:type="paragraph" w:styleId="8">
    <w:name w:val="Normal Indent"/>
    <w:basedOn w:val="1"/>
    <w:qFormat/>
    <w:uiPriority w:val="0"/>
    <w:pPr>
      <w:ind w:firstLine="420" w:firstLineChars="200"/>
    </w:pPr>
    <w:rPr>
      <w:rFonts w:ascii="Calibri" w:hAnsi="Calibri"/>
      <w:sz w:val="20"/>
      <w:szCs w:val="20"/>
    </w:rPr>
  </w:style>
  <w:style w:type="paragraph" w:styleId="9">
    <w:name w:val="caption"/>
    <w:basedOn w:val="1"/>
    <w:next w:val="1"/>
    <w:semiHidden/>
    <w:unhideWhenUsed/>
    <w:qFormat/>
    <w:uiPriority w:val="35"/>
    <w:rPr>
      <w:rFonts w:ascii="等线 Light" w:hAnsi="等线 Light" w:eastAsia="黑体"/>
      <w:sz w:val="20"/>
      <w:szCs w:val="20"/>
    </w:rPr>
  </w:style>
  <w:style w:type="paragraph" w:styleId="10">
    <w:name w:val="Document Map"/>
    <w:basedOn w:val="1"/>
    <w:link w:val="36"/>
    <w:semiHidden/>
    <w:unhideWhenUsed/>
    <w:qFormat/>
    <w:uiPriority w:val="99"/>
    <w:rPr>
      <w:rFonts w:ascii="宋体"/>
      <w:kern w:val="0"/>
      <w:sz w:val="18"/>
      <w:szCs w:val="18"/>
    </w:rPr>
  </w:style>
  <w:style w:type="paragraph" w:styleId="11">
    <w:name w:val="annotation text"/>
    <w:basedOn w:val="1"/>
    <w:link w:val="57"/>
    <w:qFormat/>
    <w:uiPriority w:val="0"/>
    <w:pPr>
      <w:jc w:val="left"/>
    </w:pPr>
    <w:rPr>
      <w:rFonts w:ascii="等线" w:hAnsi="等线" w:eastAsia="等线"/>
      <w:kern w:val="0"/>
      <w:sz w:val="20"/>
      <w:szCs w:val="24"/>
    </w:rPr>
  </w:style>
  <w:style w:type="paragraph" w:styleId="12">
    <w:name w:val="Body Text"/>
    <w:basedOn w:val="1"/>
    <w:link w:val="55"/>
    <w:qFormat/>
    <w:uiPriority w:val="0"/>
    <w:pPr>
      <w:spacing w:line="560" w:lineRule="exact"/>
      <w:ind w:firstLine="200" w:firstLineChars="200"/>
    </w:pPr>
    <w:rPr>
      <w:rFonts w:eastAsia="仿宋_GB2312"/>
      <w:kern w:val="0"/>
      <w:sz w:val="32"/>
      <w:szCs w:val="24"/>
    </w:rPr>
  </w:style>
  <w:style w:type="paragraph" w:styleId="13">
    <w:name w:val="toc 5"/>
    <w:basedOn w:val="1"/>
    <w:next w:val="1"/>
    <w:unhideWhenUsed/>
    <w:qFormat/>
    <w:uiPriority w:val="39"/>
    <w:pPr>
      <w:ind w:left="1680" w:leftChars="800"/>
    </w:pPr>
    <w:rPr>
      <w:rFonts w:ascii="Calibri" w:hAnsi="Calibri"/>
    </w:rPr>
  </w:style>
  <w:style w:type="paragraph" w:styleId="14">
    <w:name w:val="toc 3"/>
    <w:basedOn w:val="1"/>
    <w:next w:val="1"/>
    <w:unhideWhenUsed/>
    <w:qFormat/>
    <w:uiPriority w:val="39"/>
    <w:pPr>
      <w:tabs>
        <w:tab w:val="right" w:leader="dot" w:pos="8296"/>
      </w:tabs>
      <w:ind w:left="840" w:leftChars="400"/>
    </w:pPr>
    <w:rPr>
      <w:rFonts w:eastAsia="仿宋_GB2312"/>
      <w:spacing w:val="-12"/>
      <w:sz w:val="30"/>
    </w:rPr>
  </w:style>
  <w:style w:type="paragraph" w:styleId="15">
    <w:name w:val="toc 8"/>
    <w:basedOn w:val="1"/>
    <w:next w:val="1"/>
    <w:unhideWhenUsed/>
    <w:qFormat/>
    <w:uiPriority w:val="39"/>
    <w:pPr>
      <w:ind w:left="2940" w:leftChars="1400"/>
    </w:pPr>
    <w:rPr>
      <w:rFonts w:ascii="Calibri" w:hAnsi="Calibri"/>
    </w:rPr>
  </w:style>
  <w:style w:type="paragraph" w:styleId="16">
    <w:name w:val="Balloon Text"/>
    <w:basedOn w:val="1"/>
    <w:link w:val="47"/>
    <w:semiHidden/>
    <w:unhideWhenUsed/>
    <w:qFormat/>
    <w:uiPriority w:val="99"/>
    <w:rPr>
      <w:kern w:val="0"/>
      <w:sz w:val="18"/>
      <w:szCs w:val="18"/>
    </w:rPr>
  </w:style>
  <w:style w:type="paragraph" w:styleId="17">
    <w:name w:val="footer"/>
    <w:basedOn w:val="1"/>
    <w:link w:val="35"/>
    <w:unhideWhenUsed/>
    <w:qFormat/>
    <w:uiPriority w:val="99"/>
    <w:pPr>
      <w:tabs>
        <w:tab w:val="center" w:pos="4153"/>
        <w:tab w:val="right" w:pos="8306"/>
      </w:tabs>
      <w:snapToGrid w:val="0"/>
      <w:jc w:val="left"/>
    </w:pPr>
    <w:rPr>
      <w:kern w:val="0"/>
      <w:sz w:val="18"/>
      <w:szCs w:val="18"/>
    </w:rPr>
  </w:style>
  <w:style w:type="paragraph" w:styleId="18">
    <w:name w:val="header"/>
    <w:basedOn w:val="1"/>
    <w:link w:val="3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spacing w:before="120" w:after="120"/>
      <w:jc w:val="left"/>
    </w:pPr>
    <w:rPr>
      <w:rFonts w:eastAsia="黑体"/>
      <w:b/>
      <w:bCs/>
      <w:caps/>
      <w:sz w:val="30"/>
      <w:szCs w:val="20"/>
    </w:rPr>
  </w:style>
  <w:style w:type="paragraph" w:styleId="20">
    <w:name w:val="toc 4"/>
    <w:basedOn w:val="1"/>
    <w:next w:val="1"/>
    <w:unhideWhenUsed/>
    <w:qFormat/>
    <w:uiPriority w:val="39"/>
    <w:pPr>
      <w:ind w:left="1260" w:leftChars="600"/>
    </w:pPr>
    <w:rPr>
      <w:rFonts w:ascii="Calibri" w:hAnsi="Calibri"/>
    </w:rPr>
  </w:style>
  <w:style w:type="paragraph" w:styleId="21">
    <w:name w:val="toc 6"/>
    <w:basedOn w:val="1"/>
    <w:next w:val="1"/>
    <w:unhideWhenUsed/>
    <w:qFormat/>
    <w:uiPriority w:val="39"/>
    <w:pPr>
      <w:ind w:left="2100" w:leftChars="1000"/>
    </w:pPr>
    <w:rPr>
      <w:rFonts w:ascii="Calibri" w:hAnsi="Calibri"/>
    </w:rPr>
  </w:style>
  <w:style w:type="paragraph" w:styleId="22">
    <w:name w:val="toc 2"/>
    <w:basedOn w:val="1"/>
    <w:next w:val="1"/>
    <w:qFormat/>
    <w:uiPriority w:val="39"/>
    <w:pPr>
      <w:ind w:left="210"/>
      <w:jc w:val="left"/>
    </w:pPr>
    <w:rPr>
      <w:rFonts w:eastAsia="仿宋_GB2312"/>
      <w:smallCaps/>
      <w:sz w:val="30"/>
      <w:szCs w:val="20"/>
    </w:rPr>
  </w:style>
  <w:style w:type="paragraph" w:styleId="23">
    <w:name w:val="toc 9"/>
    <w:basedOn w:val="1"/>
    <w:next w:val="1"/>
    <w:unhideWhenUsed/>
    <w:qFormat/>
    <w:uiPriority w:val="39"/>
    <w:pPr>
      <w:ind w:left="3360" w:leftChars="1600"/>
    </w:pPr>
    <w:rPr>
      <w:rFonts w:ascii="Calibri" w:hAnsi="Calibri"/>
    </w:rPr>
  </w:style>
  <w:style w:type="paragraph" w:styleId="24">
    <w:name w:val="Normal (Web)"/>
    <w:basedOn w:val="1"/>
    <w:qFormat/>
    <w:uiPriority w:val="99"/>
    <w:pPr>
      <w:spacing w:beforeAutospacing="1" w:afterAutospacing="1"/>
      <w:jc w:val="left"/>
    </w:pPr>
    <w:rPr>
      <w:rFonts w:ascii="等线" w:hAnsi="等线" w:eastAsia="等线"/>
      <w:kern w:val="0"/>
      <w:sz w:val="24"/>
      <w:szCs w:val="24"/>
    </w:rPr>
  </w:style>
  <w:style w:type="paragraph" w:styleId="25">
    <w:name w:val="annotation subject"/>
    <w:basedOn w:val="11"/>
    <w:next w:val="11"/>
    <w:link w:val="59"/>
    <w:semiHidden/>
    <w:unhideWhenUsed/>
    <w:qFormat/>
    <w:uiPriority w:val="99"/>
    <w:rPr>
      <w:rFonts w:ascii="Times New Roman" w:hAnsi="Times New Roman" w:eastAsia="宋体"/>
      <w:b/>
      <w:bCs/>
      <w:kern w:val="2"/>
      <w:sz w:val="21"/>
      <w:szCs w:val="22"/>
    </w:rPr>
  </w:style>
  <w:style w:type="table" w:styleId="27">
    <w:name w:val="Table Grid"/>
    <w:basedOn w:val="26"/>
    <w:qFormat/>
    <w:uiPriority w:val="39"/>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FollowedHyperlink"/>
    <w:basedOn w:val="28"/>
    <w:semiHidden/>
    <w:unhideWhenUsed/>
    <w:qFormat/>
    <w:uiPriority w:val="99"/>
    <w:rPr>
      <w:color w:val="954F72"/>
      <w:u w:val="single"/>
    </w:rPr>
  </w:style>
  <w:style w:type="character" w:styleId="31">
    <w:name w:val="Emphasis"/>
    <w:qFormat/>
    <w:uiPriority w:val="20"/>
    <w:rPr>
      <w:i/>
      <w:iCs/>
    </w:rPr>
  </w:style>
  <w:style w:type="character" w:styleId="32">
    <w:name w:val="Hyperlink"/>
    <w:unhideWhenUsed/>
    <w:qFormat/>
    <w:uiPriority w:val="99"/>
    <w:rPr>
      <w:color w:val="0000FF"/>
      <w:u w:val="single"/>
    </w:rPr>
  </w:style>
  <w:style w:type="character" w:styleId="33">
    <w:name w:val="annotation reference"/>
    <w:qFormat/>
    <w:uiPriority w:val="0"/>
    <w:rPr>
      <w:sz w:val="21"/>
      <w:szCs w:val="21"/>
    </w:rPr>
  </w:style>
  <w:style w:type="character" w:customStyle="1" w:styleId="34">
    <w:name w:val="页眉 Char"/>
    <w:link w:val="18"/>
    <w:qFormat/>
    <w:uiPriority w:val="99"/>
    <w:rPr>
      <w:rFonts w:ascii="Times New Roman" w:hAnsi="Times New Roman" w:eastAsia="宋体" w:cs="Times New Roman"/>
      <w:sz w:val="18"/>
      <w:szCs w:val="18"/>
    </w:rPr>
  </w:style>
  <w:style w:type="character" w:customStyle="1" w:styleId="35">
    <w:name w:val="页脚 Char"/>
    <w:link w:val="17"/>
    <w:qFormat/>
    <w:uiPriority w:val="99"/>
    <w:rPr>
      <w:rFonts w:ascii="Times New Roman" w:hAnsi="Times New Roman" w:eastAsia="宋体" w:cs="Times New Roman"/>
      <w:sz w:val="18"/>
      <w:szCs w:val="18"/>
    </w:rPr>
  </w:style>
  <w:style w:type="character" w:customStyle="1" w:styleId="36">
    <w:name w:val="文档结构图 Char"/>
    <w:link w:val="10"/>
    <w:semiHidden/>
    <w:qFormat/>
    <w:uiPriority w:val="99"/>
    <w:rPr>
      <w:rFonts w:ascii="宋体" w:hAnsi="Times New Roman" w:eastAsia="宋体" w:cs="Times New Roman"/>
      <w:sz w:val="18"/>
      <w:szCs w:val="18"/>
    </w:rPr>
  </w:style>
  <w:style w:type="paragraph" w:customStyle="1" w:styleId="37">
    <w:name w:val="Char Char6"/>
    <w:basedOn w:val="1"/>
    <w:qFormat/>
    <w:uiPriority w:val="0"/>
    <w:pPr>
      <w:numPr>
        <w:ilvl w:val="0"/>
        <w:numId w:val="1"/>
      </w:numPr>
    </w:pPr>
    <w:rPr>
      <w:sz w:val="24"/>
      <w:szCs w:val="24"/>
    </w:rPr>
  </w:style>
  <w:style w:type="paragraph" w:customStyle="1" w:styleId="38">
    <w:name w:val="T2"/>
    <w:basedOn w:val="1"/>
    <w:link w:val="40"/>
    <w:qFormat/>
    <w:uiPriority w:val="0"/>
    <w:pPr>
      <w:spacing w:line="360" w:lineRule="auto"/>
      <w:ind w:firstLine="602" w:firstLineChars="200"/>
      <w:outlineLvl w:val="1"/>
    </w:pPr>
    <w:rPr>
      <w:rFonts w:ascii="仿宋" w:hAnsi="仿宋" w:eastAsia="仿宋"/>
      <w:b/>
      <w:kern w:val="0"/>
      <w:sz w:val="30"/>
      <w:szCs w:val="30"/>
    </w:rPr>
  </w:style>
  <w:style w:type="paragraph" w:customStyle="1" w:styleId="39">
    <w:name w:val="T3"/>
    <w:basedOn w:val="1"/>
    <w:link w:val="42"/>
    <w:qFormat/>
    <w:uiPriority w:val="0"/>
    <w:pPr>
      <w:spacing w:line="360" w:lineRule="auto"/>
      <w:ind w:firstLine="562" w:firstLineChars="200"/>
      <w:outlineLvl w:val="2"/>
    </w:pPr>
    <w:rPr>
      <w:rFonts w:ascii="仿宋" w:hAnsi="仿宋" w:eastAsia="仿宋"/>
      <w:b/>
      <w:bCs/>
      <w:kern w:val="0"/>
      <w:sz w:val="28"/>
      <w:szCs w:val="28"/>
    </w:rPr>
  </w:style>
  <w:style w:type="character" w:customStyle="1" w:styleId="40">
    <w:name w:val="T2 字符"/>
    <w:link w:val="38"/>
    <w:qFormat/>
    <w:uiPriority w:val="0"/>
    <w:rPr>
      <w:rFonts w:ascii="仿宋" w:hAnsi="仿宋" w:eastAsia="仿宋" w:cs="Times New Roman"/>
      <w:b/>
      <w:sz w:val="30"/>
      <w:szCs w:val="30"/>
    </w:rPr>
  </w:style>
  <w:style w:type="paragraph" w:customStyle="1" w:styleId="41">
    <w:name w:val="text"/>
    <w:basedOn w:val="1"/>
    <w:link w:val="44"/>
    <w:qFormat/>
    <w:uiPriority w:val="0"/>
    <w:pPr>
      <w:spacing w:line="360" w:lineRule="auto"/>
      <w:ind w:firstLine="560" w:firstLineChars="200"/>
    </w:pPr>
    <w:rPr>
      <w:rFonts w:ascii="仿宋" w:hAnsi="仿宋" w:eastAsia="仿宋"/>
      <w:kern w:val="0"/>
      <w:sz w:val="28"/>
      <w:szCs w:val="28"/>
    </w:rPr>
  </w:style>
  <w:style w:type="character" w:customStyle="1" w:styleId="42">
    <w:name w:val="T3 字符"/>
    <w:link w:val="39"/>
    <w:qFormat/>
    <w:uiPriority w:val="0"/>
    <w:rPr>
      <w:rFonts w:ascii="仿宋" w:hAnsi="仿宋" w:eastAsia="仿宋" w:cs="宋体"/>
      <w:b/>
      <w:bCs/>
      <w:kern w:val="0"/>
      <w:sz w:val="28"/>
      <w:szCs w:val="28"/>
    </w:rPr>
  </w:style>
  <w:style w:type="paragraph" w:customStyle="1" w:styleId="43">
    <w:name w:val="table"/>
    <w:basedOn w:val="41"/>
    <w:link w:val="45"/>
    <w:qFormat/>
    <w:uiPriority w:val="0"/>
    <w:pPr>
      <w:ind w:firstLine="0" w:firstLineChars="0"/>
      <w:jc w:val="center"/>
    </w:pPr>
  </w:style>
  <w:style w:type="character" w:customStyle="1" w:styleId="44">
    <w:name w:val="text 字符"/>
    <w:link w:val="41"/>
    <w:qFormat/>
    <w:uiPriority w:val="0"/>
    <w:rPr>
      <w:rFonts w:ascii="仿宋" w:hAnsi="仿宋" w:eastAsia="仿宋" w:cs="宋体"/>
      <w:kern w:val="0"/>
      <w:sz w:val="28"/>
      <w:szCs w:val="28"/>
    </w:rPr>
  </w:style>
  <w:style w:type="character" w:customStyle="1" w:styleId="45">
    <w:name w:val="table 字符"/>
    <w:link w:val="43"/>
    <w:qFormat/>
    <w:uiPriority w:val="0"/>
    <w:rPr>
      <w:rFonts w:ascii="仿宋" w:hAnsi="仿宋" w:eastAsia="仿宋" w:cs="宋体"/>
      <w:kern w:val="0"/>
      <w:sz w:val="28"/>
      <w:szCs w:val="28"/>
    </w:rPr>
  </w:style>
  <w:style w:type="paragraph" w:customStyle="1" w:styleId="46">
    <w:name w:val="默认段落字体 Para Char"/>
    <w:basedOn w:val="1"/>
    <w:next w:val="1"/>
    <w:qFormat/>
    <w:uiPriority w:val="0"/>
    <w:pPr>
      <w:spacing w:line="360" w:lineRule="auto"/>
      <w:ind w:firstLine="200" w:firstLineChars="200"/>
    </w:pPr>
    <w:rPr>
      <w:rFonts w:ascii="宋体" w:hAnsi="宋体" w:cs="宋体"/>
      <w:sz w:val="24"/>
      <w:szCs w:val="24"/>
    </w:rPr>
  </w:style>
  <w:style w:type="character" w:customStyle="1" w:styleId="47">
    <w:name w:val="批注框文本 Char"/>
    <w:link w:val="16"/>
    <w:semiHidden/>
    <w:qFormat/>
    <w:uiPriority w:val="99"/>
    <w:rPr>
      <w:rFonts w:ascii="Times New Roman" w:hAnsi="Times New Roman" w:eastAsia="宋体" w:cs="Times New Roman"/>
      <w:sz w:val="18"/>
      <w:szCs w:val="18"/>
    </w:rPr>
  </w:style>
  <w:style w:type="paragraph" w:customStyle="1" w:styleId="48">
    <w:name w:val="表内"/>
    <w:basedOn w:val="43"/>
    <w:link w:val="49"/>
    <w:qFormat/>
    <w:uiPriority w:val="0"/>
    <w:pPr>
      <w:spacing w:line="240" w:lineRule="auto"/>
    </w:pPr>
    <w:rPr>
      <w:rFonts w:ascii="Times New Roman" w:hAnsi="Times New Roman" w:eastAsia="宋体"/>
      <w:szCs w:val="21"/>
    </w:rPr>
  </w:style>
  <w:style w:type="character" w:customStyle="1" w:styleId="49">
    <w:name w:val="表内 字符"/>
    <w:link w:val="48"/>
    <w:qFormat/>
    <w:uiPriority w:val="0"/>
    <w:rPr>
      <w:rFonts w:ascii="Times New Roman" w:hAnsi="Times New Roman" w:eastAsia="宋体" w:cs="Times New Roman"/>
      <w:kern w:val="0"/>
      <w:sz w:val="28"/>
      <w:szCs w:val="21"/>
    </w:rPr>
  </w:style>
  <w:style w:type="character" w:customStyle="1" w:styleId="50">
    <w:name w:val="bjh-p"/>
    <w:basedOn w:val="28"/>
    <w:qFormat/>
    <w:uiPriority w:val="0"/>
  </w:style>
  <w:style w:type="paragraph" w:customStyle="1" w:styleId="51">
    <w:name w:val="Default"/>
    <w:next w:val="1"/>
    <w:qFormat/>
    <w:uiPriority w:val="99"/>
    <w:pPr>
      <w:widowControl w:val="0"/>
      <w:autoSpaceDE w:val="0"/>
      <w:autoSpaceDN w:val="0"/>
      <w:adjustRightInd w:val="0"/>
    </w:pPr>
    <w:rPr>
      <w:rFonts w:ascii="方正仿宋_GBK" w:hAnsi="Times New Roman" w:eastAsia="方正仿宋_GBK" w:cs="Times New Roman"/>
      <w:color w:val="000000"/>
      <w:sz w:val="24"/>
      <w:szCs w:val="24"/>
      <w:lang w:val="en-US" w:eastAsia="zh-CN" w:bidi="ar-SA"/>
    </w:rPr>
  </w:style>
  <w:style w:type="character" w:customStyle="1" w:styleId="52">
    <w:name w:val="标题 1 Char"/>
    <w:link w:val="4"/>
    <w:qFormat/>
    <w:uiPriority w:val="0"/>
    <w:rPr>
      <w:rFonts w:ascii="Times New Roman" w:hAnsi="Times New Roman" w:eastAsia="宋体" w:cs="Times New Roman"/>
      <w:b/>
      <w:kern w:val="44"/>
      <w:sz w:val="44"/>
      <w:szCs w:val="44"/>
    </w:rPr>
  </w:style>
  <w:style w:type="character" w:customStyle="1" w:styleId="53">
    <w:name w:val="标题 2 Char"/>
    <w:link w:val="5"/>
    <w:qFormat/>
    <w:uiPriority w:val="0"/>
    <w:rPr>
      <w:rFonts w:ascii="等线 Light" w:hAnsi="等线 Light" w:eastAsia="等线 Light" w:cs="Times New Roman"/>
      <w:b/>
      <w:kern w:val="0"/>
      <w:sz w:val="32"/>
      <w:szCs w:val="32"/>
    </w:rPr>
  </w:style>
  <w:style w:type="character" w:customStyle="1" w:styleId="54">
    <w:name w:val="标题 3 Char"/>
    <w:link w:val="6"/>
    <w:qFormat/>
    <w:uiPriority w:val="9"/>
    <w:rPr>
      <w:rFonts w:ascii="仿宋_GB2312" w:hAnsi="Times New Roman" w:eastAsia="仿宋_GB2312"/>
      <w:b/>
      <w:sz w:val="32"/>
      <w:szCs w:val="32"/>
    </w:rPr>
  </w:style>
  <w:style w:type="character" w:customStyle="1" w:styleId="55">
    <w:name w:val="正文文本 Char"/>
    <w:link w:val="12"/>
    <w:qFormat/>
    <w:uiPriority w:val="0"/>
    <w:rPr>
      <w:rFonts w:ascii="Times New Roman" w:hAnsi="Times New Roman" w:eastAsia="仿宋_GB2312"/>
      <w:sz w:val="32"/>
      <w:szCs w:val="24"/>
    </w:rPr>
  </w:style>
  <w:style w:type="paragraph" w:customStyle="1" w:styleId="56">
    <w:name w:val="Char Char61"/>
    <w:basedOn w:val="1"/>
    <w:qFormat/>
    <w:uiPriority w:val="0"/>
    <w:pPr>
      <w:tabs>
        <w:tab w:val="left" w:pos="1352"/>
      </w:tabs>
      <w:ind w:left="1352" w:hanging="720"/>
    </w:pPr>
    <w:rPr>
      <w:sz w:val="24"/>
      <w:szCs w:val="24"/>
    </w:rPr>
  </w:style>
  <w:style w:type="character" w:customStyle="1" w:styleId="57">
    <w:name w:val="批注文字 Char"/>
    <w:link w:val="11"/>
    <w:qFormat/>
    <w:uiPriority w:val="0"/>
    <w:rPr>
      <w:szCs w:val="24"/>
    </w:rPr>
  </w:style>
  <w:style w:type="paragraph" w:customStyle="1" w:styleId="58">
    <w:name w:val="ori_titlesource"/>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9">
    <w:name w:val="批注主题 Char"/>
    <w:basedOn w:val="57"/>
    <w:link w:val="25"/>
    <w:semiHidden/>
    <w:qFormat/>
    <w:uiPriority w:val="99"/>
    <w:rPr>
      <w:rFonts w:ascii="Times New Roman" w:hAnsi="Times New Roman" w:eastAsia="宋体"/>
      <w:b/>
      <w:bCs/>
      <w:kern w:val="2"/>
      <w:sz w:val="21"/>
      <w:szCs w:val="22"/>
    </w:rPr>
  </w:style>
  <w:style w:type="character" w:customStyle="1" w:styleId="60">
    <w:name w:val="Unresolved Mention"/>
    <w:basedOn w:val="28"/>
    <w:semiHidden/>
    <w:unhideWhenUsed/>
    <w:qFormat/>
    <w:uiPriority w:val="99"/>
    <w:rPr>
      <w:color w:val="605E5C"/>
      <w:shd w:val="clear" w:color="auto" w:fill="E1DFDD"/>
    </w:rPr>
  </w:style>
  <w:style w:type="paragraph" w:customStyle="1" w:styleId="61">
    <w:name w:val="修订1"/>
    <w:hidden/>
    <w:semiHidden/>
    <w:qFormat/>
    <w:uiPriority w:val="99"/>
    <w:rPr>
      <w:rFonts w:ascii="Times New Roman" w:hAnsi="Times New Roman" w:eastAsia="宋体" w:cs="Times New Roman"/>
      <w:kern w:val="2"/>
      <w:sz w:val="21"/>
      <w:szCs w:val="22"/>
      <w:lang w:val="en-US" w:eastAsia="zh-CN" w:bidi="ar-SA"/>
    </w:rPr>
  </w:style>
  <w:style w:type="character" w:customStyle="1" w:styleId="62">
    <w:name w:val="fontstyle01"/>
    <w:basedOn w:val="28"/>
    <w:qFormat/>
    <w:uiPriority w:val="0"/>
    <w:rPr>
      <w:rFonts w:ascii="仿宋" w:hAnsi="仿宋" w:eastAsia="仿宋" w:cs="仿宋"/>
      <w:color w:val="000000"/>
      <w:sz w:val="32"/>
      <w:szCs w:val="32"/>
    </w:rPr>
  </w:style>
  <w:style w:type="character" w:customStyle="1" w:styleId="63">
    <w:name w:val="fontstyle21"/>
    <w:basedOn w:val="28"/>
    <w:qFormat/>
    <w:uiPriority w:val="0"/>
    <w:rPr>
      <w:rFonts w:hint="default" w:ascii="Times New Roman" w:hAnsi="Times New Roman" w:cs="Times New Roman"/>
      <w:color w:val="000000"/>
      <w:sz w:val="32"/>
      <w:szCs w:val="32"/>
    </w:rPr>
  </w:style>
  <w:style w:type="paragraph" w:customStyle="1" w:styleId="64">
    <w:name w:val="font5"/>
    <w:basedOn w:val="1"/>
    <w:qFormat/>
    <w:uiPriority w:val="0"/>
    <w:pPr>
      <w:widowControl/>
      <w:spacing w:before="100" w:beforeAutospacing="1" w:after="100" w:afterAutospacing="1"/>
      <w:jc w:val="left"/>
    </w:pPr>
    <w:rPr>
      <w:kern w:val="0"/>
      <w:sz w:val="20"/>
      <w:szCs w:val="20"/>
    </w:rPr>
  </w:style>
  <w:style w:type="paragraph" w:customStyle="1" w:styleId="65">
    <w:name w:val="font6"/>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66">
    <w:name w:val="font7"/>
    <w:basedOn w:val="1"/>
    <w:qFormat/>
    <w:uiPriority w:val="0"/>
    <w:pPr>
      <w:widowControl/>
      <w:spacing w:before="100" w:beforeAutospacing="1" w:after="100" w:afterAutospacing="1"/>
      <w:jc w:val="left"/>
    </w:pPr>
    <w:rPr>
      <w:rFonts w:ascii="楷体" w:hAnsi="楷体" w:eastAsia="楷体" w:cs="宋体"/>
      <w:kern w:val="0"/>
      <w:sz w:val="20"/>
      <w:szCs w:val="20"/>
    </w:rPr>
  </w:style>
  <w:style w:type="paragraph" w:customStyle="1" w:styleId="67">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8">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9">
    <w:name w:val="font10"/>
    <w:basedOn w:val="1"/>
    <w:qFormat/>
    <w:uiPriority w:val="0"/>
    <w:pPr>
      <w:widowControl/>
      <w:spacing w:before="100" w:beforeAutospacing="1" w:after="100" w:afterAutospacing="1"/>
      <w:jc w:val="left"/>
    </w:pPr>
    <w:rPr>
      <w:rFonts w:ascii="楷体" w:hAnsi="楷体" w:eastAsia="楷体" w:cs="宋体"/>
      <w:color w:val="000000"/>
      <w:kern w:val="0"/>
      <w:sz w:val="20"/>
      <w:szCs w:val="20"/>
    </w:rPr>
  </w:style>
  <w:style w:type="paragraph" w:customStyle="1" w:styleId="70">
    <w:name w:val="font11"/>
    <w:basedOn w:val="1"/>
    <w:qFormat/>
    <w:uiPriority w:val="0"/>
    <w:pPr>
      <w:widowControl/>
      <w:spacing w:before="100" w:beforeAutospacing="1" w:after="100" w:afterAutospacing="1"/>
      <w:jc w:val="left"/>
    </w:pPr>
    <w:rPr>
      <w:rFonts w:ascii="楷体" w:hAnsi="楷体" w:eastAsia="楷体" w:cs="宋体"/>
      <w:color w:val="000000"/>
      <w:kern w:val="0"/>
      <w:sz w:val="20"/>
      <w:szCs w:val="20"/>
    </w:rPr>
  </w:style>
  <w:style w:type="paragraph" w:customStyle="1" w:styleId="71">
    <w:name w:val="xl71"/>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72">
    <w:name w:val="xl72"/>
    <w:basedOn w:val="1"/>
    <w:qFormat/>
    <w:uiPriority w:val="0"/>
    <w:pPr>
      <w:widowControl/>
      <w:spacing w:before="100" w:beforeAutospacing="1" w:after="100" w:afterAutospacing="1"/>
      <w:jc w:val="left"/>
    </w:pPr>
    <w:rPr>
      <w:kern w:val="0"/>
      <w:sz w:val="20"/>
      <w:szCs w:val="20"/>
    </w:rPr>
  </w:style>
  <w:style w:type="paragraph" w:customStyle="1" w:styleId="73">
    <w:name w:val="xl73"/>
    <w:basedOn w:val="1"/>
    <w:qFormat/>
    <w:uiPriority w:val="0"/>
    <w:pPr>
      <w:widowControl/>
      <w:spacing w:before="100" w:beforeAutospacing="1" w:after="100" w:afterAutospacing="1"/>
      <w:jc w:val="left"/>
    </w:pPr>
    <w:rPr>
      <w:kern w:val="0"/>
      <w:sz w:val="24"/>
      <w:szCs w:val="24"/>
    </w:rPr>
  </w:style>
  <w:style w:type="paragraph" w:customStyle="1" w:styleId="7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 w:hAnsi="楷体" w:eastAsia="楷体" w:cs="宋体"/>
      <w:kern w:val="0"/>
      <w:sz w:val="20"/>
      <w:szCs w:val="20"/>
    </w:rPr>
  </w:style>
  <w:style w:type="paragraph" w:customStyle="1" w:styleId="7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7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 w:hAnsi="楷体" w:eastAsia="楷体" w:cs="宋体"/>
      <w:kern w:val="0"/>
      <w:sz w:val="20"/>
      <w:szCs w:val="20"/>
    </w:rPr>
  </w:style>
  <w:style w:type="paragraph" w:customStyle="1" w:styleId="8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 w:hAnsi="楷体" w:eastAsia="楷体" w:cs="宋体"/>
      <w:kern w:val="0"/>
      <w:sz w:val="20"/>
      <w:szCs w:val="20"/>
    </w:rPr>
  </w:style>
  <w:style w:type="paragraph" w:customStyle="1" w:styleId="8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8">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szCs w:val="24"/>
    </w:rPr>
  </w:style>
  <w:style w:type="paragraph" w:customStyle="1" w:styleId="8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7">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9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0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101">
    <w:name w:val="xl101"/>
    <w:basedOn w:val="1"/>
    <w:qFormat/>
    <w:uiPriority w:val="0"/>
    <w:pPr>
      <w:widowControl/>
      <w:spacing w:before="100" w:beforeAutospacing="1" w:after="100" w:afterAutospacing="1"/>
      <w:jc w:val="left"/>
      <w:textAlignment w:val="bottom"/>
    </w:pPr>
    <w:rPr>
      <w:kern w:val="0"/>
      <w:sz w:val="20"/>
      <w:szCs w:val="20"/>
    </w:rPr>
  </w:style>
  <w:style w:type="paragraph" w:customStyle="1" w:styleId="102">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楷体" w:hAnsi="楷体" w:eastAsia="楷体" w:cs="宋体"/>
      <w:kern w:val="0"/>
      <w:sz w:val="20"/>
      <w:szCs w:val="20"/>
    </w:rPr>
  </w:style>
  <w:style w:type="paragraph" w:customStyle="1" w:styleId="103">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 w:hAnsi="楷体" w:eastAsia="楷体" w:cs="宋体"/>
      <w:kern w:val="0"/>
      <w:sz w:val="20"/>
      <w:szCs w:val="20"/>
    </w:rPr>
  </w:style>
  <w:style w:type="paragraph" w:customStyle="1" w:styleId="10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szCs w:val="24"/>
    </w:rPr>
  </w:style>
  <w:style w:type="paragraph" w:customStyle="1" w:styleId="10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06">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7">
    <w:name w:val="xl10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8">
    <w:name w:val="xl10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9">
    <w:name w:val="xl10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1">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2">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11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114">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554E0-8502-4D04-B538-AC6FE2628068}">
  <ds:schemaRefs/>
</ds:datastoreItem>
</file>

<file path=docProps/app.xml><?xml version="1.0" encoding="utf-8"?>
<Properties xmlns="http://schemas.openxmlformats.org/officeDocument/2006/extended-properties" xmlns:vt="http://schemas.openxmlformats.org/officeDocument/2006/docPropsVTypes">
  <Template>Normal</Template>
  <Pages>79</Pages>
  <Words>41528</Words>
  <Characters>45110</Characters>
  <Lines>373</Lines>
  <Paragraphs>105</Paragraphs>
  <TotalTime>67</TotalTime>
  <ScaleCrop>false</ScaleCrop>
  <LinksUpToDate>false</LinksUpToDate>
  <CharactersWithSpaces>45495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2022-05-18T14:31:00Z</dcterms:created>
  <dc:creator>Windows 用户</dc:creator>
  <cp:lastModifiedBy>lenovo</cp:lastModifiedBy>
  <cp:lastPrinted>2022-08-01T01:47:00Z</cp:lastPrinted>
  <dcterms:modified xsi:type="dcterms:W3CDTF">2023-12-26T07:51:34Z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D68CF0AE5A8E409985D0C5C32F810430_13</vt:lpwstr>
  </property>
</Properties>
</file>