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cs="宋体"/>
          <w:kern w:val="0"/>
          <w:sz w:val="44"/>
          <w:szCs w:val="44"/>
          <w:shd w:val="clear" w:color="auto" w:fill="FFFFFF"/>
        </w:rPr>
        <w:t>奉节县人民政府办公室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cs="宋体"/>
          <w:kern w:val="0"/>
          <w:sz w:val="44"/>
          <w:szCs w:val="44"/>
          <w:shd w:val="clear" w:color="auto" w:fill="FFFFFF"/>
        </w:rPr>
      </w:pPr>
      <w:r>
        <w:rPr>
          <w:rFonts w:hint="eastAsia" w:ascii="方正小标宋_GBK" w:eastAsia="方正小标宋_GBK" w:cs="宋体"/>
          <w:kern w:val="0"/>
          <w:sz w:val="44"/>
          <w:szCs w:val="44"/>
          <w:shd w:val="clear" w:color="auto" w:fill="FFFFFF"/>
        </w:rPr>
        <w:t>关于取消和下放部分行政许可事项的通知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奉节府办发〔2020〕102号</w:t>
      </w:r>
    </w:p>
    <w:p>
      <w:pPr>
        <w:spacing w:line="600" w:lineRule="exact"/>
        <w:rPr>
          <w:rFonts w:hint="eastAsia" w:ascii="方正仿宋_GBK" w:hAnsi="Times New Roman" w:eastAsia="方正仿宋_GBK" w:cs="Times New Roman"/>
          <w:sz w:val="32"/>
          <w:szCs w:val="32"/>
        </w:rPr>
      </w:pPr>
    </w:p>
    <w:p>
      <w:pPr>
        <w:adjustRightInd w:val="0"/>
        <w:snapToGrid w:val="0"/>
        <w:spacing w:line="600" w:lineRule="exact"/>
        <w:rPr>
          <w:rFonts w:ascii="方正仿宋_GBK" w:eastAsia="方正仿宋_GBK"/>
          <w:spacing w:val="-6"/>
          <w:sz w:val="32"/>
          <w:szCs w:val="32"/>
        </w:rPr>
      </w:pPr>
      <w:r>
        <w:rPr>
          <w:rFonts w:hint="eastAsia" w:ascii="方正仿宋_GBK" w:eastAsia="方正仿宋_GBK"/>
          <w:spacing w:val="-6"/>
          <w:sz w:val="32"/>
          <w:szCs w:val="32"/>
        </w:rPr>
        <w:t>各乡镇人民政府、街道办事处，县政府各部门，有关单位：</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进一步转变政府职能，优化我县营商环境，根据《重庆市人民政府关于取消、承接和下放一批行政许可事项的决定》（渝府发〔2020〕25号）精神，经县政府同意，决定对应取消4项行政许可事项，下放1项行政许可事项。</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有关单位要加强组织领导，认真做好贯彻落实和衔接工作。要制定事中事后监管措施，采取“双随机、一公开”监管、重点监管、信用监管、“互联网+监管”等方式，确保放得开、接得住、管得好，防止出现监管真空。要加强信息公开，及时向社会公布有关事项事中事后监管细则，相应调整网上行政许可事项及办事指南，动态管理权力清单和责任清单。对取消的行政许可事项，不得擅自转交下属事业单位、协会继续审批，不得通过拆分、合并或重组等方式以新的名义、条目替代审批，不得以其他任何形式变相审批；对下放的行政许可事项要加强对承接单位的培训和指导。</w:t>
      </w:r>
    </w:p>
    <w:p>
      <w:pPr>
        <w:adjustRightInd w:val="0"/>
        <w:snapToGrid w:val="0"/>
        <w:spacing w:line="600" w:lineRule="exact"/>
        <w:rPr>
          <w:rFonts w:ascii="方正仿宋_GBK" w:eastAsia="方正仿宋_GBK"/>
          <w:sz w:val="32"/>
          <w:szCs w:val="32"/>
        </w:rPr>
      </w:pPr>
    </w:p>
    <w:p>
      <w:pPr>
        <w:adjustRightInd w:val="0"/>
        <w:snapToGrid w:val="0"/>
        <w:spacing w:line="600" w:lineRule="exact"/>
        <w:ind w:firstLine="800" w:firstLineChars="250"/>
        <w:rPr>
          <w:rFonts w:hint="eastAsia" w:ascii="方正仿宋_GBK" w:eastAsia="方正仿宋_GBK"/>
          <w:sz w:val="32"/>
          <w:szCs w:val="32"/>
        </w:rPr>
      </w:pPr>
      <w:r>
        <w:rPr>
          <w:rFonts w:hint="eastAsia" w:ascii="方正仿宋_GBK" w:eastAsia="方正仿宋_GBK"/>
          <w:sz w:val="32"/>
          <w:szCs w:val="32"/>
        </w:rPr>
        <w:t>附件：1．奉节县2020年行政许可取消事项目录</w:t>
      </w:r>
    </w:p>
    <w:p>
      <w:pPr>
        <w:adjustRightInd w:val="0"/>
        <w:snapToGrid w:val="0"/>
        <w:spacing w:line="600" w:lineRule="exact"/>
        <w:ind w:firstLine="800" w:firstLineChars="250"/>
        <w:rPr>
          <w:rFonts w:hint="eastAsia" w:ascii="方正仿宋_GBK" w:eastAsia="方正仿宋_GBK"/>
          <w:sz w:val="32"/>
          <w:szCs w:val="32"/>
        </w:rPr>
      </w:pPr>
      <w:r>
        <w:rPr>
          <w:rFonts w:hint="eastAsia" w:ascii="方正仿宋_GBK" w:eastAsia="方正仿宋_GBK"/>
          <w:sz w:val="32"/>
          <w:szCs w:val="32"/>
        </w:rPr>
        <w:t xml:space="preserve">      2．奉节县2020年行政许可下放事项目录</w:t>
      </w:r>
    </w:p>
    <w:p>
      <w:pPr>
        <w:adjustRightInd w:val="0"/>
        <w:snapToGrid w:val="0"/>
        <w:spacing w:line="600" w:lineRule="exact"/>
        <w:ind w:left="4000" w:hanging="4000" w:hangingChars="1250"/>
        <w:rPr>
          <w:rFonts w:hint="eastAsia" w:ascii="方正仿宋_GBK" w:eastAsia="方正仿宋_GBK"/>
          <w:sz w:val="32"/>
          <w:szCs w:val="32"/>
          <w:lang w:val="en"/>
        </w:rPr>
      </w:pPr>
    </w:p>
    <w:p>
      <w:pPr>
        <w:adjustRightInd w:val="0"/>
        <w:snapToGrid w:val="0"/>
        <w:spacing w:line="600" w:lineRule="exact"/>
        <w:ind w:left="4000" w:hanging="4000" w:hangingChars="1250"/>
        <w:rPr>
          <w:rFonts w:hint="eastAsia" w:ascii="方正仿宋_GBK" w:eastAsia="方正仿宋_GBK"/>
          <w:sz w:val="32"/>
          <w:szCs w:val="32"/>
        </w:rPr>
      </w:pPr>
    </w:p>
    <w:p>
      <w:pPr>
        <w:adjustRightInd w:val="0"/>
        <w:snapToGrid w:val="0"/>
        <w:spacing w:line="240" w:lineRule="auto"/>
        <w:ind w:right="0" w:firstLine="5120" w:firstLineChars="1600"/>
        <w:jc w:val="left"/>
        <w:rPr>
          <w:rFonts w:hint="eastAsia" w:ascii="方正仿宋_GBK" w:eastAsia="方正仿宋_GBK"/>
          <w:sz w:val="32"/>
          <w:szCs w:val="32"/>
        </w:rPr>
      </w:pPr>
      <w:r>
        <w:rPr>
          <w:rFonts w:hint="eastAsia" w:ascii="方正仿宋_GBK" w:eastAsia="方正仿宋_GBK"/>
          <w:sz w:val="32"/>
          <w:szCs w:val="32"/>
        </w:rPr>
        <w:t>奉节县人民政府办公室</w:t>
      </w:r>
    </w:p>
    <w:p>
      <w:pPr>
        <w:adjustRightInd w:val="0"/>
        <w:snapToGrid w:val="0"/>
        <w:spacing w:line="240" w:lineRule="auto"/>
        <w:ind w:right="0" w:firstLine="5440" w:firstLineChars="1700"/>
        <w:jc w:val="left"/>
        <w:rPr>
          <w:rFonts w:ascii="方正仿宋_GBK" w:eastAsia="方正仿宋_GBK"/>
          <w:sz w:val="32"/>
          <w:szCs w:val="32"/>
        </w:rPr>
        <w:sectPr>
          <w:footerReference r:id="rId7" w:type="first"/>
          <w:headerReference r:id="rId3" w:type="default"/>
          <w:footerReference r:id="rId5" w:type="default"/>
          <w:headerReference r:id="rId4" w:type="even"/>
          <w:footerReference r:id="rId6" w:type="even"/>
          <w:pgSz w:w="11907" w:h="16839"/>
          <w:pgMar w:top="2098" w:right="1474" w:bottom="1701" w:left="1588" w:header="567" w:footer="1474" w:gutter="0"/>
          <w:pgNumType w:fmt="numberInDash"/>
          <w:cols w:space="720" w:num="1"/>
          <w:docGrid w:linePitch="435" w:charSpace="-2502"/>
        </w:sectPr>
      </w:pPr>
      <w:r>
        <w:rPr>
          <w:rFonts w:hint="eastAsia" w:ascii="方正仿宋_GBK" w:eastAsia="方正仿宋_GBK"/>
          <w:sz w:val="32"/>
          <w:szCs w:val="32"/>
        </w:rPr>
        <w:t>2020年11月13日</w:t>
      </w:r>
    </w:p>
    <w:p>
      <w:pPr>
        <w:shd w:val="clear" w:color="auto" w:fill="FFFFFF"/>
        <w:adjustRightInd w:val="0"/>
        <w:snapToGrid w:val="0"/>
        <w:spacing w:line="580" w:lineRule="exact"/>
        <w:rPr>
          <w:rFonts w:hint="eastAsia" w:ascii="方正黑体_GBK" w:hAnsi="宋体" w:eastAsia="方正黑体_GBK"/>
          <w:kern w:val="0"/>
          <w:szCs w:val="32"/>
        </w:rPr>
      </w:pPr>
      <w:r>
        <w:rPr>
          <w:rFonts w:hint="eastAsia" w:ascii="方正黑体_GBK" w:hAnsi="宋体" w:eastAsia="方正黑体_GBK"/>
          <w:kern w:val="0"/>
          <w:sz w:val="32"/>
          <w:szCs w:val="32"/>
        </w:rPr>
        <w:t>附件1</w:t>
      </w:r>
    </w:p>
    <w:p>
      <w:pPr>
        <w:wordWrap w:val="0"/>
        <w:snapToGrid w:val="0"/>
        <w:ind w:firstLine="880" w:firstLineChars="200"/>
        <w:rPr>
          <w:rFonts w:ascii="方正小标宋_GBK" w:eastAsia="方正小标宋_GBK"/>
          <w:sz w:val="44"/>
          <w:szCs w:val="44"/>
        </w:rPr>
      </w:pPr>
      <w:r>
        <w:rPr>
          <w:rFonts w:hint="eastAsia" w:ascii="方正小标宋_GBK" w:eastAsia="方正小标宋_GBK"/>
          <w:sz w:val="44"/>
          <w:szCs w:val="44"/>
        </w:rPr>
        <w:t>奉节县2020年行政许可取消事项目录</w:t>
      </w:r>
    </w:p>
    <w:p>
      <w:pPr>
        <w:snapToGrid w:val="0"/>
        <w:rPr>
          <w:rFonts w:ascii="方正楷体_GBK" w:eastAsia="方正楷体_GBK"/>
          <w:sz w:val="28"/>
          <w:szCs w:val="28"/>
        </w:rPr>
      </w:pPr>
    </w:p>
    <w:tbl>
      <w:tblPr>
        <w:tblStyle w:val="8"/>
        <w:tblW w:w="945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17" w:type="dxa"/>
          <w:left w:w="57" w:type="dxa"/>
          <w:bottom w:w="17" w:type="dxa"/>
          <w:right w:w="57" w:type="dxa"/>
        </w:tblCellMar>
      </w:tblPr>
      <w:tblGrid>
        <w:gridCol w:w="668"/>
        <w:gridCol w:w="1600"/>
        <w:gridCol w:w="2009"/>
        <w:gridCol w:w="572"/>
        <w:gridCol w:w="537"/>
        <w:gridCol w:w="406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707" w:hRule="atLeast"/>
          <w:tblHeader/>
          <w:jc w:val="center"/>
        </w:trPr>
        <w:tc>
          <w:tcPr>
            <w:tcW w:w="669" w:type="dxa"/>
            <w:tcBorders>
              <w:top w:val="single" w:color="auto" w:sz="6" w:space="0"/>
            </w:tcBorders>
            <w:noWrap w:val="0"/>
            <w:tcMar>
              <w:top w:w="0" w:type="dxa"/>
              <w:left w:w="0" w:type="dxa"/>
              <w:bottom w:w="0" w:type="dxa"/>
              <w:right w:w="0"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序号</w:t>
            </w:r>
          </w:p>
        </w:tc>
        <w:tc>
          <w:tcPr>
            <w:tcW w:w="1600" w:type="dxa"/>
            <w:noWrap w:val="0"/>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项目名称</w:t>
            </w:r>
          </w:p>
        </w:tc>
        <w:tc>
          <w:tcPr>
            <w:tcW w:w="2009" w:type="dxa"/>
            <w:noWrap w:val="0"/>
            <w:vAlign w:val="center"/>
          </w:tcPr>
          <w:p>
            <w:pPr>
              <w:snapToGrid w:val="0"/>
              <w:spacing w:line="280" w:lineRule="exact"/>
              <w:ind w:left="36" w:leftChars="17" w:right="69" w:rightChars="33"/>
              <w:jc w:val="center"/>
              <w:rPr>
                <w:rFonts w:hint="eastAsia" w:ascii="方正黑体_GBK" w:eastAsia="方正黑体_GBK"/>
                <w:sz w:val="21"/>
                <w:szCs w:val="21"/>
              </w:rPr>
            </w:pPr>
            <w:r>
              <w:rPr>
                <w:rFonts w:hint="eastAsia" w:ascii="方正黑体_GBK" w:eastAsia="方正黑体_GBK"/>
                <w:sz w:val="21"/>
                <w:szCs w:val="21"/>
              </w:rPr>
              <w:t>设定依据</w:t>
            </w:r>
          </w:p>
        </w:tc>
        <w:tc>
          <w:tcPr>
            <w:tcW w:w="572" w:type="dxa"/>
            <w:noWrap w:val="0"/>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审批部门</w:t>
            </w:r>
          </w:p>
        </w:tc>
        <w:tc>
          <w:tcPr>
            <w:tcW w:w="537" w:type="dxa"/>
            <w:noWrap w:val="0"/>
            <w:tcMar>
              <w:top w:w="0" w:type="dxa"/>
              <w:left w:w="0" w:type="dxa"/>
              <w:bottom w:w="0" w:type="dxa"/>
              <w:right w:w="0"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处理决定</w:t>
            </w:r>
          </w:p>
        </w:tc>
        <w:tc>
          <w:tcPr>
            <w:tcW w:w="4063" w:type="dxa"/>
            <w:noWrap w:val="0"/>
            <w:tcMar>
              <w:left w:w="28" w:type="dxa"/>
              <w:right w:w="28"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加强事中事后监管措施</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2675" w:hRule="atLeast"/>
          <w:jc w:val="center"/>
        </w:trPr>
        <w:tc>
          <w:tcPr>
            <w:tcW w:w="669" w:type="dxa"/>
            <w:noWrap w:val="0"/>
            <w:tcMar>
              <w:top w:w="0" w:type="dxa"/>
              <w:left w:w="0" w:type="dxa"/>
              <w:bottom w:w="0" w:type="dxa"/>
              <w:right w:w="0" w:type="dxa"/>
            </w:tcMar>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600" w:type="dxa"/>
            <w:noWrap w:val="0"/>
            <w:tcMar>
              <w:left w:w="28" w:type="dxa"/>
              <w:right w:w="28" w:type="dxa"/>
            </w:tcMar>
            <w:vAlign w:val="center"/>
          </w:tcPr>
          <w:p>
            <w:pPr>
              <w:pStyle w:val="16"/>
              <w:spacing w:line="280" w:lineRule="exact"/>
              <w:ind w:firstLine="0" w:firstLineChars="0"/>
              <w:rPr>
                <w:rFonts w:ascii="方正仿宋_GBK" w:eastAsia="方正仿宋_GBK"/>
                <w:szCs w:val="21"/>
              </w:rPr>
            </w:pPr>
            <w:r>
              <w:rPr>
                <w:rFonts w:hint="eastAsia" w:ascii="方正仿宋_GBK" w:hAnsi="宋体" w:eastAsia="方正仿宋_GBK" w:cs="宋体"/>
                <w:kern w:val="0"/>
                <w:szCs w:val="21"/>
              </w:rPr>
              <w:t>典当业特种行业许可证核发</w:t>
            </w:r>
          </w:p>
        </w:tc>
        <w:tc>
          <w:tcPr>
            <w:tcW w:w="2009" w:type="dxa"/>
            <w:noWrap w:val="0"/>
            <w:tcMar>
              <w:left w:w="0" w:type="dxa"/>
              <w:right w:w="0" w:type="dxa"/>
            </w:tcMar>
            <w:vAlign w:val="center"/>
          </w:tcPr>
          <w:p>
            <w:pPr>
              <w:pStyle w:val="16"/>
              <w:spacing w:line="280" w:lineRule="exact"/>
              <w:ind w:firstLine="0" w:firstLineChars="0"/>
              <w:rPr>
                <w:rFonts w:hint="eastAsia" w:ascii="方正仿宋_GBK" w:hAnsi="宋体" w:eastAsia="方正仿宋_GBK" w:cs="宋体"/>
                <w:kern w:val="0"/>
                <w:szCs w:val="21"/>
              </w:rPr>
            </w:pPr>
          </w:p>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《国务院对确需保留的行政审批项目设定行政许可的决定》</w:t>
            </w:r>
          </w:p>
          <w:p>
            <w:pPr>
              <w:pStyle w:val="16"/>
              <w:spacing w:line="280" w:lineRule="exact"/>
              <w:ind w:firstLine="0" w:firstLineChars="0"/>
              <w:rPr>
                <w:rFonts w:hint="eastAsia" w:ascii="方正仿宋_GBK" w:hAnsi="宋体" w:eastAsia="方正仿宋_GBK" w:cs="宋体"/>
                <w:kern w:val="0"/>
                <w:szCs w:val="21"/>
              </w:rPr>
            </w:pPr>
          </w:p>
        </w:tc>
        <w:tc>
          <w:tcPr>
            <w:tcW w:w="572" w:type="dxa"/>
            <w:noWrap w:val="0"/>
            <w:vAlign w:val="center"/>
          </w:tcPr>
          <w:p>
            <w:pPr>
              <w:widowControl/>
              <w:spacing w:line="28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县公安局</w:t>
            </w:r>
          </w:p>
        </w:tc>
        <w:tc>
          <w:tcPr>
            <w:tcW w:w="537" w:type="dxa"/>
            <w:noWrap w:val="0"/>
            <w:tcMar>
              <w:top w:w="0" w:type="dxa"/>
              <w:left w:w="28" w:type="dxa"/>
              <w:bottom w:w="0" w:type="dxa"/>
              <w:right w:w="28"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w:t>
            </w:r>
          </w:p>
        </w:tc>
        <w:tc>
          <w:tcPr>
            <w:tcW w:w="4063" w:type="dxa"/>
            <w:noWrap w:val="0"/>
            <w:tcMar>
              <w:top w:w="0" w:type="dxa"/>
              <w:left w:w="17" w:type="dxa"/>
              <w:bottom w:w="0" w:type="dxa"/>
              <w:right w:w="17"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许可后，公安机关和有关部门要通过以下措施加强监管：1.地方金融监管部门应当将办理“设立典当行及分支机构审批”（含设立、变更、注销）的信息在作出审批决定后5个工作日内推送至公安机关，公安机关据此将典当行及分支机构纳入监管范围，依法实施监管。2.通过“双随机、一公开”监管等方式，加强对典当行的治安管理，及时化解风险隐患，发现违法犯罪活动要依法查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2511" w:hRule="atLeast"/>
          <w:jc w:val="center"/>
        </w:trPr>
        <w:tc>
          <w:tcPr>
            <w:tcW w:w="669" w:type="dxa"/>
            <w:noWrap w:val="0"/>
            <w:tcMar>
              <w:top w:w="0" w:type="dxa"/>
              <w:left w:w="0" w:type="dxa"/>
              <w:bottom w:w="0" w:type="dxa"/>
              <w:right w:w="0" w:type="dxa"/>
            </w:tcMar>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600" w:type="dxa"/>
            <w:noWrap w:val="0"/>
            <w:tcMar>
              <w:left w:w="28" w:type="dxa"/>
              <w:right w:w="28" w:type="dxa"/>
            </w:tcMar>
            <w:vAlign w:val="center"/>
          </w:tcPr>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乡村兽医登记许可</w:t>
            </w:r>
          </w:p>
        </w:tc>
        <w:tc>
          <w:tcPr>
            <w:tcW w:w="2009" w:type="dxa"/>
            <w:noWrap w:val="0"/>
            <w:tcMar>
              <w:left w:w="0" w:type="dxa"/>
              <w:right w:w="0" w:type="dxa"/>
            </w:tcMar>
            <w:vAlign w:val="center"/>
          </w:tcPr>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《中华人民共和国动物防疫法》《乡村兽医管理办法》（原农业</w:t>
            </w:r>
            <w:r>
              <w:rPr>
                <w:rFonts w:hint="eastAsia" w:ascii="方正仿宋_GBK" w:hAnsi="宋体" w:eastAsia="方正仿宋_GBK" w:cs="宋体"/>
                <w:kern w:val="0"/>
                <w:szCs w:val="21"/>
                <w:lang w:eastAsia="zh-CN"/>
              </w:rPr>
              <w:t>农村</w:t>
            </w:r>
            <w:r>
              <w:rPr>
                <w:rFonts w:hint="eastAsia" w:ascii="方正仿宋_GBK" w:hAnsi="宋体" w:eastAsia="方正仿宋_GBK" w:cs="宋体"/>
                <w:kern w:val="0"/>
                <w:szCs w:val="21"/>
              </w:rPr>
              <w:t>部令17号）</w:t>
            </w:r>
          </w:p>
        </w:tc>
        <w:tc>
          <w:tcPr>
            <w:tcW w:w="572" w:type="dxa"/>
            <w:noWrap w:val="0"/>
            <w:vAlign w:val="center"/>
          </w:tcPr>
          <w:p>
            <w:pPr>
              <w:widowControl/>
              <w:spacing w:line="28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县农业农村委</w:t>
            </w:r>
          </w:p>
        </w:tc>
        <w:tc>
          <w:tcPr>
            <w:tcW w:w="537" w:type="dxa"/>
            <w:noWrap w:val="0"/>
            <w:tcMar>
              <w:top w:w="0" w:type="dxa"/>
              <w:left w:w="28" w:type="dxa"/>
              <w:bottom w:w="0" w:type="dxa"/>
              <w:right w:w="28"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w:t>
            </w:r>
          </w:p>
        </w:tc>
        <w:tc>
          <w:tcPr>
            <w:tcW w:w="4063" w:type="dxa"/>
            <w:noWrap w:val="0"/>
            <w:tcMar>
              <w:top w:w="0" w:type="dxa"/>
              <w:left w:w="17" w:type="dxa"/>
              <w:bottom w:w="0" w:type="dxa"/>
              <w:right w:w="17"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取消许可，改为备案。农业农村（兽医）部门要通过以下措施加强监管：1.建立健全乡村兽医服务人员备案制度，对不按要求备案的要依法设定并追究法律责任。要向社会公开备案情况，方便</w:t>
            </w:r>
            <w:r>
              <w:rPr>
                <w:rFonts w:hint="eastAsia" w:ascii="方正仿宋_GBK" w:hAnsi="宋体" w:eastAsia="方正仿宋_GBK" w:cs="宋体"/>
                <w:kern w:val="0"/>
                <w:sz w:val="21"/>
                <w:szCs w:val="21"/>
                <w:lang w:eastAsia="zh-CN"/>
              </w:rPr>
              <w:t>查</w:t>
            </w:r>
            <w:r>
              <w:rPr>
                <w:rFonts w:hint="eastAsia" w:ascii="方正仿宋_GBK" w:hAnsi="宋体" w:eastAsia="方正仿宋_GBK" w:cs="宋体"/>
                <w:kern w:val="0"/>
                <w:sz w:val="21"/>
                <w:szCs w:val="21"/>
              </w:rPr>
              <w:t>询、就医，并发挥社会监督作用。2.开展“双随机、一公开”监管，</w:t>
            </w:r>
          </w:p>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畅通投诉举报渠道，发现违法违规行为要依法查处并向社会公开结果。3.依法实施信用监管，如实记录违法失信行为，实施差异化监管等措施。</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3490" w:hRule="atLeast"/>
          <w:jc w:val="center"/>
        </w:trPr>
        <w:tc>
          <w:tcPr>
            <w:tcW w:w="669" w:type="dxa"/>
            <w:noWrap w:val="0"/>
            <w:tcMar>
              <w:top w:w="0" w:type="dxa"/>
              <w:left w:w="0" w:type="dxa"/>
              <w:bottom w:w="0" w:type="dxa"/>
              <w:right w:w="0" w:type="dxa"/>
            </w:tcMar>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600" w:type="dxa"/>
            <w:noWrap w:val="0"/>
            <w:tcMar>
              <w:left w:w="28" w:type="dxa"/>
              <w:right w:w="28" w:type="dxa"/>
            </w:tcMar>
            <w:vAlign w:val="center"/>
          </w:tcPr>
          <w:p>
            <w:pPr>
              <w:pStyle w:val="16"/>
              <w:spacing w:line="280" w:lineRule="exact"/>
              <w:ind w:firstLine="0" w:firstLineChars="0"/>
              <w:rPr>
                <w:rFonts w:ascii="方正仿宋_GBK" w:hAnsi="宋体" w:eastAsia="方正仿宋_GBK" w:cs="宋体"/>
                <w:kern w:val="0"/>
                <w:szCs w:val="21"/>
              </w:rPr>
            </w:pPr>
            <w:r>
              <w:rPr>
                <w:rFonts w:hint="eastAsia" w:ascii="方正仿宋_GBK" w:hAnsi="宋体" w:eastAsia="方正仿宋_GBK" w:cs="宋体"/>
                <w:kern w:val="0"/>
                <w:szCs w:val="21"/>
              </w:rPr>
              <w:t>部分医疗机构（除三级医院、三级妇幼保健院、急救中心、急救站、临床检验中心、中外合资合作医疗机构、港澳台独资医疗机构外）《设置医疗机构批准书》核发</w:t>
            </w:r>
          </w:p>
        </w:tc>
        <w:tc>
          <w:tcPr>
            <w:tcW w:w="2009" w:type="dxa"/>
            <w:noWrap w:val="0"/>
            <w:tcMar>
              <w:left w:w="0" w:type="dxa"/>
              <w:right w:w="0" w:type="dxa"/>
            </w:tcMar>
            <w:vAlign w:val="center"/>
          </w:tcPr>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《医疗机构管理条例》</w:t>
            </w:r>
          </w:p>
        </w:tc>
        <w:tc>
          <w:tcPr>
            <w:tcW w:w="572" w:type="dxa"/>
            <w:noWrap w:val="0"/>
            <w:vAlign w:val="center"/>
          </w:tcPr>
          <w:p>
            <w:pPr>
              <w:widowControl/>
              <w:spacing w:line="28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县卫生健康委</w:t>
            </w:r>
          </w:p>
        </w:tc>
        <w:tc>
          <w:tcPr>
            <w:tcW w:w="537" w:type="dxa"/>
            <w:noWrap w:val="0"/>
            <w:tcMar>
              <w:top w:w="0" w:type="dxa"/>
              <w:left w:w="28" w:type="dxa"/>
              <w:bottom w:w="0" w:type="dxa"/>
              <w:right w:w="28"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w:t>
            </w:r>
          </w:p>
        </w:tc>
        <w:tc>
          <w:tcPr>
            <w:tcW w:w="4063" w:type="dxa"/>
            <w:noWrap w:val="0"/>
            <w:tcMar>
              <w:top w:w="0" w:type="dxa"/>
              <w:left w:w="17" w:type="dxa"/>
              <w:bottom w:w="0" w:type="dxa"/>
              <w:right w:w="17"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取消许可后，卫生健康部门要通过以下</w:t>
            </w:r>
            <w:r>
              <w:rPr>
                <w:rFonts w:hint="eastAsia" w:ascii="方正仿宋_GBK" w:hAnsi="宋体" w:eastAsia="方正仿宋_GBK" w:cs="宋体"/>
                <w:kern w:val="0"/>
                <w:sz w:val="21"/>
                <w:szCs w:val="21"/>
                <w:lang w:eastAsia="zh-CN"/>
              </w:rPr>
              <w:t>措</w:t>
            </w:r>
            <w:r>
              <w:rPr>
                <w:rFonts w:hint="eastAsia" w:ascii="方正仿宋_GBK" w:hAnsi="宋体" w:eastAsia="方正仿宋_GBK" w:cs="宋体"/>
                <w:kern w:val="0"/>
                <w:sz w:val="21"/>
                <w:szCs w:val="21"/>
              </w:rPr>
              <w:t>施加强监管：1.完善医疗机构设置规划方式，对社会办医疗机构实行指导性规划。加强对社会资本投资医疗机构的服务，同时注意防止以服务之名行审批之实。2.严格实施“医疗机构执业登记”,并将审批结果向社会公开。3.开展“双随机、一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3687" w:hRule="atLeast"/>
          <w:jc w:val="center"/>
        </w:trPr>
        <w:tc>
          <w:tcPr>
            <w:tcW w:w="669" w:type="dxa"/>
            <w:noWrap w:val="0"/>
            <w:tcMar>
              <w:top w:w="0" w:type="dxa"/>
              <w:left w:w="0" w:type="dxa"/>
              <w:bottom w:w="0" w:type="dxa"/>
              <w:right w:w="0" w:type="dxa"/>
            </w:tcMar>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600" w:type="dxa"/>
            <w:noWrap w:val="0"/>
            <w:tcMar>
              <w:left w:w="28" w:type="dxa"/>
              <w:right w:w="28" w:type="dxa"/>
            </w:tcMar>
            <w:vAlign w:val="center"/>
          </w:tcPr>
          <w:p>
            <w:pPr>
              <w:pStyle w:val="16"/>
              <w:spacing w:line="280" w:lineRule="exact"/>
              <w:ind w:firstLine="0" w:firstLineChars="0"/>
              <w:jc w:val="center"/>
              <w:rPr>
                <w:rFonts w:hint="eastAsia" w:ascii="方正仿宋_GBK" w:hAnsi="宋体" w:eastAsia="方正仿宋_GBK" w:cs="宋体"/>
                <w:kern w:val="0"/>
                <w:szCs w:val="21"/>
              </w:rPr>
            </w:pPr>
          </w:p>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职业卫生技术服务机构丙级资质认可</w:t>
            </w:r>
          </w:p>
        </w:tc>
        <w:tc>
          <w:tcPr>
            <w:tcW w:w="2009" w:type="dxa"/>
            <w:noWrap w:val="0"/>
            <w:tcMar>
              <w:left w:w="0" w:type="dxa"/>
              <w:right w:w="0" w:type="dxa"/>
            </w:tcMar>
            <w:vAlign w:val="center"/>
          </w:tcPr>
          <w:p>
            <w:pPr>
              <w:pStyle w:val="16"/>
              <w:spacing w:line="280" w:lineRule="exact"/>
              <w:ind w:firstLine="0" w:firstLineChars="0"/>
              <w:rPr>
                <w:rFonts w:hint="eastAsia" w:ascii="方正仿宋_GBK" w:hAnsi="宋体" w:eastAsia="方正仿宋_GBK" w:cs="宋体"/>
                <w:kern w:val="0"/>
                <w:szCs w:val="21"/>
              </w:rPr>
            </w:pPr>
          </w:p>
          <w:p>
            <w:pPr>
              <w:pStyle w:val="16"/>
              <w:spacing w:line="280" w:lineRule="exact"/>
              <w:ind w:firstLine="0" w:firstLineChars="0"/>
              <w:rPr>
                <w:rFonts w:hint="eastAsia" w:ascii="方正仿宋_GBK" w:hAnsi="宋体" w:eastAsia="方正仿宋_GBK" w:cs="宋体"/>
                <w:kern w:val="0"/>
                <w:szCs w:val="21"/>
              </w:rPr>
            </w:pPr>
            <w:r>
              <w:rPr>
                <w:rFonts w:hint="eastAsia" w:ascii="方正仿宋_GBK" w:hAnsi="宋体" w:eastAsia="方正仿宋_GBK" w:cs="宋体"/>
                <w:kern w:val="0"/>
                <w:szCs w:val="21"/>
              </w:rPr>
              <w:t>《中华人民共和国职业病防治法》《职业卫生技术服务机构监督管理暂行办法》（原国家安全监管总局令第50号）</w:t>
            </w:r>
          </w:p>
          <w:p>
            <w:pPr>
              <w:pStyle w:val="16"/>
              <w:spacing w:line="280" w:lineRule="exact"/>
              <w:ind w:firstLine="0" w:firstLineChars="0"/>
              <w:rPr>
                <w:rFonts w:hint="eastAsia" w:ascii="方正仿宋_GBK" w:hAnsi="宋体" w:eastAsia="方正仿宋_GBK" w:cs="宋体"/>
                <w:kern w:val="0"/>
                <w:szCs w:val="21"/>
              </w:rPr>
            </w:pPr>
          </w:p>
        </w:tc>
        <w:tc>
          <w:tcPr>
            <w:tcW w:w="572" w:type="dxa"/>
            <w:noWrap w:val="0"/>
            <w:vAlign w:val="center"/>
          </w:tcPr>
          <w:p>
            <w:pPr>
              <w:widowControl/>
              <w:spacing w:line="28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县卫生健康委</w:t>
            </w:r>
          </w:p>
        </w:tc>
        <w:tc>
          <w:tcPr>
            <w:tcW w:w="537" w:type="dxa"/>
            <w:noWrap w:val="0"/>
            <w:tcMar>
              <w:top w:w="0" w:type="dxa"/>
              <w:left w:w="28" w:type="dxa"/>
              <w:bottom w:w="0" w:type="dxa"/>
              <w:right w:w="28" w:type="dxa"/>
            </w:tcMar>
            <w:vAlign w:val="center"/>
          </w:tcPr>
          <w:p>
            <w:pPr>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w:t>
            </w:r>
          </w:p>
        </w:tc>
        <w:tc>
          <w:tcPr>
            <w:tcW w:w="4063" w:type="dxa"/>
            <w:noWrap w:val="0"/>
            <w:tcMar>
              <w:top w:w="0" w:type="dxa"/>
              <w:left w:w="17" w:type="dxa"/>
              <w:bottom w:w="0" w:type="dxa"/>
              <w:right w:w="17" w:type="dxa"/>
            </w:tcMar>
            <w:vAlign w:val="center"/>
          </w:tcPr>
          <w:p>
            <w:pPr>
              <w:widowControl/>
              <w:spacing w:line="28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取消许可，整合至“职业卫生技术服务机构乙级资质认可”。卫生健康部门要通过以下措施加强监管：1.适当降低职业卫生技术服务机构乙级资质条件要求，完善职业卫生技术服务标准。引导现有职业卫生技术服务丙级机构换领新的乙级资质证书，拓宽业务范围和业务地域范围。2.开展”双随机、一公开”监管，畅通投诉举报渠道。发现违法违规行为要依法查处并向社会公开结果。3.对存在职业病危害因素的企业，依法开展职业病危害因素监督检查。发现职业卫生技术服务机构出具虚假报告的，依法追究法律责任。4.依法实施信用监管，如实记录违法失信行为，实施差异化监管等措施。</w:t>
            </w:r>
          </w:p>
        </w:tc>
      </w:tr>
    </w:tbl>
    <w:p>
      <w:pPr>
        <w:snapToGrid w:val="0"/>
        <w:spacing w:line="540" w:lineRule="exact"/>
        <w:jc w:val="both"/>
        <w:rPr>
          <w:rFonts w:hint="eastAsia" w:ascii="方正小标宋简体" w:hAnsi="Times New Roman" w:eastAsia="方正小标宋简体" w:cs="Times New Roman"/>
          <w:sz w:val="44"/>
          <w:szCs w:val="44"/>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bookmarkStart w:id="0" w:name="_GoBack"/>
      <w:bookmarkEnd w:id="0"/>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p>
    <w:p>
      <w:pPr>
        <w:shd w:val="clear" w:color="auto" w:fill="FFFFFF"/>
        <w:adjustRightInd w:val="0"/>
        <w:snapToGrid w:val="0"/>
        <w:spacing w:line="580" w:lineRule="exact"/>
        <w:rPr>
          <w:rFonts w:hint="eastAsia" w:ascii="方正黑体_GBK" w:hAnsi="宋体" w:eastAsia="方正黑体_GBK"/>
          <w:kern w:val="0"/>
          <w:szCs w:val="32"/>
        </w:rPr>
      </w:pPr>
      <w:r>
        <w:rPr>
          <w:rFonts w:hint="eastAsia" w:ascii="方正黑体_GBK" w:hAnsi="宋体" w:eastAsia="方正黑体_GBK"/>
          <w:kern w:val="0"/>
          <w:sz w:val="32"/>
          <w:szCs w:val="32"/>
        </w:rPr>
        <w:t>附件2</w:t>
      </w:r>
    </w:p>
    <w:p>
      <w:pPr>
        <w:wordWrap w:val="0"/>
        <w:snapToGrid w:val="0"/>
        <w:ind w:firstLine="880" w:firstLineChars="200"/>
        <w:rPr>
          <w:rFonts w:ascii="方正楷体_GBK" w:eastAsia="方正楷体_GBK"/>
          <w:sz w:val="28"/>
          <w:szCs w:val="28"/>
        </w:rPr>
      </w:pPr>
      <w:r>
        <w:rPr>
          <w:rFonts w:hint="eastAsia" w:ascii="方正小标宋_GBK" w:eastAsia="方正小标宋_GBK"/>
          <w:sz w:val="44"/>
          <w:szCs w:val="44"/>
        </w:rPr>
        <w:t>奉节县2020年行政许可下放事项目录</w:t>
      </w:r>
    </w:p>
    <w:tbl>
      <w:tblPr>
        <w:tblStyle w:val="8"/>
        <w:tblW w:w="9676"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17" w:type="dxa"/>
          <w:left w:w="57" w:type="dxa"/>
          <w:bottom w:w="17" w:type="dxa"/>
          <w:right w:w="57" w:type="dxa"/>
        </w:tblCellMar>
      </w:tblPr>
      <w:tblGrid>
        <w:gridCol w:w="768"/>
        <w:gridCol w:w="989"/>
        <w:gridCol w:w="1190"/>
        <w:gridCol w:w="1023"/>
        <w:gridCol w:w="1112"/>
        <w:gridCol w:w="459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1069" w:hRule="atLeast"/>
          <w:tblHeader/>
          <w:jc w:val="center"/>
        </w:trPr>
        <w:tc>
          <w:tcPr>
            <w:tcW w:w="768" w:type="dxa"/>
            <w:tcBorders>
              <w:top w:val="single" w:color="auto" w:sz="6" w:space="0"/>
            </w:tcBorders>
            <w:noWrap w:val="0"/>
            <w:tcMar>
              <w:top w:w="0" w:type="dxa"/>
              <w:left w:w="0" w:type="dxa"/>
              <w:bottom w:w="0" w:type="dxa"/>
              <w:right w:w="0"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序号</w:t>
            </w:r>
          </w:p>
        </w:tc>
        <w:tc>
          <w:tcPr>
            <w:tcW w:w="989" w:type="dxa"/>
            <w:noWrap w:val="0"/>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项目名称</w:t>
            </w:r>
          </w:p>
        </w:tc>
        <w:tc>
          <w:tcPr>
            <w:tcW w:w="1190" w:type="dxa"/>
            <w:noWrap w:val="0"/>
            <w:vAlign w:val="center"/>
          </w:tcPr>
          <w:p>
            <w:pPr>
              <w:snapToGrid w:val="0"/>
              <w:spacing w:line="280" w:lineRule="exact"/>
              <w:ind w:left="36" w:leftChars="17" w:right="69" w:rightChars="33"/>
              <w:jc w:val="center"/>
              <w:rPr>
                <w:rFonts w:hint="eastAsia" w:ascii="方正黑体_GBK" w:eastAsia="方正黑体_GBK"/>
                <w:sz w:val="21"/>
                <w:szCs w:val="21"/>
              </w:rPr>
            </w:pPr>
            <w:r>
              <w:rPr>
                <w:rFonts w:hint="eastAsia" w:ascii="方正黑体_GBK" w:eastAsia="方正黑体_GBK"/>
                <w:sz w:val="21"/>
                <w:szCs w:val="21"/>
              </w:rPr>
              <w:t>设定依据</w:t>
            </w:r>
          </w:p>
        </w:tc>
        <w:tc>
          <w:tcPr>
            <w:tcW w:w="1023" w:type="dxa"/>
            <w:noWrap w:val="0"/>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现审批</w:t>
            </w:r>
          </w:p>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部门</w:t>
            </w:r>
          </w:p>
        </w:tc>
        <w:tc>
          <w:tcPr>
            <w:tcW w:w="1112" w:type="dxa"/>
            <w:noWrap w:val="0"/>
            <w:tcMar>
              <w:top w:w="0" w:type="dxa"/>
              <w:left w:w="0" w:type="dxa"/>
              <w:bottom w:w="0" w:type="dxa"/>
              <w:right w:w="0"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下放后审批部门</w:t>
            </w:r>
          </w:p>
        </w:tc>
        <w:tc>
          <w:tcPr>
            <w:tcW w:w="4594" w:type="dxa"/>
            <w:noWrap w:val="0"/>
            <w:tcMar>
              <w:left w:w="28" w:type="dxa"/>
              <w:right w:w="28" w:type="dxa"/>
            </w:tcMar>
            <w:vAlign w:val="center"/>
          </w:tcPr>
          <w:p>
            <w:pPr>
              <w:snapToGrid w:val="0"/>
              <w:spacing w:line="280" w:lineRule="exact"/>
              <w:jc w:val="center"/>
              <w:rPr>
                <w:rFonts w:hint="eastAsia" w:ascii="方正黑体_GBK" w:eastAsia="方正黑体_GBK"/>
                <w:sz w:val="21"/>
                <w:szCs w:val="21"/>
              </w:rPr>
            </w:pPr>
            <w:r>
              <w:rPr>
                <w:rFonts w:hint="eastAsia" w:ascii="方正黑体_GBK" w:eastAsia="方正黑体_GBK"/>
                <w:sz w:val="21"/>
                <w:szCs w:val="21"/>
              </w:rPr>
              <w:t>加强事中事后监管措施</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7" w:type="dxa"/>
            <w:left w:w="57" w:type="dxa"/>
            <w:bottom w:w="17" w:type="dxa"/>
            <w:right w:w="57" w:type="dxa"/>
          </w:tblCellMar>
        </w:tblPrEx>
        <w:trPr>
          <w:trHeight w:val="8650" w:hRule="atLeast"/>
          <w:jc w:val="center"/>
        </w:trPr>
        <w:tc>
          <w:tcPr>
            <w:tcW w:w="768" w:type="dxa"/>
            <w:noWrap w:val="0"/>
            <w:tcMar>
              <w:top w:w="0" w:type="dxa"/>
              <w:left w:w="0" w:type="dxa"/>
              <w:bottom w:w="0" w:type="dxa"/>
              <w:right w:w="0" w:type="dxa"/>
            </w:tcMar>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989" w:type="dxa"/>
            <w:noWrap w:val="0"/>
            <w:tcMar>
              <w:left w:w="28" w:type="dxa"/>
              <w:right w:w="28" w:type="dxa"/>
            </w:tcMar>
            <w:vAlign w:val="center"/>
          </w:tcPr>
          <w:p>
            <w:pPr>
              <w:pStyle w:val="16"/>
              <w:spacing w:line="280" w:lineRule="exact"/>
              <w:ind w:firstLine="0" w:firstLineChars="0"/>
              <w:jc w:val="center"/>
              <w:rPr>
                <w:rFonts w:hint="eastAsia" w:ascii="方正仿宋_GBK" w:eastAsia="方正仿宋_GBK"/>
                <w:szCs w:val="21"/>
              </w:rPr>
            </w:pPr>
          </w:p>
          <w:p>
            <w:pPr>
              <w:pStyle w:val="16"/>
              <w:spacing w:line="280" w:lineRule="exact"/>
              <w:ind w:firstLine="0" w:firstLineChars="0"/>
              <w:rPr>
                <w:rFonts w:hint="eastAsia" w:ascii="方正仿宋_GBK" w:eastAsia="方正仿宋_GBK"/>
                <w:szCs w:val="21"/>
              </w:rPr>
            </w:pPr>
            <w:r>
              <w:rPr>
                <w:rFonts w:hint="eastAsia" w:ascii="方正仿宋_GBK" w:eastAsia="方正仿宋_GBK"/>
                <w:szCs w:val="21"/>
              </w:rPr>
              <w:t>成品油零售经营资格审批</w:t>
            </w:r>
          </w:p>
          <w:p>
            <w:pPr>
              <w:pStyle w:val="16"/>
              <w:spacing w:line="280" w:lineRule="exact"/>
              <w:ind w:firstLine="0" w:firstLineChars="0"/>
              <w:jc w:val="center"/>
              <w:rPr>
                <w:rFonts w:ascii="方正仿宋_GBK" w:eastAsia="方正仿宋_GBK"/>
                <w:szCs w:val="21"/>
              </w:rPr>
            </w:pPr>
          </w:p>
        </w:tc>
        <w:tc>
          <w:tcPr>
            <w:tcW w:w="1190" w:type="dxa"/>
            <w:noWrap w:val="0"/>
            <w:tcMar>
              <w:left w:w="0" w:type="dxa"/>
              <w:right w:w="0" w:type="dxa"/>
            </w:tcMar>
            <w:vAlign w:val="center"/>
          </w:tcPr>
          <w:p>
            <w:pPr>
              <w:pStyle w:val="16"/>
              <w:spacing w:line="280" w:lineRule="exact"/>
              <w:ind w:firstLine="0" w:firstLineChars="0"/>
              <w:rPr>
                <w:rFonts w:hint="eastAsia" w:ascii="方正仿宋_GBK" w:hAnsi="宋体" w:eastAsia="方正仿宋_GBK" w:cs="宋体"/>
                <w:kern w:val="0"/>
                <w:szCs w:val="21"/>
              </w:rPr>
            </w:pPr>
          </w:p>
          <w:p>
            <w:pPr>
              <w:pStyle w:val="16"/>
              <w:spacing w:line="280" w:lineRule="exact"/>
              <w:ind w:firstLine="0" w:firstLineChars="0"/>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《国务院对确需保留的行政审批项目设定行政许可的决定》《国务院办公厅关于加快发展流通促进商业消费的意见》</w:t>
            </w:r>
          </w:p>
          <w:p>
            <w:pPr>
              <w:pStyle w:val="16"/>
              <w:spacing w:line="280" w:lineRule="exact"/>
              <w:ind w:firstLine="0" w:firstLineChars="0"/>
              <w:rPr>
                <w:rFonts w:hint="eastAsia" w:ascii="方正仿宋_GBK" w:hAnsi="宋体" w:eastAsia="方正仿宋_GBK" w:cs="宋体"/>
                <w:kern w:val="0"/>
                <w:szCs w:val="21"/>
              </w:rPr>
            </w:pPr>
          </w:p>
        </w:tc>
        <w:tc>
          <w:tcPr>
            <w:tcW w:w="1023" w:type="dxa"/>
            <w:noWrap w:val="0"/>
            <w:vAlign w:val="center"/>
          </w:tcPr>
          <w:p>
            <w:pPr>
              <w:widowControl/>
              <w:spacing w:line="28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市商务委</w:t>
            </w:r>
          </w:p>
        </w:tc>
        <w:tc>
          <w:tcPr>
            <w:tcW w:w="1112" w:type="dxa"/>
            <w:noWrap w:val="0"/>
            <w:tcMar>
              <w:top w:w="0" w:type="dxa"/>
              <w:left w:w="28" w:type="dxa"/>
              <w:bottom w:w="0" w:type="dxa"/>
              <w:right w:w="28" w:type="dxa"/>
            </w:tcMar>
            <w:vAlign w:val="center"/>
          </w:tcPr>
          <w:p>
            <w:pPr>
              <w:spacing w:line="280" w:lineRule="exact"/>
              <w:jc w:val="center"/>
              <w:rPr>
                <w:rFonts w:hint="eastAsia" w:ascii="方正仿宋_GBK" w:eastAsia="方正仿宋_GBK"/>
                <w:sz w:val="21"/>
                <w:szCs w:val="21"/>
              </w:rPr>
            </w:pPr>
            <w:r>
              <w:rPr>
                <w:rFonts w:hint="eastAsia" w:ascii="方正仿宋_GBK" w:eastAsia="方正仿宋_GBK"/>
                <w:sz w:val="21"/>
                <w:szCs w:val="21"/>
              </w:rPr>
              <w:t>县商务委</w:t>
            </w:r>
          </w:p>
        </w:tc>
        <w:tc>
          <w:tcPr>
            <w:tcW w:w="4594" w:type="dxa"/>
            <w:noWrap w:val="0"/>
            <w:tcMar>
              <w:top w:w="0" w:type="dxa"/>
              <w:left w:w="17" w:type="dxa"/>
              <w:bottom w:w="0" w:type="dxa"/>
              <w:right w:w="17" w:type="dxa"/>
            </w:tcMar>
            <w:vAlign w:val="center"/>
          </w:tcPr>
          <w:p>
            <w:pPr>
              <w:widowControl/>
              <w:spacing w:line="280" w:lineRule="exact"/>
              <w:rPr>
                <w:rFonts w:ascii="方正仿宋_GBK" w:eastAsia="方正仿宋_GBK"/>
                <w:sz w:val="21"/>
                <w:szCs w:val="21"/>
              </w:rPr>
            </w:pPr>
            <w:r>
              <w:rPr>
                <w:rFonts w:hint="eastAsia" w:ascii="方正仿宋_GBK" w:eastAsia="方正仿宋_GBK"/>
                <w:sz w:val="21"/>
                <w:szCs w:val="21"/>
              </w:rPr>
              <w:t>下放后，商务部门要会同有关部门通过以下加强监管：1.商务部门严格落实成品油流通行业监管职责，要求成品油零售企业建立购销台账制度，完善油品来源、检验报告、检査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2.区县政府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3.相关部门严格落实专项监管职责。从事成品油零售经营活动的企业必须符合自然资源、规划、建设、质量计量、环保、安全生产、消防、治安反恐、商务、税务、交通运输、气象等方面法律法规和标准要求，依法依规开展经营。公安、规划自然资源、生态环境、住房城乡建设、交通运输、商务、应急管理、税务、市场监管、能源等部门按职责依法依规加强监管，承担安全生产监管责任的部门切实履行监管责任、守牢安全底线。4.加强成品油零售行业监管信息共享运用。市场监管部门要及时将新登记经营范围涉及成品油零售的企业信息送至有关主管部门。商务部门要将改革前已取得相应许可的成品油零售企业信息推送至有关主管部门。指定部门要将行业监管中发现的超经营范围经营企业信息或者无照经营信息及时推送至有关主管部门。有关行业主管部门要充分运用共享的监管信息，有针对性地加强监管执法。</w:t>
            </w:r>
          </w:p>
        </w:tc>
      </w:tr>
    </w:tbl>
    <w:p>
      <w:pPr>
        <w:spacing w:line="600" w:lineRule="exact"/>
        <w:jc w:val="both"/>
        <w:rPr>
          <w:rFonts w:ascii="方正仿宋_GBK" w:hAnsi="仿宋_GB2312" w:eastAsia="方正仿宋_GBK" w:cs="仿宋_GB2312"/>
          <w:sz w:val="32"/>
          <w:szCs w:val="32"/>
        </w:rPr>
      </w:pPr>
    </w:p>
    <w:sectPr>
      <w:headerReference r:id="rId8" w:type="default"/>
      <w:footerReference r:id="rId9"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361950</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8.5pt;height:0.15pt;width:442.25pt;z-index:251663360;mso-width-relative:page;mso-height-relative:page;" filled="f" stroked="t" coordsize="21600,21600" o:gfxdata="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qEBWcWDN343afv&#10;Pz9+uf/xmda7b18ZRUimwWNF2dd2F6Yd+l1InI9tMOlPbNgxS3s6SyuPkQlyLlfz1fLlkjNBsfll&#10;uUyQxUOtDxhfSWdYMmqulU3EoYLDa4xj6u+U5LbuRmlNfqi0ZUPNF/QldKCJbGkSyDSeWKHtOAPd&#10;0aiLGDIkOq2aVJ6qMXT7ax3YAdKAlMv5ZSZLnf2Vls7eAvZjXg6No2NUpNeglan5RZm+iZe2RC9J&#10;NoqUrL1rTlm77Kf7zAJMs5cG5s99rn54b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lfKZdQA&#10;AAAHAQAADwAAAAAAAAABACAAAAAiAAAAZHJzL2Rvd25yZXYueG1sUEsBAhQAFAAAAAgAh07iQLAc&#10;yI7qAQAAtwMAAA4AAAAAAAAAAQAgAAAAIwEAAGRycy9lMm9Eb2MueG1sUEsFBgAAAAAGAAYAWQEA&#10;AH8FAAAAAA==&#10;">
              <v:fill on="f" focussize="0,0"/>
              <v:stroke weight="1.75pt" color="#005192 [3204]" miterlimit="8" joinstyle="miter"/>
              <v:imagedata o:title=""/>
              <o:lock v:ext="edit" aspectratio="f"/>
            </v:line>
          </w:pict>
        </mc:Fallback>
      </mc:AlternateContent>
    </w:r>
    <w:r>
      <w:rPr>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- 1 -</w:t>
    </w:r>
    <w:r>
      <w:rPr>
        <w:rFonts w:ascii="宋体" w:hAnsi="宋体"/>
        <w:kern w:val="0"/>
        <w:sz w:val="28"/>
      </w:rPr>
      <w:fldChar w:fldCharType="end"/>
    </w:r>
    <w:r>
      <w:rPr>
        <w:sz w:val="32"/>
      </w:rPr>
      <mc:AlternateContent>
        <mc:Choice Requires="wps">
          <w:drawing>
            <wp:anchor distT="0" distB="0" distL="114300" distR="114300" simplePos="0" relativeHeight="251664384" behindDoc="0" locked="0" layoutInCell="1" allowOverlap="1">
              <wp:simplePos x="0" y="0"/>
              <wp:positionH relativeFrom="margin">
                <wp:posOffset>5165725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75pt;margin-top:0pt;height:144pt;width:144pt;mso-position-horizontal-relative:margin;mso-wrap-style:none;z-index:251664384;mso-width-relative:page;mso-height-relative:page;" filled="f" stroked="f" coordsize="21600,21600" o:gfxdata="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GrkiCS6YqMV2n3b&#10;M9ub4gxiznSz4S3f1Ei+ZT48MIdhQMF4LuEeSykNkpjeoqQy7su/zmM8egQvJQ2GK6cab4kS+V6j&#10;dwAMg+EGYz8Y+qjuDKYV7UAtycQFF+Rgls6oz3hDq5gDLqY5MuU0DOZd6AYcb5CL1SoFYdosC1u9&#10;szxCR/G8XR0DBEy6RlE6JXqtMG+pM/3biAP95z5FPf4P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IDeitUAAAAJAQAADwAAAAAAAAABACAAAAAiAAAAZHJzL2Rvd25yZXYueG1sUEsBAhQAFAAA&#10;AAgAh07iQGKQhEwrAgAAVw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jc w:val="right"/>
      <w:rPr>
        <w:rFonts w:ascii="宋体" w:hAnsi="宋体"/>
      </w:rPr>
    </w:pP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right="360"/>
      <w:rPr>
        <w:rFonts w:ascii="宋体" w:hAnsi="宋体"/>
        <w:sz w:val="28"/>
      </w:rPr>
    </w:pPr>
    <w:r>
      <w:rPr>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- 2 -</w:t>
    </w:r>
    <w:r>
      <w:rPr>
        <w:rFonts w:ascii="宋体" w:hAnsi="宋体"/>
        <w:kern w:val="0"/>
        <w:sz w:val="28"/>
      </w:rPr>
      <w:fldChar w:fldCharType="end"/>
    </w:r>
    <w:r>
      <w:rPr>
        <w:rFonts w:ascii="宋体" w:hAnsi="宋体"/>
        <w:kern w:val="0"/>
        <w:sz w:val="28"/>
      </w:rPr>
      <w:t xml:space="preserve"> </w:t>
    </w:r>
  </w:p>
  <w:p>
    <w:pPr>
      <w:pStyle w:val="5"/>
      <w:framePr w:wrap="around" w:vAnchor="text" w:hAnchor="margin" w:xAlign="center" w:y="1"/>
      <w:rPr>
        <w:rStyle w:val="11"/>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3 -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9N1vO8gEAAL0DAAAOAAAAZHJzL2Uyb0RvYy54bWytU02O0zAU&#10;3iNxB8t7mjSd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TU0Iv5YrFeorznhq5XF+vnk8biFAnH&#10;/HJVlVhACceCnCvuMXyA+FI4Q1LQUK1sos9qdnwFEfti6e+StGzdtdI6X6G2ZGhohV+CZuhLiX7A&#10;0HjkBrajhOkODc9jyJDgtGrT9gQEoTtc6UCOLNmkXM5fVIk0tvurLPXeMejHupwaDWRUxDehlUHO&#10;Zfqm3doiSJJuFCtFB9ees4Z5HW81t5kcmGzz5zzvvn91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Tdbz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9DF727"/>
    <w:rsid w:val="1B2F4AEE"/>
    <w:rsid w:val="1CF734C9"/>
    <w:rsid w:val="1DEC284C"/>
    <w:rsid w:val="1E6523AC"/>
    <w:rsid w:val="1F1009DD"/>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B75DC0A"/>
    <w:rsid w:val="7C9011D9"/>
    <w:rsid w:val="7DC651C5"/>
    <w:rsid w:val="7DF350ED"/>
    <w:rsid w:val="7F9DA0E8"/>
    <w:rsid w:val="7FCC2834"/>
    <w:rsid w:val="7FF6A4EF"/>
    <w:rsid w:val="92DD1CEF"/>
    <w:rsid w:val="BE7C7793"/>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
    <w:name w:val="Char Char1 Char Char1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styleId="16">
    <w:name w:val="List Paragraph"/>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5</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2023-10-26T02:56:18Z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FAD1AF56742140CEABC88A411519CB19_13</vt:lpwstr>
  </property>
</Properties>
</file>