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2021年辽宁省对口援助资金项目支出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jc w:val="both"/>
        <w:rPr>
          <w:rFonts w:hint="eastAsia" w:ascii="方正仿宋_GBK" w:hAnsi="宋体" w:eastAsia="方正仿宋_GBK" w:cs="宋体"/>
          <w:b/>
          <w:sz w:val="44"/>
          <w:szCs w:val="44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宋体" w:eastAsia="方正仿宋_GBK" w:cs="宋体"/>
          <w:b w:val="0"/>
          <w:bCs/>
          <w:sz w:val="32"/>
          <w:szCs w:val="32"/>
        </w:rPr>
        <w:t>2021年辽宁省对口援助资金项目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〔2021〕188号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奉节财农[202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]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188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470.74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此笔资金主要用于在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百草园药材园水池建设1口500立方米，管网1000米（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型号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中32），主沟渠整治长400米、宽2米，支沟渠整治长500米、宽1米，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修建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生产便道长800米，宽1米，公侧1座。五坝村中药材加工厂提档升级，扩建库房一栋160平方米、新建烤房两间60平方米。石罐村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米沟渠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油化石罐村产业路长690米，宽4米；九里社区产业路：长280米，宽9米；硬化人行便道1500米。西槽村中药基地水源地提高8米，管网1000米（管径63）,3000米（管径40）。受益群众认可度达到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%以上。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2021年12月该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2021年12月底该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，执行率只占资金总量的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40.36%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属于乡村振兴衔接资金严格按照专项财政资金的管路办法进行管理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，不挤占挪用，及时公示公开资助对象。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实际使用资金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470.74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万元，财政补助资金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470.74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万元，其中现已拨付到位资金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0万元，百草园药材园水池建设1口500立方米，管网1000米（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型号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中32），主沟渠整治长400米、宽2米，支沟渠整治长500米、宽1米，生产便道长800米，宽1米，公侧1座。五坝村中药材加工厂提档升级，扩建库房一栋160平方米、新建烤房两间60平方米。石罐村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米沟渠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油化石罐村产业路长690米，宽4米；九里社区产业路：长280米，宽9米；硬化人行便道1500米。西槽村中药基地水源地提高8米，管网1000米（管径63）,3000米（管径40）。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该项目实施后，辖区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受益群众认可度达到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建设1口500立方米，管网1000米（中32），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整治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主沟渠整治长400米、宽2米，支沟渠整治长500米、宽1米，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新修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生产便道长800米，宽1米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；新建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公侧1座。五坝村中药材加工厂提档升级，扩建库房一栋160平方米、新建烤房两间60平方米。石罐村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米沟渠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油化石罐村产业路长690米，宽4米；九里社区产业路：长280米，宽9米；硬化人行便道1500米。西槽村中药基地水源地提高8米，管网1000米（管径63）,3000米（管径40）。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基础设施建设质量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按照相关质量要求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达标率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基础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设施建设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实施进度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按期完成率100%。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指标：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产业项目完工后带动受益对象增收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92%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（2）经济效益指标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带动受益户户均增收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3000元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）可持续影响指标，基础设施持续使用年限≥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年。</w:t>
      </w:r>
    </w:p>
    <w:p>
      <w:pPr>
        <w:spacing w:line="600" w:lineRule="exact"/>
        <w:ind w:firstLine="640" w:firstLineChars="200"/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3.满意度指标完成情况分析，受益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群众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认可度达到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通过认真开展单位项目支出绩效目标自评，综合评分93.8分，评价结果为优。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因截止2021年12月底该项目资金只到位190万元，执行率为40%，得分偏少，加之项目施工需要损伤土地，导致极少部分群众心中不满。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bCs/>
          <w:sz w:val="36"/>
          <w:szCs w:val="36"/>
        </w:rPr>
        <w:t>五、其他需要说明的问题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无其它需要说明的情况。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3NjRmOWZmYWViYTFjNzMxMDczNzU3ZTExNDM0N2EifQ=="/>
  </w:docVars>
  <w:rsids>
    <w:rsidRoot w:val="153B507A"/>
    <w:rsid w:val="153B507A"/>
    <w:rsid w:val="29114456"/>
    <w:rsid w:val="62EC5445"/>
    <w:rsid w:val="6AC8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1250</Words>
  <Characters>1436</Characters>
  <Lines>0</Lines>
  <Paragraphs>0</Paragraphs>
  <TotalTime>21</TotalTime>
  <ScaleCrop>false</ScaleCrop>
  <LinksUpToDate>false</LinksUpToDate>
  <CharactersWithSpaces>1436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2022-05-10T03:44:00Z</dcterms:created>
  <dc:creator>Administrator</dc:creator>
  <cp:lastModifiedBy>Administrator</cp:lastModifiedBy>
  <dcterms:modified xsi:type="dcterms:W3CDTF">2022-05-25T02:05:15Z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A363B437CA204BE0AAD1D301A54F3020</vt:lpwstr>
  </property>
</Properties>
</file>