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shd w:val="clear" w:fill="FFFFFF"/>
        </w:rPr>
        <w:t>奉节县养老服务投资指南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i w:val="0"/>
          <w:iCs w:val="0"/>
          <w:caps w:val="0"/>
          <w:color w:val="333333"/>
          <w:spacing w:val="0"/>
          <w:sz w:val="32"/>
          <w:szCs w:val="32"/>
          <w:shd w:val="clear" w:fill="FFFFFF"/>
        </w:rPr>
        <w:t>一、区位优势简介（生态环境、产业发展）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奉节是个好地方，好山好水好风光，有诗有橙有远方。奉节，古称夔州，今誉诗城，于公元前314年建县。唐贞观23年，为旌表诸葛亮“临大节而不可夺”的品质，改名奉节。全县幅员面积4098平方公里，辖33个乡镇（街道），总人口107万。</w:t>
      </w:r>
      <w:r>
        <w:rPr>
          <w:rStyle w:val="5"/>
          <w:rFonts w:hint="eastAsia" w:ascii="方正仿宋_GBK" w:hAnsi="方正仿宋_GBK" w:eastAsia="方正仿宋_GBK" w:cs="方正仿宋_GBK"/>
          <w:i w:val="0"/>
          <w:iCs w:val="0"/>
          <w:caps w:val="0"/>
          <w:color w:val="333333"/>
          <w:spacing w:val="0"/>
          <w:sz w:val="32"/>
          <w:szCs w:val="32"/>
          <w:shd w:val="clear" w:fill="FFFFFF"/>
        </w:rPr>
        <w:t>奉节好在“山”清。</w:t>
      </w:r>
      <w:r>
        <w:rPr>
          <w:rFonts w:hint="eastAsia" w:ascii="方正仿宋_GBK" w:hAnsi="方正仿宋_GBK" w:eastAsia="方正仿宋_GBK" w:cs="方正仿宋_GBK"/>
          <w:i w:val="0"/>
          <w:iCs w:val="0"/>
          <w:caps w:val="0"/>
          <w:color w:val="333333"/>
          <w:spacing w:val="0"/>
          <w:sz w:val="32"/>
          <w:szCs w:val="32"/>
          <w:shd w:val="clear" w:fill="FFFFFF"/>
        </w:rPr>
        <w:t>便将万管玲珑笔，难写瞿塘两岸山。奉节的山集雄、奇、险、峻为一体，三峡之巅奇伟壮阔，瞿塘峡名冠九州，白帝城驰名中外，天坑地缝举世无双，三峡原乡意韵深远，杜甫盛赞“赤甲白盐俱刺天，闾阎缭绕接山巅。”</w:t>
      </w:r>
      <w:r>
        <w:rPr>
          <w:rStyle w:val="5"/>
          <w:rFonts w:hint="eastAsia" w:ascii="方正仿宋_GBK" w:hAnsi="方正仿宋_GBK" w:eastAsia="方正仿宋_GBK" w:cs="方正仿宋_GBK"/>
          <w:i w:val="0"/>
          <w:iCs w:val="0"/>
          <w:caps w:val="0"/>
          <w:color w:val="333333"/>
          <w:spacing w:val="0"/>
          <w:sz w:val="32"/>
          <w:szCs w:val="32"/>
          <w:shd w:val="clear" w:fill="FFFFFF"/>
        </w:rPr>
        <w:t>奉节好在“水”秀。</w:t>
      </w:r>
      <w:r>
        <w:rPr>
          <w:rFonts w:hint="eastAsia" w:ascii="方正仿宋_GBK" w:hAnsi="方正仿宋_GBK" w:eastAsia="方正仿宋_GBK" w:cs="方正仿宋_GBK"/>
          <w:i w:val="0"/>
          <w:iCs w:val="0"/>
          <w:caps w:val="0"/>
          <w:color w:val="333333"/>
          <w:spacing w:val="0"/>
          <w:sz w:val="32"/>
          <w:szCs w:val="32"/>
          <w:shd w:val="clear" w:fill="FFFFFF"/>
        </w:rPr>
        <w:t>有“无边落木萧萧下，不尽长江滚滚来”的盛大，有“杨柳青青江水平，闻郎江上唱歌声”的婉约，有“众水会涪万，瞿塘争一门”的激荡。境内“一江五河二十二溪”因势而动，与山、石、瀑、洞、林合而为一。</w:t>
      </w:r>
      <w:r>
        <w:rPr>
          <w:rStyle w:val="5"/>
          <w:rFonts w:hint="eastAsia" w:ascii="方正仿宋_GBK" w:hAnsi="方正仿宋_GBK" w:eastAsia="方正仿宋_GBK" w:cs="方正仿宋_GBK"/>
          <w:i w:val="0"/>
          <w:iCs w:val="0"/>
          <w:caps w:val="0"/>
          <w:color w:val="333333"/>
          <w:spacing w:val="0"/>
          <w:sz w:val="32"/>
          <w:szCs w:val="32"/>
          <w:shd w:val="clear" w:fill="FFFFFF"/>
        </w:rPr>
        <w:t>奉节好在“风光”美丽之地。</w:t>
      </w:r>
      <w:r>
        <w:rPr>
          <w:rFonts w:hint="eastAsia" w:ascii="方正仿宋_GBK" w:hAnsi="方正仿宋_GBK" w:eastAsia="方正仿宋_GBK" w:cs="方正仿宋_GBK"/>
          <w:i w:val="0"/>
          <w:iCs w:val="0"/>
          <w:caps w:val="0"/>
          <w:color w:val="333333"/>
          <w:spacing w:val="0"/>
          <w:sz w:val="32"/>
          <w:szCs w:val="32"/>
          <w:shd w:val="clear" w:fill="FFFFFF"/>
        </w:rPr>
        <w:t>若言风景异，三峡此为魁。中国最美在长江，长江最美在三峡。在奉节，听滚滚长江涌奔大海，生生不息，瞿塘峡的浪花荡涤过往历史尘埃；看巍巍夔门雄镇三峡，亘古不变，白帝城的舞台演绎千古英雄故事。夔州十二景跨越千年，长盛不衰。</w:t>
      </w:r>
      <w:r>
        <w:rPr>
          <w:rStyle w:val="5"/>
          <w:rFonts w:hint="eastAsia" w:ascii="方正仿宋_GBK" w:hAnsi="方正仿宋_GBK" w:eastAsia="方正仿宋_GBK" w:cs="方正仿宋_GBK"/>
          <w:i w:val="0"/>
          <w:iCs w:val="0"/>
          <w:caps w:val="0"/>
          <w:color w:val="333333"/>
          <w:spacing w:val="0"/>
          <w:sz w:val="32"/>
          <w:szCs w:val="32"/>
          <w:shd w:val="clear" w:fill="FFFFFF"/>
        </w:rPr>
        <w:t>奉节“诗”承千年。</w:t>
      </w:r>
      <w:r>
        <w:rPr>
          <w:rFonts w:hint="eastAsia" w:ascii="方正仿宋_GBK" w:hAnsi="方正仿宋_GBK" w:eastAsia="方正仿宋_GBK" w:cs="方正仿宋_GBK"/>
          <w:i w:val="0"/>
          <w:iCs w:val="0"/>
          <w:caps w:val="0"/>
          <w:color w:val="333333"/>
          <w:spacing w:val="0"/>
          <w:sz w:val="32"/>
          <w:szCs w:val="32"/>
          <w:shd w:val="clear" w:fill="FFFFFF"/>
        </w:rPr>
        <w:t>夔门一推开，诗从天上来。纵览夔州历史，天下诗人皆入蜀，行到三峡必有诗。天下第一快诗《早发白帝城》、天下第一律诗《登高》、天下第一情诗《竹枝词·杨柳青青江水平》、天下第一景诗《康熙·六言诗》，铸就“中华诗城”美誉。</w:t>
      </w:r>
      <w:r>
        <w:rPr>
          <w:rStyle w:val="5"/>
          <w:rFonts w:hint="eastAsia" w:ascii="方正仿宋_GBK" w:hAnsi="方正仿宋_GBK" w:eastAsia="方正仿宋_GBK" w:cs="方正仿宋_GBK"/>
          <w:i w:val="0"/>
          <w:iCs w:val="0"/>
          <w:caps w:val="0"/>
          <w:color w:val="333333"/>
          <w:spacing w:val="0"/>
          <w:sz w:val="32"/>
          <w:szCs w:val="32"/>
          <w:shd w:val="clear" w:fill="FFFFFF"/>
        </w:rPr>
        <w:t>奉节“橙”待古今。</w:t>
      </w:r>
      <w:r>
        <w:rPr>
          <w:rFonts w:hint="eastAsia" w:ascii="方正仿宋_GBK" w:hAnsi="方正仿宋_GBK" w:eastAsia="方正仿宋_GBK" w:cs="方正仿宋_GBK"/>
          <w:i w:val="0"/>
          <w:iCs w:val="0"/>
          <w:caps w:val="0"/>
          <w:color w:val="333333"/>
          <w:spacing w:val="0"/>
          <w:sz w:val="32"/>
          <w:szCs w:val="32"/>
          <w:shd w:val="clear" w:fill="FFFFFF"/>
        </w:rPr>
        <w:t>好山好水出好橙，自然必然纯天然。汉代，奉节的柑橘便是享誉天下的贡品。杜甫诗云：园甘长成时，三寸如黄金。如今，奉节脐橙被誉为“中华名果”，成为“甜蜜事业”。</w:t>
      </w:r>
      <w:r>
        <w:rPr>
          <w:rStyle w:val="5"/>
          <w:rFonts w:hint="eastAsia" w:ascii="方正仿宋_GBK" w:hAnsi="方正仿宋_GBK" w:eastAsia="方正仿宋_GBK" w:cs="方正仿宋_GBK"/>
          <w:i w:val="0"/>
          <w:iCs w:val="0"/>
          <w:caps w:val="0"/>
          <w:color w:val="333333"/>
          <w:spacing w:val="0"/>
          <w:sz w:val="32"/>
          <w:szCs w:val="32"/>
          <w:shd w:val="clear" w:fill="FFFFFF"/>
        </w:rPr>
        <w:t>奉节“远方”在于美丽经济。</w:t>
      </w:r>
      <w:r>
        <w:rPr>
          <w:rFonts w:hint="eastAsia" w:ascii="方正仿宋_GBK" w:hAnsi="方正仿宋_GBK" w:eastAsia="方正仿宋_GBK" w:cs="方正仿宋_GBK"/>
          <w:i w:val="0"/>
          <w:iCs w:val="0"/>
          <w:caps w:val="0"/>
          <w:color w:val="333333"/>
          <w:spacing w:val="0"/>
          <w:sz w:val="32"/>
          <w:szCs w:val="32"/>
          <w:shd w:val="clear" w:fill="FFFFFF"/>
        </w:rPr>
        <w:t>奉节深入践行习近平生态文明思想，学好用好“两山论”，走深走实“两化路”，坚持生态优先、绿色发展，实现了弃“煤”启“美”，开启了美丽经济。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二、养老服务投资审批有关事项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u w:val="none"/>
          <w:shd w:val="clear" w:fill="FFFFFF"/>
        </w:rPr>
        <w:t>（一）政策依据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1.重庆市人民政府办公厅关于全面放开养老服务市场提升养老服务质量的实施意见（渝府办发〔2017〕162号）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2.重庆市养老机构管理办法（重庆市人民政府令第326号）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3.重庆市人民政府办公厅关于印发重庆市推进养老服务发展实施方案的通知（渝府办发〔2019〕129号）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1.设立营利性养老机构实行“先照后证”登记制度，在区县（自治县，以下简称区县）工商行政管理部门办理企业法人登记后，向区县民政部门申请许可。放宽经营场所登记条件，养老服务机构在住所外设立经营场所，经营场所与住所属同一区县工商部门登记管辖区域的，经营场所可以申请备案，不再办理分支机构登记。在民政部门登记的非营利性养老机构，可依法在其登记管理机关管辖范围内设立多个不具备法人资格的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非本地投资者举办养老服务项目与当地投资者享受同等政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3.投资建设养老服务设施工程项目审批流程整合为项目审批（或项目核准、备案）、用地审批、规划报建、施工许可4个阶段。申请设立养老服务类社会组织，符合直接登记条件的可以直接向民政部门依法申请登记，不再经由业务主管单位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4.建立医疗卫生机构设置审批绿色通道，养老机构内设医疗机构应向区县卫生计生部门申请设置和执业登记，卫生计生部门应当在受理设置申请后10个工作日内批复。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5.凡利用建筑面积1000平方米以下的独栋建筑或者建筑物内的部分楼层改造为养老服务设施的，在符合国家相关标准的前提下，可不再要求出具近期动迁计划说明、临时改变建筑使用功能说明、环评审批文件或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6.养老机构举办二级及以下医疗机构的，实行设置审批与执业登记“两证合一”。根据诊疗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对养老机构内设诊所、卫生所(室)、医务室、护理站，取消行政审批，实行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三、养老服务投资审批有关咨询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奉节县市场监督管理局，联系电话：023-56556003。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宋体" w:hAnsi="宋体" w:eastAsia="宋体" w:cs="宋体"/>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奉节县民政局，联系电话：023-56512698。</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B7857"/>
    <w:rsid w:val="6F25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2021-12-16T12:04:30Z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BB90F806A6EA41C28AE72E72BE98EB97</vt:lpwstr>
  </property>
</Properties>
</file>