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shd w:val="clear" w:color="auto" w:fill="FFFFFF"/>
          <w:lang w:val="en-US" w:eastAsia="zh-CN" w:bidi="ar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8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2023年部门整体绩效自评报告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作为一级预算单位，包含1个行政机关及所属的6个事业单位、10个村（社区）等17个单位。具体为：行政机关（包括党政、党建、人大、财政、民政、经济发展、平安建设、应急管理、乡村振兴、规划建设管理环保等办公室）、农业服务中心、文化服务中心、劳动就业和社会保障服务所、退役军人服务站、综合行政执法大队、特色产业发展中心；三峡村、酒溜村、丰收村、铁甲村、长凼村、永乐村、大坝村等7个行政村和幺店社区、江南社区、陈家社区等3个社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核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人员编制数为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其中</w:t>
      </w:r>
      <w:r>
        <w:rPr>
          <w:rFonts w:hint="eastAsia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行政编制34人，机关公勤人员3人，事业编制35人</w:t>
      </w:r>
      <w:r>
        <w:rPr>
          <w:rFonts w:hint="eastAsia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实有在职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人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，其中：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行政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在职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人员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3</w:t>
      </w:r>
      <w:r>
        <w:rPr>
          <w:rFonts w:hint="eastAsia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人，行政工勤人员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人，事业在职人员</w:t>
      </w:r>
      <w:r>
        <w:rPr>
          <w:rFonts w:hint="eastAsia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32人</w:t>
      </w:r>
      <w:r>
        <w:rPr>
          <w:rFonts w:hint="eastAsia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遗属补助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选任制干部2人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。公务用车编制数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台，实际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台。房屋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建筑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5654.45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，使用面积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5654.45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</w:pPr>
      <w:r>
        <w:rPr>
          <w:rFonts w:hint="eastAsia" w:eastAsia="方正楷体_GBK" w:cs="Times New Roman"/>
          <w:color w:val="auto"/>
          <w:sz w:val="32"/>
          <w:szCs w:val="32"/>
          <w:lang w:val="en-US" w:eastAsia="zh-CN"/>
        </w:rPr>
        <w:t>职能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我单位的职责是：落实国家政策，严格依法行政，发挥经济管理职能，加强政策引导，制定发展规划，服务市场主体和营造发展环境，搞好市场监管，大力促进社会事业发展，发展街道社区（村）经济、文化和社会事业，提供公共服务，维护社会稳定，构建社会主义和谐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1.执行本级人民代表大会的决议和上级国家行政机关的决定和命令，发布决定和命令。 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2.执行本行政区域内的经济和社会发展计划、预算，管理本行政区域内的经济、教育、科学、文化、卫生、体育事业和财政、民政、公安、司法行政、计划生育等行政工作。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3.保护社会主义的全民所有的财产和劳动群众集体所有的财产，保护公民私人所有的合法财产，维护社会秩序，保障公民的人身权利、民主权利和其他。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4.保护各种经济组织的合法权益。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5.保障宪法和法律赋予妇女的男女平等、同工同酬和婚姻自由等各项权利。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6.办理上级人民政府交办的其他事项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（三）年度主要工作概述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2023年度我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单位主要工作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1.全面完成基层党建、纪检、组织人事、宣传、统战、机构编制、群团等县委及有关部门下达的工作任务，综合考核为优秀；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2.确保机关及村（居）委会正常运行；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3.持续巩固脱贫攻坚成果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4.抓招商引资，培育市场主体，关注微小企业发展，加快区域经济发展；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5.关注妇女儿童、社会救助、劳动就业及社会保障、医疗保障、食品药品监督等民生工作；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6.继续加大人居环境整治、自建房安全整治、违法建筑整治，完善城镇街道基础设施建设；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7.继续关注公共交通、公共文化、体育服务体系建设，开展多种多样的群众文化活动。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（四）绩效目标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  <w:t>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我单位20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年应完成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个项目绩效自评，应为：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年度中央、市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等各级财政安排的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资金，且已经竣工验收的项目；对跨年度实施的项目，可根据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实施情况进行阶段性评价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，完整反映项目总体绩效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年没有竣工没有开展自评的。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（五）年度预决算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年初预算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2076.49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一般公共预算财政拨款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年中追加一般公共预算财政拨款收入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939.07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追加政府性基金收入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全年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一般公共预算财政拨款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收入为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3015.56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，政府性预算基金收入为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2.我单位20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2076.49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其中人员经费预算15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92.49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万元，公用经费预算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263.72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，项目支出预算220.28万元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。年中追加收入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1306.09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全年总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382.58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基本支出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2236.59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人员经费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1798.11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公用经费支出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438.48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45.99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二、整体支出管理及使用情况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基本支出：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年度我镇基本支出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2236.59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1798.11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万元，公用支出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438.48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年三公经费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预算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16.30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万元，实际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5.30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万元，同比去年减少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9.14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公务接待费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4.29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4.30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万元），同比去年减少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6.54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%，公务用车运行维护费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12.00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</w:t>
      </w:r>
      <w:r>
        <w:rPr>
          <w:rFonts w:hint="eastAsia" w:cs="Times New Roman"/>
          <w:color w:val="auto"/>
          <w:sz w:val="32"/>
          <w:szCs w:val="32"/>
          <w:lang w:eastAsia="zh-CN"/>
        </w:rPr>
        <w:t>与去年持平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项目支出：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年财政拨款项目支出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45.99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，同比上年减少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2.16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年一般公共预算财政拨款支出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778.97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万元，政府性基金支出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367.02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三、整体支出绩效情况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财务管理制度建设情况：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财务管理办法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申报、审批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拨付资金，专款专用，不挪用、不挤占专项资金，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确保财政资金安全。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（二）资产管理：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按照“谁申请谁使用”“谁使用谁保管”的原则保管固定资产。按要求每月按时报送资产月报表，有新增固定资产录入固定资产系统，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确保各项资产核算准确、帐实相符、管理到位。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（三）预决算公开：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按县上统一要求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在县人民政府门户网站上进行了预决算公开。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（四）“三公”经费控制情况：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严格遵守各项规章制度，严控“三公”经费支出，</w:t>
      </w:r>
      <w:r>
        <w:rPr>
          <w:rFonts w:hint="eastAsia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三公</w:t>
      </w:r>
      <w:r>
        <w:rPr>
          <w:rFonts w:hint="eastAsia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经费减少，并及时在县人民政府门户网站上对“三公”经费情况进行公示。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（五）政府采购情况：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为规范政府采购行为，提高政府采购资金的使用效益，我单位严格《中华人民共和国政府采购法》、《中华人民共和国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</w:rPr>
        <w:instrText xml:space="preserve">HYPERLINK "https://www.maxlaw.cn/n/20211206/1029056912407.shtml" \t "_blank"</w:instrTex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政府采购法实施条例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》，确保政府采购行为公开透明。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）认真履行职责情况：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单位各科室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严格按照项目实施前申报、项目绩效运行监控、项目自评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，由财政办协调。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40" w:leftChars="0" w:firstLine="0" w:firstLineChars="0"/>
        <w:textAlignment w:val="auto"/>
        <w:outlineLvl w:val="9"/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</w:rPr>
        <w:t>评价结论</w:t>
      </w: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通过认真开展单位整体支出绩效目标自评，综合评分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91.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产出指标</w:t>
      </w: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1.数量指标：我单位按时按要求完成了县政府年初的工作任务安排，自评得分15分。</w:t>
      </w:r>
    </w:p>
    <w:p>
      <w:pPr>
        <w:pStyle w:val="2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2.质量指标：我单位从以下几个方面提升了我单位的绩效工作：一是要加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大支出管理。严格执行公务接待、公车管理及差旅费、会议费管理，坚持厉行节约，努力降低财政运行成本。二是严格预算约束做好增收节支，极力控制非必要性支出，降低行政运行成本，严肃财经纪律，坚决反对铺张浪费。三是加强预算执行，建立健全财政资金使用管理办法，促进资金使用效益；四是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做好绩效评价，从绩效申报到资金支付再到项目自评，都有进行严格的监控；五是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严控政府性债务风险。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自评得分16.86分，造成偏差的原因一是我单位职工用公务卡支付的观念不强，不是每个职工都有办理公务卡，有办理公务卡的额度不高，导致我单位公务卡刷卡率低；二是财政指标已下，由于施工方未及时交资料，导致资金未拨付完毕，有结余现象。</w:t>
      </w:r>
    </w:p>
    <w:p>
      <w:pPr>
        <w:pStyle w:val="2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3.时效指标：我单位在县委县政府及各部门规定期限内完成下达的任务，并按要求在政府网上公开预决算等信息，自评得分5分。</w:t>
      </w:r>
    </w:p>
    <w:p>
      <w:pPr>
        <w:pStyle w:val="2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4.成本指标：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严格遵守各项规章制度，严控“三公”经费支出，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三公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经费减少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，单位运行成本较去年减少，自评得分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效益指标</w:t>
      </w: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年，我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的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各项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工作在县委县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政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府的坚强领导下，在县财政局的监督指导下，在社会各界的大力支持下，深入挖掘增收潜力，坚持稳增长、调结构、促改革、惠民生、防风险，各项支出得到较好保障，为乡村振兴与脱贫攻坚有效衔接提供了坚强保障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1.经济效益指标：我镇按照县政府年初下达的目标任务，完成了2023年的税收任务，招商引资任务，争取专项资金计划的任务，自评得分15分。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2.社会效益指标：</w:t>
      </w:r>
      <w:r>
        <w:rPr>
          <w:rFonts w:hint="eastAsia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有效保障了我镇各项工作的正常运转，做到“保基本民生、保运转、保工资”，维护了我镇辖区内的社会稳定，农村生活垃圾治理、美丽家园等项目为当地群众提供了就业机会，同时带动了当地经济一定程度的发展，自评得分13分。</w:t>
      </w:r>
    </w:p>
    <w:p>
      <w:pPr>
        <w:pStyle w:val="2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3.生态效益指标：2023年我单位严格按照县政府下达的人均综合能耗、单位建筑面积能耗和人均水耗和单位建筑面积碳排放指标执行，自评得分4分。</w:t>
      </w:r>
    </w:p>
    <w:p>
      <w:pPr>
        <w:pStyle w:val="2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4.可持续发展指标：2023年我单位查漏补缺，完善了一系列持久可行的内部控制制度，自评得分4分。</w:t>
      </w:r>
    </w:p>
    <w:p>
      <w:pPr>
        <w:pStyle w:val="2"/>
        <w:rPr>
          <w:rFonts w:hint="default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5.可持续影响指标：2023年在县委县政府的领导下，在各部门的支持下，我单位规划了的项目都得以实施，为辖区居民带来了便利，自评得分4分。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eastAsia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满意度指标</w:t>
      </w:r>
    </w:p>
    <w:p>
      <w:pPr>
        <w:pStyle w:val="2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通过问卷调查，了解辖区内居民对我单位2023年整体评价，保证以后能更好的履行职责。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发放并收回有效问卷100份，满意度调查结果为95%，自评得分10分。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预决算项目支出编制需进一步明确、精细化。同时项目执行率需进一步提高。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随着对预、决算编制工作水平要求越来越高，数据编制要求越来越精准、规范；时间紧、任务大；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基层情况较为具体，导致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现行决算工作与实际账务处理工作间衔接还存在一定差异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基层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会计人员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业务多且杂、流动频繁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且业务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水平有限，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实际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中确实感到力不从心 。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sz w:val="32"/>
          <w:szCs w:val="32"/>
        </w:rPr>
        <w:t>、改进措施和有关建议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="640" w:leftChars="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细化预算编制工作，进一步加强内设机构的预算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管理意识，严格按照预算编制的相关制度和要求进行预算编制。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加强财务管理，严格财务审核。加强单位财务管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合理安排会计岗位，适当增加会计人员，增加业务知识培训，加强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预、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决算工作与账务处理工作衔接。  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      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600" w:lineRule="exact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3520" w:firstLineChars="11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3840" w:firstLineChars="1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4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218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03EEC"/>
    <w:rsid w:val="02DF6F0B"/>
    <w:rsid w:val="02E602B8"/>
    <w:rsid w:val="031479C7"/>
    <w:rsid w:val="03F0328A"/>
    <w:rsid w:val="048D39F3"/>
    <w:rsid w:val="062F364A"/>
    <w:rsid w:val="06CD364A"/>
    <w:rsid w:val="074F0735"/>
    <w:rsid w:val="08CD0D65"/>
    <w:rsid w:val="0CC42734"/>
    <w:rsid w:val="0D8E6D6E"/>
    <w:rsid w:val="0F990777"/>
    <w:rsid w:val="108E1FD5"/>
    <w:rsid w:val="12951E3A"/>
    <w:rsid w:val="15774E99"/>
    <w:rsid w:val="159D782D"/>
    <w:rsid w:val="16237823"/>
    <w:rsid w:val="165B07C7"/>
    <w:rsid w:val="17BD7B3E"/>
    <w:rsid w:val="18657253"/>
    <w:rsid w:val="189468ED"/>
    <w:rsid w:val="1922784F"/>
    <w:rsid w:val="1A887462"/>
    <w:rsid w:val="1C043211"/>
    <w:rsid w:val="1C175F82"/>
    <w:rsid w:val="1C94114C"/>
    <w:rsid w:val="20B1079E"/>
    <w:rsid w:val="20EA7D3C"/>
    <w:rsid w:val="20FA654F"/>
    <w:rsid w:val="25796777"/>
    <w:rsid w:val="266236A2"/>
    <w:rsid w:val="270026C7"/>
    <w:rsid w:val="28BD2A38"/>
    <w:rsid w:val="29460FA8"/>
    <w:rsid w:val="2A75105A"/>
    <w:rsid w:val="2AB5063B"/>
    <w:rsid w:val="2B2307DE"/>
    <w:rsid w:val="2C8E21A6"/>
    <w:rsid w:val="3318644E"/>
    <w:rsid w:val="358150E2"/>
    <w:rsid w:val="376367D6"/>
    <w:rsid w:val="3CA83EC3"/>
    <w:rsid w:val="3D7B2A21"/>
    <w:rsid w:val="4026219A"/>
    <w:rsid w:val="42973EA2"/>
    <w:rsid w:val="466E0893"/>
    <w:rsid w:val="46B470AA"/>
    <w:rsid w:val="47EF2198"/>
    <w:rsid w:val="49A942C7"/>
    <w:rsid w:val="4A252FDA"/>
    <w:rsid w:val="4AA9302D"/>
    <w:rsid w:val="4AB456DA"/>
    <w:rsid w:val="4AEF4F9A"/>
    <w:rsid w:val="4B6F3C02"/>
    <w:rsid w:val="4CFF10DE"/>
    <w:rsid w:val="4D1F50B1"/>
    <w:rsid w:val="4D340CD6"/>
    <w:rsid w:val="4DDF6FF4"/>
    <w:rsid w:val="4FCD1125"/>
    <w:rsid w:val="527744ED"/>
    <w:rsid w:val="533A10CA"/>
    <w:rsid w:val="53E13897"/>
    <w:rsid w:val="540A4DB4"/>
    <w:rsid w:val="550C00EE"/>
    <w:rsid w:val="56783696"/>
    <w:rsid w:val="56CE0306"/>
    <w:rsid w:val="57210448"/>
    <w:rsid w:val="57693B3A"/>
    <w:rsid w:val="578E6E98"/>
    <w:rsid w:val="58BA0DE1"/>
    <w:rsid w:val="590B0383"/>
    <w:rsid w:val="591B237D"/>
    <w:rsid w:val="591C2150"/>
    <w:rsid w:val="5C2043CF"/>
    <w:rsid w:val="5D3E0387"/>
    <w:rsid w:val="5EF34447"/>
    <w:rsid w:val="5F345BCA"/>
    <w:rsid w:val="60194AE7"/>
    <w:rsid w:val="61475B14"/>
    <w:rsid w:val="62487E85"/>
    <w:rsid w:val="65DA6228"/>
    <w:rsid w:val="665671EA"/>
    <w:rsid w:val="68AF121A"/>
    <w:rsid w:val="68D975F9"/>
    <w:rsid w:val="69CD15C5"/>
    <w:rsid w:val="69DB7173"/>
    <w:rsid w:val="6B090B1D"/>
    <w:rsid w:val="6D670300"/>
    <w:rsid w:val="6DFB18F3"/>
    <w:rsid w:val="6EE7147D"/>
    <w:rsid w:val="708B205C"/>
    <w:rsid w:val="732E62AB"/>
    <w:rsid w:val="74655C49"/>
    <w:rsid w:val="749D0AF5"/>
    <w:rsid w:val="74EF3182"/>
    <w:rsid w:val="75DB62D2"/>
    <w:rsid w:val="760D771F"/>
    <w:rsid w:val="76FE4BC8"/>
    <w:rsid w:val="77587A7E"/>
    <w:rsid w:val="7A67008D"/>
    <w:rsid w:val="7AC70129"/>
    <w:rsid w:val="7AF3060E"/>
    <w:rsid w:val="7E4D158F"/>
    <w:rsid w:val="7E86350E"/>
    <w:rsid w:val="7E9E737E"/>
    <w:rsid w:val="7F58581E"/>
    <w:rsid w:val="7FB20101"/>
    <w:rsid w:val="7FFA164F"/>
    <w:rsid w:val="F5F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ind w:left="100" w:firstLine="559"/>
      <w:jc w:val="left"/>
      <w:textAlignment w:val="baseline"/>
    </w:pPr>
    <w:rPr>
      <w:rFonts w:ascii="宋体" w:hAnsi="宋体" w:eastAsia="宋体"/>
      <w:kern w:val="0"/>
      <w:sz w:val="28"/>
      <w:szCs w:val="28"/>
      <w:lang w:val="en-US" w:eastAsia="en-US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11">
    <w:name w:val="font81"/>
    <w:basedOn w:val="8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3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9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4">
    <w:name w:val="font5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font101"/>
    <w:basedOn w:val="8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6">
    <w:name w:val="font71"/>
    <w:basedOn w:val="8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2022-05-06T00:26:00Z</dcterms:created>
  <dc:creator>Administrator</dc:creator>
  <cp:lastModifiedBy>guest</cp:lastModifiedBy>
  <cp:lastPrinted>2023-04-10T22:43:00Z</cp:lastPrinted>
  <dcterms:modified xsi:type="dcterms:W3CDTF">2024-12-20T14:33:01Z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