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8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2023年部门整体绩效自评报告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作为一级预算单位，包含1个行政机关及所属的6个事业单位、10个村（社区）等17个单位。具体为：行政机关（包括党政、党建、人大、财政、民政、经济发展、平安建设、应急管理、乡村振兴、规划建设管理环保等办公室）、农业服务中心、文化服务中心、劳动就业和社会保障服务所、退役军人服务站、综合行政执法大队、特色产业发展中心；三峡村、酒溜村、丰收村、铁甲村、长凼村、永乐村、大坝村等7个行政村和幺店社区、江南社区、陈家社区等3个社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核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人员编制数为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其中</w:t>
      </w:r>
      <w:r>
        <w:rPr>
          <w:rFonts w:hint="eastAsia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行政编制34人，机关公勤人员3人，事业编制35人</w:t>
      </w:r>
      <w:r>
        <w:rPr>
          <w:rFonts w:hint="eastAsia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实有在职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人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，其中：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行政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在职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人员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3</w:t>
      </w:r>
      <w:r>
        <w:rPr>
          <w:rFonts w:hint="eastAsia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人，行政工勤人员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人，事业在职人员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32人</w:t>
      </w:r>
      <w:r>
        <w:rPr>
          <w:rFonts w:hint="eastAsia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遗属补助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选任制干部2人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。公务用车编制数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台，实际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台。房屋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建筑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5654.45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，使用面积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5654.45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</w:pPr>
      <w:r>
        <w:rPr>
          <w:rFonts w:hint="eastAsia" w:eastAsia="方正楷体_GBK" w:cs="Times New Roman"/>
          <w:color w:val="auto"/>
          <w:sz w:val="32"/>
          <w:szCs w:val="32"/>
          <w:lang w:val="en-US" w:eastAsia="zh-CN"/>
        </w:rPr>
        <w:t>职能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我单位的职责是：落实国家政策，严格依法行政，发挥经济管理职能，加强政策引导，制定发展规划，服务市场主体和营造发展环境，搞好市场监管，大力促进社会事业发展，发展街道社区（村）经济、文化和社会事业，提供公共服务，维护社会稳定，构建社会主义和谐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1.执行本级人民代表大会的决议和上级国家行政机关的决定和命令，发布决定和命令。 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2.执行本行政区域内的经济和社会发展计划、预算，管理本行政区域内的经济、教育、科学、文化、卫生、体育事业和财政、民政、公安、司法行政、计划生育等行政工作。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3.保护社会主义的全民所有的财产和劳动群众集体所有的财产，保护公民私人所有的合法财产，维护社会秩序，保障公民的人身权利、民主权利和其他。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4.保护各种经济组织的合法权益。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5.保障宪法和法律赋予妇女的男女平等、同工同酬和婚姻自由等各项权利。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6.办理上级人民政府交办的其他事项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（三）年度主要工作概述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2023年度我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单位主要工作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1.全面完成基层党建、纪检、组织人事、宣传、统战、机构编制、群团等县委及有关部门下达的工作任务，综合考核为优秀；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2.确保机关及村（居）委会正常运行；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3.持续巩固脱贫攻坚成果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4.抓招商引资，培育市场主体，关注微小企业发展，加快区域经济发展；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5.关注妇女儿童、社会救助、劳动就业及社会保障、医疗保障、食品药品监督等民生工作；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6.继续加大人居环境整治、自建房安全整治、违法建筑整治，完善城镇街道基础设施建设；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7.继续关注公共交通、公共文化、体育服务体系建设，开展多种多样的群众文化活动。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（四）绩效目标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  <w:t>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我单位20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年应完成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个项目绩效自评，应为：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年度中央、市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等各级财政安排的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资金，且已经竣工验收的项目；对跨年度实施的项目，可根据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实施情况进行阶段性评价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，完整反映项目总体绩效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年没有竣工没有开展自评的。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（五）年度预决算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年初预算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2076.49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一般公共预算财政拨款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年中追加一般公共预算财政拨款收入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939.07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追加政府性基金收入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全年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一般公共预算财政拨款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收入为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3015.56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，政府性预算基金收入为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2.我单位20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2076.49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其中人员经费预算15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92.49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万元，公用经费预算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263.72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，项目支出预算220.28万元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。年中追加收入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1306.09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全年总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382.58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基本支出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2236.59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人员经费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1798.11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公用经费支出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438.48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45.99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二、整体支出管理及使用情况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基本支出：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年度我镇基本支出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2236.59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1798.11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万元，公用支出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438.48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年三公经费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预算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16.30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万元，实际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5.30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万元，同比去年减少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9.14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公务接待费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4.29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4.30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万元），同比去年减少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6.54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%，公务用车运行维护费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12.00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</w:t>
      </w:r>
      <w:r>
        <w:rPr>
          <w:rFonts w:hint="eastAsia" w:cs="Times New Roman"/>
          <w:color w:val="auto"/>
          <w:sz w:val="32"/>
          <w:szCs w:val="32"/>
          <w:lang w:eastAsia="zh-CN"/>
        </w:rPr>
        <w:t>与去年持平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项目支出：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年财政拨款项目支出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45.99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，同比上年减少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2.16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年一般公共预算财政拨款支出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778.97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万元，政府性基金支出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三、整体支出绩效情况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财务管理制度建设情况：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财务管理办法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申报、审批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拨付资金，专款专用，不挪用、不挤占专项资金，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确保财政资金安全。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（二）资产管理：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按照“谁申请谁使用”“谁使用谁保管”的原则保管固定资产。按要求每月按时报送资产月报表，有新增固定资产录入固定资产系统，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确保各项资产核算准确、帐实相符、管理到位。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（三）预决算公开：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按县上统一要求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在县人民政府门户网站上进行了预决算公开。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（四）“三公经费”控制情况：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严格遵守各项规章制度，严控“三公”经费支出，“三公经费”减少，并及时在县人民政府门户网站上对“三公”经费情况进行公示。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（五）政府采购情况：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为规范政府采购行为，提高政府采购资金的使用效益，我单位严格《中华人民共和国政府采购法》、《中华人民共和国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HYPERLINK "https://www.maxlaw.cn/n/20211206/1029056912407.shtml" \t "_blank"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政府采购法实施条例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》，确保政府采购行为公开透明。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）认真履行职责情况：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单位各科室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严格按照项目实施前申报、项目绩效运行监控、项目自评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，由财政办协调。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40" w:leftChars="0" w:firstLine="0" w:firstLineChars="0"/>
        <w:textAlignment w:val="auto"/>
        <w:outlineLvl w:val="9"/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</w:rPr>
        <w:t>评价结论</w:t>
      </w: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通过认真开展单位整体支出绩效目标自评，综合评分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91.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产出指标</w:t>
      </w: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1.数量指标：我单位按时按要求完成了县政府年初的工作任务安排，自评得分15分。</w:t>
      </w:r>
    </w:p>
    <w:p>
      <w:pPr>
        <w:pStyle w:val="2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2.质量指标：我单位从以下几个方面提升了我单位的绩效工作：一是要加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大支出管理。严格执行公务接待、公车管理及差旅费、会议费管理，坚持厉行节约，努力降低财政运行成本。二是严格预算约束做好增收节支，极力控制非必要性支出，降低行政运行成本，严肃财经纪律，坚决反对铺张浪费。三是加强预算执行，建立健全财政资金使用管理办法，促进资金使用效益；四是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做好绩效评价，从绩效申报到资金支付再到项目自评，都有进行严格的监控；五是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严控政府性债务风险。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自评得分16.86分，造成偏差的原因一是我单位职工用公务卡支付的观念不强，不是每个职工都有办理公务卡，有办理公务卡的额度不高，导致我单位公务卡刷卡率低；二是财政指标已下，由于施工方未及时交资料，导致资金未拨付完毕，有结余现象。</w:t>
      </w:r>
    </w:p>
    <w:p>
      <w:pPr>
        <w:pStyle w:val="2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3.时效指标：我单位在县委县府及各部门规定期限内完成下达的任务，并按要求在政府网上公开预决算等信息，自评得分5分。</w:t>
      </w:r>
    </w:p>
    <w:p>
      <w:pPr>
        <w:pStyle w:val="2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4.成本指标：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严格遵守各项规章制度，严控“三公”经费支出，“三公经费”减少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，单位运行成本较去年减少，自评得分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效益指标</w:t>
      </w: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年，我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的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各项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工作在县委县府的坚强领导下，在县财政局的监督指导下，在社会各界的大力支持下，深入挖掘增收潜力，坚持稳增长、调结构、促改革、惠民生、防风险，各项支出得到较好保障，为乡村振兴与脱贫攻坚有效衔接提供了坚强保障。</w:t>
      </w:r>
    </w:p>
    <w:p>
      <w:pPr>
        <w:pStyle w:val="2"/>
        <w:numPr>
          <w:numId w:val="0"/>
        </w:numPr>
        <w:ind w:firstLine="640" w:firstLineChars="200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1.经济效益指标：我镇按照县政府年初下达的目标任务，完成了2023年的税收任务，招商引资任务，争取专项资金计划的任务，自评得分15分。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2.社会效益指标：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有效保障了我镇各项工作的正常运转，做到“保基本民生、保运转、保工资”，维护了我镇辖区内的社会稳定，农村生活垃圾治理、美丽家园等项目为当地群众提供了就业机会，同时带动了当地经济一定程度的发展，自评得分13分。</w:t>
      </w:r>
    </w:p>
    <w:p>
      <w:pPr>
        <w:pStyle w:val="2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3.生态效益指标：2023年我单位严格按照县政府下达的人均综合能耗、单位建筑面积能耗和人均水耗和单位建筑面积碳排放指标执行，自评得分4分。</w:t>
      </w:r>
    </w:p>
    <w:p>
      <w:pPr>
        <w:pStyle w:val="2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4.可持续发展指标：2023年我单位查漏补缺，完善了一系列持久可行的内部控制制度，自评得分4分。</w:t>
      </w:r>
    </w:p>
    <w:p>
      <w:pPr>
        <w:pStyle w:val="2"/>
        <w:rPr>
          <w:rFonts w:hint="default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5.可持续影响指标：2023年在县委县府的领导下，在各部门的支持下，我单位规划了的项目都得以实施，为辖区居民带来了便利，自评得分4分。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满意度指标</w:t>
      </w:r>
    </w:p>
    <w:p>
      <w:pPr>
        <w:pStyle w:val="2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通过问卷调查，了解辖区内居民对我单位2023年整体评价，保证以后能更好的履行职责。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发放并收回有效问卷100份，满意度调查结果为95%，自评得分10分。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预决算项目支出编制需进一步明确、精细化。同时项目执行率需进一步提高。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随着对预、决算编制工作水平要求越来越高，数据编制要求越来越精准、规范；时间紧、任务大；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基层情况较为具体，导致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现行决算工作与实际账务处理工作间衔接还存在一定差异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基层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会计人员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业务多且杂、流动频繁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且业务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水平有限，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实际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中确实感到力不从心 。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、改进措施和有关建议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细化预算编制工作，进一步加强内设机构的预算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管理意识，严格按照预算编制的相关制度和要求进行预算编制。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加强财务管理，严格财务审核。加强单位财务管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合理安排会计岗位，适当增加会计人员，增加业务知识培训，加强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预、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决算工作与账务处理工作衔接。  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      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600" w:lineRule="exact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3520" w:firstLineChars="11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3840" w:firstLineChars="1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4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03EEC"/>
    <w:rsid w:val="02DF6F0B"/>
    <w:rsid w:val="02E602B8"/>
    <w:rsid w:val="031479C7"/>
    <w:rsid w:val="03F0328A"/>
    <w:rsid w:val="048D39F3"/>
    <w:rsid w:val="062F364A"/>
    <w:rsid w:val="06CD364A"/>
    <w:rsid w:val="074F0735"/>
    <w:rsid w:val="08CD0D65"/>
    <w:rsid w:val="0CC42734"/>
    <w:rsid w:val="0D8E6D6E"/>
    <w:rsid w:val="0F990777"/>
    <w:rsid w:val="108E1FD5"/>
    <w:rsid w:val="12951E3A"/>
    <w:rsid w:val="15774E99"/>
    <w:rsid w:val="159D782D"/>
    <w:rsid w:val="16237823"/>
    <w:rsid w:val="165B07C7"/>
    <w:rsid w:val="17BD7B3E"/>
    <w:rsid w:val="18657253"/>
    <w:rsid w:val="189468ED"/>
    <w:rsid w:val="1922784F"/>
    <w:rsid w:val="1A887462"/>
    <w:rsid w:val="1C043211"/>
    <w:rsid w:val="1C175F82"/>
    <w:rsid w:val="1C94114C"/>
    <w:rsid w:val="20B1079E"/>
    <w:rsid w:val="20EA7D3C"/>
    <w:rsid w:val="20FA654F"/>
    <w:rsid w:val="25796777"/>
    <w:rsid w:val="266236A2"/>
    <w:rsid w:val="270026C7"/>
    <w:rsid w:val="28BD2A38"/>
    <w:rsid w:val="29460FA8"/>
    <w:rsid w:val="2A75105A"/>
    <w:rsid w:val="2AB5063B"/>
    <w:rsid w:val="2B2307DE"/>
    <w:rsid w:val="2C8E21A6"/>
    <w:rsid w:val="3318644E"/>
    <w:rsid w:val="358150E2"/>
    <w:rsid w:val="376367D6"/>
    <w:rsid w:val="3CA83EC3"/>
    <w:rsid w:val="3D7B2A21"/>
    <w:rsid w:val="4026219A"/>
    <w:rsid w:val="42973EA2"/>
    <w:rsid w:val="466E0893"/>
    <w:rsid w:val="46B470AA"/>
    <w:rsid w:val="49A942C7"/>
    <w:rsid w:val="4A252FDA"/>
    <w:rsid w:val="4AA9302D"/>
    <w:rsid w:val="4AB456DA"/>
    <w:rsid w:val="4AEF4F9A"/>
    <w:rsid w:val="4B6F3C02"/>
    <w:rsid w:val="4CFF10DE"/>
    <w:rsid w:val="4D1F50B1"/>
    <w:rsid w:val="4D340CD6"/>
    <w:rsid w:val="4DDF6FF4"/>
    <w:rsid w:val="4FCD1125"/>
    <w:rsid w:val="527744ED"/>
    <w:rsid w:val="533A10CA"/>
    <w:rsid w:val="53E13897"/>
    <w:rsid w:val="540A4DB4"/>
    <w:rsid w:val="550C00EE"/>
    <w:rsid w:val="56783696"/>
    <w:rsid w:val="56CE0306"/>
    <w:rsid w:val="57210448"/>
    <w:rsid w:val="57693B3A"/>
    <w:rsid w:val="578E6E98"/>
    <w:rsid w:val="58BA0DE1"/>
    <w:rsid w:val="590B0383"/>
    <w:rsid w:val="591B237D"/>
    <w:rsid w:val="591C2150"/>
    <w:rsid w:val="5C2043CF"/>
    <w:rsid w:val="5D3E0387"/>
    <w:rsid w:val="5EF34447"/>
    <w:rsid w:val="5F345BCA"/>
    <w:rsid w:val="60194AE7"/>
    <w:rsid w:val="61475B14"/>
    <w:rsid w:val="62487E85"/>
    <w:rsid w:val="65DA6228"/>
    <w:rsid w:val="665671EA"/>
    <w:rsid w:val="68AF121A"/>
    <w:rsid w:val="68D975F9"/>
    <w:rsid w:val="69CD15C5"/>
    <w:rsid w:val="69DB7173"/>
    <w:rsid w:val="6B090B1D"/>
    <w:rsid w:val="6D670300"/>
    <w:rsid w:val="6DFB18F3"/>
    <w:rsid w:val="6EE7147D"/>
    <w:rsid w:val="708B205C"/>
    <w:rsid w:val="732E62AB"/>
    <w:rsid w:val="74655C49"/>
    <w:rsid w:val="749D0AF5"/>
    <w:rsid w:val="74EF3182"/>
    <w:rsid w:val="75DB62D2"/>
    <w:rsid w:val="760D771F"/>
    <w:rsid w:val="76FE4BC8"/>
    <w:rsid w:val="77587A7E"/>
    <w:rsid w:val="7A67008D"/>
    <w:rsid w:val="7AC70129"/>
    <w:rsid w:val="7AF3060E"/>
    <w:rsid w:val="7E4D158F"/>
    <w:rsid w:val="7E86350E"/>
    <w:rsid w:val="7E9E737E"/>
    <w:rsid w:val="7F58581E"/>
    <w:rsid w:val="7FB20101"/>
    <w:rsid w:val="7FFA164F"/>
    <w:rsid w:val="F5F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ind w:left="100" w:firstLine="559"/>
      <w:jc w:val="left"/>
      <w:textAlignment w:val="baseline"/>
    </w:pPr>
    <w:rPr>
      <w:rFonts w:ascii="宋体" w:hAnsi="宋体" w:eastAsia="宋体"/>
      <w:kern w:val="0"/>
      <w:sz w:val="28"/>
      <w:szCs w:val="28"/>
      <w:lang w:val="en-US" w:eastAsia="en-US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11">
    <w:name w:val="font81"/>
    <w:basedOn w:val="7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91"/>
    <w:basedOn w:val="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4">
    <w:name w:val="font51"/>
    <w:basedOn w:val="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font101"/>
    <w:basedOn w:val="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6">
    <w:name w:val="font71"/>
    <w:basedOn w:val="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2022-05-05T16:26:00Z</dcterms:created>
  <dc:creator>Administrator</dc:creator>
  <cp:lastModifiedBy>Administrator</cp:lastModifiedBy>
  <cp:lastPrinted>2023-04-10T14:43:00Z</cp:lastPrinted>
  <dcterms:modified xsi:type="dcterms:W3CDTF">2024-04-11T05:44:16Z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