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仿宋_GBK" w:hAnsi="黑体" w:eastAsia="方正仿宋_GBK"/>
          <w:bCs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z w:val="28"/>
          <w:szCs w:val="28"/>
        </w:rPr>
        <w:t>附件3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sz w:val="28"/>
          <w:szCs w:val="28"/>
        </w:rPr>
      </w:pP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</w:t>
      </w: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专职消防队和义务消防队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eastAsia="zh-CN"/>
        </w:rPr>
        <w:t>专项资金项目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奉节财建〔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2021〕58号下达资金15万元。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县财政于20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21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年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4月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拨付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15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万元资金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.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项目资金执行情况分析。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保证了新民镇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专职消防队和义务消防队人员补助和消防队日常工作运行。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3.项目资金管理情况分析。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项目资金做到了严格执行基本建设财务制度和会计制度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（二）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已按照预定方案完成了项目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（三）绩效目标完成情况分析。（根据年初绩效目标及指标逐项分析）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（1）数量指标。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全镇共五名专职队员和五名兼职队员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（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2）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质量指标。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黑体_GBK" w:cs="方正黑体_GBK"/>
          <w:bCs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全镇范围内发生火灾能及时到位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（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3）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成本指标。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维护了全镇人民群众生命和财产安全。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（1）社会效益。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成立专职消防队和义务消防队后，人民群众生命和财产得到有效保护。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3.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满意度指标完成情况分析。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新民镇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专职消防队和义务消防队投入使用后，能及时响应人民群众对安全的需求，得到群众的好评。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480" w:firstLineChars="200"/>
        <w:jc w:val="center"/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/>
          <w:lang w:val="en-US" w:eastAsia="zh-CN"/>
        </w:rPr>
        <w:t xml:space="preserve">                                              </w:t>
      </w: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新民镇人民政府</w:t>
      </w:r>
    </w:p>
    <w:p>
      <w:pPr>
        <w:pStyle w:val="2"/>
        <w:widowControl/>
        <w:shd w:val="clear" w:color="auto" w:fill="FFFFFF"/>
        <w:spacing w:beforeAutospacing="0" w:afterAutospacing="0" w:line="560" w:lineRule="exact"/>
        <w:ind w:firstLine="640" w:firstLineChars="200"/>
        <w:jc w:val="right"/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  <w:t>2022年5月10日</w:t>
      </w:r>
    </w:p>
    <w:p>
      <w:pPr>
        <w:rPr>
          <w:rFonts w:hint="default" w:ascii="方正黑体_GBK" w:hAnsi="方正黑体_GBK" w:eastAsia="方正黑体_GBK" w:cs="方正黑体_GBK"/>
          <w:bCs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22BF0446"/>
    <w:rsid w:val="06252E48"/>
    <w:rsid w:val="1D4901BF"/>
    <w:rsid w:val="1E1A13B9"/>
    <w:rsid w:val="22BF0446"/>
    <w:rsid w:val="250F191C"/>
    <w:rsid w:val="2C9B0F60"/>
    <w:rsid w:val="3BDE3A58"/>
    <w:rsid w:val="496953AD"/>
    <w:rsid w:val="51336BE9"/>
    <w:rsid w:val="55580EC2"/>
    <w:rsid w:val="56E6649E"/>
    <w:rsid w:val="57677C03"/>
    <w:rsid w:val="57886AEE"/>
    <w:rsid w:val="6668378B"/>
    <w:rsid w:val="69F55D70"/>
    <w:rsid w:val="6FA90981"/>
    <w:rsid w:val="745B3292"/>
    <w:rsid w:val="7AE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458</Words>
  <Characters>480</Characters>
  <Lines>0</Lines>
  <Paragraphs>0</Paragraphs>
  <TotalTime>3</TotalTime>
  <ScaleCrop>false</ScaleCrop>
  <LinksUpToDate>false</LinksUpToDate>
  <CharactersWithSpaces>526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2020-06-08T08:54:00Z</dcterms:created>
  <dc:creator>Administrator</dc:creator>
  <cp:lastModifiedBy>熊丹</cp:lastModifiedBy>
  <cp:lastPrinted>2020-07-28T07:58:00Z</cp:lastPrinted>
  <dcterms:modified xsi:type="dcterms:W3CDTF">2022-05-17T06:57:35Z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5CDBDA9F84764CC98B7AE6D66060E513</vt:lpwstr>
  </property>
</Properties>
</file>