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600" w:lineRule="exact"/>
        <w:jc w:val="center"/>
        <w:rPr>
          <w:rFonts w:ascii="方正小标宋_GBK" w:hAnsi="方正仿宋_GBK" w:eastAsia="方正小标宋_GBK" w:cs="方正仿宋_GBK"/>
          <w:kern w:val="0"/>
          <w:sz w:val="36"/>
          <w:szCs w:val="36"/>
          <w:shd w:val="clear" w:color="auto" w:fill="FFFFFF"/>
        </w:rPr>
      </w:pPr>
      <w:r>
        <w:rPr>
          <w:rFonts w:hint="eastAsia" w:ascii="方正小标宋_GBK" w:hAnsi="方正仿宋_GBK" w:eastAsia="方正小标宋_GBK" w:cs="方正仿宋_GBK"/>
          <w:kern w:val="0"/>
          <w:sz w:val="36"/>
          <w:szCs w:val="36"/>
          <w:shd w:val="clear" w:color="auto" w:fill="FFFFFF"/>
        </w:rPr>
        <w:t>奉节县平安乡人民政府</w:t>
      </w:r>
    </w:p>
    <w:p>
      <w:pPr>
        <w:spacing w:line="600" w:lineRule="exact"/>
        <w:ind w:firstLine="720" w:firstLineChars="200"/>
        <w:jc w:val="center"/>
        <w:rPr>
          <w:rFonts w:ascii="方正小标宋_GBK" w:hAnsi="方正仿宋_GBK" w:eastAsia="方正小标宋_GBK" w:cs="方正仿宋_GBK"/>
          <w:kern w:val="0"/>
          <w:sz w:val="36"/>
          <w:szCs w:val="36"/>
          <w:shd w:val="clear" w:color="auto" w:fill="FFFFFF"/>
        </w:rPr>
      </w:pPr>
      <w:r>
        <w:rPr>
          <w:rFonts w:hint="eastAsia" w:ascii="方正小标宋_GBK" w:hAnsi="方正仿宋_GBK" w:eastAsia="方正小标宋_GBK" w:cs="方正仿宋_GBK"/>
          <w:kern w:val="0"/>
          <w:sz w:val="36"/>
          <w:szCs w:val="36"/>
          <w:shd w:val="clear" w:color="auto" w:fill="FFFFFF"/>
        </w:rPr>
        <w:t>部门（单位）整体支出预算绩效自评报告</w:t>
      </w:r>
    </w:p>
    <w:p>
      <w:pPr>
        <w:autoSpaceDE w:val="0"/>
        <w:autoSpaceDN w:val="0"/>
        <w:adjustRightInd w:val="0"/>
        <w:spacing w:line="600" w:lineRule="exact"/>
        <w:ind w:firstLine="640"/>
        <w:jc w:val="left"/>
        <w:rPr>
          <w:rFonts w:ascii="方正仿宋_GBK" w:hAnsi="Times New Roman" w:eastAsia="方正仿宋_GBK" w:cs="Times New Roman"/>
          <w:color w:val="000000"/>
          <w:kern w:val="0"/>
          <w:sz w:val="24"/>
          <w:szCs w:val="24"/>
        </w:rPr>
      </w:pPr>
    </w:p>
    <w:p>
      <w:pPr>
        <w:ind w:firstLine="642" w:firstLineChars="200"/>
        <w:rPr>
          <w:rFonts w:ascii="方正仿宋_GBK" w:hAnsi="方正仿宋_GBK" w:eastAsia="方正仿宋_GBK" w:cs="方正仿宋_GBK"/>
          <w:b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一、单位概况</w:t>
      </w:r>
    </w:p>
    <w:p>
      <w:p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（一）基本情况</w:t>
      </w:r>
    </w:p>
    <w:p>
      <w:p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ascii="方正仿宋_GBK" w:hAnsi="方正仿宋_GBK" w:eastAsia="方正仿宋_GBK" w:cs="方正仿宋_GBK"/>
          <w:sz w:val="32"/>
          <w:szCs w:val="32"/>
        </w:rPr>
        <w:t>202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3年我单位预算编制范围包括：平安乡机关及所属事业单位、村社共计</w:t>
      </w:r>
      <w:r>
        <w:rPr>
          <w:rFonts w:ascii="方正仿宋_GBK" w:hAnsi="方正仿宋_GBK" w:eastAsia="方正仿宋_GBK" w:cs="方正仿宋_GBK"/>
          <w:sz w:val="32"/>
          <w:szCs w:val="32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8个单位。将全平安乡作为一级预算单位，具体为</w:t>
      </w:r>
      <w:r>
        <w:rPr>
          <w:rFonts w:ascii="方正仿宋_GBK" w:hAnsi="方正仿宋_GBK" w:eastAsia="方正仿宋_GBK" w:cs="方正仿宋_GBK"/>
          <w:sz w:val="32"/>
          <w:szCs w:val="32"/>
        </w:rPr>
        <w:t>平安乡党委、政府设置党政综合办事机构10个，事业单位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6</w:t>
      </w:r>
      <w:r>
        <w:rPr>
          <w:rFonts w:ascii="方正仿宋_GBK" w:hAnsi="方正仿宋_GBK" w:eastAsia="方正仿宋_GBK" w:cs="方正仿宋_GBK"/>
          <w:sz w:val="32"/>
          <w:szCs w:val="32"/>
        </w:rPr>
        <w:t>个：</w:t>
      </w:r>
      <w:r>
        <w:rPr>
          <w:rFonts w:hint="eastAsia" w:ascii="仿宋_GB2312" w:hAnsi="仿宋" w:eastAsia="仿宋_GB2312" w:cs="Times New Roman"/>
          <w:sz w:val="32"/>
          <w:szCs w:val="32"/>
        </w:rPr>
        <w:t>文化服务中心、农业服务中心、劳动就业和社会保障服务所、退役军人服务站、综合行政执法大队、特色产业发展中心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；</w:t>
      </w:r>
      <w:r>
        <w:rPr>
          <w:rFonts w:ascii="方正仿宋_GBK" w:hAnsi="方正仿宋_GBK" w:eastAsia="方正仿宋_GBK" w:cs="方正仿宋_GBK"/>
          <w:sz w:val="32"/>
          <w:szCs w:val="32"/>
        </w:rPr>
        <w:t>12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个村（社区）。我单位核定人员编制数为</w:t>
      </w:r>
      <w:r>
        <w:rPr>
          <w:rFonts w:ascii="方正仿宋_GBK" w:hAnsi="方正仿宋_GBK" w:eastAsia="方正仿宋_GBK" w:cs="方正仿宋_GBK"/>
          <w:sz w:val="32"/>
          <w:szCs w:val="32"/>
        </w:rPr>
        <w:t>54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人（其中行政编制</w:t>
      </w:r>
      <w:r>
        <w:rPr>
          <w:rFonts w:ascii="方正仿宋_GBK" w:hAnsi="方正仿宋_GBK" w:eastAsia="方正仿宋_GBK" w:cs="方正仿宋_GBK"/>
          <w:sz w:val="32"/>
          <w:szCs w:val="32"/>
        </w:rPr>
        <w:t>29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人，事业编制</w:t>
      </w:r>
      <w:r>
        <w:rPr>
          <w:rFonts w:ascii="方正仿宋_GBK" w:hAnsi="方正仿宋_GBK" w:eastAsia="方正仿宋_GBK" w:cs="方正仿宋_GBK"/>
          <w:sz w:val="32"/>
          <w:szCs w:val="32"/>
        </w:rPr>
        <w:t>25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人），实际在职在岗51人，遗属补助</w:t>
      </w:r>
      <w:r>
        <w:rPr>
          <w:rFonts w:ascii="方正仿宋_GBK" w:hAnsi="方正仿宋_GBK" w:eastAsia="方正仿宋_GBK" w:cs="方正仿宋_GBK"/>
          <w:sz w:val="32"/>
          <w:szCs w:val="32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人。公务用车编制数</w:t>
      </w:r>
      <w:r>
        <w:rPr>
          <w:rFonts w:ascii="方正仿宋_GBK" w:hAnsi="方正仿宋_GBK" w:eastAsia="方正仿宋_GBK" w:cs="方正仿宋_GBK"/>
          <w:sz w:val="32"/>
          <w:szCs w:val="32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台，实际</w:t>
      </w:r>
      <w:r>
        <w:rPr>
          <w:rFonts w:ascii="方正仿宋_GBK" w:hAnsi="方正仿宋_GBK" w:eastAsia="方正仿宋_GBK" w:cs="方正仿宋_GBK"/>
          <w:sz w:val="32"/>
          <w:szCs w:val="32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台。</w:t>
      </w:r>
    </w:p>
    <w:p>
      <w:pPr>
        <w:numPr>
          <w:ilvl w:val="0"/>
          <w:numId w:val="1"/>
        </w:num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基本职责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</w:t>
      </w:r>
      <w:r>
        <w:rPr>
          <w:rFonts w:ascii="方正仿宋_GBK" w:hAnsi="方正仿宋_GBK" w:eastAsia="方正仿宋_GBK" w:cs="方正仿宋_GBK"/>
          <w:sz w:val="32"/>
          <w:szCs w:val="32"/>
        </w:rPr>
        <w:t>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负责基层党建、纪检、组织人事、宣传、统战、机构编制、群团等职责。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</w:t>
      </w:r>
      <w:r>
        <w:rPr>
          <w:rFonts w:ascii="方正仿宋_GBK" w:hAnsi="方正仿宋_GBK" w:eastAsia="方正仿宋_GBK" w:cs="方正仿宋_GBK"/>
          <w:sz w:val="32"/>
          <w:szCs w:val="32"/>
        </w:rPr>
        <w:t>.负责综合协调、文秘、法制、武装、机要保密、政务公开、档案、机关后勤等职责。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</w:t>
      </w:r>
      <w:r>
        <w:rPr>
          <w:rFonts w:ascii="方正仿宋_GBK" w:hAnsi="方正仿宋_GBK" w:eastAsia="方正仿宋_GBK" w:cs="方正仿宋_GBK"/>
          <w:sz w:val="32"/>
          <w:szCs w:val="32"/>
        </w:rPr>
        <w:t>.负责经济发展规划、农村经营管理、工业和信息化、交通、水利、林业、商务、经济社会统计等职责。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4</w:t>
      </w:r>
      <w:r>
        <w:rPr>
          <w:rFonts w:ascii="方正仿宋_GBK" w:hAnsi="方正仿宋_GBK" w:eastAsia="方正仿宋_GBK" w:cs="方正仿宋_GBK"/>
          <w:sz w:val="32"/>
          <w:szCs w:val="32"/>
        </w:rPr>
        <w:t>.负责民政、教育、卫生健康、科技、文化旅游、体育、残疾人事业、劳动就业、社会保障、医疗保障、老龄事业发展等职责。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5</w:t>
      </w:r>
      <w:r>
        <w:rPr>
          <w:rFonts w:ascii="方正仿宋_GBK" w:hAnsi="方正仿宋_GBK" w:eastAsia="方正仿宋_GBK" w:cs="方正仿宋_GBK"/>
          <w:sz w:val="32"/>
          <w:szCs w:val="32"/>
        </w:rPr>
        <w:t>.负责信访、人民调解、社会治安综合治理、防范和处理邪教等职责。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6</w:t>
      </w:r>
      <w:r>
        <w:rPr>
          <w:rFonts w:ascii="方正仿宋_GBK" w:hAnsi="方正仿宋_GBK" w:eastAsia="方正仿宋_GBK" w:cs="方正仿宋_GBK"/>
          <w:sz w:val="32"/>
          <w:szCs w:val="32"/>
        </w:rPr>
        <w:t>.负责村乡规划、村乡建设、市政公用、市容环卫、生态环境保护、人居环境整治、物业管理等职责。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7</w:t>
      </w:r>
      <w:r>
        <w:rPr>
          <w:rFonts w:ascii="方正仿宋_GBK" w:hAnsi="方正仿宋_GBK" w:eastAsia="方正仿宋_GBK" w:cs="方正仿宋_GBK"/>
          <w:sz w:val="32"/>
          <w:szCs w:val="32"/>
        </w:rPr>
        <w:t>.负责财政收支、预决算、总会计、惠农资金兑换、财政资金监督检查、绩效评价、村级财务管理等职责。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8</w:t>
      </w:r>
      <w:r>
        <w:rPr>
          <w:rFonts w:ascii="方正仿宋_GBK" w:hAnsi="方正仿宋_GBK" w:eastAsia="方正仿宋_GBK" w:cs="方正仿宋_GBK"/>
          <w:sz w:val="32"/>
          <w:szCs w:val="32"/>
        </w:rPr>
        <w:t>.负责安全生产综合监管、应急管理、消防管理等职责，协助开展煤矿、非煤矿山、危险化学品、烟花爆竹等安全生产日常监管工作。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9</w:t>
      </w:r>
      <w:r>
        <w:rPr>
          <w:rFonts w:ascii="方正仿宋_GBK" w:hAnsi="方正仿宋_GBK" w:eastAsia="方正仿宋_GBK" w:cs="方正仿宋_GBK"/>
          <w:sz w:val="32"/>
          <w:szCs w:val="32"/>
        </w:rPr>
        <w:t>.负责贫困对象识别、扶贫开发项目管理、资金管理、信息统计和动态监测、统筹社会扶贫、产业扶贫、科技扶贫、就业扶贫、金融扶贫、宣传培训等扶贫开发工作职责。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</w:t>
      </w:r>
      <w:r>
        <w:rPr>
          <w:rFonts w:ascii="方正仿宋_GBK" w:hAnsi="方正仿宋_GBK" w:eastAsia="方正仿宋_GBK" w:cs="方正仿宋_GBK"/>
          <w:sz w:val="32"/>
          <w:szCs w:val="32"/>
        </w:rPr>
        <w:t>0.负责文化、教育等事业发展和公共服务工作。</w:t>
      </w:r>
    </w:p>
    <w:p>
      <w:p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（三）年度主要工作概述</w:t>
      </w:r>
    </w:p>
    <w:p>
      <w:pPr>
        <w:spacing w:line="540" w:lineRule="exact"/>
        <w:ind w:firstLine="640" w:firstLineChars="200"/>
        <w:jc w:val="left"/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这一年，我们坚定发展第一要务，勇于突破，综合实力显著增强。不断升级产业结构，新发展蔬菜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1000亩，中药材800亩，生猪养殖基地2个，肉牛养殖基地2个，肉兔养殖基地2个；新建夔门红泡椒加工厂、港宏中药材及保健茶加工厂、蜀香源肉串加工厂、厨煌腊肉加工厂等深加工企业4家；深度开发下川东红色旅游小镇、文昌田园等旅游资源，规划乡村“一日游”精品线路，全年共计接待游客3000余人次，间接带动农特产品销售50万多元。抓住项目建设“牛鼻子”，实施重点项目9个，总投资2200余万元，桃树等村抗旱保供工程项目等项目开工建设，双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店村人居环境整治项目、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2023年咏梧村产业提升项目如期建成，同步带动300余户群众受益，同步谋划2023年重点项目32个。做好市场主体培育，2023年，全乡市场主体新增企业82户，新增个体户115户，新增限上个体户4家，目前，平安乡“四上”企业共计4家，（工业企业3家、服务业1家），限上个体户5家，各类市场主体稳步增长，市场主体发展态势良好。大力开展招商引资，开展亲情招商、以商招商，积极整合各方资源，形成“全员参与、全员招商”的良好氛围，引进长坪村食用菌棒加工厂、重庆落菲特商贸有限公司，完成年度招商任务1.6亿元，实际到位资金8000万元。今年地区生产总值预计突破7.35亿元，较2021年增长7%，居民人均可支配收入达1.59万元，较2021年增长10%。</w:t>
      </w:r>
    </w:p>
    <w:p>
      <w:pPr>
        <w:spacing w:line="540" w:lineRule="exact"/>
        <w:ind w:firstLine="640" w:firstLineChars="200"/>
        <w:jc w:val="left"/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这一年，我们着力补齐短板弱项，攻坚克难，脱贫成果持续巩固。持续精准发力，推动巩固拓展脱贫攻坚成果同乡村振兴有效衔接。健全动态监测机制，及时发现问题、研判问题、解决问题，今年以来，全乡通过动态监测新纳入识别监测对象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9户24人，均第一时间纳入帮扶范围并精准制定帮扶措施。建立精准帮扶机制，建立“网格员+帮扶责任人+村干部+社长”的管理体系，107名网格员、217名帮扶责任人、59名村干部、50名社长常态化入户走访，精准落实“一户一策”帮扶措施，坚决守住不发生规模性返贫底线。落实217名县、乡、村三级帮扶联系干部与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脱贫户、监测户“结亲戚”，每月定期走访打卡，累计为帮扶户办理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800余件好事、实事，落实6家重点民营企业与735户脱贫户、64户监测户“结对子”，实现新增常年务工岗位208余个，新增50户农户土地流转216亩，户均增收5000余元。全年统筹安排三次大走访大排查大整改，累计走访排查5270户17367人，其中系统内脱贫户和监测户766户，一般农户4504户，排查问题56个，精准制定整改措施，共计新建水池2000方，改造房屋13户，医疗救助111户298250元，送教上门5人，实现“两不愁三保障”及饮水安全问题动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态清零。</w:t>
      </w:r>
    </w:p>
    <w:p>
      <w:pPr>
        <w:spacing w:line="540" w:lineRule="exact"/>
        <w:ind w:firstLine="640" w:firstLineChars="200"/>
        <w:jc w:val="left"/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这一年，我们强化人民至上理念，闻令而动，风险挑战有效化解。旱情火情疫情的三重考验来袭，平安乡全体党员干部齐心协力，共克时艰。面对极端高温天气，不发生森林火灾就是我们的工作方向，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300余名党员干部、护林员启动“白＋黑”模式，24小时不间断守卡，徒步开展巡山护林防火工作，及时发现并消除火灾隐患，以“时时放心不下”的责任感守护好平安13.67万亩绿水青山；落实应急分队24小时备勤，第一时间驰援兄弟乡镇—青莲救火现场，逆行而上、冲在一线、昼夜鏖战构筑火灾防线。面对百年不遇大旱，保障群众生产生活用水就是我们的工作目标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，出动送水车辆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60余台次，人工送水500余吨，集中铺设管道10000米，整修水池1个，新找水源3处，有效解决全乡1500余户5000余名群众用水问题。面对突如其来疫情，不发生规模性传播就是我们的工作责任，坚持“外防输入、动态清零”总体方针，精准落实防控措施，动员网格50个，网格员216人，志愿者200余名，从深夜战斗到黎明，统筹安排7轮全员核酸筛查，共计开展核酸检测37000余人次，落实114名重点人员、相关人群集中转运、居家隔离，落实卡口专人24小时值班值守，严格落实社会面管控，用责任和担当打赢这场硬仗，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最大限度保护全乡人民生命健康安全。</w:t>
      </w:r>
    </w:p>
    <w:p>
      <w:pPr>
        <w:spacing w:line="540" w:lineRule="exact"/>
        <w:ind w:firstLine="640" w:firstLineChars="200"/>
        <w:jc w:val="left"/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这一年，我们聚力打造美丽平安，建管并举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, 乡村建设全面提升。扎实推进美丽乡村建设，认真执行农村乱占耕地问题整改，累计进行耕地保护问题整改12处，深入贯彻“绿水青山就是金山银山”理念，扎实推进国家级“两山”基地创建工作，今年完成全市“两山论”实践创新基地命名。实施农村住房品质提升工程，开展美丽庭院创建，争取市级专项资金1000万元，完成双店村134户人居环境整治项目，弥补双店村公共基础设施、农房院落、环境综合等方面的不足；完善农村环境卫生基础设施，新增10处四分类垃圾集中清运点，25处两分类垃圾集中收集点，发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放分类垃圾桶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260个，新建公共厕所一个，选聘公益性岗位保洁员全面清理主干道沿线及场镇周边白色垃圾、乱堆乱码等，统一调度垃圾车清运垃圾，实现生活垃圾集中收运。此外，建成平安社区便民停车场，新增停车位30余个，启用5组智能交通违法抓拍系统，实现场镇交通秩序整治不断升级。</w:t>
      </w:r>
    </w:p>
    <w:p>
      <w:pPr>
        <w:spacing w:line="540" w:lineRule="exact"/>
        <w:ind w:firstLine="640" w:firstLineChars="200"/>
        <w:jc w:val="left"/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这一年，我们坚持聚焦创新突破，先试先行，试点创建异彩纷呈。按照县委“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6+8+20”试点格局创建工作部署，扎实推动试点创建工作，充分发挥引领带动作用。构建试点线路，以“川东游击队（奉节）特色旅游小镇”、“文昌田园”为品牌，建设周末游、夏令营基地，全力打造“面上有亮点，处处是美景”的网红打卡地，和“奉节非去不可地”，规划精品红色研学路线。打造试点乡镇，深入开展“文旅融合”“三变改革”试点，以村集体经济为依托，盘活农村资源、资产、资金，创新农民收入增长机制，持续探索农文旅深度融合，不断提升发展水平，争创全县标杆。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创立试点村（社区），立足党的建设、乡村振兴、文旅融合、三变改革、民主法治建设等重点内容全面推进文昌村试点创建，召开工作会议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2次，制作展板3块、大型宣传标语2幅，更新便民联系卡100余份，建设政协委员活动站1个，完善统战工作制度4个，制定先进评比方案，开展先进评比47名（户），全力打造有引领、有产业、有效益、有治理、有文化的“五有”示范村。</w:t>
      </w:r>
    </w:p>
    <w:p>
      <w:pPr>
        <w:spacing w:line="540" w:lineRule="exact"/>
        <w:ind w:firstLine="640" w:firstLineChars="200"/>
        <w:jc w:val="left"/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这一年，我们坚守底线综合施策，以人为本，民生福祉持续增进。以群众期盼为第一信号，办好民生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  <w:lang w:val="en-US" w:eastAsia="zh-CN"/>
        </w:rPr>
        <w:t>实事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，进一步提高群众的获得感和幸福感。累计发放特困供养、孤儿生活保障、临时救助、低保救助、高龄补贴、残疾人补贴等资金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3821918元，惠及1257人次，开展“一事一议”特殊医疗救助4次，困难群众基本实现生活有保障；强化基本医疗保障，实现城乡居民基本医疗保障2684名脱贫人员及182名监测人员全部参保，实现重点人群参保率100%，一般农户参保率95%以上，确保应保尽保；组织开展职业技能培训9场，覆盖300余人，开展“一对一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”就业帮扶，逐渐消除就业困难，开发公益性岗位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371个，做好兜底安置工作；着力推进民生项目，投资275万元，建设平安乡桃树等村抗旱保供工程项目，保障桃树村、长坪村、和平村653户2650人的生活用水水源；推进新时代文明实践站建设，全年开展“全民阅读日”“全民健身”等文化娱乐活动16次，群众精神文化进一步丰富。</w:t>
      </w:r>
    </w:p>
    <w:p>
      <w:pPr>
        <w:spacing w:line="540" w:lineRule="exact"/>
        <w:ind w:firstLine="640" w:firstLineChars="200"/>
        <w:jc w:val="left"/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这一年，我们做实做足“绣花功夫”，先行探索，基层治理更加精细。探索基层治理新模式，增强全乡社会治理能力，提高社会管理服务水平。以文昌村试点创建为切口，以点带面，全面提升，深入推进基层治理“六个一”工作法，着力形成一套的可复制、可推广成功经验，将议事厅搬到田间地头，打造“铜钱树议事点”等议事平台，先后开展议事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 xml:space="preserve">50余件，真正实现民事“民议、民定、民管、民享”；规范建成“妇女之家”“儿童之家”及“青少年之家”，成立志愿者队伍3支，设定宣传教育、纠纷调解、帮扶救助等16个特色志愿服务项目，累计组织开展志愿服务2000余小时；进一步在全乡范围推广“1442”工作法，坚持党建作为基层治理工作的1个引领，充分利用“四访”工作法、新时代文明实践、群众自治组织、网格管理4个载体，党员示范、干部引领、乡贤助推、群众参与4个依靠，最终实现乡风文明和治理有效2个目标。 </w:t>
      </w:r>
    </w:p>
    <w:p>
      <w:pPr>
        <w:spacing w:line="540" w:lineRule="exact"/>
        <w:ind w:firstLine="640" w:firstLineChars="200"/>
        <w:jc w:val="left"/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这一年，我们持续加强风险监测，真抓落实，社会大局和谐稳定。始终把平安建设作为保障群众安居乐业的治本工程，着力维护社会稳定。建立健全信访工作责任制及乡领导接访制度，着力推动信访问题解决，全年共计收到群众来信来访、民生诉求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54件次，办结54件次，办结率100%，有效解决补助补偿、财产纠纷等实际困难31个，同时，“民生之声”解决问题140个，满意度达到100%；深入实施重大历史遗留问题清零行动，排查重点群体3个，重点人员4人，大小历史遗留问题5类39个，逐一研判，有效化解；毫不松懈抓实安全稳定，建立“日报告、周研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判、月检查”机制，全年共检查重点单位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122家（次），排查安全隐患148处，检查车辆2600余辆，劝导、查处交通违规违法行为143起，查处非法液化罐配送站1处，完成变型拖拉机清零工作，最大限度消除安全隐患，圆满完成党的二十大安保维稳等任务，推动全乡安全生产形势持续向好，实现“零上访、零事故、零恶性案件”的三零目标，2021年12月，平安乡荣获“全国平安建设先进集体”。</w:t>
      </w:r>
    </w:p>
    <w:p>
      <w:pPr>
        <w:spacing w:line="540" w:lineRule="exact"/>
        <w:ind w:firstLine="640" w:firstLineChars="200"/>
        <w:jc w:val="left"/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这一年，我们不断突出自身建设，强基固本，行政效能不断提高。坚持党对政府工作的全面领导，深化政府自身建设。建设学习型政府，提高政治站位，全年开展集中学习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12次，持续运用“学习强国”、奉节微党建等平台开展分散学习，深入学习贯彻党的十九届历次全会精神、党的二十大精神及习近平总书记一系列重要讲话精神，提升解决实际问题的能力和水平；建设法治型政府，严格执行“三重一大”民主决策机制、做到科学、民主、依法决策，大力推进政务公开，全年公开政府事项100余条，自觉接受乡人大及社会各界的工作监督，高度重视社会舆论监督，让政府权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力在阳光下运行；建设务实型政府，开展作风建设，持续整治庸懒散奢等不良风气，持续激励干部担当作为，强化公共服务和社会管理职能，努力为企业及群众提供更加优质的服务；建设廉洁型政府，加强纪律建设，预防和惩治腐败，严格执行中央八项规定精神，坚守法纪红线，大力推进预算决算公开，严格控制一般性支出，持续压减“三公”经费，切实降低行政成本。</w:t>
      </w:r>
    </w:p>
    <w:p>
      <w:pPr>
        <w:spacing w:line="540" w:lineRule="exact"/>
        <w:ind w:firstLine="640" w:firstLineChars="200"/>
        <w:jc w:val="left"/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（四）绩效目标</w:t>
      </w:r>
    </w:p>
    <w:p>
      <w:pPr>
        <w:spacing w:line="540" w:lineRule="exact"/>
        <w:ind w:firstLine="640" w:firstLineChars="200"/>
        <w:jc w:val="left"/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整体支出绩效目标申报及年中追加支出绩效目标情况：年初预算下达了整体支出绩效目标，由于年中追加了预算，对整体支出绩效目标进行了调整，我单位根据调整后的整体支出绩效目标开展了自评。</w:t>
      </w:r>
    </w:p>
    <w:p>
      <w:pPr>
        <w:spacing w:line="540" w:lineRule="exact"/>
        <w:ind w:firstLine="640" w:firstLineChars="200"/>
        <w:jc w:val="left"/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（五）年度预决算情况</w:t>
      </w:r>
    </w:p>
    <w:p>
      <w:pPr>
        <w:spacing w:line="540" w:lineRule="exact"/>
        <w:ind w:firstLine="640" w:firstLineChars="200"/>
        <w:jc w:val="left"/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我单位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2023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年初预算总收入为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1390.95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万元，年中追加收入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1265.37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万元，全年总收入为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2590.03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万元；全年总支出为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2590.03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万元，其中：基本支出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1,414.97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万元（工资福利支出952.20万元、商品和服务支出309.86万元、对个人和家庭的补助499.68万元），项目支出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1,175.06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万元。</w:t>
      </w:r>
    </w:p>
    <w:p>
      <w:pPr>
        <w:spacing w:line="540" w:lineRule="exact"/>
        <w:ind w:firstLine="640" w:firstLineChars="200"/>
        <w:jc w:val="left"/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1、年初预算收入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1390.95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万元，其中：财政拨款收入年初预算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1390.95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万元（一般公共预算收入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1390.95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万元，政府基金预算收入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0.00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万元，国有资本经营收入预算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0.00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万元，社保基金预算收入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0.00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万元，其他收入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0.00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万元），年中追加专项资金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1199.08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万元（一般公共预算收入551.4万元，政府基金预算收入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647.68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万元，国有资本经营收入预算0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.00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万元，社保基金预算收入0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.00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万元，其他收入0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.00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万元），共计收入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2590.03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万元。</w:t>
      </w:r>
    </w:p>
    <w:p>
      <w:pPr>
        <w:spacing w:line="540" w:lineRule="exact"/>
        <w:ind w:firstLine="640" w:firstLineChars="200"/>
        <w:jc w:val="left"/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2、年初预算支出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1390.95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万元，基本支出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1,414.97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万元（工资福利支出952.20万元、商品和服务支出309.86万元、对个人和家庭的补助499.68万元），项目支出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1,175.06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万元；年中追加专项支出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1199.08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万元，共计支出为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2590.03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万元。</w:t>
      </w:r>
    </w:p>
    <w:p>
      <w:pPr>
        <w:ind w:firstLine="642" w:firstLineChars="200"/>
        <w:rPr>
          <w:rFonts w:ascii="方正仿宋_GBK" w:hAnsi="方正仿宋_GBK" w:eastAsia="方正仿宋_GBK" w:cs="方正仿宋_GBK"/>
          <w:b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二、整体支出管理及使用情况</w:t>
      </w:r>
    </w:p>
    <w:p>
      <w:p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（一）基本支出：</w:t>
      </w:r>
      <w:r>
        <w:rPr>
          <w:rFonts w:ascii="方正仿宋_GBK" w:hAnsi="方正仿宋_GBK" w:eastAsia="方正仿宋_GBK" w:cs="方正仿宋_GBK"/>
          <w:sz w:val="32"/>
          <w:szCs w:val="32"/>
        </w:rPr>
        <w:t>2023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年度我乡基本支出</w:t>
      </w:r>
      <w:r>
        <w:rPr>
          <w:rFonts w:ascii="方正仿宋_GBK" w:hAnsi="方正仿宋_GBK" w:eastAsia="方正仿宋_GBK" w:cs="方正仿宋_GBK"/>
          <w:sz w:val="32"/>
          <w:szCs w:val="32"/>
        </w:rPr>
        <w:t>1,148.85</w:t>
      </w:r>
      <w:r>
        <w:rPr>
          <w:rFonts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万元，其中：人员支出</w:t>
      </w:r>
      <w:r>
        <w:rPr>
          <w:rFonts w:ascii="方正仿宋_GBK" w:hAnsi="方正仿宋_GBK" w:eastAsia="方正仿宋_GBK" w:cs="方正仿宋_GBK"/>
          <w:sz w:val="32"/>
          <w:szCs w:val="32"/>
        </w:rPr>
        <w:t>951.32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万元，公用支出</w:t>
      </w:r>
      <w:r>
        <w:t>197.53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ascii="方正仿宋_GBK" w:hAnsi="方正仿宋_GBK" w:eastAsia="方正仿宋_GBK" w:cs="方正仿宋_GBK"/>
          <w:sz w:val="32"/>
          <w:szCs w:val="32"/>
        </w:rPr>
        <w:t>2023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年“三公”经费支出</w:t>
      </w:r>
      <w:r>
        <w:rPr>
          <w:rFonts w:hint="eastAsia" w:ascii="仿宋_GB2312" w:hAnsi="仿宋" w:eastAsia="仿宋_GB2312"/>
          <w:sz w:val="32"/>
          <w:szCs w:val="32"/>
        </w:rPr>
        <w:t>7.05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万元（预算为8万元），同比去年减少45.26%。其中：公务接待费0万元（预算为0万元），同比去年减少100%，公务用车运行维护费</w:t>
      </w:r>
      <w:r>
        <w:rPr>
          <w:rFonts w:ascii="方正仿宋_GBK" w:hAnsi="方正仿宋_GBK" w:eastAsia="方正仿宋_GBK" w:cs="方正仿宋_GBK"/>
          <w:sz w:val="32"/>
          <w:szCs w:val="32"/>
        </w:rPr>
        <w:t>7.0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5万元（预算为8</w:t>
      </w:r>
      <w:r>
        <w:rPr>
          <w:rFonts w:ascii="方正仿宋_GBK" w:hAnsi="方正仿宋_GBK" w:eastAsia="方正仿宋_GBK" w:cs="方正仿宋_GBK"/>
          <w:sz w:val="32"/>
          <w:szCs w:val="32"/>
        </w:rPr>
        <w:t>.00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万元），同比去年减少0.14%，政府采购完成0</w:t>
      </w:r>
      <w:r>
        <w:rPr>
          <w:rFonts w:ascii="方正仿宋_GBK" w:hAnsi="方正仿宋_GBK" w:eastAsia="方正仿宋_GBK" w:cs="方正仿宋_GBK"/>
          <w:sz w:val="32"/>
          <w:szCs w:val="32"/>
        </w:rPr>
        <w:t>.00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万元（预算为</w:t>
      </w:r>
      <w:r>
        <w:rPr>
          <w:rFonts w:ascii="方正仿宋_GBK" w:hAnsi="方正仿宋_GBK" w:eastAsia="方正仿宋_GBK" w:cs="方正仿宋_GBK"/>
          <w:sz w:val="32"/>
          <w:szCs w:val="32"/>
        </w:rPr>
        <w:t>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万元），与上年持平。</w:t>
      </w:r>
    </w:p>
    <w:p>
      <w:p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（二）项目支出：</w:t>
      </w:r>
      <w:r>
        <w:rPr>
          <w:rFonts w:ascii="方正仿宋_GBK" w:hAnsi="方正仿宋_GBK" w:eastAsia="方正仿宋_GBK" w:cs="方正仿宋_GBK"/>
          <w:sz w:val="32"/>
          <w:szCs w:val="32"/>
        </w:rPr>
        <w:t>2023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年财政拨款项目支出</w:t>
      </w:r>
      <w:r>
        <w:rPr>
          <w:rFonts w:ascii="方正仿宋_GBK" w:hAnsi="方正仿宋_GBK" w:eastAsia="方正仿宋_GBK" w:cs="方正仿宋_GBK"/>
          <w:sz w:val="32"/>
          <w:szCs w:val="32"/>
        </w:rPr>
        <w:t>1,175.06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万元（其中：一般公共服务支出65.17万元，社会保障和就业支36.28万元，节能环保支出132.13万元，农林水支出281.3万元，灾害防治及应急管理支出12.5万元）。 </w:t>
      </w:r>
    </w:p>
    <w:p>
      <w:pPr>
        <w:ind w:firstLine="642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三、整体支出绩效情况</w:t>
      </w:r>
    </w:p>
    <w:p>
      <w:p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（一）财务管理制度建设情况：资金拨付严格按程序申报、审批，做到无审批不支出，无预算不列支，合理合规使用资金，确保财政资金安全。</w:t>
      </w:r>
    </w:p>
    <w:p>
      <w:pPr>
        <w:spacing w:line="56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（二）资产管理：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资产管理方面，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严格按照《重庆市市级行政事业单位国有资产处置管理办法》（渝财资产〔2013〕43号）规定，每年年末对资产进行清理，新购资产时向财政部门、主管部门申请，批复后再进行资产采购，并在资产管理系统中登记，按照要求及时报送资产情况报表，确保各项资产核算准确、帐实相符、管理到位；资产处置报财政部门、主管部门审批，办理资产报废手续，进行资产清理，处置收入上缴市级国库。无随意处置现象发生。</w:t>
      </w:r>
    </w:p>
    <w:p>
      <w:pPr>
        <w:ind w:firstLine="640" w:firstLineChars="200"/>
        <w:rPr>
          <w:rFonts w:ascii="方正仿宋_GBK" w:hAnsi="Times New Roman" w:eastAsia="方正仿宋_GBK" w:cs="Times New Roman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（三）预决算公开：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在县人民政府门户网站上按时进行了预决算公开。</w:t>
      </w:r>
    </w:p>
    <w:p>
      <w:p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（四）“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三公”经费控制情况：严格遵守各项规章制度，严控“三公”经费支出，2023年“三公”经费减少，并及时在县人民政府门户网站上对“三公”经费情况进行公示。</w:t>
      </w:r>
    </w:p>
    <w:p>
      <w:p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（五）政府采购情况：我单位2023年政府采购发生额为0.9万元。</w:t>
      </w:r>
    </w:p>
    <w:p>
      <w:pPr>
        <w:numPr>
          <w:ilvl w:val="0"/>
          <w:numId w:val="2"/>
        </w:numPr>
        <w:rPr>
          <w:rFonts w:ascii="黑体" w:hAnsi="宋体" w:eastAsia="黑体" w:cs="黑体"/>
          <w:color w:val="000000"/>
          <w:sz w:val="32"/>
          <w:szCs w:val="32"/>
        </w:rPr>
      </w:pPr>
      <w:r>
        <w:rPr>
          <w:rFonts w:ascii="黑体" w:hAnsi="宋体" w:eastAsia="黑体" w:cs="黑体"/>
          <w:color w:val="000000"/>
          <w:sz w:val="32"/>
          <w:szCs w:val="32"/>
        </w:rPr>
        <w:t>评价结论</w:t>
      </w:r>
      <w:r>
        <w:rPr>
          <w:rFonts w:hint="eastAsia" w:ascii="黑体" w:hAnsi="宋体" w:eastAsia="黑体" w:cs="黑体"/>
          <w:color w:val="000000"/>
          <w:sz w:val="32"/>
          <w:szCs w:val="32"/>
        </w:rPr>
        <w:t>及分析</w:t>
      </w:r>
    </w:p>
    <w:p>
      <w:p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通过认真开展单位整体支出绩效目标自评，综合评分</w:t>
      </w:r>
      <w:r>
        <w:rPr>
          <w:rFonts w:ascii="方正仿宋_GBK" w:hAnsi="方正仿宋_GBK" w:eastAsia="方正仿宋_GBK" w:cs="方正仿宋_GBK"/>
          <w:sz w:val="32"/>
          <w:szCs w:val="32"/>
        </w:rPr>
        <w:t>96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分，评价结果为优。</w:t>
      </w:r>
    </w:p>
    <w:p>
      <w:pPr>
        <w:ind w:left="64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（一）经济性分析</w:t>
      </w:r>
    </w:p>
    <w:p>
      <w:p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执行绩效评价体系，从以下几个方面提升了我单位的绩效工作：一是要加大支出管理。严格执行公务接待、公车管理及差旅费、会议费管理，坚持厉行节约，努力降低财政运行成本。二是严格预算约束做好增收节支，极力控制非生产性支出，降低行政运行成本，严肃财经纪律，坚决反对铺张浪费。三是加强预算执行，建立健全财政资金使用管理办法，促进资金使用效益；四是积极化解存量债务，严控政府性债务风险。</w:t>
      </w:r>
    </w:p>
    <w:p>
      <w:pPr>
        <w:ind w:left="64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（二）效率性分析</w:t>
      </w:r>
    </w:p>
    <w:p>
      <w:pPr>
        <w:ind w:left="64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2023年，通过财政资金绩效管理，加强了对财政资金使</w:t>
      </w:r>
    </w:p>
    <w:p>
      <w:pPr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用的过程监督和成效监管，切实提高了财政资金使用效率。</w:t>
      </w:r>
    </w:p>
    <w:p>
      <w:pPr>
        <w:ind w:left="64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（三）效益性分析</w:t>
      </w:r>
    </w:p>
    <w:p>
      <w:p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ascii="方正仿宋_GBK" w:hAnsi="方正仿宋_GBK" w:eastAsia="方正仿宋_GBK" w:cs="方正仿宋_GBK"/>
          <w:sz w:val="32"/>
          <w:szCs w:val="32"/>
        </w:rPr>
        <w:t>2023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，我单位的绩效评价工作在平安乡党委、政府的坚强领导下，在乡纪委的监督指导下，在社会各界的大力支持下，深入挖掘增收潜力，坚持稳增长、调结构、促改革、惠民生、防风险，各项支出得到较好保障，为建设“山水镶嵌，边贸羊市”提供了坚强保障。</w:t>
      </w:r>
    </w:p>
    <w:p>
      <w:pPr>
        <w:ind w:firstLine="642" w:firstLineChars="200"/>
        <w:rPr>
          <w:rFonts w:ascii="方正仿宋_GBK" w:hAnsi="方正仿宋_GBK" w:eastAsia="方正仿宋_GBK" w:cs="方正仿宋_GBK"/>
          <w:b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五、存在的问题</w:t>
      </w:r>
    </w:p>
    <w:p>
      <w:p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我单位公务卡使用率较低，主要原因：一是持卡人消费意识不高，公务卡还款需要一定期限，单位职工报销票据需要一定期限，存在“万一不按时还款”“忘记还款”“影响征信”等心理；二是乡乡公务卡受理环境设限，公务卡使用需要救助P</w:t>
      </w:r>
      <w:r>
        <w:rPr>
          <w:rFonts w:ascii="方正仿宋_GBK" w:hAnsi="方正仿宋_GBK" w:eastAsia="方正仿宋_GBK" w:cs="方正仿宋_GBK"/>
          <w:sz w:val="32"/>
          <w:szCs w:val="32"/>
        </w:rPr>
        <w:t>OS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机等设备，但乡乡部分供应商没有配备P</w:t>
      </w:r>
      <w:r>
        <w:rPr>
          <w:rFonts w:ascii="方正仿宋_GBK" w:hAnsi="方正仿宋_GBK" w:eastAsia="方正仿宋_GBK" w:cs="方正仿宋_GBK"/>
          <w:sz w:val="32"/>
          <w:szCs w:val="32"/>
        </w:rPr>
        <w:t>OS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刷卡设备。</w:t>
      </w:r>
    </w:p>
    <w:p>
      <w:p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（二）我单位政府采购执行率较低，主要原因是2023年我单位政府采购无法集中，单笔采购或者批量采购未达到1</w:t>
      </w:r>
      <w:r>
        <w:rPr>
          <w:rFonts w:ascii="方正仿宋_GBK" w:hAnsi="方正仿宋_GBK" w:eastAsia="方正仿宋_GBK" w:cs="方正仿宋_GBK"/>
          <w:sz w:val="32"/>
          <w:szCs w:val="32"/>
        </w:rPr>
        <w:t>.00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万元及以上，再加上单位政府采购意识不强，觉得政府采购程序繁杂。</w:t>
      </w:r>
    </w:p>
    <w:p>
      <w:pPr>
        <w:ind w:firstLine="642" w:firstLineChars="200"/>
        <w:rPr>
          <w:rFonts w:ascii="方正仿宋_GBK" w:hAnsi="方正仿宋_GBK" w:eastAsia="方正仿宋_GBK" w:cs="方正仿宋_GBK"/>
          <w:b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六、改进措施和有关建议</w:t>
      </w:r>
    </w:p>
    <w:p>
      <w:p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（一）细化预算编制工作，进一步加强内设机构的预算管理意识，严格按照预算编制的相关制度和要求进行预算编制。</w:t>
      </w:r>
    </w:p>
    <w:p>
      <w:p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加强财务管理，严格财务审核。加强单位财务管理，健全单位财务管理制度体系，规范单位财务行为。在费用报账支付时，按照预算规定的费用项目和用途进行资金使用审核、财务严格核算，杜绝超支现象的发生。</w:t>
      </w:r>
    </w:p>
    <w:p>
      <w:p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（三）合理安排会计岗位，适当增加会计人员，增加业务知识培训，加强决算工作与账务处理工作衔接。</w:t>
      </w:r>
    </w:p>
    <w:p>
      <w:pPr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ind w:firstLine="5440" w:firstLineChars="1700"/>
        <w:jc w:val="right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ind w:firstLine="4000" w:firstLineChars="1250"/>
        <w:jc w:val="righ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奉节县平安乡人民政府</w:t>
      </w:r>
    </w:p>
    <w:p>
      <w:pPr>
        <w:ind w:firstLine="4320" w:firstLineChars="1350"/>
        <w:jc w:val="right"/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</w:t>
      </w:r>
      <w:r>
        <w:rPr>
          <w:rFonts w:ascii="方正仿宋_GBK" w:hAnsi="方正仿宋_GBK" w:eastAsia="方正仿宋_GBK" w:cs="方正仿宋_GBK"/>
          <w:sz w:val="32"/>
          <w:szCs w:val="32"/>
        </w:rPr>
        <w:t>02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4年</w:t>
      </w:r>
      <w:r>
        <w:rPr>
          <w:rFonts w:ascii="方正仿宋_GBK" w:hAnsi="方正仿宋_GBK" w:eastAsia="方正仿宋_GBK" w:cs="方正仿宋_GBK"/>
          <w:sz w:val="32"/>
          <w:szCs w:val="32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ascii="方正仿宋_GBK" w:hAnsi="方正仿宋_GBK" w:eastAsia="方正仿宋_GBK" w:cs="方正仿宋_GBK"/>
          <w:sz w:val="32"/>
          <w:szCs w:val="32"/>
        </w:rPr>
        <w:t>29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D5631E"/>
    <w:multiLevelType w:val="singleLevel"/>
    <w:tmpl w:val="EBD5631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F74EA2E"/>
    <w:multiLevelType w:val="singleLevel"/>
    <w:tmpl w:val="6F74EA2E"/>
    <w:lvl w:ilvl="0" w:tentative="0">
      <w:start w:val="4"/>
      <w:numFmt w:val="chineseCounting"/>
      <w:suff w:val="nothing"/>
      <w:lvlText w:val="%1、"/>
      <w:lvlJc w:val="left"/>
      <w:pPr>
        <w:ind w:left="640" w:firstLine="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FjNjNiNTE0ZDczODA0MWM5Y2UwOTYwOTU4ZDFmMWEifQ=="/>
  </w:docVars>
  <w:rsids>
    <w:rsidRoot w:val="00E76675"/>
    <w:rsid w:val="00013B6F"/>
    <w:rsid w:val="00042239"/>
    <w:rsid w:val="00093A41"/>
    <w:rsid w:val="00106B82"/>
    <w:rsid w:val="00151491"/>
    <w:rsid w:val="0018371D"/>
    <w:rsid w:val="00205DF7"/>
    <w:rsid w:val="0027698B"/>
    <w:rsid w:val="00286129"/>
    <w:rsid w:val="00286B1E"/>
    <w:rsid w:val="002B5D7D"/>
    <w:rsid w:val="002E74AE"/>
    <w:rsid w:val="002F7834"/>
    <w:rsid w:val="0033771C"/>
    <w:rsid w:val="00350769"/>
    <w:rsid w:val="00355160"/>
    <w:rsid w:val="00380897"/>
    <w:rsid w:val="003972B5"/>
    <w:rsid w:val="003D5B69"/>
    <w:rsid w:val="003E2A06"/>
    <w:rsid w:val="003E7BBB"/>
    <w:rsid w:val="00420FCA"/>
    <w:rsid w:val="0042419B"/>
    <w:rsid w:val="00455DDE"/>
    <w:rsid w:val="004B325C"/>
    <w:rsid w:val="004F6515"/>
    <w:rsid w:val="00554F08"/>
    <w:rsid w:val="00555E01"/>
    <w:rsid w:val="005627AE"/>
    <w:rsid w:val="0059196E"/>
    <w:rsid w:val="005A0A6C"/>
    <w:rsid w:val="005D69C3"/>
    <w:rsid w:val="005F4CFC"/>
    <w:rsid w:val="00602F34"/>
    <w:rsid w:val="0061340E"/>
    <w:rsid w:val="00625F75"/>
    <w:rsid w:val="00662375"/>
    <w:rsid w:val="00672C0F"/>
    <w:rsid w:val="00681E38"/>
    <w:rsid w:val="00697F47"/>
    <w:rsid w:val="006A3900"/>
    <w:rsid w:val="006D4043"/>
    <w:rsid w:val="006E3BB2"/>
    <w:rsid w:val="006F0652"/>
    <w:rsid w:val="0072097F"/>
    <w:rsid w:val="00737046"/>
    <w:rsid w:val="0074264C"/>
    <w:rsid w:val="0079699B"/>
    <w:rsid w:val="007B407E"/>
    <w:rsid w:val="007D6753"/>
    <w:rsid w:val="007D7BB6"/>
    <w:rsid w:val="0081688D"/>
    <w:rsid w:val="00820D04"/>
    <w:rsid w:val="00821515"/>
    <w:rsid w:val="00851192"/>
    <w:rsid w:val="00857500"/>
    <w:rsid w:val="0085789E"/>
    <w:rsid w:val="00880AF6"/>
    <w:rsid w:val="0088602F"/>
    <w:rsid w:val="00887D0E"/>
    <w:rsid w:val="008A21D9"/>
    <w:rsid w:val="008D0A27"/>
    <w:rsid w:val="00910471"/>
    <w:rsid w:val="00926B93"/>
    <w:rsid w:val="00951CF7"/>
    <w:rsid w:val="00971428"/>
    <w:rsid w:val="00984E79"/>
    <w:rsid w:val="009B7ADE"/>
    <w:rsid w:val="009E71C0"/>
    <w:rsid w:val="00A16E83"/>
    <w:rsid w:val="00A46455"/>
    <w:rsid w:val="00A51274"/>
    <w:rsid w:val="00A5791D"/>
    <w:rsid w:val="00AA6B3C"/>
    <w:rsid w:val="00AD57B7"/>
    <w:rsid w:val="00B850FE"/>
    <w:rsid w:val="00BA75D7"/>
    <w:rsid w:val="00C02CD6"/>
    <w:rsid w:val="00C22E66"/>
    <w:rsid w:val="00C33215"/>
    <w:rsid w:val="00C617C5"/>
    <w:rsid w:val="00C62BB1"/>
    <w:rsid w:val="00C82074"/>
    <w:rsid w:val="00C9630B"/>
    <w:rsid w:val="00CE0CF5"/>
    <w:rsid w:val="00CE456B"/>
    <w:rsid w:val="00CF475A"/>
    <w:rsid w:val="00D01D8F"/>
    <w:rsid w:val="00D17AE4"/>
    <w:rsid w:val="00D26BE3"/>
    <w:rsid w:val="00D333B9"/>
    <w:rsid w:val="00D4204B"/>
    <w:rsid w:val="00D548A0"/>
    <w:rsid w:val="00D84EA7"/>
    <w:rsid w:val="00D91AB1"/>
    <w:rsid w:val="00D92EF5"/>
    <w:rsid w:val="00DA4807"/>
    <w:rsid w:val="00DD707A"/>
    <w:rsid w:val="00DE0514"/>
    <w:rsid w:val="00DE336D"/>
    <w:rsid w:val="00DF0488"/>
    <w:rsid w:val="00E06599"/>
    <w:rsid w:val="00E06675"/>
    <w:rsid w:val="00E12EAD"/>
    <w:rsid w:val="00E278F6"/>
    <w:rsid w:val="00E66945"/>
    <w:rsid w:val="00E754A2"/>
    <w:rsid w:val="00E76675"/>
    <w:rsid w:val="00E90D1D"/>
    <w:rsid w:val="00EE7FFB"/>
    <w:rsid w:val="00F22D24"/>
    <w:rsid w:val="00F26F5C"/>
    <w:rsid w:val="00F63E2F"/>
    <w:rsid w:val="00FC2C0E"/>
    <w:rsid w:val="00FE781E"/>
    <w:rsid w:val="00FF1568"/>
    <w:rsid w:val="741A298A"/>
    <w:rsid w:val="FEC74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qFormat="1"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link w:val="13"/>
    <w:qFormat/>
    <w:uiPriority w:val="0"/>
    <w:pPr>
      <w:spacing w:after="120"/>
    </w:pPr>
    <w:rPr>
      <w:szCs w:val="24"/>
    </w:rPr>
  </w:style>
  <w:style w:type="paragraph" w:styleId="4">
    <w:name w:val="toc 5"/>
    <w:basedOn w:val="1"/>
    <w:next w:val="1"/>
    <w:semiHidden/>
    <w:unhideWhenUsed/>
    <w:qFormat/>
    <w:uiPriority w:val="39"/>
    <w:pPr>
      <w:ind w:left="1680" w:leftChars="800"/>
    </w:p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line="600" w:lineRule="exact"/>
      <w:jc w:val="left"/>
    </w:pPr>
    <w:rPr>
      <w:rFonts w:ascii="Calibri" w:hAnsi="Calibri" w:eastAsia="方正仿宋_GBK" w:cs="Times New Roman"/>
      <w:kern w:val="0"/>
      <w:sz w:val="24"/>
    </w:rPr>
  </w:style>
  <w:style w:type="character" w:customStyle="1" w:styleId="10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2">
    <w:name w:val="标题 1 Char"/>
    <w:basedOn w:val="9"/>
    <w:link w:val="2"/>
    <w:qFormat/>
    <w:uiPriority w:val="0"/>
    <w:rPr>
      <w:rFonts w:ascii="宋体" w:hAnsi="宋体" w:eastAsia="宋体" w:cs="Times New Roman"/>
      <w:b/>
      <w:bCs/>
      <w:kern w:val="44"/>
      <w:sz w:val="48"/>
      <w:szCs w:val="48"/>
    </w:rPr>
  </w:style>
  <w:style w:type="character" w:customStyle="1" w:styleId="13">
    <w:name w:val="正文文本 Char"/>
    <w:basedOn w:val="9"/>
    <w:link w:val="3"/>
    <w:qFormat/>
    <w:uiPriority w:val="0"/>
    <w:rPr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6553</Words>
  <Characters>7065</Characters>
  <Lines>50</Lines>
  <Paragraphs>14</Paragraphs>
  <TotalTime>1</TotalTime>
  <ScaleCrop>false</ScaleCrop>
  <LinksUpToDate>false</LinksUpToDate>
  <CharactersWithSpaces>7068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2024-03-28T19:59:00Z</dcterms:created>
  <dc:creator>Administrator</dc:creator>
  <cp:lastModifiedBy>guest</cp:lastModifiedBy>
  <dcterms:modified xsi:type="dcterms:W3CDTF">2024-12-20T14:13:35Z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7B0C626F85EC418BB0B385E2A2600181_12</vt:lpwstr>
  </property>
</Properties>
</file>