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2021年优抚抚恤（“解三难”）市级补助资金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解三难资金预算6万元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高镇退役军人服务站针对解三难资金使用如下：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解三难资金：2021年下拨了6万元“解三难”补助资金已全部投入使用。我镇根据“解三难”补助资金使用要求制定专项方案，对生活困难、医疗困难、住房困难的优抚对象摸底调查后分门别类建立台账，登记建档，掌握重点对象存在的突出困难，按照“老的对象重点解决，困难大的对象优先解决，一般对象分批解决”原则，经党委会研究后予以实施，共计对60人次符合条件对象进行慰问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按政策规范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由镇财政进行管理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已按要求对符合条件的对象给予救助。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（1）数量指标。救助人数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（2）质量指标。补助准确率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（3）时效指标。发放及时率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（4）成本指标。补助标准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（2）社会效益。退役军人“三难”人员生活水平明显提升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受益人满意度94%。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32"/>
          <w:szCs w:val="32"/>
          <w:lang w:val="en-US" w:eastAsia="zh-CN"/>
        </w:rPr>
        <w:t>发放及时率为95%，受益人满意度为94%，略有偏差，下一步将对资金发放时限严格要求，提高受益群众满意度。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32"/>
          <w:szCs w:val="32"/>
          <w:lang w:val="en-US" w:eastAsia="zh-CN"/>
        </w:rPr>
        <w:t>在政务公开和村（居）务公示栏进行公开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附件：绩效目标自评表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B0300000000000000"/>
    <w:charset w:val="86"/>
    <w:family w:val="auto"/>
    <w:pitch w:val="default"/>
    <w:sig w:usb0="00000001" w:usb1="080F1810" w:usb2="00000016" w:usb3="00000000" w:csb0="00060007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F1028"/>
    <w:multiLevelType w:val="singleLevel"/>
    <w:tmpl w:val="B7EF102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1EA4A7"/>
    <w:multiLevelType w:val="singleLevel"/>
    <w:tmpl w:val="F51EA4A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73CA185F"/>
    <w:rsid w:val="257F49F1"/>
    <w:rsid w:val="2A794340"/>
    <w:rsid w:val="3D86156E"/>
    <w:rsid w:val="4B8F70DD"/>
    <w:rsid w:val="4E2B7C0D"/>
    <w:rsid w:val="536C6455"/>
    <w:rsid w:val="73CA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741</Words>
  <Characters>766</Characters>
  <Lines>0</Lines>
  <Paragraphs>0</Paragraphs>
  <TotalTime>12</TotalTime>
  <ScaleCrop>false</ScaleCrop>
  <LinksUpToDate>false</LinksUpToDate>
  <CharactersWithSpaces>775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2021-05-17T02:34:00Z</dcterms:created>
  <dc:creator>我家有~xi</dc:creator>
  <cp:lastModifiedBy>ge</cp:lastModifiedBy>
  <dcterms:modified xsi:type="dcterms:W3CDTF">2023-08-23T03:16:06Z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22CB132B18CC46BDA43CA3240969462A</vt:lpwstr>
  </property>
</Properties>
</file>