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奉节县甲高镇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2020年农业救灾资金项目支出自评报告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县财政下达项目绩效目标情况。奉节县财政局《关于下达2</w:t>
      </w:r>
      <w:r>
        <w:rPr>
          <w:rFonts w:ascii="方正仿宋_GBK" w:hAnsi="方正仿宋_GBK" w:cs="方正仿宋_GBK"/>
          <w:szCs w:val="32"/>
        </w:rPr>
        <w:t>020年农业救灾资金</w:t>
      </w:r>
      <w:r>
        <w:rPr>
          <w:rFonts w:hint="eastAsia" w:ascii="方正仿宋_GBK" w:hAnsi="方正仿宋_GBK" w:cs="方正仿宋_GBK"/>
          <w:szCs w:val="32"/>
        </w:rPr>
        <w:t>的通知》（奉节财农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ascii="仿宋_GB2312" w:hAnsi="仿宋_GB2312" w:eastAsia="仿宋_GB2312" w:cs="仿宋_GB2312"/>
          <w:szCs w:val="32"/>
        </w:rPr>
        <w:t>187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财政共拨款1</w:t>
      </w:r>
      <w:r>
        <w:rPr>
          <w:rFonts w:ascii="方正仿宋_GBK" w:hAnsi="方正仿宋_GBK" w:cs="方正仿宋_GBK"/>
          <w:szCs w:val="32"/>
        </w:rPr>
        <w:t>0万元，项目已完成。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项目实施，可解决120名贫困农户稳定就业，带动周边贫困户发展水稻种植，同时，通过对水稻绿色高质高效生产，丰富市场供应品种，满足市场需求，调节市场供给，平抑水稻市场价格，提高居民幸福指数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（1）数量指标。解决120名农户稳定就业。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（2）质量指标。稳定就业，发展水稻。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完成及时率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98%</w:t>
      </w:r>
      <w:r>
        <w:rPr>
          <w:rFonts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（1）经济效益。解决辖区内稳定就业。</w:t>
      </w:r>
    </w:p>
    <w:p>
      <w:pPr>
        <w:widowControl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（2）社会效益。平抑辖区内水稻市场价格。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（3）生态效益。水稻绿色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高质量发展。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（4）可持续影响。带动周边农户发展。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3.满意度指标完成情况分析。农户满意度9</w:t>
      </w:r>
      <w:r>
        <w:rPr>
          <w:rFonts w:ascii="方正仿宋_GBK" w:hAnsi="方正仿宋_GBK" w:cs="方正仿宋_GBK"/>
          <w:szCs w:val="32"/>
        </w:rPr>
        <w:t>0%以上。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98.8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为优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完成及时率为98%，下一步将加大对项目进展的督查。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3E221E65"/>
    <w:rsid w:val="002B03C1"/>
    <w:rsid w:val="00416638"/>
    <w:rsid w:val="004671C4"/>
    <w:rsid w:val="00D2217A"/>
    <w:rsid w:val="00EE4D03"/>
    <w:rsid w:val="04AC3C76"/>
    <w:rsid w:val="16C5106F"/>
    <w:rsid w:val="3E221E65"/>
    <w:rsid w:val="6EE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518</Words>
  <Characters>540</Characters>
  <Lines>4</Lines>
  <Paragraphs>1</Paragraphs>
  <TotalTime>18</TotalTime>
  <ScaleCrop>false</ScaleCrop>
  <LinksUpToDate>false</LinksUpToDate>
  <CharactersWithSpaces>541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ge</cp:lastModifiedBy>
  <dcterms:modified xsi:type="dcterms:W3CDTF">2023-08-23T02:30:32Z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069EB4DA1ED442D1A9305852304D1C53</vt:lpwstr>
  </property>
</Properties>
</file>