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jc w:val="center"/>
        <w:textAlignment w:val="baseline"/>
        <w:rPr>
          <w:rFonts w:ascii="微软雅黑" w:hAnsi="微软雅黑" w:eastAsia="微软雅黑"/>
          <w:color w:val="000000"/>
          <w:sz w:val="21"/>
          <w:szCs w:val="21"/>
        </w:rPr>
      </w:pPr>
      <w:r>
        <w:rPr>
          <w:rFonts w:hint="eastAsia" w:ascii="方正小标宋_GBK" w:eastAsia="方正小标宋_GBK" w:cs="宋体" w:hAnsiTheme="minorEastAsia"/>
          <w:w w:val="90"/>
          <w:kern w:val="0"/>
          <w:sz w:val="44"/>
          <w:szCs w:val="44"/>
          <w:lang w:val="en-US" w:eastAsia="zh-CN" w:bidi="ar-SA"/>
        </w:rPr>
        <w:t>鹤峰乡青杠村乡匠农耕产业园建设项目绩效自评总结报告</w:t>
      </w:r>
    </w:p>
    <w:p>
      <w:pPr>
        <w:pStyle w:val="4"/>
        <w:shd w:val="clear" w:color="auto" w:fill="FFFFFF"/>
        <w:spacing w:before="0" w:beforeAutospacing="0" w:after="0" w:afterAutospacing="0"/>
        <w:jc w:val="center"/>
        <w:textAlignment w:val="baseline"/>
        <w:rPr>
          <w:rFonts w:hint="eastAsia" w:ascii="微软雅黑" w:hAnsi="微软雅黑" w:eastAsia="微软雅黑"/>
          <w:color w:val="000000"/>
          <w:sz w:val="21"/>
          <w:szCs w:val="21"/>
        </w:rPr>
      </w:pPr>
      <w:r>
        <w:rPr>
          <w:rStyle w:val="7"/>
          <w:rFonts w:hint="eastAsia"/>
          <w:color w:val="000000"/>
          <w:sz w:val="44"/>
          <w:szCs w:val="44"/>
        </w:rPr>
        <w:t> </w:t>
      </w:r>
    </w:p>
    <w:p>
      <w:pPr>
        <w:pStyle w:val="4"/>
        <w:shd w:val="clear" w:color="auto" w:fill="FFFFFF"/>
        <w:spacing w:before="0" w:beforeAutospacing="0" w:after="0" w:afterAutospacing="0"/>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一、绩效目标分解下达情况</w:t>
      </w:r>
    </w:p>
    <w:p>
      <w:pPr>
        <w:pStyle w:val="4"/>
        <w:shd w:val="clear" w:color="auto" w:fill="FFFFFF"/>
        <w:spacing w:before="0" w:beforeAutospacing="0" w:after="0" w:afterAutospacing="0"/>
        <w:ind w:firstLine="315"/>
        <w:jc w:val="both"/>
        <w:textAlignment w:val="baseline"/>
        <w:rPr>
          <w:rFonts w:hint="eastAsia" w:ascii="方正楷体_GBK" w:hAnsi="方正楷体_GBK" w:eastAsia="方正楷体_GBK" w:cs="方正楷体_GBK"/>
          <w:color w:val="000000"/>
          <w:sz w:val="21"/>
          <w:szCs w:val="21"/>
        </w:rPr>
      </w:pPr>
      <w:r>
        <w:rPr>
          <w:rFonts w:hint="eastAsia" w:ascii="方正楷体_GBK" w:hAnsi="方正楷体_GBK" w:eastAsia="方正楷体_GBK" w:cs="方正楷体_GBK"/>
          <w:color w:val="000000"/>
          <w:sz w:val="32"/>
          <w:szCs w:val="32"/>
        </w:rPr>
        <w:t>（一）财政</w:t>
      </w:r>
      <w:r>
        <w:rPr>
          <w:rFonts w:hint="eastAsia" w:ascii="方正楷体_GBK" w:hAnsi="方正楷体_GBK" w:eastAsia="方正楷体_GBK" w:cs="方正楷体_GBK"/>
          <w:color w:val="000000"/>
          <w:sz w:val="32"/>
          <w:szCs w:val="32"/>
          <w:lang w:val="en-US" w:eastAsia="zh-CN"/>
        </w:rPr>
        <w:t>衔接</w:t>
      </w:r>
      <w:r>
        <w:rPr>
          <w:rFonts w:hint="eastAsia" w:ascii="方正楷体_GBK" w:hAnsi="方正楷体_GBK" w:eastAsia="方正楷体_GBK" w:cs="方正楷体_GBK"/>
          <w:color w:val="000000"/>
          <w:sz w:val="32"/>
          <w:szCs w:val="32"/>
        </w:rPr>
        <w:t>资金下达预算及项目情况。</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方正仿宋_GBK" w:eastAsia="方正仿宋_GBK" w:cs="宋体" w:hAnsiTheme="minorEastAsia"/>
          <w:kern w:val="0"/>
          <w:sz w:val="32"/>
          <w:szCs w:val="32"/>
          <w:lang w:val="en-US" w:eastAsia="zh-CN"/>
        </w:rPr>
      </w:pPr>
      <w:r>
        <w:rPr>
          <w:rFonts w:hint="eastAsia" w:ascii="方正仿宋_GBK" w:eastAsia="方正仿宋_GBK" w:cs="宋体" w:hAnsiTheme="minorEastAsia"/>
          <w:kern w:val="0"/>
          <w:sz w:val="32"/>
          <w:szCs w:val="32"/>
          <w:lang w:val="en-US" w:eastAsia="zh-CN" w:bidi="ar-SA"/>
        </w:rPr>
        <w:t xml:space="preserve">    奉节县财政局《关于下达2022年第一批衔接资金项目建设资金计划的通知》（</w:t>
      </w:r>
      <w:r>
        <w:rPr>
          <w:rFonts w:hint="default" w:ascii="方正仿宋_GBK" w:eastAsia="方正仿宋_GBK" w:cs="宋体" w:hAnsiTheme="minorEastAsia"/>
          <w:kern w:val="0"/>
          <w:sz w:val="32"/>
          <w:szCs w:val="32"/>
          <w:lang w:val="en-US" w:eastAsia="zh-CN" w:bidi="ar-SA"/>
        </w:rPr>
        <w:t>奉节财</w:t>
      </w:r>
      <w:r>
        <w:rPr>
          <w:rFonts w:hint="default" w:ascii="Times New Roman" w:hAnsi="Times New Roman" w:eastAsia="方正仿宋_GBK" w:cs="Times New Roman"/>
          <w:color w:val="000000"/>
          <w:sz w:val="32"/>
          <w:szCs w:val="32"/>
        </w:rPr>
        <w:t>农[2021]350号</w:t>
      </w:r>
      <w:r>
        <w:rPr>
          <w:rFonts w:hint="eastAsia" w:ascii="方正仿宋_GBK" w:eastAsia="方正仿宋_GBK" w:cs="宋体" w:hAnsiTheme="minorEastAsia"/>
          <w:kern w:val="0"/>
          <w:sz w:val="32"/>
          <w:szCs w:val="32"/>
          <w:lang w:val="en-US" w:eastAsia="zh-CN"/>
        </w:rPr>
        <w:t>）下达鹤峰乡</w:t>
      </w:r>
      <w:r>
        <w:rPr>
          <w:rFonts w:hint="eastAsia" w:ascii="方正仿宋_GBK" w:eastAsia="方正仿宋_GBK" w:cs="宋体" w:hAnsiTheme="minorEastAsia"/>
          <w:kern w:val="0"/>
          <w:sz w:val="32"/>
          <w:szCs w:val="32"/>
          <w:lang w:val="en-US" w:eastAsia="zh-CN" w:bidi="ar-SA"/>
        </w:rPr>
        <w:t>2022年第一批衔接资金</w:t>
      </w:r>
      <w:r>
        <w:rPr>
          <w:rFonts w:hint="eastAsia" w:ascii="方正仿宋_GBK" w:eastAsia="方正仿宋_GBK" w:cs="宋体" w:hAnsiTheme="minorEastAsia"/>
          <w:kern w:val="0"/>
          <w:sz w:val="32"/>
          <w:szCs w:val="32"/>
          <w:lang w:val="en-US" w:eastAsia="zh-CN"/>
        </w:rPr>
        <w:t>150万元。鹤峰乡青杠村乡匠农耕产业园建设项目建设内容主要为建设传统农耕工匠房（包括木匠房、杂糖房、篾匠房等）及相关设备采购，打造智慧监控系统，硬化产业路，场坪建设，排水沟和管网等人居环境整治。</w:t>
      </w:r>
    </w:p>
    <w:p>
      <w:pPr>
        <w:pStyle w:val="4"/>
        <w:shd w:val="clear" w:color="auto" w:fill="FFFFFF"/>
        <w:spacing w:before="0" w:beforeAutospacing="0" w:after="0" w:afterAutospacing="0"/>
        <w:ind w:firstLine="320" w:firstLineChars="100"/>
        <w:jc w:val="both"/>
        <w:textAlignment w:val="baseline"/>
        <w:rPr>
          <w:rFonts w:hint="eastAsia" w:ascii="方正楷体_GBK" w:hAnsi="方正楷体_GBK" w:eastAsia="方正楷体_GBK" w:cs="方正楷体_GBK"/>
          <w:color w:val="000000"/>
          <w:sz w:val="21"/>
          <w:szCs w:val="21"/>
        </w:rPr>
      </w:pPr>
      <w:r>
        <w:rPr>
          <w:rFonts w:hint="eastAsia" w:ascii="方正楷体_GBK" w:hAnsi="方正楷体_GBK" w:eastAsia="方正楷体_GBK" w:cs="方正楷体_GBK"/>
          <w:color w:val="000000"/>
          <w:sz w:val="32"/>
          <w:szCs w:val="32"/>
        </w:rPr>
        <w:t>（二）财政</w:t>
      </w:r>
      <w:r>
        <w:rPr>
          <w:rFonts w:hint="eastAsia" w:ascii="方正楷体_GBK" w:hAnsi="方正楷体_GBK" w:eastAsia="方正楷体_GBK" w:cs="方正楷体_GBK"/>
          <w:color w:val="000000"/>
          <w:sz w:val="32"/>
          <w:szCs w:val="32"/>
          <w:lang w:val="en-US" w:eastAsia="zh-CN"/>
        </w:rPr>
        <w:t>衔接</w:t>
      </w:r>
      <w:r>
        <w:rPr>
          <w:rFonts w:hint="eastAsia" w:ascii="方正楷体_GBK" w:hAnsi="方正楷体_GBK" w:eastAsia="方正楷体_GBK" w:cs="方正楷体_GBK"/>
          <w:color w:val="000000"/>
          <w:sz w:val="32"/>
          <w:szCs w:val="32"/>
        </w:rPr>
        <w:t>资金项目绩效目标设定情况。</w:t>
      </w:r>
    </w:p>
    <w:p>
      <w:pPr>
        <w:pStyle w:val="4"/>
        <w:shd w:val="clear" w:color="auto" w:fill="FFFFFF"/>
        <w:spacing w:before="0" w:beforeAutospacing="0" w:after="0" w:afterAutospacing="0"/>
        <w:ind w:firstLine="640" w:firstLineChars="200"/>
        <w:jc w:val="both"/>
        <w:textAlignment w:val="baseline"/>
        <w:rPr>
          <w:rFonts w:hint="eastAsia" w:ascii="方正仿宋_GBK" w:eastAsia="方正仿宋_GBK" w:cs="宋体" w:hAnsiTheme="minorEastAsia"/>
          <w:kern w:val="0"/>
          <w:sz w:val="32"/>
          <w:szCs w:val="32"/>
          <w:lang w:val="en-US" w:eastAsia="zh-CN"/>
        </w:rPr>
      </w:pPr>
      <w:r>
        <w:rPr>
          <w:rFonts w:hint="eastAsia" w:ascii="方正仿宋_GBK" w:eastAsia="方正仿宋_GBK" w:cs="宋体" w:hAnsiTheme="minorEastAsia"/>
          <w:kern w:val="0"/>
          <w:sz w:val="32"/>
          <w:szCs w:val="32"/>
          <w:lang w:val="en-US" w:eastAsia="zh-CN"/>
        </w:rPr>
        <w:t>项目实施可使青杠村10人人均增加收入3000元，其中贫困户8人。本项目建成后，一是能有效推进鹤峰乡文旅融合发展，进一步推进产业振兴，带动8户已脱贫户和监测户经济增收；二是有效改善群众人居环境，提高群众生活质量。</w:t>
      </w:r>
    </w:p>
    <w:p>
      <w:pPr>
        <w:pStyle w:val="4"/>
        <w:shd w:val="clear" w:color="auto" w:fill="FFFFFF"/>
        <w:spacing w:before="0" w:beforeAutospacing="0" w:after="0" w:afterAutospacing="0"/>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二、绩效自评工作开展情况</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2023年3月由项目管理小组会同工程监督小组对</w:t>
      </w:r>
      <w:r>
        <w:rPr>
          <w:rFonts w:hint="eastAsia" w:ascii="方正仿宋_GBK" w:eastAsia="方正仿宋_GBK" w:cs="宋体" w:hAnsiTheme="minorEastAsia"/>
          <w:kern w:val="0"/>
          <w:sz w:val="32"/>
          <w:szCs w:val="32"/>
          <w:lang w:val="en-US" w:eastAsia="zh-CN"/>
        </w:rPr>
        <w:t>鹤峰乡青杠村乡匠农耕产业园建设项目进行绩效自评，自评内容包括总体目标、产出指标、效益指标和满意度指标。</w:t>
      </w:r>
    </w:p>
    <w:p>
      <w:pPr>
        <w:pStyle w:val="4"/>
        <w:shd w:val="clear" w:color="auto" w:fill="FFFFFF"/>
        <w:spacing w:before="0" w:beforeAutospacing="0" w:after="0" w:afterAutospacing="0"/>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三、绩效目标自评完成情况分析</w:t>
      </w:r>
    </w:p>
    <w:p>
      <w:pPr>
        <w:pStyle w:val="4"/>
        <w:shd w:val="clear" w:color="auto" w:fill="FFFFFF"/>
        <w:spacing w:before="0" w:beforeAutospacing="0" w:after="0" w:afterAutospacing="0"/>
        <w:jc w:val="both"/>
        <w:textAlignment w:val="baseline"/>
        <w:rPr>
          <w:rFonts w:hint="eastAsia" w:ascii="微软雅黑" w:hAnsi="微软雅黑" w:eastAsia="微软雅黑"/>
          <w:color w:val="000000"/>
          <w:sz w:val="21"/>
          <w:szCs w:val="21"/>
        </w:rPr>
      </w:pPr>
      <w:r>
        <w:rPr>
          <w:rStyle w:val="7"/>
          <w:rFonts w:hint="eastAsia"/>
          <w:color w:val="000000"/>
          <w:sz w:val="32"/>
          <w:szCs w:val="32"/>
        </w:rPr>
        <w:t xml:space="preserve">  </w:t>
      </w:r>
      <w:r>
        <w:rPr>
          <w:rFonts w:hint="eastAsia" w:ascii="方正楷体_GBK" w:hAnsi="方正楷体_GBK" w:eastAsia="方正楷体_GBK" w:cs="方正楷体_GBK"/>
          <w:color w:val="000000"/>
          <w:sz w:val="32"/>
          <w:szCs w:val="32"/>
        </w:rPr>
        <w:t>（一）资金投入情况分析。</w:t>
      </w:r>
    </w:p>
    <w:p>
      <w:pPr>
        <w:pStyle w:val="4"/>
        <w:shd w:val="clear" w:color="auto" w:fill="FFFFFF"/>
        <w:spacing w:before="0" w:beforeAutospacing="0" w:after="0" w:afterAutospacing="0"/>
        <w:ind w:firstLine="645"/>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w:t>
      </w:r>
      <w:r>
        <w:rPr>
          <w:rFonts w:hint="eastAsia" w:ascii="方正仿宋_GBK" w:hAnsi="方正仿宋_GBK" w:eastAsia="方正仿宋_GBK" w:cs="方正仿宋_GBK"/>
          <w:color w:val="000000"/>
          <w:sz w:val="32"/>
          <w:szCs w:val="32"/>
        </w:rPr>
        <w:t>项目资金到位情况</w:t>
      </w:r>
      <w:r>
        <w:rPr>
          <w:rFonts w:hint="eastAsia" w:ascii="方正仿宋_GBK" w:hAnsi="方正仿宋_GBK" w:eastAsia="方正仿宋_GBK" w:cs="方正仿宋_GBK"/>
          <w:color w:val="000000"/>
          <w:sz w:val="32"/>
          <w:szCs w:val="32"/>
          <w:lang w:eastAsia="zh-CN"/>
        </w:rPr>
        <w:t>：县财政局下达资金</w:t>
      </w:r>
      <w:r>
        <w:rPr>
          <w:rFonts w:hint="eastAsia" w:ascii="方正仿宋_GBK" w:hAnsi="方正仿宋_GBK" w:eastAsia="方正仿宋_GBK" w:cs="方正仿宋_GBK"/>
          <w:color w:val="000000"/>
          <w:sz w:val="32"/>
          <w:szCs w:val="32"/>
          <w:lang w:val="en-US" w:eastAsia="zh-CN"/>
        </w:rPr>
        <w:t>150万元。</w:t>
      </w:r>
    </w:p>
    <w:p>
      <w:pPr>
        <w:pStyle w:val="4"/>
        <w:shd w:val="clear" w:color="auto" w:fill="FFFFFF"/>
        <w:spacing w:before="0" w:beforeAutospacing="0" w:after="0" w:afterAutospacing="0"/>
        <w:ind w:firstLine="645"/>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2.项目资金执行情况：截止现在，已拨付145.86万元。</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3.项目资金管理情况：专项资金专项管理。</w:t>
      </w:r>
    </w:p>
    <w:p>
      <w:pPr>
        <w:pStyle w:val="4"/>
        <w:shd w:val="clear" w:color="auto" w:fill="FFFFFF"/>
        <w:spacing w:before="0" w:beforeAutospacing="0" w:after="0" w:afterAutospacing="0"/>
        <w:jc w:val="both"/>
        <w:textAlignment w:val="baseline"/>
        <w:rPr>
          <w:rFonts w:hint="eastAsia" w:ascii="微软雅黑" w:hAnsi="微软雅黑" w:eastAsia="微软雅黑"/>
          <w:color w:val="000000"/>
          <w:sz w:val="21"/>
          <w:szCs w:val="21"/>
        </w:rPr>
      </w:pPr>
      <w:r>
        <w:rPr>
          <w:rStyle w:val="7"/>
          <w:rFonts w:hint="eastAsia"/>
          <w:color w:val="000000"/>
          <w:sz w:val="32"/>
          <w:szCs w:val="32"/>
        </w:rPr>
        <w:t xml:space="preserve">  </w:t>
      </w:r>
      <w:r>
        <w:rPr>
          <w:rFonts w:hint="eastAsia" w:ascii="方正楷体_GBK" w:hAnsi="方正楷体_GBK" w:eastAsia="方正楷体_GBK" w:cs="方正楷体_GBK"/>
          <w:color w:val="000000"/>
          <w:sz w:val="32"/>
          <w:szCs w:val="32"/>
        </w:rPr>
        <w:t>（二）绩效项目完成情况分析。</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1.产出效益情况：</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数量指标：建设传统农耕工匠房（包括木匠房、杂糖房、篾匠房等）及相关设备采购，打造智慧监控系统，硬化产业路，场坪建设，排水沟和管网等人居环境整治。</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质量指标：工程合格率100%。</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时效指标 ：项目完工及时率100%。</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成本指标：实际投资控制在概算范围内。</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2.效果情况</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经济效益：带动增加脱贫人口收入0.3万元。</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社会效益：受益脱贫户和监测户8人。</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可持续影响：工程设计使用年限≥10年。</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3.满意度情况</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 服务对象满意度≥95%</w:t>
      </w:r>
    </w:p>
    <w:p>
      <w:pPr>
        <w:pStyle w:val="4"/>
        <w:shd w:val="clear" w:color="auto" w:fill="FFFFFF"/>
        <w:spacing w:before="0" w:beforeAutospacing="0" w:after="0" w:afterAutospacing="0"/>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四、偏离绩效目标的原因和下一步改进措施</w:t>
      </w:r>
    </w:p>
    <w:p>
      <w:pPr>
        <w:pStyle w:val="4"/>
        <w:shd w:val="clear" w:color="auto" w:fill="FFFFFF"/>
        <w:spacing w:before="0" w:beforeAutospacing="0" w:after="0" w:afterAutospacing="0"/>
        <w:ind w:firstLine="645"/>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无偏离</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yYTBkYTRiZjM1NzNlNmU2MTEwYTc3NWQ2NmYyNzkifQ=="/>
  </w:docVars>
  <w:rsids>
    <w:rsidRoot w:val="0086732C"/>
    <w:rsid w:val="0086732C"/>
    <w:rsid w:val="0090526A"/>
    <w:rsid w:val="00D91F70"/>
    <w:rsid w:val="00FE3FE2"/>
    <w:rsid w:val="12DE2474"/>
    <w:rsid w:val="364E6E84"/>
    <w:rsid w:val="51D81308"/>
    <w:rsid w:val="5C61344F"/>
    <w:rsid w:val="6BD17E25"/>
    <w:rsid w:val="7D4E7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745</Words>
  <Characters>796</Characters>
  <Lines>2</Lines>
  <Paragraphs>1</Paragraphs>
  <TotalTime>1</TotalTime>
  <ScaleCrop>false</ScaleCrop>
  <LinksUpToDate>false</LinksUpToDate>
  <CharactersWithSpaces>807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2021-11-15T03:04:00Z</dcterms:created>
  <dc:creator>tian lina</dc:creator>
  <cp:lastModifiedBy>kxdn</cp:lastModifiedBy>
  <cp:lastPrinted>2023-04-06T07:31:44Z</cp:lastPrinted>
  <dcterms:modified xsi:type="dcterms:W3CDTF">2023-04-06T07:32:37Z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B5B35F8DEDE44F87BE66504053942F30_13</vt:lpwstr>
  </property>
</Properties>
</file>