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jc w:val="center"/>
        <w:textAlignment w:val="auto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冯坪乡2019年度新一轮退耕还林工程（第三年）第二批补助</w:t>
      </w:r>
      <w:r>
        <w:rPr>
          <w:rFonts w:hint="eastAsia" w:ascii="方正小标宋_GBK" w:eastAsia="方正小标宋_GBK"/>
          <w:sz w:val="36"/>
          <w:szCs w:val="36"/>
        </w:rPr>
        <w:t>项目绩效自评报告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 w:line="600" w:lineRule="exact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</w:rPr>
        <w:t>一、绩效目标分解下达情况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 w:cs="Times New Roman"/>
          <w:sz w:val="24"/>
          <w:szCs w:val="24"/>
          <w:lang w:val="en-US" w:eastAsia="zh-CN"/>
        </w:rPr>
      </w:pP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2021年，根据奉节财农[2021]140号文件，县财政拨付2019年度新一轮退耕还林工程（第三年）第二批补助资金</w:t>
      </w:r>
      <w:r>
        <w:rPr>
          <w:rFonts w:hint="eastAsia" w:ascii="方正仿宋_GBK" w:eastAsia="方正仿宋_GBK" w:cs="Times New Roman"/>
          <w:sz w:val="24"/>
          <w:szCs w:val="24"/>
          <w:lang w:eastAsia="zh-CN"/>
        </w:rPr>
        <w:t>总额共计</w:t>
      </w:r>
      <w:r>
        <w:rPr>
          <w:rFonts w:hint="eastAsia" w:ascii="方正仿宋_GBK" w:eastAsia="方正仿宋_GBK" w:cs="Times New Roman"/>
          <w:sz w:val="24"/>
          <w:szCs w:val="24"/>
          <w:lang w:val="en-US" w:eastAsia="zh-CN"/>
        </w:rPr>
        <w:t>8.238万元，同时同步下达了绩效目标，根据冯坪乡实际情况，该项目由奉节县冯坪乡人民政府申请并实施，完成本乡2019年新一轮退耕还林工程（第三年）第二批补助兑现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二、绩效目标完成情况分析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eastAsia="zh-CN"/>
        </w:rPr>
      </w:pPr>
      <w:r>
        <w:rPr>
          <w:rFonts w:hint="eastAsia" w:ascii="方正仿宋_GBK" w:eastAsia="方正仿宋_GBK"/>
          <w:sz w:val="24"/>
          <w:szCs w:val="24"/>
        </w:rPr>
        <w:t>（一）资金</w:t>
      </w:r>
      <w:r>
        <w:rPr>
          <w:rFonts w:hint="eastAsia" w:ascii="方正仿宋_GBK" w:eastAsia="方正仿宋_GBK"/>
          <w:sz w:val="24"/>
          <w:szCs w:val="24"/>
          <w:lang w:eastAsia="zh-CN"/>
        </w:rPr>
        <w:t>投入</w:t>
      </w:r>
      <w:r>
        <w:rPr>
          <w:rFonts w:hint="eastAsia" w:ascii="方正仿宋_GBK" w:eastAsia="方正仿宋_GBK"/>
          <w:sz w:val="24"/>
          <w:szCs w:val="24"/>
        </w:rPr>
        <w:t>情况</w:t>
      </w:r>
      <w:r>
        <w:rPr>
          <w:rFonts w:hint="eastAsia" w:ascii="方正仿宋_GBK" w:eastAsia="方正仿宋_GBK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eastAsia="方正仿宋_GBK"/>
          <w:sz w:val="24"/>
          <w:szCs w:val="24"/>
          <w:lang w:val="en-US" w:eastAsia="zh-CN"/>
        </w:rPr>
      </w:pPr>
      <w:r>
        <w:rPr>
          <w:rFonts w:hint="eastAsia" w:ascii="方正仿宋_GBK" w:eastAsia="方正仿宋_GBK"/>
          <w:sz w:val="24"/>
          <w:szCs w:val="24"/>
          <w:lang w:eastAsia="zh-CN"/>
        </w:rPr>
        <w:t>该项目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2019</w:t>
      </w:r>
      <w:r>
        <w:rPr>
          <w:rFonts w:hint="eastAsia" w:ascii="方正仿宋_GBK" w:eastAsia="方正仿宋_GBK"/>
          <w:sz w:val="24"/>
          <w:szCs w:val="24"/>
          <w:lang w:eastAsia="zh-CN"/>
        </w:rPr>
        <w:t>年度县财政应拨付（第三年）补助资金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8.238</w:t>
      </w:r>
      <w:r>
        <w:rPr>
          <w:rFonts w:hint="eastAsia" w:ascii="方正仿宋_GBK" w:eastAsia="方正仿宋_GBK"/>
          <w:sz w:val="24"/>
          <w:szCs w:val="24"/>
          <w:lang w:eastAsia="zh-CN"/>
        </w:rPr>
        <w:t>万元，我乡应通过银行打款给庙坝社区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36</w:t>
      </w:r>
      <w:r>
        <w:rPr>
          <w:rFonts w:hint="eastAsia" w:ascii="方正仿宋_GBK" w:eastAsia="方正仿宋_GBK"/>
          <w:sz w:val="24"/>
          <w:szCs w:val="24"/>
          <w:lang w:eastAsia="zh-CN"/>
        </w:rPr>
        <w:t>户（包括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1大户</w:t>
      </w:r>
      <w:r>
        <w:rPr>
          <w:rFonts w:hint="eastAsia" w:ascii="方正仿宋_GBK" w:eastAsia="方正仿宋_GBK"/>
          <w:sz w:val="24"/>
          <w:szCs w:val="24"/>
          <w:lang w:eastAsia="zh-CN"/>
        </w:rPr>
        <w:t>）退耕面积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199.43亩</w:t>
      </w:r>
      <w:r>
        <w:rPr>
          <w:rFonts w:hint="eastAsia" w:ascii="方正仿宋_GBK" w:eastAsia="方正仿宋_GBK"/>
          <w:sz w:val="24"/>
          <w:szCs w:val="24"/>
          <w:lang w:eastAsia="zh-CN"/>
        </w:rPr>
        <w:t>共计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 xml:space="preserve"> 5.9829 </w:t>
      </w:r>
      <w:r>
        <w:rPr>
          <w:rFonts w:hint="eastAsia" w:ascii="方正仿宋_GBK" w:eastAsia="方正仿宋_GBK"/>
          <w:sz w:val="24"/>
          <w:szCs w:val="24"/>
          <w:lang w:eastAsia="zh-CN"/>
        </w:rPr>
        <w:t>万元（兑付标准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300元/亩</w:t>
      </w:r>
      <w:r>
        <w:rPr>
          <w:rFonts w:hint="eastAsia" w:ascii="方正仿宋_GBK" w:eastAsia="方正仿宋_GBK"/>
          <w:sz w:val="24"/>
          <w:szCs w:val="24"/>
          <w:lang w:eastAsia="zh-CN"/>
        </w:rPr>
        <w:t>），资金暂未发放。剩余资金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2.2551万元，其中为未兑付75.17亩资金2.2551万元。未付原因：存在75.17亩无法兑付，存在未兑付199.43亩资料正在收集整理中，待资料齐全审核通过即可发放。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退耕还林面积是根据县林业局验收的小班面积落实到各退耕大户的，在退耕补助的发放上严格执行补贴公示制度，由村民委员会和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人民政府负责对每个退耕户的补贴面积、补贴标准、补贴金额进行张榜公示，接受群众监督。该项目补助资金的申报由退耕户－村－农业服务中心主任－分管领导－财政办－主要领导层层审核后由银行打款到退耕户。</w:t>
      </w:r>
      <w:r>
        <w:rPr>
          <w:rFonts w:hint="eastAsia" w:ascii="方正仿宋_GBK" w:eastAsia="方正仿宋_GBK"/>
          <w:sz w:val="24"/>
          <w:szCs w:val="24"/>
        </w:rPr>
        <w:t>该项目资金拨款到发放都是严格按照审批程序办理的，不存在截留、挤占、挪用、虚列的情况。该资金实行专款专用，使用情况非常好。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该项目资金管理的做到了专款专用，资金开支符合规定，资金支付依据合法合规。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总体绩效目标完成情况分析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该项目资金在退耕还林成果巩固上发挥了重要作用。我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乡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在资金发放程序上公开透明，赢得了老百姓的普遍赞扬。该项目的实施无论是在经济效益还是社会效益上都达到了预期效果。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绩效目标完成情况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1.产出指标完成分析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数量指标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2019年度退耕还林工程第二批计划任务（第三年）补助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面积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199.43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亩，全部兑付到农户。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2、质量指标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2019年度退耕还林工程第二批计划任务（第三年）补助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兑现正确率100%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，本年度兑现完成率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100%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3、时效指标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补助资金及时发放率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4、成本指标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2019年度退耕还林工程第二批计划任务（第三年）补助项目</w:t>
      </w:r>
      <w:r>
        <w:rPr>
          <w:rFonts w:hint="eastAsia" w:ascii="方正仿宋_GBK" w:hAnsi="方正仿宋_GBK" w:eastAsia="方正仿宋_GBK" w:cs="方正仿宋_GBK"/>
          <w:sz w:val="24"/>
          <w:szCs w:val="24"/>
          <w:lang w:eastAsia="zh-CN"/>
        </w:rPr>
        <w:t>资金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兑现标准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300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元/亩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</w:rPr>
        <w:t>社会效益指标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）经济效益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eastAsia="zh-CN"/>
        </w:rPr>
        <w:t>带动增加退耕户收入</w:t>
      </w: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300元/亩。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社会效益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720" w:firstLineChars="300"/>
        <w:textAlignment w:val="auto"/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新一轮退耕还林补助政策知晓率 100% 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生态效益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 xml:space="preserve">        保持退耕还林面积199.43亩。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0" w:leftChars="0" w:firstLine="640" w:firstLineChars="0"/>
        <w:textAlignment w:val="auto"/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</w:pPr>
      <w:r>
        <w:rPr>
          <w:rFonts w:hint="eastAsia" w:ascii="方正仿宋_GBK" w:hAnsi="宋体" w:eastAsia="方正仿宋_GBK" w:cs="宋体"/>
          <w:color w:val="000000"/>
          <w:sz w:val="24"/>
          <w:szCs w:val="24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left="240" w:leftChars="109"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default" w:ascii="方正仿宋_GBK" w:hAnsi="宋体" w:eastAsia="方正仿宋_GBK" w:cs="宋体"/>
          <w:color w:val="000000"/>
          <w:sz w:val="24"/>
          <w:szCs w:val="24"/>
          <w:lang w:val="en-US" w:eastAsia="zh-CN"/>
        </w:rPr>
        <w:t>能持续发挥生态作用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，增加了我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森林覆盖率， 调整农村产业结构, 增加了农民经济收入，是一项一举多得的战略性举措。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满意度指标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该项目工程受益农户达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val="en-US" w:eastAsia="zh-CN"/>
        </w:rPr>
        <w:t xml:space="preserve">36 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户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（包括大户）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，让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居民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在家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里实现劳动增收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。该项目巩固了退耕还林成果，大大提高了我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乡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农民的收入。是一项让人民群众非常满意的工程。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三、绩效自评结果情况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通过认真开展单位项目支出绩效目标自评，综合评分80.26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分，评价结果为良。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24"/>
          <w:szCs w:val="24"/>
          <w:lang w:eastAsia="zh-CN"/>
        </w:rPr>
        <w:t>四、偏离绩效目标的原因和下一步改进措施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after="10"/>
        <w:ind w:firstLine="480" w:firstLineChars="200"/>
        <w:textAlignment w:val="auto"/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</w:pP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退耕还林在品种的选择上没有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达到优中选优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部分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退耕户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盲目更风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在种植技术等方面存在不足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，有退耕户近期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  <w:lang w:eastAsia="zh-CN"/>
        </w:rPr>
        <w:t>因为近期收入少就疏于</w:t>
      </w:r>
      <w:r>
        <w:rPr>
          <w:rFonts w:hint="eastAsia" w:ascii="方正仿宋_GBK" w:hAnsi="Arial" w:eastAsia="方正仿宋_GBK" w:cs="Arial"/>
          <w:color w:val="222222"/>
          <w:sz w:val="24"/>
          <w:szCs w:val="24"/>
          <w:shd w:val="clear" w:color="auto" w:fill="FFFFFF"/>
        </w:rPr>
        <w:t>管理。</w:t>
      </w:r>
    </w:p>
    <w:p>
      <w:pPr>
        <w:ind w:firstLine="3120" w:firstLineChars="1300"/>
        <w:jc w:val="both"/>
        <w:rPr>
          <w:rFonts w:hint="eastAsia" w:ascii="方正仿宋_GBK" w:eastAsia="方正仿宋_GBK"/>
          <w:sz w:val="24"/>
          <w:szCs w:val="24"/>
        </w:rPr>
      </w:pPr>
    </w:p>
    <w:p>
      <w:pPr>
        <w:pStyle w:val="2"/>
        <w:rPr>
          <w:rFonts w:hint="eastAsia"/>
          <w:sz w:val="24"/>
          <w:szCs w:val="24"/>
        </w:rPr>
      </w:pPr>
    </w:p>
    <w:p>
      <w:pPr>
        <w:ind w:firstLine="4800" w:firstLineChars="2000"/>
        <w:jc w:val="both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奉节县</w:t>
      </w:r>
      <w:r>
        <w:rPr>
          <w:rFonts w:hint="eastAsia" w:ascii="方正仿宋_GBK" w:eastAsia="方正仿宋_GBK"/>
          <w:sz w:val="24"/>
          <w:szCs w:val="24"/>
          <w:lang w:eastAsia="zh-CN"/>
        </w:rPr>
        <w:t>冯坪乡</w:t>
      </w:r>
      <w:r>
        <w:rPr>
          <w:rFonts w:hint="eastAsia" w:ascii="方正仿宋_GBK" w:eastAsia="方正仿宋_GBK"/>
          <w:sz w:val="24"/>
          <w:szCs w:val="24"/>
        </w:rPr>
        <w:t>人民政府</w:t>
      </w:r>
    </w:p>
    <w:p>
      <w:pPr>
        <w:spacing w:line="360" w:lineRule="auto"/>
        <w:ind w:right="640" w:firstLine="5040" w:firstLineChars="2100"/>
        <w:rPr>
          <w:rFonts w:hint="eastAsia" w:ascii="方正仿宋_GBK" w:eastAsia="方正仿宋_GBK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202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2</w:t>
      </w:r>
      <w:r>
        <w:rPr>
          <w:rFonts w:hint="eastAsia" w:ascii="方正仿宋_GBK" w:eastAsia="方正仿宋_GBK"/>
          <w:sz w:val="24"/>
          <w:szCs w:val="24"/>
        </w:rPr>
        <w:t>年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5</w:t>
      </w:r>
      <w:r>
        <w:rPr>
          <w:rFonts w:hint="eastAsia" w:ascii="方正仿宋_GBK" w:eastAsia="方正仿宋_GBK"/>
          <w:sz w:val="24"/>
          <w:szCs w:val="24"/>
        </w:rPr>
        <w:t>月</w:t>
      </w:r>
      <w:r>
        <w:rPr>
          <w:rFonts w:hint="eastAsia" w:ascii="方正仿宋_GBK" w:eastAsia="方正仿宋_GBK"/>
          <w:sz w:val="24"/>
          <w:szCs w:val="24"/>
          <w:lang w:val="en-US" w:eastAsia="zh-CN"/>
        </w:rPr>
        <w:t>12</w:t>
      </w:r>
      <w:r>
        <w:rPr>
          <w:rFonts w:hint="eastAsia" w:ascii="方正仿宋_GBK" w:eastAsia="方正仿宋_GBK"/>
          <w:sz w:val="24"/>
          <w:szCs w:val="24"/>
        </w:rPr>
        <w:t>日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/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A6964"/>
    <w:multiLevelType w:val="singleLevel"/>
    <w:tmpl w:val="848A696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EBDBA31"/>
    <w:multiLevelType w:val="singleLevel"/>
    <w:tmpl w:val="9EBDBA31"/>
    <w:lvl w:ilvl="0" w:tentative="0">
      <w:start w:val="2"/>
      <w:numFmt w:val="decimal"/>
      <w:suff w:val="nothing"/>
      <w:lvlText w:val="（%1）"/>
      <w:lvlJc w:val="left"/>
      <w:pPr>
        <w:ind w:left="20"/>
      </w:pPr>
    </w:lvl>
  </w:abstractNum>
  <w:abstractNum w:abstractNumId="2">
    <w:nsid w:val="2C6FB987"/>
    <w:multiLevelType w:val="singleLevel"/>
    <w:tmpl w:val="2C6FB98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OTNmYzRiODVjYjM5NTZiYzRmYzI1OThkMjE5OTUifQ=="/>
  </w:docVars>
  <w:rsids>
    <w:rsidRoot w:val="020D1222"/>
    <w:rsid w:val="020D1222"/>
    <w:rsid w:val="1E8452DD"/>
    <w:rsid w:val="321159AE"/>
    <w:rsid w:val="3BC03BED"/>
    <w:rsid w:val="5DDF4E6C"/>
    <w:rsid w:val="61426602"/>
    <w:rsid w:val="67155A2C"/>
    <w:rsid w:val="73CF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1197</Words>
  <Characters>1308</Characters>
  <Lines>0</Lines>
  <Paragraphs>0</Paragraphs>
  <TotalTime>8</TotalTime>
  <ScaleCrop>false</ScaleCrop>
  <LinksUpToDate>false</LinksUpToDate>
  <CharactersWithSpaces>1338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2022-05-12T02:58:00Z</dcterms:created>
  <dc:creator>Administrator</dc:creator>
  <cp:lastModifiedBy>WPS_1498118626</cp:lastModifiedBy>
  <dcterms:modified xsi:type="dcterms:W3CDTF">2022-05-25T08:25:25Z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FFB641463F9E4AF58507F9EC7E62BA0D</vt:lpwstr>
  </property>
</Properties>
</file>