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奉节县大树镇人民政府</w:t>
      </w: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2021年转产农业产业项目建设资金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 xml:space="preserve"> 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凤仙村增根蔬菜产业建设项目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于下达2021年转产农业产业项目建设资金计划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〔2021〕160号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2021年转产农业产业项目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凤仙村增根蔬菜产业建设项目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财政拨款200万元，已拨付180万元，结余20万元未拨付。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凤仙村增根蔬菜产业建设项目到位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万元，主要用于凤仙村增根蔬菜产业建设项目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万元。现实际使用财政资金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万元。2021年度，大树镇严格按照县级“七个一”标准，用于大树镇上磨村咸池岭花椒产业建设项目，提高了资金执行效率和资金使用效益，确保财政资金使用安全。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现代化连体育苗大棚9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82.4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平方米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，大棚基础设施配套（堡坎砌筑96立方米，土地平整2.5亩，棚内开箱350米），250千瓦变压器1台（电杆、电线等设备），砖混钢管猪场三栋1463.05平方米，</w:t>
      </w:r>
      <w:r>
        <w:rPr>
          <w:rFonts w:eastAsia="方正仿宋_GBK"/>
          <w:sz w:val="32"/>
          <w:szCs w:val="32"/>
        </w:rPr>
        <w:t>饲料生产加工设备一套（饲料粉碎搅拌机</w:t>
      </w:r>
      <w:r>
        <w:rPr>
          <w:rFonts w:hint="eastAsia"/>
          <w:sz w:val="32"/>
          <w:szCs w:val="32"/>
          <w:lang w:val="en-US" w:eastAsia="zh-CN"/>
        </w:rPr>
        <w:t>1台</w:t>
      </w:r>
      <w:r>
        <w:rPr>
          <w:rFonts w:eastAsia="方正仿宋_GBK"/>
          <w:sz w:val="32"/>
          <w:szCs w:val="32"/>
        </w:rPr>
        <w:t>，皮带输送机</w:t>
      </w:r>
      <w:r>
        <w:rPr>
          <w:rFonts w:hint="eastAsia"/>
          <w:sz w:val="32"/>
          <w:szCs w:val="32"/>
          <w:lang w:val="en-US" w:eastAsia="zh-CN"/>
        </w:rPr>
        <w:t>1台</w:t>
      </w:r>
      <w:r>
        <w:rPr>
          <w:rFonts w:eastAsia="方正仿宋_GBK"/>
          <w:sz w:val="32"/>
          <w:szCs w:val="32"/>
        </w:rPr>
        <w:t>，皮带上车机两台</w:t>
      </w:r>
      <w:r>
        <w:rPr>
          <w:rFonts w:hint="eastAsia"/>
          <w:sz w:val="32"/>
          <w:szCs w:val="32"/>
          <w:lang w:val="en-US" w:eastAsia="zh-CN"/>
        </w:rPr>
        <w:t>2台等</w:t>
      </w:r>
      <w:r>
        <w:rPr>
          <w:rFonts w:eastAsia="方正仿宋_GBK"/>
          <w:sz w:val="32"/>
          <w:szCs w:val="32"/>
        </w:rPr>
        <w:t>）</w:t>
      </w:r>
      <w:r>
        <w:rPr>
          <w:rFonts w:hint="eastAsia"/>
          <w:sz w:val="32"/>
          <w:szCs w:val="32"/>
          <w:lang w:eastAsia="zh-CN"/>
        </w:rPr>
        <w:t>，能繁育母猪</w:t>
      </w:r>
      <w:r>
        <w:rPr>
          <w:rFonts w:hint="eastAsia"/>
          <w:sz w:val="32"/>
          <w:szCs w:val="32"/>
          <w:lang w:val="en-US" w:eastAsia="zh-CN"/>
        </w:rPr>
        <w:t>100头，新建脆李产业园210亩，生产用房楼顶加层（钢结构）257.25平方米，生产用房1层、2层改造整修401.8平方米，新建化粪池150.48立方米，圈舍前场坪硬化137.7平方米，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购买小型货车皮卡一辆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验收合格。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财政补助资金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200万元。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：带动贫困户发展产业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30户。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：提供就业岗位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5个。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可持续影响指标：项目持续时间大于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受益贫困户人口满意度大于等于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98%，受益群众满意度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大于等于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无偏差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ind w:firstLine="0" w:firstLineChars="0"/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8C4CF71D-986A-477D-8E9F-18B21E3042D1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98E42918-4763-4056-BE8C-CBA0519EEC24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4449DFE9-EEDC-4AB5-AB75-1802F145FA3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CC442263-D98C-4E4C-884C-94F466EE3FC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1NzRjZjg3Njk4MzM0ZDI2ODI2ZDFkOWU3NWNjMWIifQ=="/>
  </w:docVars>
  <w:rsids>
    <w:rsidRoot w:val="1EAA2B73"/>
    <w:rsid w:val="01C95043"/>
    <w:rsid w:val="147F6DE6"/>
    <w:rsid w:val="1A8B65B1"/>
    <w:rsid w:val="1EAA2B73"/>
    <w:rsid w:val="25325B10"/>
    <w:rsid w:val="2A461FA9"/>
    <w:rsid w:val="322D619B"/>
    <w:rsid w:val="421E59EA"/>
    <w:rsid w:val="57E726A1"/>
    <w:rsid w:val="668D17B1"/>
    <w:rsid w:val="68D45F2D"/>
    <w:rsid w:val="704F3011"/>
    <w:rsid w:val="74A31A2B"/>
    <w:rsid w:val="7D79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766</Words>
  <Characters>820</Characters>
  <Lines>0</Lines>
  <Paragraphs>0</Paragraphs>
  <TotalTime>20</TotalTime>
  <ScaleCrop>false</ScaleCrop>
  <LinksUpToDate>false</LinksUpToDate>
  <CharactersWithSpaces>826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2022-05-10T08:56:00Z</dcterms:created>
  <dc:creator>Curtain丶</dc:creator>
  <cp:lastModifiedBy>Curtain丶</cp:lastModifiedBy>
  <dcterms:modified xsi:type="dcterms:W3CDTF">2022-05-16T02:14:20Z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A139AD501C564234AEA88BB8C50AE912</vt:lpwstr>
  </property>
</Properties>
</file>