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0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eastAsia="方正小标宋_GBK" w:cs="Times New Roman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奉节县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安坪镇人民政府</w:t>
      </w:r>
    </w:p>
    <w:p w14:paraId="07EEC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eastAsia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2023年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度单位整体支出预算绩效</w:t>
      </w:r>
    </w:p>
    <w:p w14:paraId="73167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自评报告</w:t>
      </w:r>
    </w:p>
    <w:p w14:paraId="6A6F931D">
      <w:pPr>
        <w:pStyle w:val="2"/>
        <w:keepNext w:val="0"/>
        <w:keepLines w:val="0"/>
        <w:pageBreakBefore w:val="0"/>
        <w:widowControl w:val="0"/>
        <w:kinsoku/>
        <w:bidi w:val="0"/>
        <w:spacing w:line="600" w:lineRule="exact"/>
        <w:ind w:firstLine="640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7EAC12DE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一、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概况</w:t>
      </w:r>
    </w:p>
    <w:p w14:paraId="13104017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（一）基本情况</w:t>
      </w:r>
    </w:p>
    <w:p w14:paraId="354114CD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预算编制范围包括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安坪镇人民政府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机关及所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属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6个事业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安坪镇人民政府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为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级预算单位，具体为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安坪镇人民政府、安坪镇农业服务中心。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我单位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核定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人员编制数为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（其中行政编制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人，事业编制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人，其他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，实际在职在岗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</w:t>
      </w:r>
      <w:r>
        <w:rPr>
          <w:rFonts w:hint="eastAsia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遗属补助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人。公务用车编制数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台。房屋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建筑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面积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3389.67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平方米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，使用面积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3389.67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平方米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2B776D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基本职责</w:t>
      </w:r>
    </w:p>
    <w:p w14:paraId="30E66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安坪镇党委、政府设置党政综合办事机构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个，事业单位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个。</w:t>
      </w:r>
    </w:p>
    <w:p w14:paraId="3AC09DD5">
      <w:pPr>
        <w:keepNext w:val="0"/>
        <w:keepLines w:val="0"/>
        <w:pageBreakBefore w:val="0"/>
        <w:widowControl w:val="0"/>
        <w:kinsoku/>
        <w:wordWrap/>
        <w:overflowPunct w:val="0"/>
        <w:topLinePunct/>
        <w:bidi w:val="0"/>
        <w:adjustRightInd w:val="0"/>
        <w:snapToGrid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1.综合办事机构</w:t>
      </w:r>
    </w:p>
    <w:p w14:paraId="4AAA9DD0">
      <w:pPr>
        <w:keepNext w:val="0"/>
        <w:keepLines w:val="0"/>
        <w:pageBreakBefore w:val="0"/>
        <w:widowControl w:val="0"/>
        <w:kinsoku/>
        <w:wordWrap/>
        <w:autoSpaceDN w:val="0"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（1）党政办公室。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主要负责综合协调、文秘、法制、武装、机要保密、政务公开、档案、机关后勤等职责。</w:t>
      </w:r>
    </w:p>
    <w:p w14:paraId="7566E3DC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（2）党建工作办公室。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主要负责基层党建、纪检、组织人事、宣传、统战、民宗侨台、机构编制、群团等职责。</w:t>
      </w:r>
    </w:p>
    <w:p w14:paraId="15C0987E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（3）人大办公室。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主要负责人大主席团日常工作，联系并组织人大代表开展活动等职责。</w:t>
      </w:r>
    </w:p>
    <w:p w14:paraId="19E7CD14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（4）经济发展办公室（挂统计办公室、农村经营管理办公室牌子）。主要负责经济发展规划、农村经营管理、工业和信息化、交通、水利、林业、商务、经济社会统计等职责。</w:t>
      </w:r>
    </w:p>
    <w:p w14:paraId="19DAB9FD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（5）民政和社会事务办公室（挂卫生健康办公室牌子）。主要负责民政、教育、卫生健康、科技、文化旅游、体育、残疾人事业、劳动就业、社会保障、医疗保障、老龄事业发展等职责。</w:t>
      </w:r>
    </w:p>
    <w:p w14:paraId="22FE6CAC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（6）平安建设办公室。主要负责信访、人民调解、社会治安综合治理、防范和处理邪教等职责。</w:t>
      </w:r>
    </w:p>
    <w:p w14:paraId="642E8EFD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（7）规划建设管理环保办公室。主要负责村镇规划、村镇建设、市政公用、市容环卫、生态环境保护、人居环境整治、物业管理等职责。</w:t>
      </w:r>
    </w:p>
    <w:p w14:paraId="3E3B169A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（8）财政办公室。主要负责财政收支、预决算、总会计、惠农资金兑付、财政资金监督检查、绩效评价、村级财务管理等职责。</w:t>
      </w:r>
    </w:p>
    <w:p w14:paraId="73BD19B7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（9）应急管理办公室。主要负责安全生产综合监管、应急管理、消防管理等职责，协助开展煤矿、非煤矿山、危险化学品、烟花爆竹等安全生产日常监管工作。</w:t>
      </w:r>
    </w:p>
    <w:p w14:paraId="2F92A0BC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10）乡村振兴办公室。主要负责落实乡村振兴战略，促进农业农村发展；承担美丽乡村规划建设，人居环境整治；贫困对象识别、扶贫开发项目管理、资金管理、信息统计和动态监测，统筹社会扶贫、产业扶贫、科技扶贫、就业扶贫、金融扶贫、宣传培训等扶贫开发工作职责。</w:t>
      </w:r>
    </w:p>
    <w:p w14:paraId="1EF7D04A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推进行政执法改革，组建综合行政执法办公室，集中行使依法授权或委托的行政执法权。</w:t>
      </w:r>
    </w:p>
    <w:p w14:paraId="57554D4C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纪委、武装部按照有关规定设置。工会、团委、妇联等群团按章程设置，具体工作由党建工作办公室明确1至2名群团工作综合岗位承担。</w:t>
      </w:r>
    </w:p>
    <w:p w14:paraId="7AF48C0A">
      <w:pPr>
        <w:keepNext w:val="0"/>
        <w:keepLines w:val="0"/>
        <w:pageBreakBefore w:val="0"/>
        <w:widowControl w:val="0"/>
        <w:kinsoku/>
        <w:wordWrap/>
        <w:overflowPunct w:val="0"/>
        <w:topLinePunct/>
        <w:bidi w:val="0"/>
        <w:adjustRightInd w:val="0"/>
        <w:snapToGrid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2.事业单位</w:t>
      </w:r>
    </w:p>
    <w:p w14:paraId="26AFD517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（1）农业服务中心。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农业服务中心、畜牧兽医站、水利管理站职责整合，重新组建农业服务中心，主要承担农业、畜牧业、林业、渔业、水利、农业机械、农产品质量检测、动植物疫病防控防治、畜牧兽医等技术推广和服务工作。不再保留畜牧兽医站、水利管理站。</w:t>
      </w:r>
    </w:p>
    <w:p w14:paraId="51FB5B3C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（2）文化服务中心。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将综合文化站更名为文化服务中心，主要承担文化、体育等事业发展和公共服务工作。</w:t>
      </w:r>
    </w:p>
    <w:p w14:paraId="23EBC1E1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（3）劳动就业和社会保障服务所。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将劳动就业和社会保障服务中心更名为劳动就业和社会保障服务所，主要承担劳动就业服务、职业培训、劳务输出、农民工监测、社会保险、医疗保险、人才服务等工作。</w:t>
      </w:r>
    </w:p>
    <w:p w14:paraId="539F69ED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（4）退役军人服务站。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主要承担退役军人就业创业扶持、优抚帮扶、走访慰问、信访接待、权益保障等事务性工作。</w:t>
      </w:r>
    </w:p>
    <w:p w14:paraId="5223A5C6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（5）综合行政执法大队。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规划建设管理环保所的行政执法职责，以及分散在综合办事机构和事业单位的农林水利、卫生健康、文化旅游、民政管理等领域的行政执法职责整合，组建综合行政执法大队，与综合行政执法办公室实行统筹运行的机制。不再保留规划建设管理环保所。</w:t>
      </w:r>
    </w:p>
    <w:p w14:paraId="5DEDBECE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40"/>
          <w:lang w:val="en-US" w:eastAsia="zh-CN" w:bidi="ar-SA"/>
        </w:rPr>
        <w:t>（6）特色产业发展中心。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脐橙管理站的职责，以及农业服务中心承担的中药材、山羊等特色优势种植养殖业发展和技术服务，综合文化站承担的乡村旅游发展等职责整合，组建特色产业发展中心，主要承担脐橙、中药材、山羊、蔬菜、烟叶、小水果、乡村旅游等特色优势产业的发展研究、技术推广和服务工作。不再保留脐橙管理站。</w:t>
      </w:r>
    </w:p>
    <w:p w14:paraId="325FE5FA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（三）年度主要工作概述</w:t>
      </w:r>
    </w:p>
    <w:p w14:paraId="3F3ED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年，在县委、县政府和镇党委的坚强领导下，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我镇严格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落实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市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委六届二次、三次全会精神，深学笃用党的二十大精神，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紧紧围绕县委“1239”发展思路，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全力打造“两个示范”，着力构建“一带两点六园”，全年工作硕果累累、亮点纷呈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，交出了一张张高分报表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2023年，我镇荣获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第三批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全国乡村治理示范镇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、第三批市级乡村治理示范镇、第十一批重庆市市级文明建设示范乡镇，三沱村荣获全国乡村特色产业产值超亿元村、重庆市乡村旅游重点村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。1-10月我镇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综合产值达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12.1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亿元，同比增长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12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%，本地就业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1937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人以上，同比增长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%，新增市场有效主体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103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家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255197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（四）绩效目标</w:t>
      </w:r>
    </w:p>
    <w:p w14:paraId="384118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 w14:paraId="1D47ED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（五）年度预决算情况</w:t>
      </w:r>
    </w:p>
    <w:p w14:paraId="06EC5685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我单位</w:t>
      </w: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收入为</w:t>
      </w:r>
      <w:r>
        <w:rPr>
          <w:rFonts w:hint="eastAsia" w:cs="Times New Roman"/>
          <w:sz w:val="32"/>
          <w:szCs w:val="32"/>
          <w:lang w:val="en-US" w:eastAsia="zh-CN"/>
        </w:rPr>
        <w:t>1963.39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万元，年中追加收入</w:t>
      </w:r>
      <w:r>
        <w:rPr>
          <w:rFonts w:hint="eastAsia" w:cs="Times New Roman"/>
          <w:sz w:val="32"/>
          <w:szCs w:val="32"/>
          <w:lang w:val="en-US" w:eastAsia="zh-CN"/>
        </w:rPr>
        <w:t>3783.76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万元，全年总收入为</w:t>
      </w:r>
      <w:r>
        <w:rPr>
          <w:rFonts w:hint="eastAsia" w:cs="Times New Roman"/>
          <w:sz w:val="32"/>
          <w:szCs w:val="32"/>
          <w:lang w:val="en-US" w:eastAsia="zh-CN"/>
        </w:rPr>
        <w:t>5747.15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万元；全年总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支出为</w:t>
      </w:r>
      <w:r>
        <w:rPr>
          <w:rFonts w:hint="eastAsia" w:cs="Times New Roman"/>
          <w:sz w:val="32"/>
          <w:szCs w:val="32"/>
          <w:lang w:val="en-US" w:eastAsia="zh-CN"/>
        </w:rPr>
        <w:t>5747.15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基本支出</w:t>
      </w:r>
      <w:r>
        <w:rPr>
          <w:rFonts w:hint="eastAsia" w:cs="Times New Roman"/>
          <w:sz w:val="32"/>
          <w:szCs w:val="32"/>
          <w:lang w:val="en-US" w:eastAsia="zh-CN"/>
        </w:rPr>
        <w:t>1990.40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工资福利支出</w:t>
      </w:r>
      <w:r>
        <w:rPr>
          <w:rFonts w:hint="eastAsia" w:cs="Times New Roman"/>
          <w:sz w:val="32"/>
          <w:szCs w:val="32"/>
          <w:lang w:val="en-US" w:eastAsia="zh-CN"/>
        </w:rPr>
        <w:t>1286.79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万元、商品和服务支出</w:t>
      </w:r>
      <w:r>
        <w:rPr>
          <w:rFonts w:hint="eastAsia" w:cs="Times New Roman"/>
          <w:sz w:val="32"/>
          <w:szCs w:val="32"/>
          <w:lang w:val="en-US" w:eastAsia="zh-CN"/>
        </w:rPr>
        <w:t>337.51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万元、对个人和家庭的补助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36</w:t>
      </w:r>
      <w:r>
        <w:rPr>
          <w:rFonts w:hint="eastAsia" w:cs="Times New Roman"/>
          <w:sz w:val="32"/>
          <w:szCs w:val="32"/>
          <w:lang w:val="en-US" w:eastAsia="zh-CN"/>
        </w:rPr>
        <w:t>6.10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），项目支出</w:t>
      </w:r>
      <w:r>
        <w:rPr>
          <w:rFonts w:hint="eastAsia" w:cs="Times New Roman"/>
          <w:sz w:val="32"/>
          <w:szCs w:val="32"/>
          <w:lang w:val="en-US" w:eastAsia="zh-CN"/>
        </w:rPr>
        <w:t>3756.75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 w14:paraId="17BD4AF2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年初预算收入</w:t>
      </w:r>
      <w:r>
        <w:rPr>
          <w:rFonts w:hint="eastAsia" w:cs="Times New Roman"/>
          <w:sz w:val="32"/>
          <w:szCs w:val="32"/>
          <w:lang w:val="en-US" w:eastAsia="zh-CN"/>
        </w:rPr>
        <w:t>1963.39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万元，其中：财政拨款收入年初预算</w:t>
      </w:r>
      <w:r>
        <w:rPr>
          <w:rFonts w:hint="eastAsia" w:cs="Times New Roman"/>
          <w:sz w:val="32"/>
          <w:szCs w:val="32"/>
          <w:lang w:val="en-US" w:eastAsia="zh-CN"/>
        </w:rPr>
        <w:t>1963.39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（一般公共预算收入</w:t>
      </w:r>
      <w:r>
        <w:rPr>
          <w:rFonts w:hint="eastAsia" w:cs="Times New Roman"/>
          <w:sz w:val="32"/>
          <w:szCs w:val="32"/>
          <w:lang w:val="en-US" w:eastAsia="zh-CN"/>
        </w:rPr>
        <w:t>1963.39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万元，政府基金预算收入0万元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年中追加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专项资金</w:t>
      </w:r>
      <w:r>
        <w:rPr>
          <w:rFonts w:hint="eastAsia" w:cs="Times New Roman"/>
          <w:sz w:val="32"/>
          <w:szCs w:val="32"/>
          <w:lang w:val="en-US" w:eastAsia="zh-CN"/>
        </w:rPr>
        <w:t>3783.76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（一般公共预算收入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850.28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万元，政府基金预算收入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2933.48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），共计收入</w:t>
      </w:r>
      <w:r>
        <w:rPr>
          <w:rFonts w:hint="eastAsia" w:cs="Times New Roman"/>
          <w:sz w:val="32"/>
          <w:szCs w:val="32"/>
          <w:lang w:val="en-US" w:eastAsia="zh-CN"/>
        </w:rPr>
        <w:t>5747.15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。</w:t>
      </w:r>
    </w:p>
    <w:p w14:paraId="4AC6333C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年初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预算支出</w:t>
      </w:r>
      <w:r>
        <w:rPr>
          <w:rFonts w:hint="eastAsia" w:cs="Times New Roman"/>
          <w:sz w:val="32"/>
          <w:szCs w:val="32"/>
          <w:lang w:val="en-US" w:eastAsia="zh-CN"/>
        </w:rPr>
        <w:t>1963.39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万元，基本支出</w:t>
      </w:r>
      <w:r>
        <w:rPr>
          <w:rFonts w:hint="eastAsia" w:cs="Times New Roman"/>
          <w:sz w:val="32"/>
          <w:szCs w:val="32"/>
          <w:lang w:val="en-US" w:eastAsia="zh-CN"/>
        </w:rPr>
        <w:t>1963.39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万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元，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项目支出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0万元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；年中追加专项支出</w:t>
      </w:r>
      <w:r>
        <w:rPr>
          <w:rFonts w:hint="eastAsia" w:cs="Times New Roman"/>
          <w:sz w:val="32"/>
          <w:szCs w:val="32"/>
          <w:lang w:val="en-US" w:eastAsia="zh-CN"/>
        </w:rPr>
        <w:t>3783.76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万元，共计支出为</w:t>
      </w:r>
      <w:r>
        <w:rPr>
          <w:rFonts w:hint="eastAsia" w:cs="Times New Roman"/>
          <w:sz w:val="32"/>
          <w:szCs w:val="32"/>
          <w:lang w:val="en-US" w:eastAsia="zh-CN"/>
        </w:rPr>
        <w:t>5747.15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。</w:t>
      </w:r>
    </w:p>
    <w:p w14:paraId="7D687101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二、整体支出管理及使用情况</w:t>
      </w:r>
    </w:p>
    <w:p w14:paraId="7D6DD18B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基本支出：</w:t>
      </w: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度我镇基本支出</w:t>
      </w:r>
      <w:r>
        <w:rPr>
          <w:rFonts w:hint="eastAsia" w:cs="Times New Roman"/>
          <w:sz w:val="32"/>
          <w:szCs w:val="32"/>
          <w:lang w:val="en-US" w:eastAsia="zh-CN"/>
        </w:rPr>
        <w:t>1990.40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人员支出</w:t>
      </w:r>
      <w:r>
        <w:rPr>
          <w:rFonts w:hint="eastAsia" w:cs="Times New Roman"/>
          <w:sz w:val="32"/>
          <w:szCs w:val="32"/>
          <w:lang w:val="en-US" w:eastAsia="zh-CN"/>
        </w:rPr>
        <w:t>1652.89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万元，公用支出</w:t>
      </w:r>
      <w:r>
        <w:rPr>
          <w:rFonts w:hint="eastAsia" w:cs="Times New Roman"/>
          <w:sz w:val="32"/>
          <w:szCs w:val="32"/>
          <w:lang w:val="en-US" w:eastAsia="zh-CN"/>
        </w:rPr>
        <w:t>337.51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 w14:paraId="2BD4FF07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三公经费支出</w:t>
      </w:r>
      <w:r>
        <w:rPr>
          <w:rFonts w:hint="eastAsia" w:cs="Times New Roman"/>
          <w:sz w:val="32"/>
          <w:szCs w:val="32"/>
          <w:lang w:val="en-US" w:eastAsia="zh-CN"/>
        </w:rPr>
        <w:t>8.06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万元（预算为</w:t>
      </w:r>
      <w:r>
        <w:rPr>
          <w:rFonts w:hint="eastAsia" w:cs="Times New Roman"/>
          <w:sz w:val="32"/>
          <w:szCs w:val="32"/>
          <w:lang w:val="en-US" w:eastAsia="zh-CN"/>
        </w:rPr>
        <w:t>10.05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万元），同比去年减少</w:t>
      </w:r>
      <w:r>
        <w:rPr>
          <w:rFonts w:hint="eastAsia" w:cs="Times New Roman"/>
          <w:sz w:val="32"/>
          <w:szCs w:val="32"/>
          <w:lang w:val="en-US" w:eastAsia="zh-CN"/>
        </w:rPr>
        <w:t>10.05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公务接待费</w:t>
      </w:r>
      <w:r>
        <w:rPr>
          <w:rFonts w:hint="eastAsia" w:cs="Times New Roman"/>
          <w:sz w:val="32"/>
          <w:szCs w:val="32"/>
          <w:lang w:val="en-US" w:eastAsia="zh-CN"/>
        </w:rPr>
        <w:t>2.10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万元（预算为</w:t>
      </w:r>
      <w:r>
        <w:rPr>
          <w:rFonts w:hint="eastAsia" w:cs="Times New Roman"/>
          <w:sz w:val="32"/>
          <w:szCs w:val="32"/>
          <w:lang w:val="en-US" w:eastAsia="zh-CN"/>
        </w:rPr>
        <w:t>2.5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万元），同比去年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减少</w:t>
      </w:r>
      <w:r>
        <w:rPr>
          <w:rFonts w:hint="eastAsia" w:cs="Times New Roman"/>
          <w:sz w:val="32"/>
          <w:szCs w:val="32"/>
          <w:lang w:val="en-US" w:eastAsia="zh-CN"/>
        </w:rPr>
        <w:t>30.84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%，公务用车运行维护费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5.9</w:t>
      </w:r>
      <w:r>
        <w:rPr>
          <w:rFonts w:hint="eastAsia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万元（预算为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万元），同比上年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减少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0.</w:t>
      </w:r>
      <w:r>
        <w:rPr>
          <w:rFonts w:hint="eastAsia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 w14:paraId="7B6CAC05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（二）项目支出：</w:t>
      </w: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财政拨款项目支出</w:t>
      </w:r>
      <w:r>
        <w:rPr>
          <w:rFonts w:hint="eastAsia" w:cs="Times New Roman"/>
          <w:sz w:val="32"/>
          <w:szCs w:val="32"/>
          <w:lang w:val="en-US" w:eastAsia="zh-CN"/>
        </w:rPr>
        <w:t>3756.75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，同比上年增加</w:t>
      </w:r>
      <w:r>
        <w:rPr>
          <w:rFonts w:hint="eastAsia" w:cs="Times New Roman"/>
          <w:sz w:val="32"/>
          <w:szCs w:val="32"/>
          <w:lang w:val="en-US" w:eastAsia="zh-CN"/>
        </w:rPr>
        <w:t>37.21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：一般公共预算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支出</w:t>
      </w:r>
      <w:r>
        <w:rPr>
          <w:rFonts w:hint="eastAsia" w:cs="Times New Roman"/>
          <w:sz w:val="32"/>
          <w:szCs w:val="32"/>
          <w:lang w:val="en-US" w:eastAsia="zh-CN"/>
        </w:rPr>
        <w:t>823.27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万元，政府基金预算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支出</w:t>
      </w:r>
      <w:r>
        <w:rPr>
          <w:rFonts w:hint="eastAsia" w:cs="Times New Roman"/>
          <w:sz w:val="32"/>
          <w:szCs w:val="32"/>
          <w:lang w:val="en-US" w:eastAsia="zh-CN"/>
        </w:rPr>
        <w:t>2933.48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）。 </w:t>
      </w:r>
    </w:p>
    <w:p w14:paraId="6DEC38BE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三、整体支出绩效情况</w:t>
      </w:r>
    </w:p>
    <w:p w14:paraId="6A0DA64B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（一）财务管理制度建设情况：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，我镇严格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按程序申报、审批拨付资金，合理合规使用资金，确保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财政资金安全。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 xml:space="preserve">    </w:t>
      </w:r>
    </w:p>
    <w:p w14:paraId="39036975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（二）资产管理情况：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及时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按照要求报送资产情况报表，确保各项资产核算准确、帐实相符、管理到位。</w:t>
      </w:r>
    </w:p>
    <w:p w14:paraId="7C01A8CD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（三）预决算公开情况：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在县人民政府门户网站上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按时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进行了预决算公开。</w:t>
      </w:r>
    </w:p>
    <w:p w14:paraId="6F98CAF7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（四）“三公经费”控制情况：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严格遵守各项规章制度，严控“三公”经费支出，“三公经费”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逐年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减少，并及时在县人民政府门户网站上对“三公”经费情况进行公示。</w:t>
      </w:r>
    </w:p>
    <w:p w14:paraId="2DDEC635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（五）政府采购情况：</w:t>
      </w: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申报政府采购2个项目，目前采购程序正在进行中。</w:t>
      </w:r>
    </w:p>
    <w:p w14:paraId="189077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lang w:eastAsia="zh-CN"/>
        </w:rPr>
        <w:t>（六）</w:t>
      </w: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认真履行职责情况：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认真贯彻市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县财政工作会议精神和安坪镇总的经济社会发展要求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坚持财政支出“量入为出、确保重点”的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总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原则，按照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一保运转、二保民生、三保建设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的顺序安排支出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通过强化预算约束，加强收支管理，优化支出结构，控制支出总量，保障</w:t>
      </w:r>
      <w:r>
        <w:rPr>
          <w:rFonts w:hint="default" w:ascii="Times New Roman" w:hAnsi="Times New Roman" w:cs="Times New Roman"/>
          <w:kern w:val="0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全镇经济建设和其它各项事业的正常发展</w:t>
      </w:r>
      <w:r>
        <w:rPr>
          <w:rFonts w:hint="default" w:ascii="Times New Roman" w:hAnsi="Times New Roman" w:cs="Times New Roman"/>
          <w:kern w:val="0"/>
          <w:sz w:val="32"/>
          <w:szCs w:val="32"/>
          <w:lang w:eastAsia="zh-CN"/>
        </w:rPr>
        <w:t>。</w:t>
      </w:r>
    </w:p>
    <w:p w14:paraId="2B43C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评价结论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及分析</w:t>
      </w:r>
    </w:p>
    <w:p w14:paraId="142881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通过认真开展单位整体支出绩效目标自评，综合评分99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.37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 w14:paraId="1D735232">
      <w:pPr>
        <w:keepNext w:val="0"/>
        <w:keepLines w:val="0"/>
        <w:pageBreakBefore w:val="0"/>
        <w:widowControl w:val="0"/>
        <w:kinsoku/>
        <w:wordWrap/>
        <w:overflowPunct w:val="0"/>
        <w:topLinePunct/>
        <w:bidi w:val="0"/>
        <w:adjustRightInd w:val="0"/>
        <w:snapToGrid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40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40"/>
          <w:lang w:val="en-US" w:eastAsia="zh-CN" w:bidi="ar-SA"/>
        </w:rPr>
        <w:t>（一）经济性分析</w:t>
      </w:r>
    </w:p>
    <w:p w14:paraId="1A6C8B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从以下几个方面提升了我单位的绩效工作：一是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四是积极化解存量债务，严控政府性债务风险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五是坚持量入为出，严格以收定支控制预算，严格落实政府过“紧日子”要求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 w14:paraId="70338972">
      <w:pPr>
        <w:keepNext w:val="0"/>
        <w:keepLines w:val="0"/>
        <w:pageBreakBefore w:val="0"/>
        <w:widowControl w:val="0"/>
        <w:kinsoku/>
        <w:wordWrap/>
        <w:overflowPunct w:val="0"/>
        <w:topLinePunct/>
        <w:bidi w:val="0"/>
        <w:adjustRightInd w:val="0"/>
        <w:snapToGrid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40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40"/>
          <w:lang w:val="en-US" w:eastAsia="zh-CN" w:bidi="ar-SA"/>
        </w:rPr>
        <w:t>（二）效率性分析</w:t>
      </w:r>
    </w:p>
    <w:p w14:paraId="2E213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执行绩效评价体系，我单位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在整体工作效率上得到了明显改善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提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高了政府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运转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效率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，群众满意度显著提高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 w14:paraId="50D1528C">
      <w:pPr>
        <w:keepNext w:val="0"/>
        <w:keepLines w:val="0"/>
        <w:pageBreakBefore w:val="0"/>
        <w:widowControl w:val="0"/>
        <w:kinsoku/>
        <w:wordWrap/>
        <w:overflowPunct w:val="0"/>
        <w:topLinePunct/>
        <w:bidi w:val="0"/>
        <w:adjustRightInd w:val="0"/>
        <w:snapToGrid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40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40"/>
          <w:lang w:val="en-US" w:eastAsia="zh-CN" w:bidi="ar-SA"/>
        </w:rPr>
        <w:t>（三）效益性分析</w:t>
      </w:r>
    </w:p>
    <w:p w14:paraId="4B96C0F8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我单位的绩效评价工作在党委政府的坚强领导下，在县财政局的监督指导下，在社会各界的大力支持下，深入挖掘增收潜力，坚持稳增长、调结构、促改革、惠民生、防风险，各项支出得到较好保障，为建设新时代橙乡水镇升级版提供了坚强保障。</w:t>
      </w:r>
    </w:p>
    <w:p w14:paraId="4C37BA05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五、存在的问题</w:t>
      </w:r>
    </w:p>
    <w:p w14:paraId="6C75CF55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因业务水平有限，年初预算的编制支出类别上理解不够，比如基本支出和项目支出，在日常业务操作时容易出错。</w:t>
      </w:r>
    </w:p>
    <w:p w14:paraId="47726701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预决算项目支出编制需进一步明确、精细化。同时项目执行率需进一步提高。</w:t>
      </w:r>
    </w:p>
    <w:p w14:paraId="3A9ED894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随着对预、决算编制工作水平要求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的提高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加之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时间紧、任务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重，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现行决算工作与实际账务处理工作间衔接还存在一定差异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会计人员业务明显增加，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同时面临人员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紧缺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的问题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，实际操作中感到力不从心。</w:t>
      </w:r>
    </w:p>
    <w:p w14:paraId="669540B2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六、改进措施和有关建议</w:t>
      </w:r>
    </w:p>
    <w:p w14:paraId="5177989F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细化预算编制工作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进一步加强内设机构的预算管理意识，严格按照预算编制的相关制度和要求进行预算编制。</w:t>
      </w:r>
    </w:p>
    <w:p w14:paraId="1324D98E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加强财务管理，严格财务审核。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加强单位财务管理，健全单位财务管理制度体系，规范单位财务行为。在费用报账支付时，按照预算规定的费用项目和用途进行资金使用审核、财务严格核算，杜绝超支现象的发生。</w:t>
      </w:r>
    </w:p>
    <w:p w14:paraId="21002CE6">
      <w:pPr>
        <w:keepNext w:val="0"/>
        <w:keepLines w:val="0"/>
        <w:pageBreakBefore w:val="0"/>
        <w:widowControl w:val="0"/>
        <w:kinsoku/>
        <w:wordWrap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（三）加强财政办工作力量。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积极争取合理配备财政人员，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合理安排会计岗位，适当增加会计人员，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加强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业务知识培训，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提高财政人员队伍建设，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加强决算工作与账务处理工作衔接。</w:t>
      </w:r>
    </w:p>
    <w:p w14:paraId="6DDDBD72">
      <w:pPr>
        <w:keepNext w:val="0"/>
        <w:keepLines w:val="0"/>
        <w:pageBreakBefore w:val="0"/>
        <w:widowControl w:val="0"/>
        <w:kinsoku/>
        <w:bidi w:val="0"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7475224F">
      <w:pPr>
        <w:keepNext w:val="0"/>
        <w:keepLines w:val="0"/>
        <w:pageBreakBefore w:val="0"/>
        <w:widowControl w:val="0"/>
        <w:kinsoku/>
        <w:bidi w:val="0"/>
        <w:spacing w:line="60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2023年</w:t>
      </w:r>
      <w:r>
        <w:rPr>
          <w:rFonts w:hint="eastAsia" w:cs="Times New Roman"/>
          <w:sz w:val="32"/>
          <w:szCs w:val="32"/>
          <w:lang w:val="en-US" w:eastAsia="zh-CN"/>
        </w:rPr>
        <w:t>奉节县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安坪镇人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民政府整体支出绩效自评表</w:t>
      </w:r>
    </w:p>
    <w:p w14:paraId="18555452">
      <w:pPr>
        <w:keepNext w:val="0"/>
        <w:keepLines w:val="0"/>
        <w:pageBreakBefore w:val="0"/>
        <w:widowControl w:val="0"/>
        <w:kinsoku/>
        <w:bidi w:val="0"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3BF362D">
      <w:pPr>
        <w:pStyle w:val="2"/>
        <w:keepNext w:val="0"/>
        <w:keepLines w:val="0"/>
        <w:pageBreakBefore w:val="0"/>
        <w:widowControl w:val="0"/>
        <w:kinsoku/>
        <w:bidi w:val="0"/>
        <w:spacing w:line="600" w:lineRule="exact"/>
        <w:textAlignment w:val="auto"/>
        <w:rPr>
          <w:rFonts w:hint="default" w:ascii="Times New Roman" w:hAnsi="Times New Roman" w:cs="Times New Roman"/>
        </w:rPr>
      </w:pPr>
    </w:p>
    <w:p w14:paraId="08DB47F2">
      <w:pPr>
        <w:keepNext w:val="0"/>
        <w:keepLines w:val="0"/>
        <w:pageBreakBefore w:val="0"/>
        <w:widowControl w:val="0"/>
        <w:kinsoku/>
        <w:wordWrap w:val="0"/>
        <w:bidi w:val="0"/>
        <w:spacing w:line="600" w:lineRule="exact"/>
        <w:ind w:firstLine="632" w:firstLineChars="200"/>
        <w:jc w:val="right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奉节县安坪镇人民政府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7AF5A7C2">
      <w:pPr>
        <w:keepNext w:val="0"/>
        <w:keepLines w:val="0"/>
        <w:pageBreakBefore w:val="0"/>
        <w:widowControl w:val="0"/>
        <w:kinsoku/>
        <w:wordWrap w:val="0"/>
        <w:bidi w:val="0"/>
        <w:spacing w:line="600" w:lineRule="exact"/>
        <w:ind w:firstLine="632" w:firstLineChars="200"/>
        <w:jc w:val="right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42D4A8DC">
      <w:pPr>
        <w:pStyle w:val="2"/>
        <w:keepNext w:val="0"/>
        <w:keepLines w:val="0"/>
        <w:pageBreakBefore w:val="0"/>
        <w:widowControl w:val="0"/>
        <w:kinsoku/>
        <w:bidi w:val="0"/>
        <w:spacing w:line="600" w:lineRule="exact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C6A840E">
      <w:pPr>
        <w:rPr>
          <w:rFonts w:hint="default" w:ascii="Times New Roman" w:hAnsi="Times New Roman" w:cs="Times New Roman"/>
          <w:lang w:eastAsia="zh-CN"/>
        </w:rPr>
      </w:pPr>
    </w:p>
    <w:p w14:paraId="61A41BD6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19FFFE6E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42E05F87">
      <w:pPr>
        <w:pStyle w:val="2"/>
        <w:rPr>
          <w:rFonts w:hint="default" w:ascii="Times New Roman" w:hAnsi="Times New Roman" w:cs="Times New Roman"/>
          <w:lang w:eastAsia="zh-CN"/>
        </w:rPr>
      </w:pPr>
    </w:p>
    <w:p w14:paraId="3F1FCBEA">
      <w:pPr>
        <w:rPr>
          <w:rFonts w:hint="default" w:ascii="Times New Roman" w:hAnsi="Times New Roman" w:cs="Times New Roman"/>
          <w:lang w:eastAsia="zh-CN"/>
        </w:rPr>
      </w:pPr>
    </w:p>
    <w:p w14:paraId="3FB2B648">
      <w:pPr>
        <w:pStyle w:val="2"/>
        <w:rPr>
          <w:rFonts w:hint="default" w:ascii="Times New Roman" w:hAnsi="Times New Roman" w:cs="Times New Roman"/>
          <w:lang w:eastAsia="zh-CN"/>
        </w:rPr>
      </w:pPr>
    </w:p>
    <w:p w14:paraId="45C13B70"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31" w:bottom="1985" w:left="1531" w:header="851" w:footer="1474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16597">
    <w:pPr>
      <w:pStyle w:val="4"/>
      <w:ind w:right="360" w:firstLine="360"/>
      <w:jc w:val="right"/>
      <w:rPr>
        <w:sz w:val="28"/>
      </w:rPr>
    </w:pPr>
    <w:r>
      <w:rPr>
        <w:rStyle w:val="8"/>
        <w:rFonts w:hint="eastAsia"/>
        <w:sz w:val="28"/>
      </w:rPr>
      <w:t>―</w:t>
    </w:r>
    <w:r>
      <w:rPr>
        <w:kern w:val="0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1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rStyle w:val="8"/>
        <w:rFonts w:hint="eastAsia"/>
        <w:sz w:val="28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721A9">
    <w:pPr>
      <w:pStyle w:val="4"/>
      <w:ind w:right="360" w:firstLine="360"/>
      <w:rPr>
        <w:sz w:val="28"/>
      </w:rPr>
    </w:pPr>
    <w:r>
      <w:rPr>
        <w:rStyle w:val="8"/>
        <w:rFonts w:hint="eastAsia"/>
        <w:sz w:val="28"/>
      </w:rPr>
      <w:t>―</w:t>
    </w:r>
    <w:r>
      <w:rPr>
        <w:kern w:val="0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2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rStyle w:val="8"/>
        <w:rFonts w:hint="eastAsia"/>
        <w:sz w:val="28"/>
      </w:rPr>
      <w:t>―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F7A74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D100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TUxZDYyYjc0YzU4MWNkYzM3MzZjMDdkNmNmZGEifQ=="/>
  </w:docVars>
  <w:rsids>
    <w:rsidRoot w:val="562B1582"/>
    <w:rsid w:val="08723F73"/>
    <w:rsid w:val="0A825D83"/>
    <w:rsid w:val="106D43EE"/>
    <w:rsid w:val="15141EF8"/>
    <w:rsid w:val="24CD7C12"/>
    <w:rsid w:val="27D8315F"/>
    <w:rsid w:val="298E650E"/>
    <w:rsid w:val="2A8913A2"/>
    <w:rsid w:val="2DD52FEB"/>
    <w:rsid w:val="2F067A90"/>
    <w:rsid w:val="34815F5E"/>
    <w:rsid w:val="352F07BC"/>
    <w:rsid w:val="35977693"/>
    <w:rsid w:val="40FC2927"/>
    <w:rsid w:val="42C36926"/>
    <w:rsid w:val="42FA495C"/>
    <w:rsid w:val="48A37E13"/>
    <w:rsid w:val="4A0C25AA"/>
    <w:rsid w:val="562B1582"/>
    <w:rsid w:val="57857E63"/>
    <w:rsid w:val="72AF5315"/>
    <w:rsid w:val="771E0BFF"/>
    <w:rsid w:val="7C95557C"/>
    <w:rsid w:val="7DDB3462"/>
    <w:rsid w:val="7FE4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font81"/>
    <w:basedOn w:val="7"/>
    <w:qFormat/>
    <w:uiPriority w:val="0"/>
    <w:rPr>
      <w:rFonts w:ascii="Calibri" w:hAnsi="Calibri" w:eastAsia="宋体" w:cs="Calibri"/>
      <w:color w:val="000000"/>
      <w:sz w:val="21"/>
      <w:szCs w:val="21"/>
      <w:u w:val="none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91"/>
    <w:basedOn w:val="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2">
    <w:name w:val="font51"/>
    <w:basedOn w:val="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3">
    <w:name w:val="font101"/>
    <w:basedOn w:val="7"/>
    <w:qFormat/>
    <w:uiPriority w:val="0"/>
    <w:rPr>
      <w:rFonts w:ascii="方正仿宋_GBK" w:hAnsi="方正仿宋_GBK" w:eastAsia="方正仿宋_GBK" w:cs="方正仿宋_GBK"/>
      <w:b/>
      <w:bCs/>
      <w:color w:val="000000"/>
      <w:sz w:val="32"/>
      <w:szCs w:val="32"/>
      <w:u w:val="none"/>
    </w:rPr>
  </w:style>
  <w:style w:type="character" w:customStyle="1" w:styleId="14">
    <w:name w:val="font21"/>
    <w:basedOn w:val="7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5">
    <w:name w:val="font111"/>
    <w:basedOn w:val="7"/>
    <w:qFormat/>
    <w:uiPriority w:val="0"/>
    <w:rPr>
      <w:rFonts w:hint="default"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6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3682</Words>
  <Characters>3950</Characters>
  <Lines>0</Lines>
  <Paragraphs>0</Paragraphs>
  <TotalTime>18</TotalTime>
  <ScaleCrop>false</ScaleCrop>
  <LinksUpToDate>false</LinksUpToDate>
  <CharactersWithSpaces>3960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2023-01-03T07:04:00Z</dcterms:created>
  <dc:creator>奉节办公室</dc:creator>
  <cp:lastModifiedBy>企业用户_13780048</cp:lastModifiedBy>
  <cp:lastPrinted>2023-04-03T03:05:00Z</cp:lastPrinted>
  <dcterms:modified xsi:type="dcterms:W3CDTF">2024-12-31T03:52:51Z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6F37283B278B4CB6A51C06F0E386F0C3_13</vt:lpwstr>
  </property>
  <property fmtid="{D5CDD505-2E9C-101B-9397-08002B2CF9AE}" pid="4" name="KSOTemplateDocerSaveRecord">
    <vt:lpwstr>eyJoZGlkIjoiZmRjNTUxZDYyYjc0YzU4MWNkYzM3MzZjMDdkNmNmZGEiLCJ1c2VySWQiOiIxNTQ5MzI5NjA2In0=</vt:lpwstr>
  </property>
</Properties>
</file>