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ascii="Times New Roman" w:hAnsi="Times New Roman" w:eastAsia="方正小标宋_GBK" w:cs="Times New Roman"/>
          <w:sz w:val="44"/>
          <w:szCs w:val="44"/>
        </w:rPr>
      </w:pP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lang w:eastAsia="zh-CN"/>
        </w:rPr>
        <w:t>奉节县</w:t>
      </w:r>
      <w:r>
        <w:rPr>
          <w:rFonts w:hint="eastAsia" w:ascii="Times New Roman" w:hAnsi="Times New Roman" w:eastAsia="方正小标宋_GBK" w:cs="方正小标宋_GBK"/>
          <w:sz w:val="44"/>
          <w:szCs w:val="44"/>
        </w:rPr>
        <w:t>国有土地上房屋征收与补偿领域基层政务公开标准目录</w:t>
      </w:r>
    </w:p>
    <w:tbl>
      <w:tblPr>
        <w:tblStyle w:val="3"/>
        <w:tblW w:w="14041" w:type="dxa"/>
        <w:jc w:val="center"/>
        <w:tblInd w:w="0" w:type="dxa"/>
        <w:tblLayout w:type="fixed"/>
        <w:tblCellMar>
          <w:top w:w="0" w:type="dxa"/>
          <w:left w:w="108" w:type="dxa"/>
          <w:bottom w:w="0" w:type="dxa"/>
          <w:right w:w="108" w:type="dxa"/>
        </w:tblCellMar>
      </w:tblPr>
      <w:tblGrid>
        <w:gridCol w:w="397"/>
        <w:gridCol w:w="499"/>
        <w:gridCol w:w="499"/>
        <w:gridCol w:w="1786"/>
        <w:gridCol w:w="3166"/>
        <w:gridCol w:w="935"/>
        <w:gridCol w:w="876"/>
        <w:gridCol w:w="3007"/>
        <w:gridCol w:w="400"/>
        <w:gridCol w:w="499"/>
        <w:gridCol w:w="459"/>
        <w:gridCol w:w="518"/>
        <w:gridCol w:w="500"/>
        <w:gridCol w:w="477"/>
        <w:gridCol w:w="23"/>
      </w:tblGrid>
      <w:tr>
        <w:tblPrEx>
          <w:tblLayout w:type="fixed"/>
          <w:tblCellMar>
            <w:top w:w="0" w:type="dxa"/>
            <w:left w:w="108" w:type="dxa"/>
            <w:bottom w:w="0" w:type="dxa"/>
            <w:right w:w="108" w:type="dxa"/>
          </w:tblCellMar>
        </w:tblPrEx>
        <w:trPr>
          <w:gridAfter w:val="1"/>
          <w:wAfter w:w="23" w:type="dxa"/>
          <w:trHeight w:val="52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序号</w:t>
            </w:r>
          </w:p>
        </w:tc>
        <w:tc>
          <w:tcPr>
            <w:tcW w:w="998"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公开事项</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公开内容</w:t>
            </w:r>
            <w:r>
              <w:rPr>
                <w:rFonts w:ascii="宋体" w:hAnsi="宋体" w:cs="宋体"/>
                <w:b/>
                <w:bCs/>
                <w:kern w:val="0"/>
                <w:sz w:val="18"/>
                <w:szCs w:val="18"/>
              </w:rPr>
              <w:t xml:space="preserve">                     (</w:t>
            </w:r>
            <w:r>
              <w:rPr>
                <w:rFonts w:hint="eastAsia" w:ascii="宋体" w:hAnsi="宋体" w:cs="宋体"/>
                <w:b/>
                <w:bCs/>
                <w:kern w:val="0"/>
                <w:sz w:val="18"/>
                <w:szCs w:val="18"/>
              </w:rPr>
              <w:t>要素）</w:t>
            </w:r>
          </w:p>
        </w:tc>
        <w:tc>
          <w:tcPr>
            <w:tcW w:w="31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公开依据</w:t>
            </w:r>
          </w:p>
        </w:tc>
        <w:tc>
          <w:tcPr>
            <w:tcW w:w="9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w:t>
            </w:r>
          </w:p>
          <w:p>
            <w:pPr>
              <w:widowControl/>
              <w:jc w:val="center"/>
              <w:rPr>
                <w:rFonts w:ascii="宋体" w:cs="Times New Roman"/>
                <w:b/>
                <w:bCs/>
                <w:kern w:val="0"/>
                <w:sz w:val="18"/>
                <w:szCs w:val="18"/>
              </w:rPr>
            </w:pPr>
            <w:r>
              <w:rPr>
                <w:rFonts w:hint="eastAsia" w:ascii="宋体" w:hAnsi="宋体" w:cs="宋体"/>
                <w:b/>
                <w:bCs/>
                <w:kern w:val="0"/>
                <w:sz w:val="18"/>
                <w:szCs w:val="18"/>
              </w:rPr>
              <w:t>时限</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w:t>
            </w:r>
          </w:p>
          <w:p>
            <w:pPr>
              <w:widowControl/>
              <w:jc w:val="center"/>
              <w:rPr>
                <w:rFonts w:ascii="宋体" w:cs="Times New Roman"/>
                <w:b/>
                <w:bCs/>
                <w:kern w:val="0"/>
                <w:sz w:val="18"/>
                <w:szCs w:val="18"/>
              </w:rPr>
            </w:pPr>
            <w:r>
              <w:rPr>
                <w:rFonts w:hint="eastAsia" w:ascii="宋体" w:hAnsi="宋体" w:cs="宋体"/>
                <w:b/>
                <w:bCs/>
                <w:kern w:val="0"/>
                <w:sz w:val="18"/>
                <w:szCs w:val="18"/>
              </w:rPr>
              <w:t>主体</w:t>
            </w:r>
          </w:p>
        </w:tc>
        <w:tc>
          <w:tcPr>
            <w:tcW w:w="3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公开渠道和载体</w:t>
            </w:r>
          </w:p>
        </w:tc>
        <w:tc>
          <w:tcPr>
            <w:tcW w:w="89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w:t>
            </w:r>
          </w:p>
          <w:p>
            <w:pPr>
              <w:widowControl/>
              <w:jc w:val="center"/>
              <w:rPr>
                <w:rFonts w:ascii="宋体" w:cs="Times New Roman"/>
                <w:b/>
                <w:bCs/>
                <w:kern w:val="0"/>
                <w:sz w:val="18"/>
                <w:szCs w:val="18"/>
              </w:rPr>
            </w:pPr>
            <w:r>
              <w:rPr>
                <w:rFonts w:hint="eastAsia" w:ascii="宋体" w:hAnsi="宋体" w:cs="宋体"/>
                <w:b/>
                <w:bCs/>
                <w:kern w:val="0"/>
                <w:sz w:val="18"/>
                <w:szCs w:val="18"/>
              </w:rPr>
              <w:t>对象</w:t>
            </w:r>
          </w:p>
        </w:tc>
        <w:tc>
          <w:tcPr>
            <w:tcW w:w="977" w:type="dxa"/>
            <w:gridSpan w:val="2"/>
            <w:tcBorders>
              <w:top w:val="single" w:color="auto" w:sz="4" w:space="0"/>
              <w:left w:val="nil"/>
              <w:bottom w:val="single" w:color="auto" w:sz="4" w:space="0"/>
              <w:right w:val="single" w:color="auto" w:sz="4" w:space="0"/>
            </w:tcBorders>
            <w:vAlign w:val="center"/>
          </w:tcPr>
          <w:tbl>
            <w:tblPr>
              <w:tblStyle w:val="3"/>
              <w:tblW w:w="977" w:type="dxa"/>
              <w:jc w:val="center"/>
              <w:tblInd w:w="0" w:type="dxa"/>
              <w:tblLayout w:type="fixed"/>
              <w:tblCellMar>
                <w:top w:w="0" w:type="dxa"/>
                <w:left w:w="108" w:type="dxa"/>
                <w:bottom w:w="0" w:type="dxa"/>
                <w:right w:w="108" w:type="dxa"/>
              </w:tblCellMar>
            </w:tblPr>
            <w:tblGrid>
              <w:gridCol w:w="977"/>
            </w:tblGrid>
            <w:tr>
              <w:tblPrEx>
                <w:tblLayout w:type="fixed"/>
                <w:tblCellMar>
                  <w:top w:w="0" w:type="dxa"/>
                  <w:left w:w="108" w:type="dxa"/>
                  <w:bottom w:w="0" w:type="dxa"/>
                  <w:right w:w="108" w:type="dxa"/>
                </w:tblCellMar>
              </w:tblPrEx>
              <w:trPr>
                <w:trHeight w:val="522" w:hRule="atLeast"/>
                <w:tblHeader/>
                <w:jc w:val="center"/>
              </w:trPr>
              <w:tc>
                <w:tcPr>
                  <w:tcW w:w="97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公开方式</w:t>
                  </w:r>
                </w:p>
              </w:tc>
            </w:tr>
          </w:tbl>
          <w:p>
            <w:pPr>
              <w:widowControl/>
              <w:jc w:val="center"/>
              <w:rPr>
                <w:rFonts w:ascii="宋体" w:cs="Times New Roman"/>
                <w:b/>
                <w:bCs/>
                <w:kern w:val="0"/>
                <w:sz w:val="18"/>
                <w:szCs w:val="18"/>
              </w:rPr>
            </w:pPr>
          </w:p>
        </w:tc>
        <w:tc>
          <w:tcPr>
            <w:tcW w:w="977"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Times New Roman"/>
                <w:b/>
                <w:bCs/>
                <w:kern w:val="0"/>
                <w:sz w:val="18"/>
                <w:szCs w:val="18"/>
                <w:lang w:eastAsia="zh-CN"/>
              </w:rPr>
            </w:pPr>
            <w:r>
              <w:rPr>
                <w:rFonts w:hint="eastAsia" w:ascii="宋体" w:cs="Times New Roman"/>
                <w:b/>
                <w:bCs/>
                <w:kern w:val="0"/>
                <w:sz w:val="18"/>
                <w:szCs w:val="18"/>
                <w:lang w:eastAsia="zh-CN"/>
              </w:rPr>
              <w:t>公开层级</w:t>
            </w:r>
          </w:p>
        </w:tc>
      </w:tr>
      <w:tr>
        <w:tblPrEx>
          <w:tblLayout w:type="fixed"/>
          <w:tblCellMar>
            <w:top w:w="0" w:type="dxa"/>
            <w:left w:w="108" w:type="dxa"/>
            <w:bottom w:w="0" w:type="dxa"/>
            <w:right w:w="108" w:type="dxa"/>
          </w:tblCellMar>
        </w:tblPrEx>
        <w:trPr>
          <w:trHeight w:val="82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一级事项</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二级事项</w:t>
            </w: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3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3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kern w:val="0"/>
                <w:sz w:val="18"/>
                <w:szCs w:val="18"/>
              </w:rPr>
            </w:pP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全社会</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特定群体</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主动公开</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依申请公开</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县级</w:t>
            </w:r>
          </w:p>
        </w:tc>
        <w:tc>
          <w:tcPr>
            <w:tcW w:w="500" w:type="dxa"/>
            <w:gridSpan w:val="2"/>
            <w:tcBorders>
              <w:top w:val="nil"/>
              <w:left w:val="nil"/>
              <w:bottom w:val="single" w:color="auto" w:sz="4" w:space="0"/>
              <w:right w:val="single" w:color="auto" w:sz="4" w:space="0"/>
            </w:tcBorders>
            <w:vAlign w:val="center"/>
          </w:tcPr>
          <w:p>
            <w:pPr>
              <w:widowControl/>
              <w:jc w:val="center"/>
              <w:rPr>
                <w:rFonts w:ascii="宋体" w:cs="Times New Roman"/>
                <w:b/>
                <w:bCs/>
                <w:kern w:val="0"/>
                <w:sz w:val="18"/>
                <w:szCs w:val="18"/>
              </w:rPr>
            </w:pPr>
            <w:r>
              <w:rPr>
                <w:rFonts w:hint="eastAsia" w:ascii="宋体" w:hAnsi="宋体" w:cs="宋体"/>
                <w:b/>
                <w:bCs/>
                <w:kern w:val="0"/>
                <w:sz w:val="18"/>
                <w:szCs w:val="18"/>
              </w:rPr>
              <w:t>乡级</w:t>
            </w:r>
          </w:p>
        </w:tc>
      </w:tr>
      <w:tr>
        <w:tblPrEx>
          <w:tblLayout w:type="fixed"/>
          <w:tblCellMar>
            <w:top w:w="0" w:type="dxa"/>
            <w:left w:w="108" w:type="dxa"/>
            <w:bottom w:w="0" w:type="dxa"/>
            <w:right w:w="108" w:type="dxa"/>
          </w:tblCellMar>
        </w:tblPrEx>
        <w:trPr>
          <w:trHeight w:val="483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w:t>
            </w:r>
          </w:p>
        </w:tc>
        <w:tc>
          <w:tcPr>
            <w:tcW w:w="499"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法规政策</w:t>
            </w:r>
          </w:p>
        </w:tc>
        <w:tc>
          <w:tcPr>
            <w:tcW w:w="499"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国家层面法规政策</w:t>
            </w:r>
          </w:p>
        </w:tc>
        <w:tc>
          <w:tcPr>
            <w:tcW w:w="1786" w:type="dxa"/>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《国有土地上房屋</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征收与补偿条例》；</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《国有土地上房屋征收评估办法》</w:t>
            </w:r>
            <w:r>
              <w:rPr>
                <w:rFonts w:ascii="宋体" w:hAnsi="宋体" w:cs="宋体"/>
                <w:kern w:val="0"/>
                <w:sz w:val="18"/>
                <w:szCs w:val="18"/>
              </w:rPr>
              <w:t>;                     3.</w:t>
            </w:r>
            <w:r>
              <w:rPr>
                <w:rFonts w:hint="eastAsia" w:ascii="宋体" w:hAnsi="宋体" w:cs="宋体"/>
                <w:kern w:val="0"/>
                <w:sz w:val="18"/>
                <w:szCs w:val="18"/>
              </w:rPr>
              <w:t>《关于推进国有土地上房屋征收与补偿信息公开工作的实施意见》；</w:t>
            </w:r>
            <w:r>
              <w:rPr>
                <w:rFonts w:ascii="宋体" w:hAnsi="宋体" w:cs="宋体"/>
                <w:kern w:val="0"/>
                <w:sz w:val="18"/>
                <w:szCs w:val="18"/>
              </w:rPr>
              <w:t xml:space="preserve">                  4.</w:t>
            </w:r>
            <w:r>
              <w:rPr>
                <w:rFonts w:hint="eastAsia" w:ascii="宋体" w:hAnsi="宋体" w:cs="宋体"/>
                <w:kern w:val="0"/>
                <w:sz w:val="18"/>
                <w:szCs w:val="18"/>
              </w:rPr>
              <w:t>《关于进一步加强国有土地上房屋征收与补偿信息公开工作的通知》。</w:t>
            </w:r>
          </w:p>
        </w:tc>
        <w:tc>
          <w:tcPr>
            <w:tcW w:w="316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《中</w:t>
            </w:r>
            <w:r>
              <w:rPr>
                <w:rFonts w:hint="eastAsia" w:ascii="宋体" w:hAnsi="宋体" w:cs="宋体"/>
                <w:kern w:val="0"/>
                <w:sz w:val="18"/>
                <w:szCs w:val="18"/>
                <w:lang w:eastAsia="zh-CN"/>
              </w:rPr>
              <w:t>华</w:t>
            </w:r>
            <w:r>
              <w:rPr>
                <w:rFonts w:hint="eastAsia" w:ascii="宋体" w:hAnsi="宋体" w:cs="宋体"/>
                <w:kern w:val="0"/>
                <w:sz w:val="18"/>
                <w:szCs w:val="18"/>
              </w:rPr>
              <w:t>人民共和国政府信息公开条例》</w:t>
            </w:r>
          </w:p>
        </w:tc>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县人民政府、县住房城乡建委</w:t>
            </w:r>
          </w:p>
        </w:tc>
        <w:tc>
          <w:tcPr>
            <w:tcW w:w="3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宋体"/>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宋体"/>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宋体"/>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宋体"/>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宋体"/>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856"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2</w:t>
            </w:r>
          </w:p>
        </w:tc>
        <w:tc>
          <w:tcPr>
            <w:tcW w:w="4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法规政策</w:t>
            </w:r>
          </w:p>
        </w:tc>
        <w:tc>
          <w:tcPr>
            <w:tcW w:w="4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地方层面法规政策</w:t>
            </w:r>
          </w:p>
        </w:tc>
        <w:tc>
          <w:tcPr>
            <w:tcW w:w="1786" w:type="dxa"/>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r>
              <w:rPr>
                <w:rFonts w:ascii="宋体" w:hAnsi="宋体" w:cs="宋体"/>
                <w:kern w:val="0"/>
                <w:sz w:val="18"/>
                <w:szCs w:val="18"/>
              </w:rPr>
              <w:t xml:space="preserve">                                 </w:t>
            </w:r>
          </w:p>
        </w:tc>
        <w:tc>
          <w:tcPr>
            <w:tcW w:w="3166" w:type="dxa"/>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《中</w:t>
            </w:r>
            <w:r>
              <w:rPr>
                <w:rFonts w:hint="eastAsia" w:ascii="宋体" w:hAnsi="宋体" w:cs="宋体"/>
                <w:kern w:val="0"/>
                <w:sz w:val="18"/>
                <w:szCs w:val="18"/>
                <w:lang w:eastAsia="zh-CN"/>
              </w:rPr>
              <w:t>华</w:t>
            </w:r>
            <w:r>
              <w:rPr>
                <w:rFonts w:hint="eastAsia" w:ascii="宋体" w:hAnsi="宋体" w:cs="宋体"/>
                <w:kern w:val="0"/>
                <w:sz w:val="18"/>
                <w:szCs w:val="18"/>
              </w:rPr>
              <w:t>人民共和国政府信息公开条例》</w:t>
            </w:r>
          </w:p>
        </w:tc>
        <w:tc>
          <w:tcPr>
            <w:tcW w:w="935"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县人民政府、县住房城乡建委</w:t>
            </w:r>
          </w:p>
        </w:tc>
        <w:tc>
          <w:tcPr>
            <w:tcW w:w="3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　</w:t>
            </w:r>
          </w:p>
          <w:p>
            <w:pPr>
              <w:widowControl/>
              <w:jc w:val="center"/>
              <w:rPr>
                <w:rFonts w:ascii="宋体" w:cs="Times New Roman"/>
                <w:kern w:val="0"/>
                <w:sz w:val="18"/>
                <w:szCs w:val="18"/>
              </w:rPr>
            </w:pPr>
          </w:p>
        </w:tc>
        <w:tc>
          <w:tcPr>
            <w:tcW w:w="4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w:t>
            </w:r>
          </w:p>
          <w:p>
            <w:pPr>
              <w:widowControl/>
              <w:jc w:val="center"/>
              <w:rPr>
                <w:rFonts w:ascii="宋体" w:cs="Times New Roman"/>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1890"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178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《奉节县人民政府关于印发奉节县城市规划建设区国有土地上房屋征收补偿（暂行）的通知》。</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《中</w:t>
            </w:r>
            <w:r>
              <w:rPr>
                <w:rFonts w:hint="eastAsia" w:ascii="宋体" w:hAnsi="宋体" w:cs="宋体"/>
                <w:kern w:val="0"/>
                <w:sz w:val="18"/>
                <w:szCs w:val="18"/>
                <w:lang w:eastAsia="zh-CN"/>
              </w:rPr>
              <w:t>华</w:t>
            </w:r>
            <w:bookmarkStart w:id="0" w:name="_GoBack"/>
            <w:bookmarkEnd w:id="0"/>
            <w:r>
              <w:rPr>
                <w:rFonts w:hint="eastAsia" w:ascii="宋体" w:hAnsi="宋体" w:cs="宋体"/>
                <w:kern w:val="0"/>
                <w:sz w:val="18"/>
                <w:szCs w:val="18"/>
              </w:rPr>
              <w:t>人民共和国政府信息公开条例》</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single" w:color="auto" w:sz="4" w:space="0"/>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县人民政府、县住房城乡建委</w:t>
            </w:r>
          </w:p>
        </w:tc>
        <w:tc>
          <w:tcPr>
            <w:tcW w:w="3007" w:type="dxa"/>
            <w:tcBorders>
              <w:top w:val="single" w:color="auto" w:sz="4" w:space="0"/>
              <w:left w:val="nil"/>
              <w:bottom w:val="single" w:color="auto" w:sz="4" w:space="0"/>
              <w:right w:val="single" w:color="auto" w:sz="4" w:space="0"/>
            </w:tcBorders>
            <w:vAlign w:val="center"/>
          </w:tcPr>
          <w:p>
            <w:pPr>
              <w:widowControl/>
              <w:jc w:val="left"/>
              <w:rPr>
                <w:rFonts w:ascii="东文宋体" w:hAnsi="宋体" w:eastAsia="东文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东文宋体" w:hAnsi="宋体" w:eastAsia="东文宋体" w:cs="Times New Roman"/>
                <w:kern w:val="0"/>
                <w:sz w:val="18"/>
                <w:szCs w:val="18"/>
              </w:rPr>
              <w:br w:type="textWrapping"/>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49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3</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启动要件</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征收项目符合公共利益的相关材料。</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县住房城乡建委、县规划和自然资源局、县发改委等相关部门</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w:t>
            </w:r>
          </w:p>
          <w:p>
            <w:pPr>
              <w:widowControl/>
              <w:jc w:val="left"/>
              <w:rPr>
                <w:rFonts w:ascii="宋体" w:cs="Times New Roman"/>
                <w:kern w:val="0"/>
                <w:sz w:val="18"/>
                <w:szCs w:val="18"/>
              </w:rPr>
            </w:pP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2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4</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暂停办理相关手续的通知</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暂停办理相关手续的通知。</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5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5</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房屋调查登记</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入户调查通知；</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调查结果；</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认定结果。</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《国有土地上房屋征收评估办法》</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val="en-US" w:eastAsia="zh-CN"/>
              </w:rPr>
            </w:pPr>
            <w:r>
              <w:rPr>
                <w:rFonts w:hint="eastAsia" w:ascii="宋体" w:hAnsi="宋体" w:cs="宋体"/>
                <w:kern w:val="0"/>
                <w:sz w:val="18"/>
                <w:szCs w:val="18"/>
                <w:lang w:eastAsia="zh-CN"/>
              </w:rPr>
              <w:t>县人民政府、县住房城乡建委、县规划和自然资源局等相关部门</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both"/>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6</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评估</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房地产估价机构确定</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房地产估价机构选定或确定通知。</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《国有土地上房屋征收评估办法》</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ascii="宋体" w:hAnsi="宋体" w:cs="宋体"/>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both"/>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265" w:hRule="atLeast"/>
          <w:jc w:val="center"/>
        </w:trPr>
        <w:tc>
          <w:tcPr>
            <w:tcW w:w="39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7</w:t>
            </w:r>
          </w:p>
        </w:tc>
        <w:tc>
          <w:tcPr>
            <w:tcW w:w="4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房屋征收补偿方案拟订</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论证结论</w:t>
            </w:r>
          </w:p>
        </w:tc>
        <w:tc>
          <w:tcPr>
            <w:tcW w:w="3166"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《国有土地上房屋征收与补偿条例》《关于推进国有土地上房屋征收与补偿信息公开工作的实施意见》《关于进一步加强国有土地上房屋征收与补偿信息公开工作的通知》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lang w:eastAsia="zh-CN"/>
              </w:rPr>
              <w:t>县人民政府</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jc w:val="left"/>
              <w:rPr>
                <w:rFonts w:ascii="宋体" w:cs="Times New Roman"/>
                <w:kern w:val="0"/>
                <w:sz w:val="18"/>
                <w:szCs w:val="18"/>
              </w:rPr>
            </w:pP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w:t>
            </w:r>
          </w:p>
          <w:p>
            <w:pPr>
              <w:widowControl/>
              <w:jc w:val="left"/>
              <w:rPr>
                <w:rFonts w:ascii="宋体" w:cs="Times New Roman"/>
                <w:kern w:val="0"/>
                <w:sz w:val="18"/>
                <w:szCs w:val="18"/>
              </w:rPr>
            </w:pP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059" w:hRule="atLeast"/>
          <w:jc w:val="center"/>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征求意见情况；</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根据公众意见修改情况。</w:t>
            </w:r>
          </w:p>
        </w:tc>
        <w:tc>
          <w:tcPr>
            <w:tcW w:w="3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个工作日内予以公开；征求意见期限不得少于</w:t>
            </w:r>
            <w:r>
              <w:rPr>
                <w:rFonts w:ascii="宋体" w:hAnsi="宋体" w:cs="宋体"/>
                <w:kern w:val="0"/>
                <w:sz w:val="18"/>
                <w:szCs w:val="18"/>
              </w:rPr>
              <w:t>30</w:t>
            </w:r>
            <w:r>
              <w:rPr>
                <w:rFonts w:hint="eastAsia" w:ascii="宋体" w:hAnsi="宋体" w:cs="宋体"/>
                <w:kern w:val="0"/>
                <w:sz w:val="18"/>
                <w:szCs w:val="18"/>
              </w:rPr>
              <w:t>日</w:t>
            </w:r>
          </w:p>
        </w:tc>
        <w:tc>
          <w:tcPr>
            <w:tcW w:w="876"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县人民政府、县住房城乡建委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4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8</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社会稳定风险评估</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社会稳定风险评估结果。</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自收到申请之日起</w:t>
            </w:r>
            <w:r>
              <w:rPr>
                <w:rFonts w:ascii="宋体" w:hAnsi="宋体" w:cs="宋体"/>
                <w:kern w:val="0"/>
                <w:sz w:val="18"/>
                <w:szCs w:val="18"/>
              </w:rPr>
              <w:t>20</w:t>
            </w:r>
            <w:r>
              <w:rPr>
                <w:rFonts w:hint="eastAsia" w:ascii="宋体" w:hAnsi="宋体" w:cs="宋体"/>
                <w:kern w:val="0"/>
                <w:sz w:val="18"/>
                <w:szCs w:val="18"/>
              </w:rPr>
              <w:t>个工作日内公开</w:t>
            </w:r>
          </w:p>
        </w:tc>
        <w:tc>
          <w:tcPr>
            <w:tcW w:w="876"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申请人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1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9</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征收</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房屋征收决定</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房屋征收决定公告（包括补偿方案和行政复议、行政诉讼权利等事项）。</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县人民政府</w:t>
            </w:r>
          </w:p>
        </w:tc>
        <w:tc>
          <w:tcPr>
            <w:tcW w:w="300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cs="宋体"/>
                <w:kern w:val="0"/>
                <w:sz w:val="18"/>
                <w:szCs w:val="18"/>
              </w:rPr>
              <w:t>■</w:t>
            </w: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cs="宋体"/>
                <w:kern w:val="0"/>
                <w:sz w:val="18"/>
                <w:szCs w:val="18"/>
              </w:rPr>
              <w:t>■</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cs="宋体"/>
                <w:kern w:val="0"/>
                <w:sz w:val="18"/>
                <w:szCs w:val="18"/>
              </w:rPr>
              <w:t>□</w:t>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0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10</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评估</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被征收房屋评估</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分户的初步评估结果。</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r>
              <w:rPr>
                <w:rFonts w:ascii="宋体" w:hAnsi="宋体" w:cs="宋体"/>
                <w:kern w:val="0"/>
                <w:sz w:val="18"/>
                <w:szCs w:val="18"/>
              </w:rPr>
              <w:t xml:space="preserve">                                        </w:t>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□纸质媒体□公开查阅点</w:t>
            </w:r>
            <w:r>
              <w:rPr>
                <w:rFonts w:ascii="宋体" w:hAnsi="宋体" w:cs="宋体"/>
                <w:kern w:val="0"/>
                <w:sz w:val="18"/>
                <w:szCs w:val="18"/>
              </w:rPr>
              <w:t xml:space="preserve">    </w:t>
            </w:r>
            <w:r>
              <w:rPr>
                <w:rFonts w:hint="eastAsia" w:ascii="宋体" w:hAnsi="宋体" w:cs="宋体"/>
                <w:kern w:val="0"/>
                <w:sz w:val="18"/>
                <w:szCs w:val="18"/>
              </w:rPr>
              <w:t>□政务服务中心□便民服务站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p>
          <w:p>
            <w:pPr>
              <w:widowControl/>
              <w:jc w:val="left"/>
              <w:rPr>
                <w:rFonts w:ascii="宋体" w:cs="Times New Roman"/>
                <w:kern w:val="0"/>
                <w:sz w:val="18"/>
                <w:szCs w:val="18"/>
              </w:rPr>
            </w:pP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hAnsi="宋体" w:cs="宋体"/>
                <w:kern w:val="0"/>
                <w:sz w:val="18"/>
                <w:szCs w:val="18"/>
              </w:rPr>
              <w:t xml:space="preserve">  </w:t>
            </w:r>
            <w:r>
              <w:rPr>
                <w:rFonts w:hint="eastAsia" w:ascii="宋体" w:hAnsi="宋体" w:cs="宋体"/>
                <w:kern w:val="0"/>
                <w:sz w:val="18"/>
                <w:szCs w:val="18"/>
              </w:rPr>
              <w:t>屏）□精准推送□其他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ascii="宋体" w:hAnsi="宋体" w:cs="宋体"/>
                <w:kern w:val="0"/>
                <w:sz w:val="18"/>
                <w:szCs w:val="18"/>
              </w:rPr>
              <w:t>11</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hint="eastAsia" w:ascii="宋体" w:hAnsi="宋体" w:cs="宋体"/>
                <w:kern w:val="0"/>
                <w:sz w:val="18"/>
                <w:szCs w:val="18"/>
              </w:rPr>
              <w:t>产权调换房屋</w:t>
            </w:r>
          </w:p>
        </w:tc>
        <w:tc>
          <w:tcPr>
            <w:tcW w:w="1786"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ascii="宋体" w:hAnsi="宋体" w:cs="宋体"/>
                <w:kern w:val="0"/>
                <w:sz w:val="18"/>
                <w:szCs w:val="18"/>
              </w:rPr>
              <w:t>1.</w:t>
            </w:r>
            <w:r>
              <w:rPr>
                <w:rFonts w:hint="eastAsia" w:ascii="宋体" w:hAnsi="宋体" w:cs="宋体"/>
                <w:kern w:val="0"/>
                <w:sz w:val="18"/>
                <w:szCs w:val="18"/>
              </w:rPr>
              <w:t>房源信息；</w:t>
            </w:r>
            <w:r>
              <w:rPr>
                <w:rFonts w:ascii="宋体" w:cs="Times New Roman"/>
                <w:kern w:val="0"/>
                <w:sz w:val="18"/>
                <w:szCs w:val="18"/>
              </w:rPr>
              <w:br w:type="textWrapping"/>
            </w:r>
            <w:r>
              <w:rPr>
                <w:rFonts w:ascii="宋体" w:hAnsi="宋体" w:cs="宋体"/>
                <w:kern w:val="0"/>
                <w:sz w:val="18"/>
                <w:szCs w:val="18"/>
              </w:rPr>
              <w:t>2.</w:t>
            </w:r>
            <w:r>
              <w:rPr>
                <w:rFonts w:hint="eastAsia" w:ascii="宋体" w:hAnsi="宋体" w:cs="宋体"/>
                <w:kern w:val="0"/>
                <w:sz w:val="18"/>
                <w:szCs w:val="18"/>
              </w:rPr>
              <w:t>选房办法；</w:t>
            </w:r>
            <w:r>
              <w:rPr>
                <w:rFonts w:ascii="宋体" w:cs="Times New Roman"/>
                <w:kern w:val="0"/>
                <w:sz w:val="18"/>
                <w:szCs w:val="18"/>
              </w:rPr>
              <w:br w:type="textWrapping"/>
            </w:r>
            <w:r>
              <w:rPr>
                <w:rFonts w:ascii="宋体" w:hAnsi="宋体" w:cs="宋体"/>
                <w:kern w:val="0"/>
                <w:sz w:val="18"/>
                <w:szCs w:val="18"/>
              </w:rPr>
              <w:t>3.</w:t>
            </w:r>
            <w:r>
              <w:rPr>
                <w:rFonts w:hint="eastAsia" w:ascii="宋体" w:hAnsi="宋体" w:cs="宋体"/>
                <w:kern w:val="0"/>
                <w:sz w:val="18"/>
                <w:szCs w:val="18"/>
              </w:rPr>
              <w:t>选房结果。</w:t>
            </w:r>
          </w:p>
        </w:tc>
        <w:tc>
          <w:tcPr>
            <w:tcW w:w="3166"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shd w:val="clear" w:color="auto" w:fill="auto"/>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shd w:val="clear" w:color="auto" w:fill="auto"/>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1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12</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分户补偿情况</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分户补偿结果。</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rPr>
                <w:rFonts w:ascii="宋体" w:cs="Times New Roman"/>
                <w:kern w:val="0"/>
                <w:sz w:val="18"/>
                <w:szCs w:val="18"/>
              </w:rPr>
            </w:pPr>
            <w:r>
              <w:rPr>
                <w:rFonts w:hint="eastAsia" w:ascii="宋体" w:hAnsi="宋体" w:cs="宋体"/>
                <w:kern w:val="0"/>
                <w:sz w:val="18"/>
                <w:szCs w:val="18"/>
                <w:lang w:eastAsia="zh-CN"/>
              </w:rPr>
              <w:t>县住房城乡建委</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both"/>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08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18"/>
                <w:szCs w:val="18"/>
              </w:rPr>
            </w:pPr>
            <w:r>
              <w:rPr>
                <w:rFonts w:ascii="宋体" w:hAnsi="宋体" w:cs="宋体"/>
                <w:kern w:val="0"/>
                <w:sz w:val="18"/>
                <w:szCs w:val="18"/>
              </w:rPr>
              <w:t>13</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补偿</w:t>
            </w:r>
          </w:p>
        </w:tc>
        <w:tc>
          <w:tcPr>
            <w:tcW w:w="499"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房屋征收补偿决定</w:t>
            </w:r>
          </w:p>
        </w:tc>
        <w:tc>
          <w:tcPr>
            <w:tcW w:w="178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房屋征收补偿决定公告。</w:t>
            </w:r>
          </w:p>
        </w:tc>
        <w:tc>
          <w:tcPr>
            <w:tcW w:w="3166"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《国有土地上房屋征收与补偿条例》</w:t>
            </w:r>
            <w:r>
              <w:rPr>
                <w:rFonts w:ascii="宋体" w:cs="Times New Roman"/>
                <w:kern w:val="0"/>
                <w:sz w:val="18"/>
                <w:szCs w:val="18"/>
              </w:rPr>
              <w:br w:type="textWrapping"/>
            </w:r>
            <w:r>
              <w:rPr>
                <w:rFonts w:hint="eastAsia" w:ascii="宋体" w:hAnsi="宋体" w:cs="宋体"/>
                <w:kern w:val="0"/>
                <w:sz w:val="18"/>
                <w:szCs w:val="18"/>
              </w:rPr>
              <w:t>《关于推进国有土地上房屋征收与补偿信息公开工作的实施意见》</w:t>
            </w:r>
            <w:r>
              <w:rPr>
                <w:rFonts w:ascii="宋体" w:cs="Times New Roman"/>
                <w:kern w:val="0"/>
                <w:sz w:val="18"/>
                <w:szCs w:val="18"/>
              </w:rPr>
              <w:br w:type="textWrapping"/>
            </w:r>
            <w:r>
              <w:rPr>
                <w:rFonts w:hint="eastAsia" w:ascii="宋体" w:hAnsi="宋体" w:cs="宋体"/>
                <w:kern w:val="0"/>
                <w:sz w:val="18"/>
                <w:szCs w:val="18"/>
              </w:rPr>
              <w:t>《关于进一步加强国有土地上房屋征收与补偿信息公开工作的通知》</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《重庆市人民政府办公厅关于印发</w:t>
            </w:r>
            <w:r>
              <w:rPr>
                <w:rFonts w:ascii="宋体" w:hAnsi="宋体" w:cs="宋体"/>
                <w:kern w:val="0"/>
                <w:sz w:val="18"/>
                <w:szCs w:val="18"/>
              </w:rPr>
              <w:t>&lt;</w:t>
            </w:r>
            <w:r>
              <w:rPr>
                <w:rFonts w:hint="eastAsia" w:ascii="宋体" w:hAnsi="宋体" w:cs="宋体"/>
                <w:kern w:val="0"/>
                <w:sz w:val="18"/>
                <w:szCs w:val="18"/>
              </w:rPr>
              <w:t>重庆市国有土地上房屋征收与补偿办法（暂行）</w:t>
            </w:r>
            <w:r>
              <w:rPr>
                <w:rFonts w:ascii="宋体" w:hAnsi="宋体" w:cs="宋体"/>
                <w:kern w:val="0"/>
                <w:sz w:val="18"/>
                <w:szCs w:val="18"/>
              </w:rPr>
              <w:t>&gt;</w:t>
            </w:r>
            <w:r>
              <w:rPr>
                <w:rFonts w:hint="eastAsia" w:ascii="宋体" w:hAnsi="宋体" w:cs="宋体"/>
                <w:kern w:val="0"/>
                <w:sz w:val="18"/>
                <w:szCs w:val="18"/>
              </w:rPr>
              <w:t>等有关办法的通知》</w:t>
            </w:r>
          </w:p>
        </w:tc>
        <w:tc>
          <w:tcPr>
            <w:tcW w:w="935"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信息形成或者变更之日起</w:t>
            </w:r>
            <w:r>
              <w:rPr>
                <w:rFonts w:ascii="宋体" w:hAnsi="宋体" w:cs="宋体"/>
                <w:kern w:val="0"/>
                <w:sz w:val="18"/>
                <w:szCs w:val="18"/>
              </w:rPr>
              <w:t>20</w:t>
            </w:r>
            <w:r>
              <w:rPr>
                <w:rFonts w:hint="eastAsia" w:ascii="宋体" w:hAnsi="宋体" w:cs="宋体"/>
                <w:kern w:val="0"/>
                <w:sz w:val="18"/>
                <w:szCs w:val="18"/>
              </w:rPr>
              <w:t>个工作日内予以公开</w:t>
            </w:r>
          </w:p>
        </w:tc>
        <w:tc>
          <w:tcPr>
            <w:tcW w:w="876" w:type="dxa"/>
            <w:tcBorders>
              <w:top w:val="nil"/>
              <w:left w:val="nil"/>
              <w:bottom w:val="single" w:color="auto" w:sz="4" w:space="0"/>
              <w:right w:val="single" w:color="auto" w:sz="4" w:space="0"/>
            </w:tcBorders>
            <w:vAlign w:val="center"/>
          </w:tcPr>
          <w:p>
            <w:pPr>
              <w:widowControl/>
              <w:rPr>
                <w:rFonts w:ascii="宋体" w:cs="Times New Roman"/>
                <w:kern w:val="0"/>
                <w:sz w:val="18"/>
                <w:szCs w:val="18"/>
              </w:rPr>
            </w:pPr>
            <w:r>
              <w:rPr>
                <w:rFonts w:hint="eastAsia" w:ascii="宋体" w:hAnsi="宋体" w:cs="宋体"/>
                <w:kern w:val="0"/>
                <w:sz w:val="18"/>
                <w:szCs w:val="18"/>
                <w:lang w:eastAsia="zh-CN"/>
              </w:rPr>
              <w:t>县人民政府</w:t>
            </w:r>
          </w:p>
        </w:tc>
        <w:tc>
          <w:tcPr>
            <w:tcW w:w="3007"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hAnsi="宋体" w:cs="宋体"/>
                <w:kern w:val="0"/>
                <w:sz w:val="18"/>
                <w:szCs w:val="18"/>
              </w:rPr>
              <w:t xml:space="preserve"> </w:t>
            </w:r>
            <w:r>
              <w:rPr>
                <w:rFonts w:ascii="宋体" w:hAnsi="宋体" w:cs="宋体"/>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w:t>
            </w:r>
            <w:r>
              <w:rPr>
                <w:rFonts w:ascii="宋体" w:cs="Times New Roman"/>
                <w:kern w:val="0"/>
                <w:sz w:val="18"/>
                <w:szCs w:val="18"/>
              </w:rPr>
              <w:br w:type="textWrapping"/>
            </w:r>
            <w:r>
              <w:rPr>
                <w:rFonts w:ascii="宋体" w:hAnsi="宋体" w:cs="宋体"/>
                <w:kern w:val="0"/>
                <w:sz w:val="18"/>
                <w:szCs w:val="18"/>
              </w:rPr>
              <w:t xml:space="preserve">  </w:t>
            </w:r>
            <w:r>
              <w:rPr>
                <w:rFonts w:hint="eastAsia" w:ascii="宋体" w:hAnsi="宋体" w:cs="宋体"/>
                <w:kern w:val="0"/>
                <w:sz w:val="18"/>
                <w:szCs w:val="18"/>
              </w:rPr>
              <w:t>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_</w:t>
            </w:r>
          </w:p>
        </w:tc>
        <w:tc>
          <w:tcPr>
            <w:tcW w:w="4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49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在征收范围内向被征收人</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18"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　</w:t>
            </w:r>
          </w:p>
        </w:tc>
        <w:tc>
          <w:tcPr>
            <w:tcW w:w="500" w:type="dxa"/>
            <w:tcBorders>
              <w:top w:val="nil"/>
              <w:left w:val="nil"/>
              <w:bottom w:val="single" w:color="auto" w:sz="4" w:space="0"/>
              <w:right w:val="single" w:color="auto" w:sz="4" w:space="0"/>
            </w:tcBorders>
            <w:vAlign w:val="center"/>
          </w:tcPr>
          <w:p>
            <w:pPr>
              <w:widowControl/>
              <w:jc w:val="center"/>
              <w:rPr>
                <w:rFonts w:ascii="宋体" w:cs="Times New Roman"/>
                <w:kern w:val="0"/>
                <w:sz w:val="18"/>
                <w:szCs w:val="18"/>
              </w:rPr>
            </w:pPr>
            <w:r>
              <w:rPr>
                <w:rFonts w:hint="eastAsia" w:ascii="宋体" w:hAnsi="宋体" w:cs="宋体"/>
                <w:kern w:val="0"/>
                <w:sz w:val="18"/>
                <w:szCs w:val="18"/>
              </w:rPr>
              <w:t>√</w:t>
            </w:r>
          </w:p>
        </w:tc>
        <w:tc>
          <w:tcPr>
            <w:tcW w:w="500" w:type="dxa"/>
            <w:gridSpan w:val="2"/>
            <w:tcBorders>
              <w:top w:val="nil"/>
              <w:left w:val="nil"/>
              <w:bottom w:val="single" w:color="auto" w:sz="4" w:space="0"/>
              <w:right w:val="single" w:color="auto" w:sz="4" w:space="0"/>
            </w:tcBorders>
            <w:noWrap/>
            <w:vAlign w:val="center"/>
          </w:tcPr>
          <w:p>
            <w:pPr>
              <w:widowControl/>
              <w:jc w:val="both"/>
              <w:rPr>
                <w:rFonts w:ascii="宋体" w:cs="Times New Roman"/>
                <w:kern w:val="0"/>
                <w:sz w:val="24"/>
                <w:szCs w:val="24"/>
              </w:rPr>
            </w:pPr>
            <w:r>
              <w:rPr>
                <w:rFonts w:hint="eastAsia" w:ascii="宋体" w:hAnsi="宋体" w:cs="宋体"/>
                <w:kern w:val="0"/>
                <w:sz w:val="24"/>
                <w:szCs w:val="24"/>
              </w:rPr>
              <w:t>　</w:t>
            </w:r>
          </w:p>
        </w:tc>
      </w:tr>
    </w:tbl>
    <w:p>
      <w:pPr>
        <w:adjustRightInd w:val="0"/>
        <w:snapToGrid w:val="0"/>
        <w:spacing w:line="600" w:lineRule="exact"/>
        <w:jc w:val="center"/>
        <w:rPr>
          <w:rFonts w:ascii="Times New Roman" w:hAnsi="Times New Roman" w:eastAsia="方正小标宋_GBK" w:cs="Times New Roman"/>
          <w:sz w:val="44"/>
          <w:szCs w:val="44"/>
        </w:rPr>
        <w:sectPr>
          <w:pgSz w:w="16838" w:h="11906" w:orient="landscape"/>
          <w:pgMar w:top="1531" w:right="2098" w:bottom="1531" w:left="2098" w:header="851" w:footer="992" w:gutter="0"/>
          <w:pgBorders>
            <w:top w:val="none" w:sz="0" w:space="0"/>
            <w:left w:val="none" w:sz="0" w:space="0"/>
            <w:bottom w:val="none" w:sz="0" w:space="0"/>
            <w:right w:val="none" w:sz="0" w:space="0"/>
          </w:pgBorders>
          <w:pgNumType w:fmt="numberInDash"/>
          <w:cols w:space="720" w:num="1"/>
          <w:docGrid w:linePitch="312" w:charSpace="0"/>
        </w:sectPr>
      </w:pPr>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东文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75CE"/>
    <w:rsid w:val="01A717DB"/>
    <w:rsid w:val="22161468"/>
    <w:rsid w:val="252F17B8"/>
    <w:rsid w:val="3CE375CE"/>
    <w:rsid w:val="54BA3991"/>
    <w:rsid w:val="799A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2020-09-10T05:54:00Z</dcterms:created>
  <dc:creator>Administrator</dc:creator>
  <cp:lastModifiedBy>Administrator</cp:lastModifiedBy>
  <cp:lastPrinted>2020-10-20T09:01:00Z</cp:lastPrinted>
  <dcterms:modified xsi:type="dcterms:W3CDTF">2020-10-28T04:56:48Z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