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40" w:lineRule="exact"/>
        <w:rPr>
          <w:rFonts w:ascii="Times New Roman" w:hAnsi="Times New Roman"/>
        </w:rPr>
      </w:pPr>
    </w:p>
    <w:p>
      <w:pPr>
        <w:pStyle w:val="7"/>
        <w:widowControl/>
        <w:shd w:val="clear" w:color="auto" w:fill="FFFFFF"/>
        <w:spacing w:beforeAutospacing="0" w:afterAutospacing="0" w:line="540" w:lineRule="exact"/>
        <w:rPr>
          <w:rFonts w:ascii="Times New Roman" w:hAnsi="Times New Roman"/>
        </w:rPr>
      </w:pPr>
    </w:p>
    <w:p>
      <w:pPr>
        <w:widowControl/>
        <w:shd w:val="clear" w:color="auto" w:fill="FFFFFF"/>
        <w:spacing w:line="540" w:lineRule="exact"/>
        <w:jc w:val="center"/>
        <w:rPr>
          <w:rFonts w:ascii="方正小标宋_GBK" w:hAnsi="黑体" w:eastAsia="方正小标宋_GBK" w:cs="方正小标宋_GBK"/>
          <w:color w:val="000000"/>
          <w:kern w:val="0"/>
          <w:sz w:val="44"/>
          <w:szCs w:val="44"/>
        </w:rPr>
      </w:pPr>
      <w:r>
        <w:rPr>
          <w:rFonts w:hint="eastAsia" w:ascii="方正小标宋_GBK" w:hAnsi="黑体" w:eastAsia="方正小标宋_GBK" w:cs="方正小标宋_GBK"/>
          <w:color w:val="000000"/>
          <w:kern w:val="0"/>
          <w:sz w:val="44"/>
          <w:szCs w:val="44"/>
        </w:rPr>
        <w:t>奉节县人民政府办公室</w:t>
      </w:r>
    </w:p>
    <w:p>
      <w:pPr>
        <w:widowControl/>
        <w:shd w:val="clear" w:color="auto" w:fill="FFFFFF"/>
        <w:spacing w:line="540" w:lineRule="exact"/>
        <w:jc w:val="center"/>
        <w:rPr>
          <w:rFonts w:ascii="方正小标宋_GBK" w:hAnsi="黑体" w:eastAsia="方正小标宋_GBK" w:cs="方正小标宋_GBK"/>
          <w:color w:val="000000"/>
          <w:kern w:val="0"/>
          <w:sz w:val="44"/>
          <w:szCs w:val="44"/>
        </w:rPr>
      </w:pPr>
      <w:r>
        <w:rPr>
          <w:rFonts w:hint="eastAsia" w:ascii="方正小标宋_GBK" w:hAnsi="黑体" w:eastAsia="方正小标宋_GBK" w:cs="方正小标宋_GBK"/>
          <w:color w:val="000000"/>
          <w:kern w:val="0"/>
          <w:sz w:val="44"/>
          <w:szCs w:val="44"/>
        </w:rPr>
        <w:t>关于进一步加强预拌混凝土推广使用</w:t>
      </w:r>
    </w:p>
    <w:p>
      <w:pPr>
        <w:widowControl/>
        <w:shd w:val="clear" w:color="auto" w:fill="FFFFFF"/>
        <w:spacing w:line="540" w:lineRule="exact"/>
        <w:jc w:val="center"/>
        <w:rPr>
          <w:rFonts w:ascii="方正小标宋_GBK" w:hAnsi="黑体" w:eastAsia="方正小标宋_GBK" w:cs="方正小标宋_GBK"/>
          <w:color w:val="000000"/>
          <w:kern w:val="0"/>
          <w:sz w:val="44"/>
          <w:szCs w:val="44"/>
        </w:rPr>
      </w:pPr>
      <w:r>
        <w:rPr>
          <w:rFonts w:hint="eastAsia" w:ascii="方正小标宋_GBK" w:hAnsi="黑体" w:eastAsia="方正小标宋_GBK" w:cs="方正小标宋_GBK"/>
          <w:color w:val="000000"/>
          <w:kern w:val="0"/>
          <w:sz w:val="44"/>
          <w:szCs w:val="44"/>
        </w:rPr>
        <w:t>有关事项的通知</w:t>
      </w:r>
    </w:p>
    <w:p>
      <w:pPr>
        <w:snapToGrid w:val="0"/>
        <w:spacing w:line="540" w:lineRule="exact"/>
        <w:jc w:val="center"/>
        <w:rPr>
          <w:rFonts w:ascii="方正仿宋_GBK" w:hAnsi="Times New Roman" w:eastAsia="方正仿宋_GBK" w:cs="Times New Roman"/>
          <w:sz w:val="32"/>
        </w:rPr>
      </w:pPr>
      <w:r>
        <w:rPr>
          <w:rFonts w:hint="eastAsia" w:ascii="方正仿宋_GBK" w:hAnsi="Times New Roman" w:eastAsia="方正仿宋_GBK" w:cs="Times New Roman"/>
          <w:sz w:val="32"/>
        </w:rPr>
        <w:t>奉节府办〔2017〕74号</w:t>
      </w:r>
    </w:p>
    <w:p>
      <w:pPr>
        <w:widowControl/>
        <w:shd w:val="clear" w:color="auto" w:fill="FFFFFF"/>
        <w:spacing w:line="600" w:lineRule="exact"/>
        <w:rPr>
          <w:rFonts w:ascii="方正小标宋_GBK" w:hAnsi="黑体" w:eastAsia="方正小标宋_GBK" w:cs="方正小标宋_GBK"/>
          <w:color w:val="000000"/>
          <w:kern w:val="0"/>
          <w:sz w:val="44"/>
          <w:szCs w:val="44"/>
        </w:rPr>
      </w:pPr>
    </w:p>
    <w:p>
      <w:pPr>
        <w:widowControl/>
        <w:shd w:val="clear" w:color="auto" w:fill="FFFFFF"/>
        <w:spacing w:line="600" w:lineRule="exact"/>
        <w:rPr>
          <w:rFonts w:ascii="方正仿宋_GBK" w:hAnsi="宋体" w:eastAsia="方正仿宋_GBK" w:cs="仿宋_GB2312"/>
          <w:color w:val="000000"/>
          <w:spacing w:val="-6"/>
          <w:kern w:val="0"/>
          <w:sz w:val="32"/>
          <w:szCs w:val="32"/>
        </w:rPr>
      </w:pPr>
      <w:r>
        <w:rPr>
          <w:rFonts w:hint="eastAsia" w:ascii="方正仿宋_GBK" w:hAnsi="宋体" w:eastAsia="方正仿宋_GBK" w:cs="仿宋_GB2312"/>
          <w:color w:val="000000"/>
          <w:spacing w:val="-6"/>
          <w:kern w:val="0"/>
          <w:sz w:val="32"/>
          <w:szCs w:val="32"/>
        </w:rPr>
        <w:t>各乡镇人民政府、街道办事处、管委会，县政府各部门，有关单位：</w:t>
      </w:r>
    </w:p>
    <w:p>
      <w:pPr>
        <w:spacing w:line="600" w:lineRule="exact"/>
        <w:ind w:firstLine="616" w:firstLineChars="200"/>
        <w:rPr>
          <w:rFonts w:ascii="方正仿宋_GBK" w:hAnsi="宋体" w:eastAsia="方正仿宋_GBK" w:cs="仿宋_GB2312"/>
          <w:color w:val="000000"/>
          <w:spacing w:val="-6"/>
          <w:kern w:val="0"/>
          <w:sz w:val="32"/>
          <w:szCs w:val="32"/>
        </w:rPr>
      </w:pPr>
      <w:r>
        <w:rPr>
          <w:rFonts w:hint="eastAsia" w:ascii="方正仿宋_GBK" w:hAnsi="宋体" w:eastAsia="方正仿宋_GBK" w:cs="仿宋_GB2312"/>
          <w:color w:val="000000"/>
          <w:spacing w:val="-6"/>
          <w:kern w:val="0"/>
          <w:sz w:val="32"/>
          <w:szCs w:val="32"/>
        </w:rPr>
        <w:t>根据</w:t>
      </w:r>
      <w:bookmarkStart w:id="0" w:name="OLE_LINK1"/>
      <w:r>
        <w:rPr>
          <w:rFonts w:hint="eastAsia" w:ascii="方正仿宋_GBK" w:hAnsi="宋体" w:eastAsia="方正仿宋_GBK" w:cs="仿宋_GB2312"/>
          <w:color w:val="000000"/>
          <w:spacing w:val="-6"/>
          <w:kern w:val="0"/>
          <w:sz w:val="32"/>
          <w:szCs w:val="32"/>
        </w:rPr>
        <w:t>《重庆市散装水泥管理办法》（渝府令第177号）、《重庆市商</w:t>
      </w:r>
      <w:r>
        <w:rPr>
          <w:rFonts w:hint="eastAsia" w:ascii="方正仿宋_GBK" w:hAnsi="宋体" w:eastAsia="方正仿宋_GBK" w:cs="仿宋_GB2312"/>
          <w:color w:val="000000"/>
          <w:spacing w:val="-6"/>
          <w:kern w:val="0"/>
          <w:sz w:val="32"/>
          <w:szCs w:val="32"/>
          <w:lang w:eastAsia="zh-CN"/>
        </w:rPr>
        <w:t>务</w:t>
      </w:r>
      <w:r>
        <w:rPr>
          <w:rFonts w:hint="eastAsia" w:ascii="方正仿宋_GBK" w:hAnsi="宋体" w:eastAsia="方正仿宋_GBK" w:cs="仿宋_GB2312"/>
          <w:color w:val="000000"/>
          <w:spacing w:val="-6"/>
          <w:kern w:val="0"/>
          <w:sz w:val="32"/>
          <w:szCs w:val="32"/>
        </w:rPr>
        <w:t>委员会重庆市公安局重庆市建设委员会重庆市交通委员会关于转发〈关于限期禁止在城市城区搅拌混凝土的通知〉的通知》（渝商委发〔2003〕204号）和《重庆市建设委员会关于发布&lt;重庆市建设领域限制禁止使用落后技术通告&gt;（第五号）的通知》（渝建发〔2009〕68号）等相关规定和要求，</w:t>
      </w:r>
      <w:bookmarkEnd w:id="0"/>
      <w:r>
        <w:rPr>
          <w:rFonts w:hint="eastAsia" w:ascii="方正仿宋_GBK" w:hAnsi="宋体" w:eastAsia="方正仿宋_GBK" w:cs="仿宋_GB2312"/>
          <w:color w:val="000000"/>
          <w:spacing w:val="-6"/>
          <w:kern w:val="0"/>
          <w:sz w:val="32"/>
          <w:szCs w:val="32"/>
        </w:rPr>
        <w:t>自2011年6月以来，我县在城市规划区范围推广使</w:t>
      </w:r>
      <w:bookmarkStart w:id="1" w:name="_GoBack"/>
      <w:bookmarkEnd w:id="1"/>
      <w:r>
        <w:rPr>
          <w:rFonts w:hint="eastAsia" w:ascii="方正仿宋_GBK" w:hAnsi="宋体" w:eastAsia="方正仿宋_GBK" w:cs="仿宋_GB2312"/>
          <w:color w:val="000000"/>
          <w:spacing w:val="-6"/>
          <w:kern w:val="0"/>
          <w:sz w:val="32"/>
          <w:szCs w:val="32"/>
        </w:rPr>
        <w:t>用预拌混凝土，在发展散装水泥、节约资源、保护环境、提高经济社会效益方面发挥了重要作用。为进一步提高建设工程质量，减少城市建设噪声和环境污染，节约资源和能源，结合我县生态建设、环境保护和建筑业发展实际，经县政府同意，现就进一步加强推广使用预拌混凝土有关事项通知如下：</w:t>
      </w:r>
    </w:p>
    <w:p>
      <w:pPr>
        <w:adjustRightInd w:val="0"/>
        <w:snapToGrid w:val="0"/>
        <w:spacing w:line="600" w:lineRule="exact"/>
        <w:ind w:firstLine="640" w:firstLineChars="200"/>
        <w:rPr>
          <w:rFonts w:ascii="方正黑体_GBK" w:hAnsi="宋体" w:eastAsia="方正黑体_GBK" w:cs="黑体"/>
          <w:bCs/>
          <w:sz w:val="32"/>
          <w:szCs w:val="32"/>
        </w:rPr>
      </w:pPr>
      <w:r>
        <w:rPr>
          <w:rFonts w:hint="eastAsia" w:ascii="方正黑体_GBK" w:hAnsi="宋体" w:eastAsia="方正黑体_GBK" w:cs="黑体"/>
          <w:bCs/>
          <w:sz w:val="32"/>
          <w:szCs w:val="32"/>
        </w:rPr>
        <w:t>一、统一思想，提高认识</w:t>
      </w:r>
    </w:p>
    <w:p>
      <w:pPr>
        <w:spacing w:line="600" w:lineRule="exact"/>
        <w:ind w:firstLine="616" w:firstLineChars="200"/>
        <w:rPr>
          <w:rFonts w:ascii="方正仿宋_GBK" w:hAnsi="宋体" w:eastAsia="方正仿宋_GBK" w:cs="仿宋_GB2312"/>
          <w:color w:val="000000"/>
          <w:spacing w:val="-6"/>
          <w:kern w:val="0"/>
          <w:sz w:val="32"/>
          <w:szCs w:val="32"/>
        </w:rPr>
      </w:pPr>
      <w:r>
        <w:rPr>
          <w:rFonts w:hint="eastAsia" w:ascii="方正仿宋_GBK" w:hAnsi="宋体" w:eastAsia="方正仿宋_GBK" w:cs="仿宋_GB2312"/>
          <w:color w:val="000000"/>
          <w:spacing w:val="-6"/>
          <w:kern w:val="0"/>
          <w:sz w:val="32"/>
          <w:szCs w:val="32"/>
        </w:rPr>
        <w:t>推广使用预拌混凝土是一项利国利民的事业，不仅可以减少城市粉尘和噪音污染，改善人居生活环境，而且对推进我县优化招商引资环境、构建全域旅游、推进生态涵养发展和节约型社会都具有十分重要的意义。全县各级各部门，各建设单位、建筑施工企业和预拌混凝土生产企业等有关单位，要站在全县经济社会发展大局的高度，充分认识其重要性，把思想和行动统一到推广使用预拌混凝土工作上来。</w:t>
      </w:r>
    </w:p>
    <w:p>
      <w:pPr>
        <w:adjustRightInd w:val="0"/>
        <w:snapToGrid w:val="0"/>
        <w:spacing w:line="600" w:lineRule="exact"/>
        <w:ind w:firstLine="640" w:firstLineChars="200"/>
        <w:rPr>
          <w:rFonts w:ascii="方正黑体_GBK" w:hAnsi="宋体" w:eastAsia="方正黑体_GBK" w:cs="黑体"/>
          <w:bCs/>
          <w:sz w:val="32"/>
          <w:szCs w:val="32"/>
        </w:rPr>
      </w:pPr>
      <w:r>
        <w:rPr>
          <w:rFonts w:hint="eastAsia" w:ascii="方正黑体_GBK" w:hAnsi="宋体" w:eastAsia="方正黑体_GBK" w:cs="黑体"/>
          <w:bCs/>
          <w:sz w:val="32"/>
          <w:szCs w:val="32"/>
        </w:rPr>
        <w:t>二、进一步明确使用预拌混凝土的具体要求</w:t>
      </w:r>
    </w:p>
    <w:p>
      <w:pPr>
        <w:spacing w:line="600" w:lineRule="exact"/>
        <w:ind w:firstLine="616" w:firstLineChars="200"/>
        <w:rPr>
          <w:rFonts w:ascii="方正仿宋_GBK" w:hAnsi="宋体" w:eastAsia="方正仿宋_GBK" w:cs="仿宋_GB2312"/>
          <w:color w:val="000000"/>
          <w:spacing w:val="-6"/>
          <w:kern w:val="0"/>
          <w:sz w:val="32"/>
          <w:szCs w:val="32"/>
        </w:rPr>
      </w:pPr>
      <w:r>
        <w:rPr>
          <w:rFonts w:hint="eastAsia" w:ascii="方正仿宋_GBK" w:hAnsi="宋体" w:eastAsia="方正仿宋_GBK" w:cs="仿宋_GB2312"/>
          <w:color w:val="000000"/>
          <w:spacing w:val="-6"/>
          <w:kern w:val="0"/>
          <w:sz w:val="32"/>
          <w:szCs w:val="32"/>
        </w:rPr>
        <w:t>（一）县城规划区范围内建筑面积1000平方米以上或者混凝土用量500立方米以上的建设工程，必须使用预拌混凝土。县城规划区外建设工程参照县城规划区范围内建设的要求，逐步推广使用预拌混凝土。条件成熟后，全县推广使用预拌混凝土。</w:t>
      </w:r>
    </w:p>
    <w:p>
      <w:pPr>
        <w:spacing w:line="600" w:lineRule="exact"/>
        <w:ind w:firstLine="616" w:firstLineChars="200"/>
        <w:rPr>
          <w:rFonts w:ascii="方正仿宋_GBK" w:hAnsi="宋体" w:eastAsia="方正仿宋_GBK" w:cs="仿宋_GB2312"/>
          <w:color w:val="000000"/>
          <w:spacing w:val="-6"/>
          <w:kern w:val="0"/>
          <w:sz w:val="32"/>
          <w:szCs w:val="32"/>
        </w:rPr>
      </w:pPr>
      <w:r>
        <w:rPr>
          <w:rFonts w:hint="eastAsia" w:ascii="方正仿宋_GBK" w:hAnsi="宋体" w:eastAsia="方正仿宋_GBK" w:cs="仿宋_GB2312"/>
          <w:color w:val="000000"/>
          <w:spacing w:val="-6"/>
          <w:kern w:val="0"/>
          <w:sz w:val="32"/>
          <w:szCs w:val="32"/>
        </w:rPr>
        <w:t>（二）属特种类型混凝土且预拌混凝土企业无法生产的，或者因施工环境及抢险工程使用预拌混凝土确有困难的，建设单位须会同施工企业向相应行业主管部门提出书面申请，经批准后方可现场搅拌。</w:t>
      </w:r>
    </w:p>
    <w:p>
      <w:pPr>
        <w:spacing w:line="600" w:lineRule="exact"/>
        <w:ind w:firstLine="616" w:firstLineChars="200"/>
        <w:rPr>
          <w:rFonts w:ascii="方正仿宋_GBK" w:hAnsi="宋体" w:eastAsia="方正仿宋_GBK" w:cs="仿宋_GB2312"/>
          <w:color w:val="000000"/>
          <w:spacing w:val="-6"/>
          <w:kern w:val="0"/>
          <w:sz w:val="32"/>
          <w:szCs w:val="32"/>
        </w:rPr>
      </w:pPr>
      <w:r>
        <w:rPr>
          <w:rFonts w:hint="eastAsia" w:ascii="方正仿宋_GBK" w:hAnsi="宋体" w:eastAsia="方正仿宋_GBK" w:cs="仿宋_GB2312"/>
          <w:color w:val="000000"/>
          <w:spacing w:val="-6"/>
          <w:kern w:val="0"/>
          <w:sz w:val="32"/>
          <w:szCs w:val="32"/>
        </w:rPr>
        <w:t>（三）加强对应当使用预拌混凝土的工程项目监管，各建设单位、建筑企业等对按规定应使用预拌混凝土的建设工程，要在投资计划、编制预算、组织招标、设计和施工等环节中明确标注使用预拌混凝土，相关部门在项目审查、质量监督、施工许可等环节应予严格把关。</w:t>
      </w:r>
    </w:p>
    <w:p>
      <w:pPr>
        <w:spacing w:line="600" w:lineRule="exact"/>
        <w:ind w:firstLine="616" w:firstLineChars="200"/>
        <w:rPr>
          <w:rFonts w:ascii="方正仿宋_GBK" w:hAnsi="宋体" w:eastAsia="方正仿宋_GBK" w:cs="仿宋_GB2312"/>
          <w:color w:val="000000"/>
          <w:spacing w:val="-6"/>
          <w:kern w:val="0"/>
          <w:sz w:val="32"/>
          <w:szCs w:val="32"/>
        </w:rPr>
      </w:pPr>
      <w:r>
        <w:rPr>
          <w:rFonts w:hint="eastAsia" w:ascii="方正仿宋_GBK" w:hAnsi="宋体" w:eastAsia="方正仿宋_GBK" w:cs="仿宋_GB2312"/>
          <w:color w:val="000000"/>
          <w:spacing w:val="-6"/>
          <w:kern w:val="0"/>
          <w:sz w:val="32"/>
          <w:szCs w:val="32"/>
        </w:rPr>
        <w:t>（四）预拌混凝土生产企业必须取得相关经营许可。未经批准，任何单位和个人不得从事预拌混凝土生产经营业务。预拌混凝土企业生产过程中必须全部使用散装水泥。</w:t>
      </w:r>
    </w:p>
    <w:p>
      <w:pPr>
        <w:spacing w:line="600" w:lineRule="exact"/>
        <w:ind w:firstLine="616" w:firstLineChars="200"/>
        <w:rPr>
          <w:rFonts w:ascii="方正仿宋_GBK" w:hAnsi="宋体" w:eastAsia="方正仿宋_GBK" w:cs="仿宋_GB2312"/>
          <w:color w:val="000000"/>
          <w:spacing w:val="-6"/>
          <w:kern w:val="0"/>
          <w:sz w:val="32"/>
          <w:szCs w:val="32"/>
        </w:rPr>
      </w:pPr>
      <w:r>
        <w:rPr>
          <w:rFonts w:hint="eastAsia" w:ascii="方正仿宋_GBK" w:hAnsi="宋体" w:eastAsia="方正仿宋_GBK" w:cs="仿宋_GB2312"/>
          <w:color w:val="000000"/>
          <w:spacing w:val="-6"/>
          <w:kern w:val="0"/>
          <w:sz w:val="32"/>
          <w:szCs w:val="32"/>
        </w:rPr>
        <w:t>（五）预拌混凝土生产企业必须完善质量控制体系，在标准化管理、计量管理、工序控制、质量检验等方面严格执行有关规定，定期接受有关部门指导和检查。产品必须符合相关规范和标准，确保工程质量安全。</w:t>
      </w:r>
    </w:p>
    <w:p>
      <w:pPr>
        <w:spacing w:line="600" w:lineRule="exact"/>
        <w:ind w:firstLine="616" w:firstLineChars="200"/>
        <w:rPr>
          <w:rFonts w:ascii="方正仿宋_GBK" w:hAnsi="宋体" w:eastAsia="方正仿宋_GBK" w:cs="仿宋_GB2312"/>
          <w:color w:val="000000"/>
          <w:spacing w:val="-6"/>
          <w:kern w:val="0"/>
          <w:sz w:val="32"/>
          <w:szCs w:val="32"/>
        </w:rPr>
      </w:pPr>
      <w:r>
        <w:rPr>
          <w:rFonts w:hint="eastAsia" w:ascii="方正仿宋_GBK" w:hAnsi="宋体" w:eastAsia="方正仿宋_GBK" w:cs="仿宋_GB2312"/>
          <w:color w:val="000000"/>
          <w:spacing w:val="-6"/>
          <w:kern w:val="0"/>
          <w:sz w:val="32"/>
          <w:szCs w:val="32"/>
        </w:rPr>
        <w:t>（六）进入城区的散装水泥运输车、混凝土运输车及泵车应保持车身清洁，必须符合环境保护要求和安全运行条件，防止污染城市环境。</w:t>
      </w:r>
    </w:p>
    <w:p>
      <w:pPr>
        <w:adjustRightInd w:val="0"/>
        <w:snapToGrid w:val="0"/>
        <w:spacing w:line="600" w:lineRule="exact"/>
        <w:ind w:firstLine="640" w:firstLineChars="200"/>
        <w:rPr>
          <w:rFonts w:ascii="方正黑体_GBK" w:hAnsi="宋体" w:eastAsia="方正黑体_GBK" w:cs="黑体"/>
          <w:bCs/>
          <w:sz w:val="32"/>
          <w:szCs w:val="32"/>
        </w:rPr>
      </w:pPr>
      <w:r>
        <w:rPr>
          <w:rFonts w:hint="eastAsia" w:ascii="方正黑体_GBK" w:hAnsi="宋体" w:eastAsia="方正黑体_GBK" w:cs="黑体"/>
          <w:bCs/>
          <w:sz w:val="32"/>
          <w:szCs w:val="32"/>
        </w:rPr>
        <w:t>三、明确职责，强化监管</w:t>
      </w:r>
    </w:p>
    <w:p>
      <w:pPr>
        <w:spacing w:line="600" w:lineRule="exact"/>
        <w:ind w:firstLine="616" w:firstLineChars="200"/>
        <w:rPr>
          <w:rFonts w:ascii="方正仿宋_GBK" w:hAnsi="宋体" w:eastAsia="方正仿宋_GBK" w:cs="仿宋_GB2312"/>
          <w:color w:val="000000"/>
          <w:spacing w:val="-6"/>
          <w:kern w:val="0"/>
          <w:sz w:val="32"/>
          <w:szCs w:val="32"/>
        </w:rPr>
      </w:pPr>
      <w:r>
        <w:rPr>
          <w:rFonts w:hint="eastAsia" w:ascii="方正仿宋_GBK" w:hAnsi="宋体" w:eastAsia="方正仿宋_GBK" w:cs="仿宋_GB2312"/>
          <w:color w:val="000000"/>
          <w:spacing w:val="-6"/>
          <w:kern w:val="0"/>
          <w:sz w:val="32"/>
          <w:szCs w:val="32"/>
        </w:rPr>
        <w:t>（一）县城乡建委等相关行业主管部门，要把预拌混凝土质量纳入建设工程质量监督范围，保证工程质量安全。</w:t>
      </w:r>
    </w:p>
    <w:p>
      <w:pPr>
        <w:spacing w:line="600" w:lineRule="exact"/>
        <w:ind w:firstLine="616" w:firstLineChars="200"/>
        <w:rPr>
          <w:rFonts w:ascii="方正仿宋_GBK" w:hAnsi="宋体" w:eastAsia="方正仿宋_GBK" w:cs="仿宋_GB2312"/>
          <w:color w:val="000000"/>
          <w:spacing w:val="-6"/>
          <w:kern w:val="0"/>
          <w:sz w:val="32"/>
          <w:szCs w:val="32"/>
        </w:rPr>
      </w:pPr>
      <w:r>
        <w:rPr>
          <w:rFonts w:hint="eastAsia" w:ascii="方正仿宋_GBK" w:hAnsi="宋体" w:eastAsia="方正仿宋_GBK" w:cs="仿宋_GB2312"/>
          <w:color w:val="000000"/>
          <w:spacing w:val="-6"/>
          <w:kern w:val="0"/>
          <w:sz w:val="32"/>
          <w:szCs w:val="32"/>
        </w:rPr>
        <w:t>（二）县发展改革委要加强对预拌混凝土生产企业的价格行为进行监管。</w:t>
      </w:r>
    </w:p>
    <w:p>
      <w:pPr>
        <w:spacing w:line="600" w:lineRule="exact"/>
        <w:ind w:firstLine="616" w:firstLineChars="200"/>
        <w:rPr>
          <w:rFonts w:ascii="方正仿宋_GBK" w:hAnsi="宋体" w:eastAsia="方正仿宋_GBK" w:cs="仿宋_GB2312"/>
          <w:color w:val="000000"/>
          <w:spacing w:val="-6"/>
          <w:kern w:val="0"/>
          <w:sz w:val="32"/>
          <w:szCs w:val="32"/>
        </w:rPr>
      </w:pPr>
      <w:r>
        <w:rPr>
          <w:rFonts w:hint="eastAsia" w:ascii="方正仿宋_GBK" w:hAnsi="宋体" w:eastAsia="方正仿宋_GBK" w:cs="仿宋_GB2312"/>
          <w:color w:val="000000"/>
          <w:spacing w:val="-6"/>
          <w:kern w:val="0"/>
          <w:sz w:val="32"/>
          <w:szCs w:val="32"/>
        </w:rPr>
        <w:t>（三）县质监局负责对预拌商品混凝土生产企业的计量设备设施的监督管理，规范计量行为。</w:t>
      </w:r>
    </w:p>
    <w:p>
      <w:pPr>
        <w:spacing w:line="600" w:lineRule="exact"/>
        <w:ind w:firstLine="616" w:firstLineChars="200"/>
        <w:rPr>
          <w:rFonts w:ascii="方正仿宋_GBK" w:hAnsi="宋体" w:eastAsia="方正仿宋_GBK" w:cs="仿宋_GB2312"/>
          <w:color w:val="000000"/>
          <w:spacing w:val="-6"/>
          <w:kern w:val="0"/>
          <w:sz w:val="32"/>
          <w:szCs w:val="32"/>
        </w:rPr>
      </w:pPr>
      <w:r>
        <w:rPr>
          <w:rFonts w:hint="eastAsia" w:ascii="方正仿宋_GBK" w:hAnsi="宋体" w:eastAsia="方正仿宋_GBK" w:cs="仿宋_GB2312"/>
          <w:color w:val="000000"/>
          <w:spacing w:val="-6"/>
          <w:kern w:val="0"/>
          <w:sz w:val="32"/>
          <w:szCs w:val="32"/>
        </w:rPr>
        <w:t>（四）县环保局、县质监局、县公安局、县城乡建委、县交委、县水务局、县商务局、县市政园林局等相关部门要密切配合，对预拌混凝土企业堆放、装卸、运输、生产、使用等环节中各种违法违规行为，要按照法定职责强化监管，依法依规严肃查处。</w:t>
      </w:r>
    </w:p>
    <w:p>
      <w:pPr>
        <w:spacing w:line="600" w:lineRule="exact"/>
        <w:ind w:firstLine="616" w:firstLineChars="200"/>
        <w:rPr>
          <w:rFonts w:ascii="方正仿宋_GBK" w:hAnsi="宋体" w:eastAsia="方正仿宋_GBK" w:cs="仿宋_GB2312"/>
          <w:color w:val="000000"/>
          <w:spacing w:val="-6"/>
          <w:kern w:val="0"/>
          <w:sz w:val="32"/>
          <w:szCs w:val="32"/>
        </w:rPr>
      </w:pPr>
      <w:r>
        <w:rPr>
          <w:rFonts w:hint="eastAsia" w:ascii="方正仿宋_GBK" w:hAnsi="宋体" w:eastAsia="方正仿宋_GBK" w:cs="仿宋_GB2312"/>
          <w:color w:val="000000"/>
          <w:spacing w:val="-6"/>
          <w:kern w:val="0"/>
          <w:sz w:val="32"/>
          <w:szCs w:val="32"/>
        </w:rPr>
        <w:t>以往规定与本通知不一致的，以本通知为准。</w:t>
      </w:r>
    </w:p>
    <w:p>
      <w:pPr>
        <w:pStyle w:val="7"/>
        <w:widowControl/>
        <w:shd w:val="clear" w:color="auto" w:fill="FFFFFF"/>
        <w:adjustRightInd w:val="0"/>
        <w:snapToGrid w:val="0"/>
        <w:spacing w:beforeAutospacing="0" w:afterAutospacing="0" w:line="600" w:lineRule="exact"/>
        <w:jc w:val="both"/>
        <w:rPr>
          <w:rFonts w:ascii="Times New Roman" w:hAnsi="Times New Roman" w:eastAsia="方正仿宋_GBK"/>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eastAsia="方正仿宋_GBK"/>
          <w:sz w:val="32"/>
          <w:szCs w:val="32"/>
        </w:rPr>
      </w:pPr>
    </w:p>
    <w:p>
      <w:pPr>
        <w:spacing w:line="600" w:lineRule="exact"/>
        <w:ind w:firstLine="5280" w:firstLineChars="1650"/>
        <w:rPr>
          <w:rFonts w:ascii="Times New Roman" w:hAnsi="Times New Roman" w:eastAsia="方正仿宋_GBK" w:cs="Times New Roman"/>
          <w:sz w:val="32"/>
          <w:szCs w:val="32"/>
        </w:rPr>
      </w:pPr>
      <w:r>
        <w:rPr>
          <w:rFonts w:ascii="Times New Roman" w:hAnsi="Times New Roman" w:eastAsia="方正仿宋_GBK" w:cs="Times New Roman"/>
          <w:sz w:val="32"/>
          <w:szCs w:val="32"/>
        </w:rPr>
        <w:t>奉节县人民政府办公室</w:t>
      </w:r>
    </w:p>
    <w:p>
      <w:pPr>
        <w:spacing w:line="600" w:lineRule="exact"/>
        <w:ind w:firstLine="3840" w:firstLineChars="1200"/>
        <w:rPr>
          <w:rFonts w:ascii="Times New Roman" w:hAnsi="Times New Roman" w:eastAsia="方正小标宋_GBK" w:cs="Times New Roman"/>
          <w:sz w:val="32"/>
          <w:szCs w:val="32"/>
          <w:lang w:val="zh-CN"/>
        </w:rPr>
      </w:pPr>
      <w:r>
        <w:rPr>
          <w:rFonts w:ascii="Times New Roman" w:hAnsi="Times New Roman" w:eastAsia="方正仿宋_GBK" w:cs="Times New Roman"/>
          <w:sz w:val="32"/>
          <w:szCs w:val="32"/>
        </w:rPr>
        <w:t xml:space="preserve">            201</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28</w:t>
      </w:r>
      <w:r>
        <w:rPr>
          <w:rFonts w:ascii="Times New Roman" w:hAnsi="Times New Roman" w:eastAsia="方正仿宋_GBK" w:cs="Times New Roman"/>
          <w:sz w:val="32"/>
          <w:szCs w:val="32"/>
        </w:rPr>
        <w:t>日</w:t>
      </w: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C2830"/>
    <w:rsid w:val="00172A27"/>
    <w:rsid w:val="003118DF"/>
    <w:rsid w:val="003272D5"/>
    <w:rsid w:val="00333AE7"/>
    <w:rsid w:val="00362B6C"/>
    <w:rsid w:val="00613016"/>
    <w:rsid w:val="006D1F51"/>
    <w:rsid w:val="00707F5B"/>
    <w:rsid w:val="0071477C"/>
    <w:rsid w:val="007232FF"/>
    <w:rsid w:val="007F6CCC"/>
    <w:rsid w:val="00812535"/>
    <w:rsid w:val="0089564F"/>
    <w:rsid w:val="00A8671E"/>
    <w:rsid w:val="00B101FA"/>
    <w:rsid w:val="00B956AC"/>
    <w:rsid w:val="00D30E61"/>
    <w:rsid w:val="00F55720"/>
    <w:rsid w:val="00FA6269"/>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8DF7194"/>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220</Words>
  <Characters>1258</Characters>
  <Lines>10</Lines>
  <Paragraphs>2</Paragraphs>
  <TotalTime>3</TotalTime>
  <ScaleCrop>false</ScaleCrop>
  <LinksUpToDate>false</LinksUpToDate>
  <CharactersWithSpaces>1476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2022-06-11T03:17:00Z</dcterms:created>
  <dc:creator>t</dc:creator>
  <cp:lastModifiedBy>流心</cp:lastModifiedBy>
  <cp:lastPrinted>2022-06-11T03:55:00Z</cp:lastPrinted>
  <dcterms:modified xsi:type="dcterms:W3CDTF">2023-10-19T09:00:31Z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883F14558C5B405EB8C5D5604BEA67E8_13</vt:lpwstr>
  </property>
</Properties>
</file>