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_GBK" w:hAnsi="方正仿宋_GBK" w:eastAsia="方正小标宋_GBK" w:cs="方正仿宋_GBK"/>
          <w:bCs/>
          <w:color w:val="auto"/>
          <w:sz w:val="44"/>
          <w:szCs w:val="44"/>
          <w:shd w:val="clear" w:color="auto" w:fill="FFFFFF"/>
        </w:rPr>
      </w:pPr>
      <w:r>
        <w:rPr>
          <w:rFonts w:hint="eastAsia" w:ascii="方正小标宋_GBK" w:hAnsi="方正仿宋_GBK" w:eastAsia="方正小标宋_GBK" w:cs="方正仿宋_GBK"/>
          <w:bCs/>
          <w:color w:val="auto"/>
          <w:sz w:val="44"/>
          <w:szCs w:val="44"/>
          <w:shd w:val="clear" w:color="auto" w:fill="FFFFFF"/>
        </w:rPr>
        <w:t>奉节县兴隆镇人民政府</w:t>
      </w:r>
    </w:p>
    <w:p>
      <w:pPr>
        <w:spacing w:line="600" w:lineRule="exact"/>
        <w:ind w:firstLine="880" w:firstLineChars="200"/>
        <w:jc w:val="center"/>
        <w:rPr>
          <w:rFonts w:hint="eastAsia" w:ascii="方正小标宋_GBK" w:hAnsi="方正仿宋_GBK" w:eastAsia="方正小标宋_GBK" w:cs="方正仿宋_GBK"/>
          <w:bCs/>
          <w:kern w:val="0"/>
          <w:sz w:val="44"/>
          <w:szCs w:val="44"/>
          <w:shd w:val="clear" w:color="auto" w:fill="FFFFFF"/>
        </w:rPr>
      </w:pPr>
      <w:r>
        <w:rPr>
          <w:rFonts w:hint="eastAsia" w:ascii="方正小标宋_GBK" w:hAnsi="方正仿宋_GBK" w:eastAsia="方正小标宋_GBK" w:cs="方正仿宋_GBK"/>
          <w:bCs/>
          <w:kern w:val="0"/>
          <w:sz w:val="44"/>
          <w:szCs w:val="44"/>
          <w:shd w:val="clear" w:color="auto" w:fill="FFFFFF"/>
        </w:rPr>
        <w:t>202</w:t>
      </w:r>
      <w:r>
        <w:rPr>
          <w:rFonts w:hint="eastAsia" w:ascii="方正小标宋_GBK" w:hAnsi="方正仿宋_GBK" w:eastAsia="方正小标宋_GBK" w:cs="方正仿宋_GBK"/>
          <w:bCs/>
          <w:kern w:val="0"/>
          <w:sz w:val="44"/>
          <w:szCs w:val="44"/>
          <w:shd w:val="clear" w:color="auto" w:fill="FFFFFF"/>
          <w:lang w:val="en-US" w:eastAsia="zh-CN"/>
        </w:rPr>
        <w:t>3</w:t>
      </w:r>
      <w:r>
        <w:rPr>
          <w:rFonts w:hint="eastAsia" w:ascii="方正小标宋_GBK" w:hAnsi="方正仿宋_GBK" w:eastAsia="方正小标宋_GBK" w:cs="方正仿宋_GBK"/>
          <w:bCs/>
          <w:kern w:val="0"/>
          <w:sz w:val="44"/>
          <w:szCs w:val="44"/>
          <w:shd w:val="clear" w:color="auto" w:fill="FFFFFF"/>
        </w:rPr>
        <w:t>年度部门（单位）整体支出预算绩效自评报告</w:t>
      </w:r>
    </w:p>
    <w:p>
      <w:pPr>
        <w:pStyle w:val="2"/>
        <w:ind w:firstLine="640"/>
      </w:pPr>
    </w:p>
    <w:p>
      <w:pPr>
        <w:ind w:firstLine="643" w:firstLineChars="200"/>
        <w:rPr>
          <w:rFonts w:ascii="方正仿宋_GBK" w:hAnsi="方正仿宋_GBK" w:cs="方正仿宋_GBK"/>
          <w:b/>
          <w:bCs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一、单位概况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（一）基本情况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Cs w:val="32"/>
        </w:rPr>
        <w:t>年我单位预算编制范围包括：奉节县兴隆镇人民政府机关及</w:t>
      </w:r>
      <w:r>
        <w:rPr>
          <w:rFonts w:hint="eastAsia" w:ascii="方正仿宋_GBK" w:hAnsi="方正仿宋_GBK" w:cs="方正仿宋_GBK"/>
          <w:szCs w:val="32"/>
          <w:lang w:eastAsia="zh-CN"/>
        </w:rPr>
        <w:t>奉节县兴隆镇农业服务中心</w:t>
      </w:r>
      <w:r>
        <w:rPr>
          <w:rFonts w:hint="eastAsia" w:ascii="方正仿宋_GBK" w:hAnsi="方正仿宋_GBK" w:cs="方正仿宋_GBK"/>
          <w:szCs w:val="32"/>
        </w:rPr>
        <w:t>共计2个单位。将兴隆镇作为一级预算单位，具体为</w:t>
      </w:r>
      <w:r>
        <w:rPr>
          <w:rFonts w:hint="eastAsia" w:ascii="方正仿宋_GBK"/>
          <w:szCs w:val="32"/>
        </w:rPr>
        <w:t>：党政办公室、党建工作办公室、人大办公室、经济发展办公室、民政和社会事务办公室、平安建设办公室、规划建设管理环保办公室、财政办公室、应急管理办公室、乡村振兴办公室</w:t>
      </w:r>
      <w:r>
        <w:rPr>
          <w:rFonts w:hint="eastAsia" w:ascii="方正仿宋_GBK" w:hAnsi="方正仿宋_GBK" w:cs="方正仿宋_GBK"/>
          <w:szCs w:val="32"/>
        </w:rPr>
        <w:t>、</w:t>
      </w:r>
      <w:r>
        <w:rPr>
          <w:rFonts w:hint="eastAsia" w:ascii="方正仿宋_GBK"/>
          <w:szCs w:val="32"/>
        </w:rPr>
        <w:t>农业服务中心、文化服务中心、劳动就业和社会保障服务所、退役军人服务站、综合行政执法大队、特色产业发展中心</w:t>
      </w:r>
      <w:r>
        <w:rPr>
          <w:rFonts w:hint="eastAsia" w:ascii="方正仿宋_GBK" w:hAnsi="方正仿宋_GBK" w:cs="方正仿宋_GBK"/>
          <w:szCs w:val="32"/>
        </w:rPr>
        <w:t>；三角坝社区等20个村和3个居委会。我单位核定人员编制数为105人（其中行政编制55人，事业编制50人），实际在职在岗9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6</w:t>
      </w:r>
      <w:r>
        <w:rPr>
          <w:rFonts w:hint="eastAsia" w:ascii="方正仿宋_GBK" w:hAnsi="方正仿宋_GBK" w:cs="方正仿宋_GBK"/>
          <w:szCs w:val="32"/>
        </w:rPr>
        <w:t>人，遗属补助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14</w:t>
      </w:r>
      <w:r>
        <w:rPr>
          <w:rFonts w:hint="eastAsia" w:ascii="方正仿宋_GBK" w:hAnsi="方正仿宋_GBK" w:cs="方正仿宋_GBK"/>
          <w:szCs w:val="32"/>
        </w:rPr>
        <w:t>人。公务用车编制数4台，实际5台。房屋建筑面积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9461</w:t>
      </w:r>
      <w:r>
        <w:rPr>
          <w:rFonts w:hint="eastAsia" w:ascii="方正仿宋_GBK" w:hAnsi="方正仿宋_GBK" w:cs="方正仿宋_GBK"/>
          <w:szCs w:val="32"/>
        </w:rPr>
        <w:t>平方米，使用面积6861平方米。</w:t>
      </w:r>
    </w:p>
    <w:p>
      <w:pPr>
        <w:numPr>
          <w:ilvl w:val="0"/>
          <w:numId w:val="1"/>
        </w:num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基本职责</w:t>
      </w:r>
    </w:p>
    <w:p>
      <w:pPr>
        <w:pStyle w:val="5"/>
        <w:spacing w:before="0" w:beforeAutospacing="0" w:after="0" w:afterAutospacing="0" w:line="520" w:lineRule="exact"/>
        <w:ind w:firstLine="640" w:firstLineChars="200"/>
      </w:pPr>
      <w:r>
        <w:rPr>
          <w:rFonts w:hint="eastAsia" w:ascii="方正仿宋_GBK" w:eastAsia="方正仿宋_GBK"/>
          <w:sz w:val="32"/>
          <w:szCs w:val="32"/>
        </w:rPr>
        <w:t>构建职能科学、运转有序、保障有力、服务高效、人民满意的基层政府服务管理体制机制。</w:t>
      </w:r>
    </w:p>
    <w:p>
      <w:pPr>
        <w:pStyle w:val="5"/>
        <w:spacing w:before="0" w:beforeAutospacing="0" w:after="0" w:afterAutospacing="0" w:line="520" w:lineRule="exact"/>
        <w:ind w:firstLine="640" w:firstLineChars="200"/>
      </w:pPr>
      <w:r>
        <w:rPr>
          <w:rFonts w:hint="eastAsia" w:ascii="方正仿宋_GBK" w:eastAsia="方正仿宋_GBK"/>
          <w:sz w:val="32"/>
          <w:szCs w:val="32"/>
        </w:rPr>
        <w:t>1.加强基层党的建设。坚持党要管党、全面从严治党，切实加强党的政治建设、思想建设、组织建设、作风建设、纪律建设，把制度建设贯穿其中，深入推进反腐败斗争，推动全面从严治党向基层延伸。</w:t>
      </w:r>
    </w:p>
    <w:p>
      <w:pPr>
        <w:pStyle w:val="5"/>
        <w:spacing w:before="0" w:beforeAutospacing="0" w:after="0" w:afterAutospacing="0" w:line="520" w:lineRule="exact"/>
        <w:ind w:firstLine="640" w:firstLineChars="200"/>
      </w:pPr>
      <w:r>
        <w:rPr>
          <w:rFonts w:hint="eastAsia" w:ascii="方正仿宋_GBK" w:eastAsia="方正仿宋_GBK"/>
          <w:sz w:val="32"/>
          <w:szCs w:val="32"/>
        </w:rPr>
        <w:t>2.强化经济发展职能。正确处理好政府与市场、政府与社会的关系，规范市场秩序，为各类市场主体创造统一开放、公平竞争的发展环境，激发市场、社会的创造活力。强化产业引导，科学编制发展规划，构建新型农业经营体系。落实强农惠农政策，推进扶贫开发，促进农民持续增收。</w:t>
      </w:r>
    </w:p>
    <w:p>
      <w:pPr>
        <w:pStyle w:val="5"/>
        <w:spacing w:before="0" w:beforeAutospacing="0" w:after="0" w:afterAutospacing="0" w:line="520" w:lineRule="exact"/>
        <w:ind w:firstLine="640" w:firstLineChars="200"/>
      </w:pPr>
      <w:r>
        <w:rPr>
          <w:rFonts w:hint="eastAsia" w:ascii="方正仿宋_GBK" w:eastAsia="方正仿宋_GBK"/>
          <w:sz w:val="32"/>
          <w:szCs w:val="32"/>
        </w:rPr>
        <w:t>3.强化公共服务职能。加快义务教育、学前教育、劳动就业、基本医疗卫生、公共文化体育等社会事业发展，完善社会保险、社会救助、社会福利、优抚安置、扶贫济困、法律服务等社会保障体系。创新公共服务供给方式，优化基本公共服务资源配置，统筹基本公共服务设施的空间布局，实现基本公共服务全覆盖。</w:t>
      </w:r>
    </w:p>
    <w:p>
      <w:pPr>
        <w:pStyle w:val="5"/>
        <w:spacing w:before="0" w:beforeAutospacing="0" w:after="0" w:afterAutospacing="0" w:line="520" w:lineRule="exact"/>
        <w:ind w:firstLine="640" w:firstLineChars="200"/>
      </w:pPr>
      <w:r>
        <w:rPr>
          <w:rFonts w:hint="eastAsia" w:ascii="方正仿宋_GBK" w:eastAsia="方正仿宋_GBK"/>
          <w:sz w:val="32"/>
          <w:szCs w:val="32"/>
        </w:rPr>
        <w:t>4.强化公共管理职能。加强村镇规划建设和环境保护，强化城镇和村容村貌管理。健全重大社情、疫情、险情等公共突发事件的预防和应急处理机制。推进平安建设，完善社会治安防控体系。加强信访工作，建立调处化解矛盾纠纷综合机制，确保农村社会和谐稳定。</w:t>
      </w:r>
    </w:p>
    <w:p>
      <w:pPr>
        <w:spacing w:line="576" w:lineRule="exact"/>
        <w:ind w:firstLine="640" w:firstLineChars="200"/>
        <w:rPr>
          <w:rFonts w:ascii="方正仿宋_GBK" w:hAnsi="方正仿宋_GBK" w:cs="方正仿宋_GBK" w:eastAsiaTheme="minorEastAsia"/>
        </w:rPr>
      </w:pPr>
      <w:r>
        <w:rPr>
          <w:rFonts w:hint="eastAsia" w:ascii="方正仿宋_GBK"/>
          <w:szCs w:val="32"/>
        </w:rPr>
        <w:t>5.强化公共安全职能。加强安全生产、食品药品、生态建设、农产品质量安全等监督管理，建立健全隐患排查治理体系和安全预防控制体系。推进基层行政执法体制改革，完善执法保障机制，增强执法监管能力</w:t>
      </w:r>
      <w:r>
        <w:rPr>
          <w:rFonts w:hint="eastAsia" w:ascii="MS Mincho" w:hAnsi="MS Mincho" w:cs="MS Mincho" w:eastAsiaTheme="minorEastAsia"/>
          <w:szCs w:val="32"/>
        </w:rPr>
        <w:t>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（三）年度主要工作概述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>1.</w:t>
      </w:r>
      <w:r>
        <w:rPr>
          <w:rFonts w:hint="eastAsia" w:ascii="方正仿宋_GBK" w:hAnsi="方正仿宋_GBK" w:cs="方正仿宋_GBK"/>
          <w:szCs w:val="32"/>
        </w:rPr>
        <w:t>聚焦经济发展，围绕打造区域性中心强大引擎展现新作为。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一是市场主体提升经济发展动力。实行“月通报、年考核”制度，通过压责任、建机制、畅渠道、优服务等举措，强化市场主体培育力度，充分激发市场主体活力，全年完成个体户新增560个，企业新增140个，目前全镇共有个体户4500户，企业780户，专业合作社145户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二是招商引资汇聚经济发展引力。全镇立足特色资源、发挥产业优势，通过外出走访、召开座谈、实地考察等方式大力招商引资，完成电子加工、民宿酒店、夜景灯光秀文旅等投资项目签约6个，完成投资金额2.1亿元，完成率100%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三是营商环境彰显经济发展活力。全面落实干部走访联系服务企业制度，走访个体工商户、企业1700余次，收集手续审批、厂房租赁、用人用工等企业急难愁盼问题114个，已全部解决，定期组织召开企业家代表座谈会，全面做好经济相关政策措施宣传和落地，加大惠企纾困力度，持续构建亲清政商关系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>2.</w:t>
      </w:r>
      <w:r>
        <w:rPr>
          <w:rFonts w:hint="eastAsia" w:ascii="方正仿宋_GBK" w:hAnsi="方正仿宋_GBK" w:cs="方正仿宋_GBK"/>
          <w:szCs w:val="32"/>
        </w:rPr>
        <w:t>聚焦除险清患，围绕建设平安兴隆特色小镇展现新作为。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一是平安建设持续推进。联合开展矛盾纠纷排查30次，受理各类矛盾纠纷470余件，处置突发事件68起，调处成功率达95%，受理并办结信访件39件，办结率100%，对重点信访人员组织开展化解工作，信访重点人员减量50％，办理民生之声交办件497件、民呼我为签收办理160余件，答政率100%，满意率约90%。护送发病精神障碍患者就医27人次，劝返销号3名境外涉诈高风险人员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二是安全生产保障有力。联合派出所对学校、娱乐场所、危化品零售点、砖厂石场、客运站开展消防安全检查60余次，排查全镇液化气销售点10余户、餐饮86户燃气安全定位及报警器，开展拉网式、犁地视检查，排查发现消防安全、燃气安全、烟花爆竹安全等问题隐患60处，已完成整改50处,开展地灾点巡查排查24次,紧急转移安置地灾点住户12户47人，开展消防救援10次、人员救援15次、险情应急12次，有效保障了全镇人民的生命财产安全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三是依法治镇全面覆盖。贯彻实施“法律明白人”培养工程，在全镇培育法律明白人187名，开展相关业务培训2次，推进依法行政，加强国家工作人员法治教育，全年新培养持执法证执法人员22名，195名机关职工参加并通过年度法治知识理论考试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>3.</w:t>
      </w:r>
      <w:r>
        <w:rPr>
          <w:rFonts w:hint="eastAsia" w:ascii="方正仿宋_GBK" w:hAnsi="方正仿宋_GBK" w:cs="方正仿宋_GBK"/>
          <w:szCs w:val="32"/>
        </w:rPr>
        <w:t>聚焦巩固衔接，围绕塑造乡村振兴实践样本展现新作为。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一是完善帮扶机制。建立主要领导包片，联系领导包村，村（社区）干部包社，帮扶干部包户的网格化联动机制，建立防返贫监测台账、“两不愁三保障”问题台账、户情民意记录台账，对脱贫不稳定户、边缘易致贫户开展常态化监测，每月走访率100%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二是落实帮扶政策。完成雨露计划资助学生391人，改造三格式卫生厕所144户，完成验收打款80户，发放补贴18.8万元；申请产业奖补214户39.65万元，办理小额信贷596.9万元，超额完成指标任务296.9万元；鼓励发展产业，提供无息贷款或低息创业贷款（助农贷和富民贷）5户120万元；协助监测户等困难群众开展就业创业培训24人次。申请脱贫户、监测户一事一议特殊救助9人次12.7万元，申报交通补贴补差2511人次44.4万元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三是强化检视整改。深入结合“大走访大排查大整改”和“动态调整”工作，召开镇、村两级研判会议52次，动态调整共计新增监测户15户42人，对1866户脱贫户、监测对象全覆盖开展两轮走访排查，排查重点户1745户，发现并整改重点问题3个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>4.</w:t>
      </w:r>
      <w:r>
        <w:rPr>
          <w:rFonts w:hint="eastAsia" w:ascii="方正仿宋_GBK" w:hAnsi="方正仿宋_GBK" w:cs="方正仿宋_GBK"/>
          <w:szCs w:val="32"/>
        </w:rPr>
        <w:t>聚焦惠民利民，围绕持续刷新民生幸福指数展现新作为。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一是稳步推进耕地保护，守好群众的“粮袋子”。通过发动群众自己种、动员大户承包种、集体组织兜底种三种模式，清单化、责任化推进耕地保护工作。全镇阶段性耕地恢复补助任务687亩，上报拟恢复补足722亩，完成整治800亩，占比116%，已种植653亩，完成率95.1%，通过市级举证图斑共361亩，完成率52%。对市级下发成林成园287个图斑1008.5亩和县级摸排疑似耕地流出4459个图斑15328.4亩实行分类整改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二是统筹推进社会事业，兜底保障困难群众。关注弱势群体、低收入群体，完成退役军人服务站修建，新增低保户48户84人，新增特困人员特困28人，开展临时救助94人次，发放临时救助资金36.2万余元，慰问困难妇女儿童13人、困难党员37人，发放残疾人康复器材及辅具188套，为5名残疾大学生申请办理教育资助，组织45名残疾人参加职业技能培训，全镇新增就业登记464人次，居民养老保险参保49607人，参保率达93%，医疗保险参保4.01万人，参保率达95%。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三是扎实推进乡村建设，补齐农村基础设施短板。通过农村道路畅通、供水保障、清洁能源建设、数字乡村建设等工程，综合提升农村基础设施水平，实施农村住房修缮加固3户，投资107万元，实施庙湾水厂整治工程，覆盖5个村1860余户，争取部门资金600万元，扩建友谊三桥村道路4.5公里，另外镇、村、社自筹资金600余万元，硬化杉木、新街、安淌、梅花、方洞等村道路10公里。推进厕所革命，设置垃圾分类亭86个，乡村面貌焕然一新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（四）绩效目标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整体支出绩效目标申报及年中追加支出绩效目标情况：年初预算下达了整体支出绩效目标，由于年中追加了预算，对整体支出绩效目标进行了调整，我单位根据调整后的整体支出绩效目标开展了自评。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（五）年度预决算情况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我单位202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Cs w:val="32"/>
        </w:rPr>
        <w:t>年初预算总收入为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3041.08</w:t>
      </w:r>
      <w:r>
        <w:rPr>
          <w:rFonts w:hint="eastAsia" w:ascii="方正仿宋_GBK" w:hAnsi="方正仿宋_GBK" w:cs="方正仿宋_GBK"/>
          <w:szCs w:val="32"/>
        </w:rPr>
        <w:t>万元，年中追加收入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1950.36</w:t>
      </w:r>
      <w:r>
        <w:rPr>
          <w:rFonts w:hint="eastAsia" w:ascii="方正仿宋_GBK" w:hAnsi="方正仿宋_GBK" w:cs="方正仿宋_GBK"/>
          <w:szCs w:val="32"/>
        </w:rPr>
        <w:t>万元，全年总收入为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4991.44</w:t>
      </w:r>
      <w:r>
        <w:rPr>
          <w:rFonts w:hint="eastAsia" w:ascii="方正仿宋_GBK" w:hAnsi="方正仿宋_GBK" w:cs="方正仿宋_GBK"/>
          <w:szCs w:val="32"/>
        </w:rPr>
        <w:t>万元；全年总支出为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4991.44</w:t>
      </w:r>
      <w:r>
        <w:rPr>
          <w:rFonts w:hint="eastAsia" w:ascii="方正仿宋_GBK" w:hAnsi="方正仿宋_GBK" w:cs="方正仿宋_GBK"/>
          <w:szCs w:val="32"/>
        </w:rPr>
        <w:t>万元，其中：基本支出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3358.92</w:t>
      </w:r>
      <w:r>
        <w:rPr>
          <w:rFonts w:hint="eastAsia" w:ascii="方正仿宋_GBK" w:hAnsi="方正仿宋_GBK" w:cs="方正仿宋_GBK"/>
          <w:szCs w:val="32"/>
        </w:rPr>
        <w:t>万元（工资福利支出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1908.85</w:t>
      </w:r>
      <w:r>
        <w:rPr>
          <w:rFonts w:hint="eastAsia" w:ascii="方正仿宋_GBK" w:hAnsi="方正仿宋_GBK" w:cs="方正仿宋_GBK"/>
          <w:szCs w:val="32"/>
        </w:rPr>
        <w:t>万元、商品和服务支出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704.50</w:t>
      </w:r>
      <w:r>
        <w:rPr>
          <w:rFonts w:hint="eastAsia" w:ascii="方正仿宋_GBK" w:hAnsi="方正仿宋_GBK" w:cs="方正仿宋_GBK"/>
          <w:szCs w:val="32"/>
        </w:rPr>
        <w:t>万元、对个人和家庭的补助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739.29</w:t>
      </w:r>
      <w:r>
        <w:rPr>
          <w:rFonts w:hint="eastAsia" w:ascii="方正仿宋_GBK" w:hAnsi="方正仿宋_GBK" w:cs="方正仿宋_GBK"/>
          <w:szCs w:val="32"/>
        </w:rPr>
        <w:t>万元），项目支出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1632.51</w:t>
      </w:r>
      <w:r>
        <w:rPr>
          <w:rFonts w:hint="eastAsia" w:ascii="方正仿宋_GBK" w:hAnsi="方正仿宋_GBK" w:cs="方正仿宋_GBK"/>
          <w:szCs w:val="32"/>
        </w:rPr>
        <w:t>万元。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1、</w:t>
      </w:r>
      <w:r>
        <w:rPr>
          <w:rFonts w:hint="eastAsia" w:ascii="方正仿宋_GBK" w:hAnsi="方正仿宋_GBK" w:cs="方正仿宋_GBK"/>
          <w:bCs/>
          <w:szCs w:val="32"/>
        </w:rPr>
        <w:t>年初</w:t>
      </w:r>
      <w:r>
        <w:rPr>
          <w:rFonts w:hint="eastAsia" w:ascii="方正仿宋_GBK" w:hAnsi="方正仿宋_GBK" w:cs="方正仿宋_GBK"/>
          <w:szCs w:val="32"/>
        </w:rPr>
        <w:t>预算收入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3041.08</w:t>
      </w:r>
      <w:r>
        <w:rPr>
          <w:rFonts w:hint="eastAsia" w:ascii="方正仿宋_GBK" w:hAnsi="方正仿宋_GBK" w:cs="方正仿宋_GBK"/>
          <w:szCs w:val="32"/>
        </w:rPr>
        <w:t>万元，其中：财政拨款收入年初预算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3041.08</w:t>
      </w:r>
      <w:r>
        <w:rPr>
          <w:rFonts w:hint="eastAsia" w:ascii="方正仿宋_GBK" w:hAnsi="方正仿宋_GBK" w:cs="方正仿宋_GBK"/>
          <w:szCs w:val="32"/>
        </w:rPr>
        <w:t>万元（一般公共预算收入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3041.08</w:t>
      </w:r>
      <w:r>
        <w:rPr>
          <w:rFonts w:hint="eastAsia" w:ascii="方正仿宋_GBK" w:hAnsi="方正仿宋_GBK" w:cs="方正仿宋_GBK"/>
          <w:szCs w:val="32"/>
        </w:rPr>
        <w:t>万元，政府基金预算收入0万元，国有资本经营收入预算0万元，社保基金预算收入0万元，其他收入0万元），</w:t>
      </w:r>
      <w:r>
        <w:rPr>
          <w:rFonts w:hint="eastAsia" w:ascii="方正仿宋_GBK" w:hAnsi="方正仿宋_GBK" w:cs="方正仿宋_GBK"/>
          <w:b w:val="0"/>
          <w:bCs w:val="0"/>
          <w:szCs w:val="32"/>
        </w:rPr>
        <w:t>年中</w:t>
      </w:r>
      <w:r>
        <w:rPr>
          <w:rFonts w:hint="eastAsia" w:ascii="方正仿宋_GBK" w:hAnsi="方正仿宋_GBK" w:cs="方正仿宋_GBK"/>
          <w:szCs w:val="32"/>
        </w:rPr>
        <w:t>追加专项资金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1950.36</w:t>
      </w:r>
      <w:r>
        <w:rPr>
          <w:rFonts w:hint="eastAsia" w:ascii="方正仿宋_GBK" w:hAnsi="方正仿宋_GBK" w:cs="方正仿宋_GBK"/>
          <w:szCs w:val="32"/>
        </w:rPr>
        <w:t>万元（一般公共预算收入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1898.09</w:t>
      </w:r>
      <w:r>
        <w:rPr>
          <w:rFonts w:hint="eastAsia" w:ascii="方正仿宋_GBK" w:hAnsi="方正仿宋_GBK" w:cs="方正仿宋_GBK"/>
          <w:szCs w:val="32"/>
        </w:rPr>
        <w:t>万元，政府基金预算收入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52.27</w:t>
      </w:r>
      <w:r>
        <w:rPr>
          <w:rFonts w:hint="eastAsia" w:ascii="方正仿宋_GBK" w:hAnsi="方正仿宋_GBK" w:cs="方正仿宋_GBK"/>
          <w:szCs w:val="32"/>
        </w:rPr>
        <w:t>万元，国有资本经营收入预算0万元，社保基金预算收入0万元，其他收入0万元），共计收入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4991.44</w:t>
      </w:r>
      <w:r>
        <w:rPr>
          <w:rFonts w:hint="eastAsia" w:ascii="方正仿宋_GBK" w:hAnsi="方正仿宋_GBK" w:cs="方正仿宋_GBK"/>
          <w:szCs w:val="32"/>
        </w:rPr>
        <w:t>万元。</w:t>
      </w:r>
    </w:p>
    <w:p>
      <w:pPr>
        <w:ind w:firstLine="640" w:firstLineChars="200"/>
      </w:pPr>
      <w:r>
        <w:rPr>
          <w:rFonts w:hint="eastAsia" w:ascii="方正仿宋_GBK" w:hAnsi="方正仿宋_GBK" w:cs="方正仿宋_GBK"/>
          <w:szCs w:val="32"/>
        </w:rPr>
        <w:t>2、年初预算支出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3041.08</w:t>
      </w:r>
      <w:r>
        <w:rPr>
          <w:rFonts w:hint="eastAsia" w:ascii="方正仿宋_GBK" w:hAnsi="方正仿宋_GBK" w:cs="方正仿宋_GBK"/>
          <w:szCs w:val="32"/>
        </w:rPr>
        <w:t>万元，基本支出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2551.63</w:t>
      </w:r>
      <w:r>
        <w:rPr>
          <w:rFonts w:hint="eastAsia" w:ascii="方正仿宋_GBK" w:hAnsi="方正仿宋_GBK" w:cs="方正仿宋_GBK"/>
          <w:szCs w:val="32"/>
        </w:rPr>
        <w:t>万元（工资福利支出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1971.98</w:t>
      </w:r>
      <w:r>
        <w:rPr>
          <w:rFonts w:hint="eastAsia" w:ascii="方正仿宋_GBK" w:hAnsi="方正仿宋_GBK" w:cs="方正仿宋_GBK"/>
          <w:szCs w:val="32"/>
        </w:rPr>
        <w:t>万元、商品和服务支出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487.30</w:t>
      </w:r>
      <w:r>
        <w:rPr>
          <w:rFonts w:hint="eastAsia" w:ascii="方正仿宋_GBK" w:hAnsi="方正仿宋_GBK" w:cs="方正仿宋_GBK"/>
          <w:szCs w:val="32"/>
        </w:rPr>
        <w:t>万元、对个人和家庭的补助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581.79</w:t>
      </w:r>
      <w:r>
        <w:rPr>
          <w:rFonts w:hint="eastAsia" w:ascii="方正仿宋_GBK" w:hAnsi="方正仿宋_GBK" w:cs="方正仿宋_GBK"/>
          <w:szCs w:val="32"/>
        </w:rPr>
        <w:t>万元），项目支出0万元；年中追加专项支出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1950.36</w:t>
      </w:r>
      <w:r>
        <w:rPr>
          <w:rFonts w:hint="eastAsia" w:ascii="方正仿宋_GBK" w:hAnsi="方正仿宋_GBK" w:cs="方正仿宋_GBK"/>
          <w:szCs w:val="32"/>
        </w:rPr>
        <w:t>万元，共计支出为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4991.44</w:t>
      </w:r>
      <w:r>
        <w:rPr>
          <w:rFonts w:hint="eastAsia" w:ascii="方正仿宋_GBK" w:hAnsi="方正仿宋_GBK" w:cs="方正仿宋_GBK"/>
          <w:szCs w:val="32"/>
        </w:rPr>
        <w:t>万元。</w:t>
      </w:r>
    </w:p>
    <w:p>
      <w:pPr>
        <w:ind w:firstLine="643" w:firstLineChars="200"/>
        <w:rPr>
          <w:rFonts w:ascii="方正仿宋_GBK" w:hAnsi="方正仿宋_GBK" w:cs="方正仿宋_GBK"/>
          <w:b/>
          <w:bCs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二、整体支出管理及使用情况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（一）基本支出：202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Cs w:val="32"/>
        </w:rPr>
        <w:t>年度我镇基本支出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3358.92</w:t>
      </w:r>
      <w:r>
        <w:rPr>
          <w:rFonts w:hint="eastAsia" w:ascii="方正仿宋_GBK" w:hAnsi="方正仿宋_GBK" w:cs="方正仿宋_GBK"/>
          <w:szCs w:val="32"/>
        </w:rPr>
        <w:t>万元，其中：人员支出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2648.14</w:t>
      </w:r>
      <w:r>
        <w:rPr>
          <w:rFonts w:hint="eastAsia" w:ascii="方正仿宋_GBK" w:hAnsi="方正仿宋_GBK" w:cs="方正仿宋_GBK"/>
          <w:szCs w:val="32"/>
        </w:rPr>
        <w:t>万元，公用支出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710.79</w:t>
      </w:r>
      <w:r>
        <w:rPr>
          <w:rFonts w:hint="eastAsia" w:ascii="方正仿宋_GBK" w:hAnsi="方正仿宋_GBK" w:cs="方正仿宋_GBK"/>
          <w:szCs w:val="32"/>
        </w:rPr>
        <w:t>万元。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Cs w:val="32"/>
        </w:rPr>
        <w:t>年三公经费支出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21.14</w:t>
      </w:r>
      <w:r>
        <w:rPr>
          <w:rFonts w:hint="eastAsia" w:ascii="方正仿宋_GBK" w:hAnsi="方正仿宋_GBK" w:cs="方正仿宋_GBK"/>
          <w:szCs w:val="32"/>
        </w:rPr>
        <w:t>万元（预算为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23.84</w:t>
      </w:r>
      <w:r>
        <w:rPr>
          <w:rFonts w:hint="eastAsia" w:ascii="方正仿宋_GBK" w:hAnsi="方正仿宋_GBK" w:cs="方正仿宋_GBK"/>
          <w:szCs w:val="32"/>
        </w:rPr>
        <w:t>万元），同比去年减少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7.85</w:t>
      </w:r>
      <w:r>
        <w:rPr>
          <w:rFonts w:hint="eastAsia" w:ascii="方正仿宋_GBK" w:hAnsi="方正仿宋_GBK" w:cs="方正仿宋_GBK"/>
          <w:szCs w:val="32"/>
        </w:rPr>
        <w:t>%。其中：公务接待费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6.89</w:t>
      </w:r>
      <w:r>
        <w:rPr>
          <w:rFonts w:hint="eastAsia" w:ascii="方正仿宋_GBK" w:hAnsi="方正仿宋_GBK" w:cs="方正仿宋_GBK"/>
          <w:szCs w:val="32"/>
        </w:rPr>
        <w:t>万元（预算为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7.84</w:t>
      </w:r>
      <w:r>
        <w:rPr>
          <w:rFonts w:hint="eastAsia" w:ascii="方正仿宋_GBK" w:hAnsi="方正仿宋_GBK" w:cs="方正仿宋_GBK"/>
          <w:szCs w:val="32"/>
        </w:rPr>
        <w:t>万元），同比去年减少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11.08</w:t>
      </w:r>
      <w:r>
        <w:rPr>
          <w:rFonts w:hint="eastAsia" w:ascii="方正仿宋_GBK" w:hAnsi="方正仿宋_GBK" w:cs="方正仿宋_GBK"/>
          <w:szCs w:val="32"/>
        </w:rPr>
        <w:t>%，公务用车运行维护费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14.25</w:t>
      </w:r>
      <w:r>
        <w:rPr>
          <w:rFonts w:hint="eastAsia" w:ascii="方正仿宋_GBK" w:hAnsi="方正仿宋_GBK" w:cs="方正仿宋_GBK"/>
          <w:szCs w:val="32"/>
        </w:rPr>
        <w:t>万元（预算为16万元），同比上年减少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6.20</w:t>
      </w:r>
      <w:r>
        <w:rPr>
          <w:rFonts w:hint="eastAsia" w:ascii="方正仿宋_GBK" w:hAnsi="方正仿宋_GBK" w:cs="方正仿宋_GBK"/>
          <w:szCs w:val="32"/>
        </w:rPr>
        <w:t>%，政府采购完成0万元（预算为0万元），与上年度持平。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（二）项目支出：202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Cs w:val="32"/>
        </w:rPr>
        <w:t>年财政拨款项目支出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1632.51</w:t>
      </w:r>
      <w:r>
        <w:rPr>
          <w:rFonts w:hint="eastAsia" w:ascii="方正仿宋_GBK" w:hAnsi="方正仿宋_GBK" w:cs="方正仿宋_GBK"/>
          <w:szCs w:val="32"/>
        </w:rPr>
        <w:t>万元，同比上年减少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2.74</w:t>
      </w:r>
      <w:r>
        <w:rPr>
          <w:rFonts w:hint="eastAsia" w:ascii="方正仿宋_GBK" w:hAnsi="方正仿宋_GBK" w:cs="方正仿宋_GBK"/>
          <w:szCs w:val="32"/>
        </w:rPr>
        <w:t>%（其中：一般公共预算资金</w:t>
      </w:r>
      <w:r>
        <w:rPr>
          <w:rFonts w:hint="eastAsia" w:ascii="方正仿宋_GBK" w:hAnsi="方正仿宋_GBK" w:cs="方正仿宋_GBK"/>
          <w:szCs w:val="32"/>
          <w:lang w:eastAsia="zh-CN"/>
        </w:rPr>
        <w:t>增加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7.38</w:t>
      </w:r>
      <w:r>
        <w:rPr>
          <w:rFonts w:hint="eastAsia" w:ascii="方正仿宋_GBK" w:hAnsi="方正仿宋_GBK" w:cs="方正仿宋_GBK"/>
          <w:szCs w:val="32"/>
        </w:rPr>
        <w:t>万元）。 </w:t>
      </w:r>
    </w:p>
    <w:p>
      <w:pPr>
        <w:ind w:firstLine="643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三、整体支出绩效情况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（一）财务管理制度建设情况：资金拨付严格按程序申报、审批，合理合规使用资金，确保财政资金安全。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（二）资产管理：按照要求及时报送资产情况报表，确保各项资产核算准确、帐实相符、管理到位。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（三）预决算公开：在镇人民政府门户网站上按时进行了预决算公开。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（四）“三公经费”控制情况：严格遵守各项规章制度，严控“三公”经费支出，“三公经费”减少，并及时在镇人民政府门户网站上对“三公”经费情况进行公示。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（五）政府采购情况：无。</w:t>
      </w:r>
    </w:p>
    <w:p>
      <w:pPr>
        <w:numPr>
          <w:ilvl w:val="0"/>
          <w:numId w:val="2"/>
        </w:num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认真履行职责情况：完成。</w:t>
      </w:r>
    </w:p>
    <w:p>
      <w:pPr>
        <w:numPr>
          <w:ilvl w:val="0"/>
          <w:numId w:val="3"/>
        </w:numPr>
        <w:rPr>
          <w:rFonts w:ascii="黑体" w:hAnsi="宋体" w:eastAsia="黑体" w:cs="黑体"/>
          <w:color w:val="000000"/>
          <w:szCs w:val="32"/>
        </w:rPr>
      </w:pPr>
      <w:r>
        <w:rPr>
          <w:rFonts w:ascii="黑体" w:hAnsi="宋体" w:eastAsia="黑体" w:cs="黑体"/>
          <w:color w:val="000000"/>
          <w:szCs w:val="32"/>
        </w:rPr>
        <w:t>评价结论</w:t>
      </w:r>
      <w:r>
        <w:rPr>
          <w:rFonts w:hint="eastAsia" w:ascii="黑体" w:hAnsi="宋体" w:eastAsia="黑体" w:cs="黑体"/>
          <w:color w:val="000000"/>
          <w:szCs w:val="32"/>
        </w:rPr>
        <w:t>及分析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通过认真开展单位整体支出绩效目标自评，综合评分**分，评价结果为优。</w:t>
      </w:r>
    </w:p>
    <w:p>
      <w:pPr>
        <w:ind w:left="64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（一）经济性分析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执行绩效评价体系，从以下几个方面提升了我单位的绩效工作：一是要加大支出管理。严格执行公务接待、公车管理及差旅费、会议费管理，坚持厉行节约，努力降低财政运行成本。二是严格预算约束做好增收节支，极力控制非生产性支出，降低行政运行成本，严肃财经纪律，坚决反对铺张浪费。三是加强预算执行，建立健全财政资金使用管理办法，促进资金使用效益。四是积极化解存量债务，严控政府性债务风险。</w:t>
      </w:r>
    </w:p>
    <w:p>
      <w:pPr>
        <w:ind w:left="64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（二）效率性分析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Cs w:val="32"/>
        </w:rPr>
        <w:t>年我单位取得了全县年度综合考核一等奖，各项工作积极推进，工作成效突出，工作效率高。</w:t>
      </w:r>
    </w:p>
    <w:p>
      <w:pPr>
        <w:ind w:left="64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（三）效益性分析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Cs w:val="32"/>
        </w:rPr>
        <w:t>年，我单位的绩效评价工作在镇党委的坚强领导下，在财政局的监督指导下，在社会各界的大力支持下，深入挖掘增收潜力，坚持稳增长、调结构、促改革、惠民生、防风险，各项支出得到较好保障，为建设幸福美好兴隆提供了坚强保障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五、存在的问题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（一）预决算项目支出编制需进一步明确、精细化。同时项目执行率需进一步提高。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随着对预、决算编制工作水平要求越来越高，数据编制要求越来越精准、规范；时间紧、任务大；加之现行决算工作与实际账务处理工作间衔接还存在一定差异；会计人员业务明显增加，人员紧缺，加之业务操作水平有限，实际操作中确实感到力不从心。</w:t>
      </w:r>
    </w:p>
    <w:p>
      <w:pPr>
        <w:ind w:firstLine="643" w:firstLineChars="200"/>
        <w:rPr>
          <w:rFonts w:ascii="方正仿宋_GBK" w:hAnsi="方正仿宋_GBK" w:cs="方正仿宋_GBK"/>
          <w:b/>
          <w:bCs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六、改进措施和有关建议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color w:val="0000FF"/>
          <w:szCs w:val="32"/>
        </w:rPr>
        <w:t>（</w:t>
      </w:r>
      <w:r>
        <w:rPr>
          <w:rFonts w:hint="eastAsia" w:ascii="方正仿宋_GBK" w:hAnsi="方正仿宋_GBK" w:cs="方正仿宋_GBK"/>
          <w:szCs w:val="32"/>
        </w:rPr>
        <w:t>一）细化预算编制工作，进一步加强内设机构的预算管理意识，严格按照预算编制的相关制度和要求进行预算编制。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加强财务管理，严格财务审核。加强单位财务管理，健全单位财务管理制度体系，规范单位财务行为。在费用报账支付时，按照预算规定的费用项目和用途进行资金使用审核、财务严格核算，杜绝超支现象的发生。</w:t>
      </w:r>
    </w:p>
    <w:p>
      <w:pPr>
        <w:ind w:firstLine="640" w:firstLineChars="200"/>
      </w:pPr>
      <w:r>
        <w:rPr>
          <w:rFonts w:hint="eastAsia" w:ascii="方正仿宋_GBK" w:hAnsi="方正仿宋_GBK" w:cs="方正仿宋_GBK"/>
          <w:szCs w:val="32"/>
        </w:rPr>
        <w:t>（三）合理安排会计岗位，适当增加会计人员，增加业务知识培训，加强决算工作与账务处理工作衔接。        </w:t>
      </w:r>
    </w:p>
    <w:p>
      <w:pPr>
        <w:jc w:val="right"/>
        <w:rPr>
          <w:rFonts w:hint="eastAsia" w:ascii="方正仿宋_GBK" w:hAnsi="方正仿宋_GBK" w:cs="方正仿宋_GBK"/>
          <w:szCs w:val="32"/>
        </w:rPr>
      </w:pPr>
    </w:p>
    <w:p>
      <w:pPr>
        <w:jc w:val="right"/>
        <w:rPr>
          <w:rFonts w:ascii="方正仿宋_GBK" w:hAnsi="方正仿宋_GBK" w:cs="方正仿宋_GBK"/>
          <w:szCs w:val="32"/>
        </w:rPr>
      </w:pPr>
      <w:bookmarkStart w:id="0" w:name="_GoBack"/>
      <w:bookmarkEnd w:id="0"/>
      <w:r>
        <w:rPr>
          <w:rFonts w:hint="eastAsia" w:ascii="方正仿宋_GBK" w:hAnsi="方正仿宋_GBK" w:cs="方正仿宋_GBK"/>
          <w:szCs w:val="32"/>
        </w:rPr>
        <w:t>奉节县兴隆镇人民政府</w:t>
      </w:r>
    </w:p>
    <w:p>
      <w:pPr>
        <w:ind w:firstLine="5440" w:firstLineChars="17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</w:t>
      </w:r>
      <w:r>
        <w:rPr>
          <w:rFonts w:hint="eastAsia" w:ascii="方正仿宋_GBK" w:hAnsi="方正仿宋_GBK" w:cs="方正仿宋_GBK"/>
          <w:szCs w:val="32"/>
        </w:rPr>
        <w:t>年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</w:t>
      </w:r>
      <w:r>
        <w:rPr>
          <w:rFonts w:hint="eastAsia" w:ascii="方正仿宋_GBK" w:hAnsi="方正仿宋_GBK" w:cs="方正仿宋_GBK"/>
          <w:szCs w:val="32"/>
        </w:rPr>
        <w:t>月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25</w:t>
      </w:r>
      <w:r>
        <w:rPr>
          <w:rFonts w:hint="eastAsia" w:ascii="方正仿宋_GBK" w:hAnsi="方正仿宋_GBK" w:cs="方正仿宋_GBK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D5631E"/>
    <w:multiLevelType w:val="singleLevel"/>
    <w:tmpl w:val="EBD5631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863CE5B"/>
    <w:multiLevelType w:val="singleLevel"/>
    <w:tmpl w:val="F863CE5B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F74EA2E"/>
    <w:multiLevelType w:val="singleLevel"/>
    <w:tmpl w:val="6F74EA2E"/>
    <w:lvl w:ilvl="0" w:tentative="0">
      <w:start w:val="4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Y5N2IyOTZlZjA2ZGRmZWM5MmU5NmU0NmRhNjk2NjIifQ=="/>
  </w:docVars>
  <w:rsids>
    <w:rsidRoot w:val="00B110CC"/>
    <w:rsid w:val="00010718"/>
    <w:rsid w:val="000F7DB3"/>
    <w:rsid w:val="002C79B6"/>
    <w:rsid w:val="00337D29"/>
    <w:rsid w:val="003E3FF4"/>
    <w:rsid w:val="004215B0"/>
    <w:rsid w:val="004C258C"/>
    <w:rsid w:val="006B113D"/>
    <w:rsid w:val="006D46FF"/>
    <w:rsid w:val="00713281"/>
    <w:rsid w:val="007D4504"/>
    <w:rsid w:val="00A5513A"/>
    <w:rsid w:val="00AE0FDC"/>
    <w:rsid w:val="00B110CC"/>
    <w:rsid w:val="00B73AB3"/>
    <w:rsid w:val="00BD6E1F"/>
    <w:rsid w:val="00BE3BBC"/>
    <w:rsid w:val="00BE5E4A"/>
    <w:rsid w:val="00BF3AA8"/>
    <w:rsid w:val="00C02166"/>
    <w:rsid w:val="00D30F64"/>
    <w:rsid w:val="00F62E8B"/>
    <w:rsid w:val="00FF3DD0"/>
    <w:rsid w:val="082B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kern w:val="0"/>
      <w:sz w:val="24"/>
      <w:szCs w:val="24"/>
      <w:lang w:val="en-US" w:eastAsia="zh-CN" w:bidi="ar-SA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8</Pages>
  <Words>3732</Words>
  <Characters>3976</Characters>
  <Lines>28</Lines>
  <Paragraphs>8</Paragraphs>
  <TotalTime>4</TotalTime>
  <ScaleCrop>false</ScaleCrop>
  <LinksUpToDate>false</LinksUpToDate>
  <CharactersWithSpaces>3976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2023-03-09T06:11:00Z</dcterms:created>
  <dc:creator>Microsoft</dc:creator>
  <cp:lastModifiedBy>Administrator</cp:lastModifiedBy>
  <dcterms:modified xsi:type="dcterms:W3CDTF">2024-01-25T02:30:52Z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E083E996CF6F472A878BF22B6F203743</vt:lpwstr>
  </property>
</Properties>
</file>