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600" w:lineRule="exact"/>
        <w:jc w:val="center"/>
        <w:rPr>
          <w:rFonts w:hint="eastAsia" w:ascii="Times New Roman" w:hAnsi="Times New Roman" w:eastAsia="方正小标宋_GBK" w:cs="Times New Roman"/>
          <w:color w:val="auto"/>
          <w:sz w:val="44"/>
          <w:szCs w:val="44"/>
          <w:lang w:val="en-US" w:eastAsia="zh-CN"/>
        </w:rPr>
      </w:pPr>
      <w:r>
        <w:rPr>
          <w:rFonts w:hint="eastAsia" w:ascii="Times New Roman" w:hAnsi="Times New Roman" w:eastAsia="方正小标宋_GBK" w:cs="Times New Roman"/>
          <w:color w:val="auto"/>
          <w:sz w:val="44"/>
          <w:szCs w:val="44"/>
          <w:lang w:val="en-US" w:eastAsia="zh-CN"/>
        </w:rPr>
        <w:t>奉节县规划和自然资源局</w:t>
      </w:r>
    </w:p>
    <w:p>
      <w:pPr>
        <w:spacing w:beforeLines="0" w:afterLines="0" w:line="600" w:lineRule="exact"/>
        <w:jc w:val="center"/>
        <w:rPr>
          <w:rFonts w:hint="default" w:ascii="Times New Roman" w:hAnsi="Times New Roman" w:eastAsia="方正小标宋_GBK" w:cs="Times New Roman"/>
          <w:color w:val="auto"/>
          <w:sz w:val="44"/>
          <w:szCs w:val="44"/>
          <w:lang w:val="en-US" w:eastAsia="zh-CN"/>
        </w:rPr>
      </w:pPr>
      <w:r>
        <w:rPr>
          <w:rFonts w:hint="eastAsia" w:ascii="Times New Roman" w:hAnsi="Times New Roman" w:eastAsia="方正小标宋_GBK" w:cs="Times New Roman"/>
          <w:color w:val="auto"/>
          <w:sz w:val="44"/>
          <w:szCs w:val="44"/>
          <w:lang w:val="en-US" w:eastAsia="zh-CN"/>
        </w:rPr>
        <w:t>2022年度部门（单位）整体支出预算绩效自评报告</w:t>
      </w:r>
    </w:p>
    <w:p>
      <w:pPr>
        <w:numPr>
          <w:ilvl w:val="0"/>
          <w:numId w:val="0"/>
        </w:numPr>
        <w:spacing w:beforeLines="0" w:afterLines="0" w:line="600" w:lineRule="exact"/>
        <w:ind w:left="0" w:leftChars="0" w:firstLine="632" w:firstLineChars="200"/>
        <w:rPr>
          <w:rFonts w:hint="eastAsia" w:ascii="方正黑体_GBK" w:hAnsi="方正黑体_GBK" w:eastAsia="方正黑体_GBK" w:cs="方正黑体_GBK"/>
          <w:b w:val="0"/>
          <w:bCs w:val="0"/>
          <w:color w:val="auto"/>
          <w:sz w:val="32"/>
          <w:szCs w:val="32"/>
        </w:rPr>
      </w:pPr>
      <w:r>
        <w:rPr>
          <w:rFonts w:hint="eastAsia" w:ascii="方正黑体_GBK" w:hAnsi="方正黑体_GBK" w:eastAsia="方正黑体_GBK" w:cs="方正黑体_GBK"/>
          <w:b w:val="0"/>
          <w:bCs w:val="0"/>
          <w:color w:val="auto"/>
          <w:sz w:val="32"/>
          <w:szCs w:val="32"/>
        </w:rPr>
        <w:t>一、</w:t>
      </w:r>
      <w:r>
        <w:rPr>
          <w:rFonts w:hint="eastAsia" w:ascii="方正黑体_GBK" w:hAnsi="方正黑体_GBK" w:eastAsia="方正黑体_GBK" w:cs="方正黑体_GBK"/>
          <w:b w:val="0"/>
          <w:bCs w:val="0"/>
          <w:color w:val="auto"/>
          <w:sz w:val="32"/>
          <w:szCs w:val="32"/>
          <w:lang w:eastAsia="zh-CN"/>
        </w:rPr>
        <w:t>单位</w:t>
      </w:r>
      <w:r>
        <w:rPr>
          <w:rFonts w:hint="eastAsia" w:ascii="方正黑体_GBK" w:hAnsi="方正黑体_GBK" w:eastAsia="方正黑体_GBK" w:cs="方正黑体_GBK"/>
          <w:b w:val="0"/>
          <w:bCs w:val="0"/>
          <w:color w:val="auto"/>
          <w:sz w:val="32"/>
          <w:szCs w:val="32"/>
        </w:rPr>
        <w:t>概况</w:t>
      </w:r>
    </w:p>
    <w:p>
      <w:pPr>
        <w:spacing w:beforeLines="0" w:afterLines="0" w:line="600" w:lineRule="exact"/>
        <w:ind w:firstLine="632" w:firstLineChars="200"/>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（一）基本情况</w:t>
      </w:r>
      <w:r>
        <w:rPr>
          <w:rFonts w:hint="eastAsia" w:cs="Times New Roman"/>
          <w:color w:val="auto"/>
          <w:sz w:val="32"/>
          <w:szCs w:val="32"/>
          <w:lang w:val="en-US" w:eastAsia="zh-CN"/>
        </w:rPr>
        <w:t xml:space="preserve"> </w:t>
      </w:r>
      <w:bookmarkStart w:id="0" w:name="_GoBack"/>
      <w:bookmarkEnd w:id="0"/>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2022年年我单位预算编制范围包括：奉节县规划和自然资源局机关及所属奉节县规划和自然资源行政综合执法支队、奉节县国土整治中心、奉节县土地储备整治中心、奉节县土地征收中心、奉节县自然资源调查监测中心、奉节县自然资源利用事务中心、奉节县地理信息中心、奉节县地质灾害防治中心、奉节县规划发展研究中心、奉节县规划和自然资源局夔州所、奉节县规划和自然资源局夔门所、奉节县规划和自然资源局竹园所、奉节县规划和自然资源局公平所、奉节县规划和自然资源局兴隆所、奉节县规划和自然资源局新民所、奉节县规划和自然资源局吐祥所、奉节县规划和自然资源局甲高所等共计18个单位。将奉节县规划和自然资源局作为一级预算单位。我单位核定人员编制数为203人（其中行政编制23人，参照公务员法管理人员24人、事业编制152人），实际在职在岗182人，遗属补助1人。公务用车编制数2台，实际9台。房屋建筑面积3295.27平方米，使用面积3295.27平方米。</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基本职责</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 xml:space="preserve"> 一是履行全民所有土地、矿产、森林、草原、湿地、水等自然资源资产所有者职责和所有国土空间用途管制职责。贯彻执行自然资源和国土空间规划及测绘等法律、法规、规章和方针政策。</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二是负责自然资源调查监测评价。贯彻执行统一规范的自然资源调查监测指标体系、统计标准和评价制度。实施自然资源基础调查、专项调查和监测。负责自然资源调查监测评价成果的监督管理和信息发布。</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三是负责自然资源统一确权登记工作。贯彻执行各类自然资源和不动产统一确权登记、权籍调查、不动产测绘、争议调处、成果应用的制度、标准、规范。建立健全全县自然资源和不动产登记信息管理基础平台。负责自然资源和不动产确权登记资料收集、整理、共享、汇交管理等。指导乡镇（街道）开展自然资源和不动产确权登记、权属调查、纠纷调处等相关工作。</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四是负责自然资源资产有偿使用工作。落实全民所有自然资源资产统计制度，负责全民所有自然资源资产核算。编制全县全民所有自然资源资产负债表，拟订考核标准。贯彻执行全民所有自然资源资产划拨、出让、租赁、作价出资和土地储备政策，合理配置全民所有自然资源资产。负责自然资源资产价值评估管理，依法收缴相关资产收益。</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五是负责自然资源的合理开发利用。组织拟订全县自然资源发展规划，组织实施自然资源开发利用标准，建立政府公示自然资源价格体系，组织开展自然资源分等定级价格评估，开展自然资源利用评价考核，指导节约集约利用。负责全县自然资源市场监管。组织研究自然资源管理涉及区域协调和城乡统筹的政策措施。</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六是负责建立空间规划体系并监督实施。落实国家主体功能区战略和制度，组织编制并监督实施全县国土空间规划和相关专项规划。开展国土空间开发适宜性评价，建立国土空间规划实施监测、评估和预警体系。组织划定全县生态保护红线、永久基本农田、城镇开发边界等控制线，构建节约资源和保护环境的生产、生活、生态空间布局。组织编制城乡国土空间规划、详细规划以及地质灾害防治、矿山环境保护等空间规划和自然资源领域重要专项规划，负责对涉及国土空间利用保护的其他各类专项规划进行综合协调与平衡。指导和审核乡镇（街道）国土空间规划编制。承担县政府交办的重要区域国土空间规划的审查报批工作。</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七是建立健全国土空间用途管制制度，监督实施城乡规划政策。承担城区近期建设规划工作。建立城市规划对城市发展、建设时序、范围、内容等引导和管控机制。依法核发建设项目选址意见书、建设用地规划许可证和建设工程规划许可证及乡村建设规划许可证。负责规划条件、用地预审、建设工程竣工规划核实、国有建设用地使用权划拨和有偿使用等工作。组织拟订并实施全县土地等自然资源年度利用计划。负责全县土地等国土空间用途转用工作。负责土地征收征用管理。</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八是负责自然资源文化的挖掘、研究、保护和利用工作。负责全县历史文化名城总体规划及其专项规划编制，承担历史文化名城、名镇、名村、街区，传统风貌区，历史建筑和传统风貌建筑保护的规划管理与规划统筹工作。</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九是负责统筹国土空间生态修复。牵头组织编制全县国土空间生态修复规划并实施有关生态修复工程。负责全县国土空间综合整治、土地整理复垦、矿山地质环境恢复治理等工作。实施生态保护补偿制度，落实合理利用社会资金进行生态修复的政策措施，提出有关重大备选项目。</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十是负责组织实施最严格的耕地保护制度。实施耕地保护政策，负责全县耕地数量、质量、生态保护。组织实施耕地保护责任目标考核和永久基本农田特殊保护。落实耕地占补平衡制度。监督实施占用耕地补偿制度。</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十一是负责管理地质勘查行业和地质工作。编制全县地质勘查规划并监督检查执行情况。管理县级地质勘查项目。组织实施全县重大地质矿产勘查专项。负责地质灾害预防和治理，监督管理地下水过量开采及引发的地面沉降等地质问题。负责古生物化石的监督管理。</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十二是负责落实综合防灾减灾规划相关要求，组织编制全县地质灾害防治规划并指导实施。组织指导协调和监督地质灾害调查评价及隐患的普查、详查、排查和防治工作。组织开展全县群测群防、专业监测和预报预警等工作。组织开展地质灾害工程治理工作。承担全县地质灾害应急救援的技术支撑工作。</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十三是会同有关部门制定县级地震应急预案，建立震害防御工作体系。负责全县地震监测设施运行管理和地震观测环境保护。协助县政府抗震救灾工作领导机构的日常工作。管理地震安全性评价工作，确定核定建设工程的抗震设防要求。开展防震减灾宣传教育工作，负责本辖区地震群测群防管理工作。</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十四是负责矿产资源管理工作。负责全县矿产资源规划编制。负责全县矿产资源储量管理及压覆矿产资源审核。负责全县矿业权管理。会同有关部门承担保护性开采的特定矿种、优势矿产相关管理工作。监督指导全县矿产资源合理利用和保护。</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十五是负责测绘地理信息管理工作。负责全县基础测绘和测绘行业管理。负责测绘资质资格与信用管理，监督管理全县地理信息安全和市场秩序。负责全县地理信息公共服务管理。负责全县测量标志保护。</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十六是促进空间规划和自然资源领域科技发展。制定并实施全县空间规划和自然资源领域科技创新发展和人才培养规划和计划。监督实施相关技术标准、规程规范。组织实施重大科技工程及创新能力建设，推进空间规划和自然资源信息化和信息资料的公共服务。组织开展空间规划和自然资源领域有关对外交流合作。</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十七是承担全县空间规划和自然资源管理的督察工作。负责自然资源权属调查、自然资源保护和开发利用、空间规划管理、测绘地理信息管理等领域的行政执法工作，具体执法交由执法队伍承担，并以部门名义统一执法。指导乡镇（街道）有关综合行政执法工作。</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十八是负责机关、所属单位党群工作。</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十九是管理奉节县林业局。</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二十是承担奉节县规划委员会的日常工作。</w:t>
      </w:r>
    </w:p>
    <w:p>
      <w:pPr>
        <w:spacing w:beforeLines="0" w:afterLines="0" w:line="600" w:lineRule="exact"/>
        <w:ind w:firstLine="632" w:firstLineChars="200"/>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二十一是完成县委、县政府交办的其他任务。</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（三）年度主要工作概述</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一是中心工作推进有力，取得两个全市第一，宅基地复垦体量全市第一。全年完成宅基地复垦备案2700亩，验收1940亩，均居全市第一。自然资源领域历史遗留问题化解总量全市第一。累计解决宅基地复垦历史遗留问题2.5万户、产权办证历史遗留问题4万余户。二是考核任务超额完成，实现三个全市有位完成耕地保护86.8万亩，完成土地整治1.82万亩，完成矿山生态修复877亩。三是创新工作见行见效，实现四个零的突破建成自然资源数据库管理平台，推动25个事项网审平台和空间平台的数据对接，实现规划许可乡镇直接办理零的突破。全力推进“多测合一”，取得测绘甲级资质。四是重点工作落实有力，实现七个更加有为。在空间优化上更加有为。全面统筹生态保护、粮食安全及经济发展的关系，高质量谋划国土空间规划，全面优化“三区三线”。在保障项目用地上更加有为。全年累计报批土地3100亩，百岛湖水库、杉树包风电等34个市县重点项目用地应保尽保；全年度审批临时用地共3宗，保障安康至来凤国家高速公路、风力发电等全县重点项目临时用地需求。在盘活利用土地资源上更加有为。对全县土地资源利用情况进行全面清理摸排，锁定国有已批未供建设用地11433亩，确保项目用地无忧。在矿产资源优化利用上更加有为。完成4宗矿业权出让，新增建筑砂石年产能78万吨，实现收益2484万元。在重点项目实施上更加有为。高水平完成规划展览馆展陈更新工作，高质量完成石马河水泥厂滑坡治理、二道沟滑坡治理、吐祥镇政府后不稳定斜坡等5个地灾治理项目，高质量完成奉节县安坪镇藕塘村等9个土地整治项目。在地灾防治上更加有为守住全市1/10的地灾隐患，全年有效处置灾险情7起，实施金土地搬迁759人，实现我县连续十九年地灾防治“零伤亡”。在招商引资上更加有为。超额完成招商引资任务，完成率达611%，1—12月排名全县第一。</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（四）绩效目标</w:t>
      </w:r>
    </w:p>
    <w:p>
      <w:pPr>
        <w:spacing w:beforeLines="0" w:afterLines="0" w:line="600" w:lineRule="exact"/>
        <w:ind w:firstLine="632" w:firstLineChars="200"/>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整体支出绩效目标申报及年中追加支出绩效目标情况：年初预算下达了整体支出绩效目标，由于年中追加了预算，对整体支出绩效目标进行了调整，我单位根据调整后的整体支出绩效目标开展了自评。</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（五）年度预决算情况</w:t>
      </w:r>
    </w:p>
    <w:p>
      <w:pPr>
        <w:spacing w:beforeLines="0" w:afterLines="0" w:line="600" w:lineRule="exact"/>
        <w:ind w:firstLine="632" w:firstLineChars="200"/>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我单位2022年初预算总收入为4462.25万元，年中追加收入5263.6万元，全年总收入为9725.85万元；全年总支出为9725.85万元，其中：基本支出3750.23万元（工资福利支出3090.80万元、商品和服务支出525.48万元、对个人和家庭的补助133.95万元），项目支出5975.62万元。</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1、年初预算收入4462.25万元，其中：财政拨款收入年初预算4462.25万元（一般公共预算收入4462.25万元，政府基金预算收入0万元，国有资本经营收入预算0万元，社保基金预算收入0万元，其他收入0万元），年中追加（减）专项资金5263.6万元（一般公共预算收入2110.01万元，政府基金预算收入3153.94万元，国有资本经营收入预算0万元，社保基金预算收入0万元，其他收入0万元），共计收入9725.85万元。</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2、年初预算支出4462.25万元，基本支出4380.09万元（工资福利支出3261.52万元、商品和服务支出996.26万元、对个人和家庭的补助122.31万元），项目支出82.16万元；年中追加（14个项目）专项支出5892.46万元，共计支出为9725.85万元。</w:t>
      </w:r>
    </w:p>
    <w:p>
      <w:pPr>
        <w:ind w:firstLine="632" w:firstLineChars="200"/>
        <w:rPr>
          <w:rFonts w:hint="eastAsia" w:ascii="方正仿宋_GBK" w:hAnsi="方正仿宋_GBK" w:eastAsia="方正仿宋_GBK" w:cs="方正仿宋_GBK"/>
          <w:b/>
          <w:bCs/>
          <w:sz w:val="32"/>
          <w:szCs w:val="32"/>
        </w:rPr>
      </w:pPr>
      <w:r>
        <w:rPr>
          <w:rFonts w:hint="eastAsia" w:ascii="方正黑体_GBK" w:hAnsi="方正黑体_GBK" w:eastAsia="方正黑体_GBK" w:cs="方正黑体_GBK"/>
          <w:b w:val="0"/>
          <w:bCs w:val="0"/>
          <w:color w:val="auto"/>
          <w:sz w:val="32"/>
          <w:szCs w:val="32"/>
        </w:rPr>
        <w:t>二、整体支出管理及使用情况</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（一）基本支出：2022年度我单位基本支出3750.23万元，其中：人员支出3224.75万元，公用支出525.49万元。</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2022年三公经费支出8.99万元（预算为10.35万元），同比去年减少0.4%。其中：公务接待费1.59万元（预算为2.35万元），同比去年增加0%，公务用车运行维护费7.4万元（预算为8万元），同比上年减少5%，政府采购完成3.37万元（预算为1.6万元），同比上年增加100%。</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（二）项目支出：2022年财政拨款项目支出5975.62万元，同比上年减少62.1%（其中：一般公共预算财政拨款2822.03万元，同比上年减少34.51%，政府性基金预算财政拨款3153.59万元，同比减少72.48%）。 </w:t>
      </w:r>
    </w:p>
    <w:p>
      <w:pPr>
        <w:ind w:firstLine="632" w:firstLineChars="200"/>
        <w:rPr>
          <w:rFonts w:hint="eastAsia" w:ascii="方正仿宋_GBK" w:hAnsi="方正仿宋_GBK" w:eastAsia="方正仿宋_GBK" w:cs="方正仿宋_GBK"/>
          <w:sz w:val="32"/>
          <w:szCs w:val="32"/>
        </w:rPr>
      </w:pPr>
      <w:r>
        <w:rPr>
          <w:rFonts w:hint="eastAsia" w:ascii="方正黑体_GBK" w:hAnsi="方正黑体_GBK" w:eastAsia="方正黑体_GBK" w:cs="方正黑体_GBK"/>
          <w:b w:val="0"/>
          <w:bCs w:val="0"/>
          <w:color w:val="auto"/>
          <w:sz w:val="32"/>
          <w:szCs w:val="32"/>
        </w:rPr>
        <w:t>三、整体支出绩效情况</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（一）财务管理制度建设情况：资金拨付严格按程序申报、审批，合理合规使用资金，确保财政资金安全。</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（二）资产管理：按照要求及时报送资产情况报表，确保各项资产核算准确、帐实相符、管理到位。</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（三）预决算公开：在县人民政府门户网站上按时进行了预决算公开。</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（四）“三公经费”控制情况：能严格遵守各项规章制度，严控“三公”经费支出，“三公经费”减少，并及时在县人民政府门户网站上对“三公”经费情况进行公示。</w:t>
      </w:r>
    </w:p>
    <w:p>
      <w:pPr>
        <w:numPr>
          <w:ilvl w:val="0"/>
          <w:numId w:val="1"/>
        </w:numPr>
        <w:ind w:left="640" w:leftChars="0" w:firstLine="0" w:firstLineChars="0"/>
        <w:rPr>
          <w:rFonts w:ascii="黑体" w:hAnsi="宋体" w:eastAsia="黑体" w:cs="黑体"/>
          <w:i w:val="0"/>
          <w:iCs w:val="0"/>
          <w:caps w:val="0"/>
          <w:color w:val="000000"/>
          <w:spacing w:val="0"/>
          <w:sz w:val="32"/>
          <w:szCs w:val="32"/>
        </w:rPr>
      </w:pPr>
      <w:r>
        <w:rPr>
          <w:rFonts w:hint="eastAsia" w:ascii="方正黑体_GBK" w:hAnsi="方正黑体_GBK" w:eastAsia="方正黑体_GBK" w:cs="方正黑体_GBK"/>
          <w:b w:val="0"/>
          <w:bCs w:val="0"/>
          <w:color w:val="auto"/>
          <w:sz w:val="32"/>
          <w:szCs w:val="32"/>
        </w:rPr>
        <w:t>评价结论</w:t>
      </w:r>
      <w:r>
        <w:rPr>
          <w:rFonts w:hint="eastAsia" w:ascii="方正黑体_GBK" w:hAnsi="方正黑体_GBK" w:eastAsia="方正黑体_GBK" w:cs="方正黑体_GBK"/>
          <w:b w:val="0"/>
          <w:bCs w:val="0"/>
          <w:color w:val="auto"/>
          <w:sz w:val="32"/>
          <w:szCs w:val="32"/>
          <w:lang w:eastAsia="zh-CN"/>
        </w:rPr>
        <w:t>及分析</w:t>
      </w:r>
    </w:p>
    <w:p>
      <w:pPr>
        <w:spacing w:beforeLines="0" w:afterLines="0" w:line="600" w:lineRule="exact"/>
        <w:ind w:firstLine="632" w:firstLineChars="200"/>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通过认真开展单位整体支出绩效目标自评，综合评分98分，评价结果为优。</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（一）经济性分析</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执行绩效评价体系，从以下几个方面提升了我单位的绩效工作：一是要加大支出管理。严格执行公务接待、公车管理及差旅费、会议费管理，坚持厉行节约，努力降低财政运行成本。二是严格预算约束做好增收节支，极力控制非生产性支出，降低行政运行成本，严肃财经纪律，坚决反对铺张浪费。三是加强预算执行，建立健全财政资金使用管理办法，促进资金使用效益。四是积极化解存量债务，严控政府性债务风险。</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（二）效率性分析</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全年完成宅基地复垦备案2700亩，验收1940亩，均居全市第一，直补农户2.7亿元，向村集体经济组织注入资金4776.4万元，累计注入资金7.48亿元，大力助推乡村振兴。累计解决宅基地复垦历史遗留问题2.5万户、产权办证历史遗留问题4万余户。完成耕地保护86.8万亩，今年流出的耕地已恢复补足，全县耕地保有量实现净增长，耕地保护工作全市排名前三。完成土地整治1.82万亩，新增耕地1877亩，连续三年实现耕地质量数量双提升目标，全域土地整治经验全市推广。完成矿山生态修复877亩，连续五年超额完成矿山生态修复任务，年销号量居全市第四、渝东北第一。全年累计报批土地3100亩，较去年上升12%。</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（三）效益性分析</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2022年我单位的绩效评价工作在县委县政府的坚强领导下，在县财政局的监督指导下，在社会各界的大力支持下，深入挖掘增收潜力，坚持稳增长、调结构、促改革、惠民生、防风险，各项支出得到较好保障，为落实“兴业兴城，强县富民”的总体方针提供了坚强保障。</w:t>
      </w:r>
    </w:p>
    <w:p>
      <w:pPr>
        <w:ind w:firstLine="632" w:firstLineChars="200"/>
        <w:rPr>
          <w:rFonts w:hint="eastAsia" w:ascii="方正仿宋_GBK" w:hAnsi="方正仿宋_GBK" w:eastAsia="方正仿宋_GBK" w:cs="方正仿宋_GBK"/>
          <w:b/>
          <w:bCs/>
          <w:sz w:val="32"/>
          <w:szCs w:val="32"/>
        </w:rPr>
      </w:pPr>
      <w:r>
        <w:rPr>
          <w:rFonts w:hint="eastAsia" w:ascii="方正黑体_GBK" w:hAnsi="方正黑体_GBK" w:eastAsia="方正黑体_GBK" w:cs="方正黑体_GBK"/>
          <w:b w:val="0"/>
          <w:bCs w:val="0"/>
          <w:color w:val="auto"/>
          <w:sz w:val="32"/>
          <w:szCs w:val="32"/>
          <w:lang w:eastAsia="zh-CN"/>
        </w:rPr>
        <w:t>五</w:t>
      </w:r>
      <w:r>
        <w:rPr>
          <w:rFonts w:hint="eastAsia" w:ascii="方正黑体_GBK" w:hAnsi="方正黑体_GBK" w:eastAsia="方正黑体_GBK" w:cs="方正黑体_GBK"/>
          <w:b w:val="0"/>
          <w:bCs w:val="0"/>
          <w:color w:val="auto"/>
          <w:sz w:val="32"/>
          <w:szCs w:val="32"/>
        </w:rPr>
        <w:t>、存在的问题</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（一）因业务水平有限，年初预算的编制支出类别上理解不够，比如基本支出和项目支出，在日常业务操作时容易出错。</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（二）预决算项目支出编制需进一步明确、精细化。同时项目执行率需进一步提高。</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三）随着对预、决算编制工作水平要求越来越高，数据编制要求越来越精准、规范；时间紧、任务大；加之现行决算工作与实际账务处理工作间衔接还存在一定差异；会计人员业务明显增加，人员紧缺，加之业务操作水平有限，实际操作中确实感到力不从心 。</w:t>
      </w:r>
    </w:p>
    <w:p>
      <w:pPr>
        <w:ind w:firstLine="632" w:firstLineChars="200"/>
        <w:rPr>
          <w:rFonts w:hint="eastAsia" w:ascii="方正黑体_GBK" w:hAnsi="方正黑体_GBK" w:eastAsia="方正黑体_GBK" w:cs="方正黑体_GBK"/>
          <w:b w:val="0"/>
          <w:bCs w:val="0"/>
          <w:color w:val="auto"/>
          <w:sz w:val="32"/>
          <w:szCs w:val="32"/>
          <w:lang w:eastAsia="zh-CN"/>
        </w:rPr>
      </w:pPr>
      <w:r>
        <w:rPr>
          <w:rFonts w:hint="eastAsia" w:ascii="方正黑体_GBK" w:hAnsi="方正黑体_GBK" w:eastAsia="方正黑体_GBK" w:cs="方正黑体_GBK"/>
          <w:b w:val="0"/>
          <w:bCs w:val="0"/>
          <w:color w:val="auto"/>
          <w:sz w:val="32"/>
          <w:szCs w:val="32"/>
          <w:lang w:eastAsia="zh-CN"/>
        </w:rPr>
        <w:t>六、改进措施和有关建议</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（一）细化预算编制工作，进一步加强内设机构的预算管理意识，严格按照预算编制的相关制度和要求进行预算编制。</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二）加强财务管理，严格财务审核。加强单位财务管理，健全单位财务管理制度体系，规范单位财务行为。在费用报账支付时，按照预算规定的费用项目和用途进行资金使用审核、财务严格核算，杜绝超支现象的发生。</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（三）合理安排会计岗位，适当增加会计人员，增加业务知识培训，加强决算工作与账务处理工作衔接。        </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附件：部门（单位）整体支出预算绩效自评表</w:t>
      </w:r>
    </w:p>
    <w:p>
      <w:pPr>
        <w:spacing w:beforeLines="0" w:afterLines="0" w:line="600" w:lineRule="exact"/>
        <w:ind w:firstLine="632" w:firstLineChars="200"/>
        <w:jc w:val="right"/>
        <w:rPr>
          <w:rFonts w:hint="eastAsia" w:ascii="Times New Roman" w:hAnsi="Times New Roman" w:eastAsia="方正仿宋_GBK" w:cs="Times New Roman"/>
          <w:color w:val="auto"/>
          <w:sz w:val="32"/>
          <w:szCs w:val="32"/>
          <w:lang w:val="en-US" w:eastAsia="zh-CN"/>
        </w:rPr>
      </w:pPr>
      <w:r>
        <w:rPr>
          <w:rFonts w:hint="eastAsia" w:ascii="方正仿宋_GBK" w:hAnsi="方正仿宋_GBK" w:eastAsia="方正仿宋_GBK" w:cs="方正仿宋_GBK"/>
          <w:sz w:val="32"/>
          <w:szCs w:val="32"/>
          <w:lang w:val="en-US" w:eastAsia="zh-CN"/>
        </w:rPr>
        <w:t xml:space="preserve">          </w:t>
      </w:r>
      <w:r>
        <w:rPr>
          <w:rFonts w:hint="eastAsia" w:ascii="Times New Roman" w:hAnsi="Times New Roman" w:eastAsia="方正仿宋_GBK" w:cs="Times New Roman"/>
          <w:color w:val="auto"/>
          <w:sz w:val="32"/>
          <w:szCs w:val="32"/>
          <w:lang w:val="en-US" w:eastAsia="zh-CN"/>
        </w:rPr>
        <w:t xml:space="preserve"> </w:t>
      </w:r>
    </w:p>
    <w:p>
      <w:pPr>
        <w:spacing w:beforeLines="0" w:afterLines="0" w:line="600" w:lineRule="exact"/>
        <w:ind w:firstLine="632" w:firstLineChars="200"/>
        <w:jc w:val="right"/>
        <w:rPr>
          <w:rFonts w:hint="eastAsia" w:ascii="Times New Roman" w:hAnsi="Times New Roman" w:eastAsia="方正仿宋_GBK" w:cs="Times New Roman"/>
          <w:color w:val="auto"/>
          <w:sz w:val="32"/>
          <w:szCs w:val="32"/>
          <w:lang w:val="en-US" w:eastAsia="zh-CN"/>
        </w:rPr>
      </w:pPr>
    </w:p>
    <w:p>
      <w:pPr>
        <w:spacing w:beforeLines="0" w:afterLines="0" w:line="600" w:lineRule="exact"/>
        <w:ind w:firstLine="632" w:firstLineChars="200"/>
        <w:jc w:val="right"/>
        <w:rPr>
          <w:rFonts w:hint="eastAsia" w:ascii="Times New Roman" w:hAnsi="Times New Roman" w:eastAsia="方正仿宋_GBK" w:cs="Times New Roman"/>
          <w:color w:val="auto"/>
          <w:sz w:val="32"/>
          <w:szCs w:val="32"/>
          <w:lang w:val="en-US" w:eastAsia="zh-CN"/>
        </w:rPr>
      </w:pPr>
    </w:p>
    <w:p>
      <w:pPr>
        <w:spacing w:beforeLines="0" w:afterLines="0" w:line="600" w:lineRule="exact"/>
        <w:ind w:firstLine="632" w:firstLineChars="200"/>
        <w:jc w:val="right"/>
        <w:rPr>
          <w:rFonts w:hint="eastAsia" w:ascii="Times New Roman" w:hAnsi="Times New Roman" w:eastAsia="方正仿宋_GBK" w:cs="Times New Roman"/>
          <w:color w:val="auto"/>
          <w:sz w:val="32"/>
          <w:szCs w:val="32"/>
          <w:lang w:val="en-US" w:eastAsia="zh-CN"/>
        </w:rPr>
      </w:pPr>
    </w:p>
    <w:p>
      <w:pPr>
        <w:spacing w:beforeLines="0" w:afterLines="0" w:line="600" w:lineRule="exact"/>
        <w:ind w:firstLine="632" w:firstLineChars="200"/>
        <w:jc w:val="right"/>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奉节县规划和自然资源局</w:t>
      </w:r>
    </w:p>
    <w:p>
      <w:pPr>
        <w:spacing w:beforeLines="0" w:afterLines="0" w:line="600" w:lineRule="exact"/>
        <w:ind w:firstLine="632" w:firstLineChars="200"/>
        <w:jc w:val="center"/>
        <w:rPr>
          <w:rFonts w:hint="default" w:ascii="Times New Roman" w:hAnsi="Times New Roman" w:eastAsia="方正仿宋_GBK" w:cs="Times New Roman"/>
          <w:color w:val="auto"/>
          <w:sz w:val="32"/>
          <w:szCs w:val="32"/>
          <w:lang w:val="en-US" w:eastAsia="zh-CN"/>
        </w:rPr>
      </w:pPr>
      <w:r>
        <w:rPr>
          <w:rFonts w:hint="eastAsia" w:cs="Times New Roman"/>
          <w:color w:val="auto"/>
          <w:sz w:val="32"/>
          <w:szCs w:val="32"/>
          <w:lang w:val="en-US" w:eastAsia="zh-CN"/>
        </w:rPr>
        <w:t xml:space="preserve">                               </w:t>
      </w:r>
      <w:r>
        <w:rPr>
          <w:rFonts w:hint="eastAsia" w:ascii="Times New Roman" w:hAnsi="Times New Roman" w:eastAsia="方正仿宋_GBK" w:cs="Times New Roman"/>
          <w:color w:val="auto"/>
          <w:sz w:val="32"/>
          <w:szCs w:val="32"/>
          <w:lang w:val="en-US" w:eastAsia="zh-CN"/>
        </w:rPr>
        <w:t>2023年3月22日</w:t>
      </w:r>
    </w:p>
    <w:p>
      <w:pPr>
        <w:spacing w:beforeLines="0" w:afterLines="0" w:line="600" w:lineRule="exact"/>
        <w:ind w:firstLine="632" w:firstLineChars="200"/>
        <w:rPr>
          <w:rFonts w:hint="eastAsia" w:ascii="Times New Roman" w:hAnsi="Times New Roman" w:eastAsia="方正仿宋_GBK" w:cs="Times New Roman"/>
          <w:color w:val="auto"/>
          <w:sz w:val="32"/>
          <w:szCs w:val="32"/>
          <w:lang w:val="en-US" w:eastAsia="zh-CN"/>
        </w:rPr>
      </w:pPr>
    </w:p>
    <w:sectPr>
      <w:headerReference r:id="rId3" w:type="default"/>
      <w:footerReference r:id="rId5" w:type="default"/>
      <w:headerReference r:id="rId4" w:type="even"/>
      <w:footerReference r:id="rId6" w:type="even"/>
      <w:pgSz w:w="11906" w:h="16838"/>
      <w:pgMar w:top="2098" w:right="1531" w:bottom="1985" w:left="1531" w:header="851" w:footer="1474" w:gutter="0"/>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jc w:val="right"/>
      <w:rPr>
        <w:sz w:val="28"/>
      </w:rPr>
    </w:pPr>
    <w:r>
      <w:rPr>
        <w:rStyle w:val="7"/>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1</w:t>
    </w:r>
    <w:r>
      <w:rPr>
        <w:kern w:val="0"/>
        <w:sz w:val="28"/>
      </w:rPr>
      <w:fldChar w:fldCharType="end"/>
    </w:r>
    <w:r>
      <w:rPr>
        <w:kern w:val="0"/>
        <w:sz w:val="28"/>
      </w:rPr>
      <w:t xml:space="preserve"> </w:t>
    </w:r>
    <w:r>
      <w:rPr>
        <w:rStyle w:val="7"/>
        <w:rFonts w:hint="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rPr>
        <w:sz w:val="28"/>
      </w:rPr>
    </w:pPr>
    <w:r>
      <w:rPr>
        <w:rStyle w:val="7"/>
        <w:rFonts w:hint="eastAsia"/>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2</w:t>
    </w:r>
    <w:r>
      <w:rPr>
        <w:kern w:val="0"/>
        <w:sz w:val="28"/>
      </w:rPr>
      <w:fldChar w:fldCharType="end"/>
    </w:r>
    <w:r>
      <w:rPr>
        <w:kern w:val="0"/>
        <w:sz w:val="28"/>
      </w:rPr>
      <w:t xml:space="preserve"> </w:t>
    </w:r>
    <w:r>
      <w:rPr>
        <w:rStyle w:val="7"/>
        <w:rFonts w:hint="eastAsia"/>
        <w:sz w:val="28"/>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74EA2E"/>
    <w:multiLevelType w:val="singleLevel"/>
    <w:tmpl w:val="6F74EA2E"/>
    <w:lvl w:ilvl="0" w:tentative="0">
      <w:start w:val="4"/>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2B1582"/>
    <w:rsid w:val="09AC5758"/>
    <w:rsid w:val="0BD36C00"/>
    <w:rsid w:val="0CB6252F"/>
    <w:rsid w:val="0CF568E1"/>
    <w:rsid w:val="12B17F3B"/>
    <w:rsid w:val="15CA22E2"/>
    <w:rsid w:val="1F9B5926"/>
    <w:rsid w:val="2558760B"/>
    <w:rsid w:val="28A2689E"/>
    <w:rsid w:val="2D287F81"/>
    <w:rsid w:val="2FA54C5F"/>
    <w:rsid w:val="35B47C9C"/>
    <w:rsid w:val="37BF31A8"/>
    <w:rsid w:val="386126B1"/>
    <w:rsid w:val="3F125FDD"/>
    <w:rsid w:val="3F801DE6"/>
    <w:rsid w:val="45C41F1D"/>
    <w:rsid w:val="4FB72A80"/>
    <w:rsid w:val="52351286"/>
    <w:rsid w:val="562B1582"/>
    <w:rsid w:val="572337F4"/>
    <w:rsid w:val="5BDC6B30"/>
    <w:rsid w:val="5E3E3C36"/>
    <w:rsid w:val="620E68A8"/>
    <w:rsid w:val="62FA3100"/>
    <w:rsid w:val="67CB42A5"/>
    <w:rsid w:val="6AF13F41"/>
    <w:rsid w:val="6CAB142C"/>
    <w:rsid w:val="702C73FA"/>
    <w:rsid w:val="728F49CE"/>
    <w:rsid w:val="73D2398B"/>
    <w:rsid w:val="7F5222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方正仿宋_GBK" w:cs="Times New Roman"/>
      <w:kern w:val="2"/>
      <w:sz w:val="32"/>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next w:val="1"/>
    <w:qFormat/>
    <w:uiPriority w:val="0"/>
    <w:pPr>
      <w:widowControl w:val="0"/>
      <w:autoSpaceDE w:val="0"/>
      <w:autoSpaceDN w:val="0"/>
      <w:adjustRightInd w:val="0"/>
    </w:pPr>
    <w:rPr>
      <w:rFonts w:ascii="方正仿宋_GBK" w:hAnsi="Times New Roman" w:eastAsia="方正仿宋_GBK" w:cs="Times New Roman"/>
      <w:color w:val="000000"/>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bottom w:val="single" w:color="auto" w:sz="6" w:space="1"/>
      </w:pBdr>
      <w:tabs>
        <w:tab w:val="center" w:pos="4153"/>
        <w:tab w:val="right" w:pos="8306"/>
      </w:tabs>
      <w:snapToGrid w:val="0"/>
      <w:jc w:val="center"/>
    </w:pPr>
    <w:rPr>
      <w:sz w:val="18"/>
    </w:rPr>
  </w:style>
  <w:style w:type="character" w:styleId="7">
    <w:name w:val="page number"/>
    <w:basedOn w:val="6"/>
    <w:uiPriority w:val="0"/>
  </w:style>
  <w:style w:type="character" w:customStyle="1" w:styleId="8">
    <w:name w:val="font81"/>
    <w:basedOn w:val="6"/>
    <w:qFormat/>
    <w:uiPriority w:val="0"/>
    <w:rPr>
      <w:rFonts w:ascii="Calibri" w:hAnsi="Calibri" w:eastAsia="宋体" w:cs="Calibri"/>
      <w:color w:val="000000"/>
      <w:sz w:val="21"/>
      <w:szCs w:val="21"/>
      <w:u w:val="none"/>
    </w:rPr>
  </w:style>
  <w:style w:type="character" w:customStyle="1" w:styleId="9">
    <w:name w:val="font31"/>
    <w:basedOn w:val="6"/>
    <w:qFormat/>
    <w:uiPriority w:val="0"/>
    <w:rPr>
      <w:rFonts w:hint="eastAsia" w:ascii="宋体" w:hAnsi="宋体" w:eastAsia="宋体" w:cs="宋体"/>
      <w:color w:val="000000"/>
      <w:sz w:val="21"/>
      <w:szCs w:val="21"/>
      <w:u w:val="none"/>
    </w:rPr>
  </w:style>
  <w:style w:type="character" w:customStyle="1" w:styleId="10">
    <w:name w:val="font91"/>
    <w:basedOn w:val="6"/>
    <w:qFormat/>
    <w:uiPriority w:val="0"/>
    <w:rPr>
      <w:rFonts w:hint="eastAsia" w:ascii="方正仿宋_GBK" w:hAnsi="方正仿宋_GBK" w:eastAsia="方正仿宋_GBK" w:cs="方正仿宋_GBK"/>
      <w:color w:val="000000"/>
      <w:sz w:val="22"/>
      <w:szCs w:val="22"/>
      <w:u w:val="none"/>
    </w:rPr>
  </w:style>
  <w:style w:type="character" w:customStyle="1" w:styleId="11">
    <w:name w:val="font51"/>
    <w:basedOn w:val="6"/>
    <w:qFormat/>
    <w:uiPriority w:val="0"/>
    <w:rPr>
      <w:rFonts w:hint="eastAsia" w:ascii="方正仿宋_GBK" w:hAnsi="方正仿宋_GBK" w:eastAsia="方正仿宋_GBK" w:cs="方正仿宋_GBK"/>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2023-01-03T07:04:00Z</dcterms:created>
  <dc:creator>奉节办公室</dc:creator>
  <cp:lastModifiedBy>Administrator</cp:lastModifiedBy>
  <cp:lastPrinted>2023-03-27T02:58:27Z</cp:lastPrinted>
  <dcterms:modified xsi:type="dcterms:W3CDTF">2023-03-27T03:06:19Z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E200802348FD425C98DAB483C3298E84</vt:lpwstr>
  </property>
</Properties>
</file>