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仿宋_GBK" w:hAnsi="宋体" w:eastAsia="方正仿宋_GBK" w:cs="宋体"/>
          <w:b/>
          <w:sz w:val="44"/>
          <w:szCs w:val="44"/>
        </w:rPr>
      </w:pPr>
      <w:r>
        <w:rPr>
          <w:rFonts w:hint="eastAsia" w:ascii="方正仿宋_GBK" w:hAnsi="宋体" w:cs="宋体"/>
          <w:b/>
          <w:sz w:val="44"/>
          <w:szCs w:val="44"/>
          <w:lang w:eastAsia="zh-CN"/>
        </w:rPr>
        <w:t>煤矿等领域购买技术服务费</w:t>
      </w:r>
      <w:r>
        <w:rPr>
          <w:rFonts w:hint="eastAsia" w:ascii="方正仿宋_GBK" w:hAnsi="宋体" w:eastAsia="方正仿宋_GBK" w:cs="宋体"/>
          <w:b/>
          <w:sz w:val="44"/>
          <w:szCs w:val="44"/>
        </w:rPr>
        <w:t>自评报告</w:t>
      </w:r>
    </w:p>
    <w:p>
      <w:pPr>
        <w:pStyle w:val="2"/>
        <w:rPr>
          <w:rFonts w:hint="eastAsia"/>
        </w:rPr>
      </w:pP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（一）县财政下达转移支付预算和绩效目标情况。</w:t>
      </w:r>
    </w:p>
    <w:p>
      <w:pPr>
        <w:pStyle w:val="3"/>
        <w:rPr>
          <w:rFonts w:hint="eastAsia" w:eastAsia="方正仿宋_GBK"/>
          <w:lang w:val="en-US"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 xml:space="preserve">    根据奉节财建[2020]80号文件，奉节县财政局下达我局煤矿等领域购买技术服务费65.8万元。</w:t>
      </w:r>
    </w:p>
    <w:p>
      <w:pPr>
        <w:numPr>
          <w:ilvl w:val="0"/>
          <w:numId w:val="0"/>
        </w:numPr>
        <w:tabs>
          <w:tab w:val="left" w:pos="7080"/>
        </w:tabs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（二）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部门资金安排、分解下达预算和绩效目标情况。</w:t>
      </w:r>
    </w:p>
    <w:p>
      <w:pPr>
        <w:numPr>
          <w:ilvl w:val="0"/>
          <w:numId w:val="0"/>
        </w:numPr>
        <w:tabs>
          <w:tab w:val="left" w:pos="7080"/>
        </w:tabs>
        <w:spacing w:line="600" w:lineRule="exact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 xml:space="preserve">     聘请具有资质的第三方技术机构加强对全县非煤矿山、煤矿复产复工验收、危险化学品、工贸企业进行技术服务支持。其中非煤矿山资金安排18万，煤矿复产复工验收资金安排8.8万，危险化学品资金安排19.8万，工贸企业资金安排19.2万。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、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项目资金到位情况分析。</w:t>
      </w:r>
    </w:p>
    <w:p>
      <w:pPr>
        <w:spacing w:line="600" w:lineRule="exact"/>
        <w:ind w:firstLine="640" w:firstLineChars="200"/>
        <w:outlineLvl w:val="0"/>
        <w:rPr>
          <w:rFonts w:hint="eastAsia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煤矿等领域购买技术服务费指标30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万元，当年资金到位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30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万元。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2、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项目资金执行情况分析。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eastAsia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煤矿等领域购买技术服务费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已支付资金</w:t>
      </w:r>
      <w:r>
        <w:rPr>
          <w:rFonts w:hint="eastAsia" w:hAnsi="方正仿宋_GBK" w:cs="方正仿宋_GBK"/>
          <w:sz w:val="32"/>
          <w:szCs w:val="32"/>
          <w:lang w:val="en-US" w:eastAsia="zh-CN"/>
        </w:rPr>
        <w:t>30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万元，执行率100%。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3、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项目资金管理情况分析。</w:t>
      </w:r>
    </w:p>
    <w:p>
      <w:pPr>
        <w:numPr>
          <w:ilvl w:val="0"/>
          <w:numId w:val="0"/>
        </w:numPr>
        <w:tabs>
          <w:tab w:val="left" w:pos="7080"/>
        </w:tabs>
        <w:spacing w:line="600" w:lineRule="exact"/>
        <w:outlineLvl w:val="0"/>
        <w:rPr>
          <w:rFonts w:hint="eastAsia" w:eastAsia="方正仿宋_GBK"/>
          <w:lang w:val="en-US" w:eastAsia="zh-CN"/>
        </w:rPr>
      </w:pPr>
      <w:r>
        <w:rPr>
          <w:rFonts w:hint="eastAsia"/>
          <w:lang w:val="en-US" w:eastAsia="zh-CN"/>
        </w:rPr>
        <w:t xml:space="preserve">    按照实际发生检查，拨付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煤矿等领域购买技术服务费</w:t>
      </w:r>
      <w:r>
        <w:rPr>
          <w:rFonts w:hint="eastAsia"/>
          <w:lang w:val="en-US" w:eastAsia="zh-CN"/>
        </w:rPr>
        <w:t>。</w:t>
      </w:r>
    </w:p>
    <w:p>
      <w:pPr>
        <w:numPr>
          <w:ilvl w:val="0"/>
          <w:numId w:val="0"/>
        </w:num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（二）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总体绩效目标完成情况分析。</w:t>
      </w:r>
    </w:p>
    <w:p>
      <w:pPr>
        <w:numPr>
          <w:ilvl w:val="0"/>
          <w:numId w:val="0"/>
        </w:num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对全县非煤矿山定期开展风险隐患排查，提供专业技术支持，开展一体化评定等工作，确保全县非煤矿山安全生产形势持续稳定；对草堂煤矿、阳北煤矿、宝光煤矿、寨官煤矿的安全生产标准化情况，隐蔽致灾普查和老窖水情况，安全监控、人员定位运行情况，管理人员、专业技术人员和特种作业人员配备情况，职工安全培训情况，机构、人员、设备配备情况，矿山救护队等情况进行检查验收；对全县危险化学品从业单位安全标准化一体化的进行评审，并形成相关评审资料，对辖区内危险化学品企业进行日常安全检查，形成安全检查及隐患整改专家意见书；对全县工贸企业日常安全生产检查</w:t>
      </w:r>
    </w:p>
    <w:p>
      <w:pPr>
        <w:numPr>
          <w:ilvl w:val="0"/>
          <w:numId w:val="1"/>
        </w:num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绩效目标完成情况分析。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（根据年初绩效目标及指标逐项分析）</w:t>
      </w:r>
    </w:p>
    <w:tbl>
      <w:tblPr>
        <w:tblStyle w:val="6"/>
        <w:tblW w:w="868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52"/>
        <w:gridCol w:w="912"/>
        <w:gridCol w:w="911"/>
        <w:gridCol w:w="1163"/>
        <w:gridCol w:w="1162"/>
        <w:gridCol w:w="911"/>
        <w:gridCol w:w="672"/>
        <w:gridCol w:w="914"/>
        <w:gridCol w:w="502"/>
        <w:gridCol w:w="78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5" w:hRule="atLeast"/>
        </w:trPr>
        <w:tc>
          <w:tcPr>
            <w:tcW w:w="8685" w:type="dxa"/>
            <w:gridSpan w:val="10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/>
                <w:i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绩效目标自评表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8685" w:type="dxa"/>
            <w:gridSpan w:val="10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   2020  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6" w:hRule="atLeast"/>
        </w:trPr>
        <w:tc>
          <w:tcPr>
            <w:tcW w:w="16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2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煤矿等领域购买技术服务</w:t>
            </w:r>
          </w:p>
        </w:tc>
        <w:tc>
          <w:tcPr>
            <w:tcW w:w="249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2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马授新、周乾春、钟明、陈应红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6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32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9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2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奉节应急管理局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9" w:hRule="atLeast"/>
        </w:trPr>
        <w:tc>
          <w:tcPr>
            <w:tcW w:w="166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资金情况（万元）</w:t>
            </w:r>
          </w:p>
        </w:tc>
        <w:tc>
          <w:tcPr>
            <w:tcW w:w="20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类       别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15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6" w:hRule="atLeast"/>
        </w:trPr>
        <w:tc>
          <w:tcPr>
            <w:tcW w:w="166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65.8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65.8</w:t>
            </w:r>
          </w:p>
        </w:tc>
        <w:tc>
          <w:tcPr>
            <w:tcW w:w="15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10分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6" w:hRule="atLeast"/>
        </w:trPr>
        <w:tc>
          <w:tcPr>
            <w:tcW w:w="166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其中：财政拨款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65.8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65.8</w:t>
            </w:r>
          </w:p>
        </w:tc>
        <w:tc>
          <w:tcPr>
            <w:tcW w:w="15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6" w:hRule="atLeast"/>
        </w:trPr>
        <w:tc>
          <w:tcPr>
            <w:tcW w:w="166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 其他资金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6" w:hRule="atLeast"/>
        </w:trPr>
        <w:tc>
          <w:tcPr>
            <w:tcW w:w="166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414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年初设定目标</w:t>
            </w:r>
          </w:p>
        </w:tc>
        <w:tc>
          <w:tcPr>
            <w:tcW w:w="287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年度总体完成情况综述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753" w:hRule="atLeast"/>
        </w:trPr>
        <w:tc>
          <w:tcPr>
            <w:tcW w:w="166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14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按照政府购买技术服务的有关要求，聘请具有资质的第三方技术机构加强对全县非煤矿山、煤矿、危化、工贸行业技术服务支持。组织专业人员开展风险隐患排查，提供专业技术支持，开展一体化评定等工作。</w:t>
            </w:r>
          </w:p>
        </w:tc>
        <w:tc>
          <w:tcPr>
            <w:tcW w:w="287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如期圆满完成技术服务工作，做好风险隐患排查，配合开展一体化等各项工作的推进。</w:t>
            </w: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drawing>
                <wp:inline distT="0" distB="0" distL="114300" distR="114300">
                  <wp:extent cx="19050" cy="238125"/>
                  <wp:effectExtent l="0" t="0" r="11430" b="5715"/>
                  <wp:docPr id="13" name="图片 7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7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3" w:hRule="atLeast"/>
        </w:trPr>
        <w:tc>
          <w:tcPr>
            <w:tcW w:w="7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  <w:tc>
          <w:tcPr>
            <w:tcW w:w="12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未完成原因及拟采取的措施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32" w:hRule="atLeast"/>
        </w:trPr>
        <w:tc>
          <w:tcPr>
            <w:tcW w:w="7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分）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专家服务（次）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332次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332次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2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3" w:hRule="atLeast"/>
        </w:trPr>
        <w:tc>
          <w:tcPr>
            <w:tcW w:w="7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服务期限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2020年12月底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2020年12月底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2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7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检测质量合格率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2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3" w:hRule="atLeast"/>
        </w:trPr>
        <w:tc>
          <w:tcPr>
            <w:tcW w:w="7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分）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合理优化矿山开采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效益提升20%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效益提升20%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2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3" w:hRule="atLeast"/>
        </w:trPr>
        <w:tc>
          <w:tcPr>
            <w:tcW w:w="7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安全事故风险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降低90%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降低90%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2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3" w:hRule="atLeast"/>
        </w:trPr>
        <w:tc>
          <w:tcPr>
            <w:tcW w:w="7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安全生产与生态环境结合协调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节耗提升10%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节耗提升10%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53" w:hRule="atLeast"/>
        </w:trPr>
        <w:tc>
          <w:tcPr>
            <w:tcW w:w="7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技术服务督促企业提升安全管理水平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长期存在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长期存在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17" w:hRule="atLeast"/>
        </w:trPr>
        <w:tc>
          <w:tcPr>
            <w:tcW w:w="7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分）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受益对象满意度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≥95%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95%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2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16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</w:t>
            </w:r>
          </w:p>
        </w:tc>
        <w:tc>
          <w:tcPr>
            <w:tcW w:w="12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numPr>
          <w:ilvl w:val="0"/>
          <w:numId w:val="0"/>
        </w:numPr>
        <w:spacing w:line="600" w:lineRule="exact"/>
        <w:ind w:firstLine="320" w:firstLineChars="1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三、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偏离绩效目标的原因和下一步改进措施</w:t>
      </w:r>
    </w:p>
    <w:p>
      <w:pPr>
        <w:pStyle w:val="2"/>
        <w:numPr>
          <w:ilvl w:val="0"/>
          <w:numId w:val="0"/>
        </w:numPr>
        <w:rPr>
          <w:rFonts w:hint="eastAsia" w:eastAsia="方正仿宋_GBK"/>
          <w:lang w:val="en-US" w:eastAsia="zh-CN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 xml:space="preserve">   无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绩效自评结果拟应用和公开情况</w:t>
      </w:r>
    </w:p>
    <w:p>
      <w:pPr>
        <w:pStyle w:val="2"/>
        <w:numPr>
          <w:ilvl w:val="0"/>
          <w:numId w:val="0"/>
        </w:numPr>
        <w:rPr>
          <w:rFonts w:hint="eastAsia" w:eastAsia="方正仿宋_GBK"/>
          <w:lang w:val="en-US" w:eastAsia="zh-CN"/>
        </w:rPr>
      </w:pPr>
      <w:r>
        <w:rPr>
          <w:rFonts w:hint="eastAsia"/>
          <w:lang w:val="en-US" w:eastAsia="zh-CN"/>
        </w:rPr>
        <w:t xml:space="preserve">         </w:t>
      </w:r>
      <w:r>
        <w:rPr>
          <w:rFonts w:hint="eastAsia" w:hAnsi="方正仿宋_GBK" w:cs="方正仿宋_GBK"/>
          <w:kern w:val="2"/>
          <w:sz w:val="32"/>
          <w:szCs w:val="32"/>
          <w:lang w:val="en-US" w:eastAsia="zh-CN" w:bidi="ar-SA"/>
        </w:rPr>
        <w:t>无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五、其他需要说明的问题</w:t>
      </w:r>
    </w:p>
    <w:p>
      <w:pPr>
        <w:numPr>
          <w:ilvl w:val="0"/>
          <w:numId w:val="0"/>
        </w:numPr>
        <w:spacing w:line="600" w:lineRule="exact"/>
        <w:ind w:leftChars="200" w:firstLine="320" w:firstLineChars="100"/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暂无其他需要说明的事项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仿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9DDF48"/>
    <w:multiLevelType w:val="singleLevel"/>
    <w:tmpl w:val="609DDF48"/>
    <w:lvl w:ilvl="0" w:tentative="0">
      <w:start w:val="3"/>
      <w:numFmt w:val="chineseCounting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9A0666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eastAsia="方正仿宋_GBK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paragraph" w:styleId="3">
    <w:name w:val="Body Text First Indent"/>
    <w:basedOn w:val="4"/>
    <w:next w:val="1"/>
    <w:uiPriority w:val="0"/>
    <w:pPr>
      <w:ind w:firstLine="420" w:firstLineChars="100"/>
    </w:pPr>
  </w:style>
  <w:style w:type="paragraph" w:styleId="4">
    <w:name w:val="Body Text"/>
    <w:basedOn w:val="1"/>
    <w:next w:val="1"/>
    <w:uiPriority w:val="0"/>
    <w:pPr>
      <w:spacing w:after="12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李从明</cp:lastModifiedBy>
  <dcterms:modified xsi:type="dcterms:W3CDTF">2021-06-28T01:25:16Z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