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ind w:firstLine="883" w:firstLineChars="200"/>
        <w:jc w:val="center"/>
        <w:rPr>
          <w:rFonts w:hint="eastAsia" w:ascii="方正仿宋_GBK" w:hAnsi="方正仿宋_GBK" w:eastAsia="方正仿宋_GBK" w:cs="方正仿宋_GBK"/>
          <w:b/>
          <w:bCs/>
          <w:sz w:val="44"/>
          <w:szCs w:val="44"/>
          <w:lang w:val="en-US" w:eastAsia="zh-CN"/>
        </w:rPr>
      </w:pPr>
      <w:r>
        <w:rPr>
          <w:rFonts w:hint="eastAsia" w:ascii="方正仿宋_GBK" w:hAnsi="方正仿宋_GBK" w:eastAsia="方正仿宋_GBK" w:cs="方正仿宋_GBK"/>
          <w:b/>
          <w:bCs/>
          <w:sz w:val="44"/>
          <w:szCs w:val="44"/>
          <w:lang w:val="en-US" w:eastAsia="zh-CN"/>
        </w:rPr>
        <w:t>应急指挥（值班）中心</w:t>
      </w:r>
    </w:p>
    <w:p>
      <w:pPr>
        <w:spacing w:line="600" w:lineRule="exact"/>
        <w:ind w:firstLine="883" w:firstLineChars="200"/>
        <w:jc w:val="center"/>
        <w:rPr>
          <w:rFonts w:hint="eastAsia" w:ascii="方正仿宋_GBK" w:eastAsia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b/>
          <w:bCs/>
          <w:sz w:val="44"/>
          <w:szCs w:val="44"/>
          <w:lang w:val="en-US" w:eastAsia="zh-CN"/>
        </w:rPr>
        <w:t>标准化建设项目资金自查报告</w:t>
      </w:r>
    </w:p>
    <w:p>
      <w:pPr>
        <w:spacing w:line="600" w:lineRule="exact"/>
        <w:ind w:firstLine="640" w:firstLineChars="200"/>
        <w:rPr>
          <w:rFonts w:hint="eastAsia"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一、绩效目标分解下达情况</w:t>
      </w:r>
    </w:p>
    <w:p>
      <w:pPr>
        <w:spacing w:line="600" w:lineRule="exact"/>
        <w:ind w:firstLine="640" w:firstLineChars="200"/>
        <w:outlineLvl w:val="0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1.预算下达情况</w:t>
      </w:r>
    </w:p>
    <w:p>
      <w:pPr>
        <w:spacing w:line="600" w:lineRule="exact"/>
        <w:ind w:firstLine="640" w:firstLineChars="200"/>
        <w:jc w:val="left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根据奉节财建〔2020〕153号，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奉节县财政局下达我局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应急指挥（值班）中心标准化建设项目资金345万元。</w:t>
      </w:r>
    </w:p>
    <w:p>
      <w:pPr>
        <w:numPr>
          <w:ilvl w:val="0"/>
          <w:numId w:val="1"/>
        </w:numPr>
        <w:spacing w:line="600" w:lineRule="exact"/>
        <w:ind w:firstLine="640" w:firstLineChars="200"/>
        <w:outlineLvl w:val="0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绩效目标情况</w:t>
      </w:r>
    </w:p>
    <w:p>
      <w:pPr>
        <w:pStyle w:val="2"/>
        <w:numPr>
          <w:ilvl w:val="0"/>
          <w:numId w:val="0"/>
        </w:numP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 xml:space="preserve">  </w:t>
      </w:r>
      <w:r>
        <w:rPr>
          <w:rFonts w:hint="eastAsia" w:hAnsi="方正仿宋_GBK" w:cs="方正仿宋_GBK"/>
          <w:sz w:val="32"/>
          <w:szCs w:val="32"/>
          <w:lang w:val="en-US" w:eastAsia="zh-CN"/>
        </w:rPr>
        <w:t xml:space="preserve"> 本次应急指挥（值班）中心标准化建设项目资金主要用于本项目建设面积300㎡。包括指挥大厅、会商室、应急广播室、值班室以及设备、动力机房、信息化系统配套及辅助场所。房间改造、电力改造、应急业务处理平台、会议系统、</w:t>
      </w:r>
      <w:bookmarkStart w:id="0" w:name="_GoBack"/>
      <w:bookmarkEnd w:id="0"/>
      <w:r>
        <w:rPr>
          <w:rFonts w:hint="eastAsia" w:hAnsi="方正仿宋_GBK" w:cs="方正仿宋_GBK"/>
          <w:sz w:val="32"/>
          <w:szCs w:val="32"/>
          <w:lang w:val="en-US" w:eastAsia="zh-CN"/>
        </w:rPr>
        <w:t>指挥大厅显示大屏系统、值班中心日常办公设备、指挥厅、值班中心装修。</w:t>
      </w:r>
    </w:p>
    <w:p>
      <w:pPr>
        <w:spacing w:line="600" w:lineRule="exact"/>
        <w:ind w:firstLine="640" w:firstLineChars="200"/>
        <w:rPr>
          <w:rFonts w:hint="eastAsia"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二、绩效目标完成情况分析</w:t>
      </w:r>
    </w:p>
    <w:p>
      <w:pPr>
        <w:spacing w:line="600" w:lineRule="exact"/>
        <w:ind w:firstLine="640" w:firstLineChars="200"/>
        <w:outlineLvl w:val="0"/>
        <w:rPr>
          <w:rFonts w:hint="eastAsia"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（一）资金投入情况分析</w:t>
      </w:r>
    </w:p>
    <w:p>
      <w:pPr>
        <w:spacing w:line="600" w:lineRule="exact"/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1.项目资金到位情况分析</w:t>
      </w:r>
    </w:p>
    <w:p>
      <w:pPr>
        <w:spacing w:line="600" w:lineRule="exact"/>
        <w:ind w:firstLine="640" w:firstLineChars="200"/>
        <w:outlineLvl w:val="0"/>
        <w:rPr>
          <w:rFonts w:hint="eastAsia" w:ascii="方正仿宋_GBK" w:hAnsi="方正仿宋_GBK" w:eastAsia="方正仿宋_GBK" w:cs="方正仿宋_GBK"/>
          <w:sz w:val="32"/>
          <w:szCs w:val="32"/>
          <w:lang w:val="en-US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我局应急指挥（值班）中心标准化建设项目资金指标345万元，当年资金到位345万元。</w:t>
      </w:r>
    </w:p>
    <w:p>
      <w:pPr>
        <w:numPr>
          <w:ilvl w:val="0"/>
          <w:numId w:val="0"/>
        </w:numPr>
        <w:spacing w:line="600" w:lineRule="exact"/>
        <w:ind w:leftChars="200" w:firstLine="320" w:firstLineChars="10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2.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项目资金执行情况分析</w:t>
      </w:r>
    </w:p>
    <w:p>
      <w:pPr>
        <w:numPr>
          <w:ilvl w:val="0"/>
          <w:numId w:val="0"/>
        </w:numPr>
        <w:spacing w:line="600" w:lineRule="exact"/>
        <w:ind w:firstLine="640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应急指挥（值班）中心标准化建设项目资金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已支付资金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345万元，执行率100%。</w:t>
      </w:r>
    </w:p>
    <w:p>
      <w:pPr>
        <w:numPr>
          <w:ilvl w:val="0"/>
          <w:numId w:val="0"/>
        </w:numPr>
        <w:spacing w:line="600" w:lineRule="exact"/>
        <w:ind w:leftChars="20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 xml:space="preserve">  3.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项目资金管理情况分析</w:t>
      </w:r>
    </w:p>
    <w:p>
      <w:pPr>
        <w:numPr>
          <w:ilvl w:val="0"/>
          <w:numId w:val="0"/>
        </w:numPr>
        <w:spacing w:line="600" w:lineRule="exact"/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按照我县关于项目建设管理的相关规定，结合应急抢险救援装备、应急能力建设情况，拨付资金。</w:t>
      </w:r>
    </w:p>
    <w:p>
      <w:pPr>
        <w:numPr>
          <w:ilvl w:val="0"/>
          <w:numId w:val="2"/>
        </w:numPr>
        <w:spacing w:line="600" w:lineRule="exact"/>
        <w:ind w:firstLine="640" w:firstLineChars="200"/>
        <w:outlineLvl w:val="0"/>
        <w:rPr>
          <w:rFonts w:hint="eastAsia"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总体绩效目标完成情况分析</w:t>
      </w:r>
    </w:p>
    <w:p>
      <w:pPr>
        <w:numPr>
          <w:ilvl w:val="0"/>
          <w:numId w:val="0"/>
        </w:numPr>
        <w:spacing w:line="600" w:lineRule="exact"/>
        <w:ind w:firstLine="640"/>
        <w:outlineLvl w:val="0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完成了应急设备配备，加强了应急能力建设、应急救援。</w:t>
      </w:r>
    </w:p>
    <w:tbl>
      <w:tblPr>
        <w:tblStyle w:val="3"/>
        <w:tblpPr w:leftFromText="180" w:rightFromText="180" w:vertAnchor="text" w:horzAnchor="page" w:tblpX="1262" w:tblpY="573"/>
        <w:tblOverlap w:val="never"/>
        <w:tblW w:w="10365" w:type="dxa"/>
        <w:tblInd w:w="0" w:type="dxa"/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9"/>
        <w:gridCol w:w="1066"/>
        <w:gridCol w:w="1066"/>
        <w:gridCol w:w="1359"/>
        <w:gridCol w:w="972"/>
        <w:gridCol w:w="1332"/>
        <w:gridCol w:w="1239"/>
        <w:gridCol w:w="426"/>
        <w:gridCol w:w="493"/>
        <w:gridCol w:w="613"/>
        <w:gridCol w:w="920"/>
      </w:tblGrid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036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绩效目标自评表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36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   2020  年度）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19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339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应急指挥（值班）中心标准化建设项目资金</w:t>
            </w:r>
          </w:p>
        </w:tc>
        <w:tc>
          <w:tcPr>
            <w:tcW w:w="299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20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黄承举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9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339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9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实施单位</w:t>
            </w:r>
          </w:p>
        </w:tc>
        <w:tc>
          <w:tcPr>
            <w:tcW w:w="20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奉节应急管理局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945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资金情况（万元）</w:t>
            </w:r>
          </w:p>
        </w:tc>
        <w:tc>
          <w:tcPr>
            <w:tcW w:w="24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类       别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全年预算数</w:t>
            </w:r>
          </w:p>
        </w:tc>
        <w:tc>
          <w:tcPr>
            <w:tcW w:w="1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全年执行数</w:t>
            </w:r>
          </w:p>
        </w:tc>
        <w:tc>
          <w:tcPr>
            <w:tcW w:w="16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分值</w:t>
            </w:r>
          </w:p>
        </w:tc>
        <w:tc>
          <w:tcPr>
            <w:tcW w:w="110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执行率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得分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94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年度资金总额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345</w:t>
            </w:r>
          </w:p>
        </w:tc>
        <w:tc>
          <w:tcPr>
            <w:tcW w:w="1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345</w:t>
            </w:r>
          </w:p>
        </w:tc>
        <w:tc>
          <w:tcPr>
            <w:tcW w:w="16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10分</w:t>
            </w:r>
          </w:p>
        </w:tc>
        <w:tc>
          <w:tcPr>
            <w:tcW w:w="110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94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其中：财政拨款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345</w:t>
            </w:r>
          </w:p>
        </w:tc>
        <w:tc>
          <w:tcPr>
            <w:tcW w:w="1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345</w:t>
            </w:r>
          </w:p>
        </w:tc>
        <w:tc>
          <w:tcPr>
            <w:tcW w:w="16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0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94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     其他资金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0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945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年度总体目标</w:t>
            </w:r>
          </w:p>
        </w:tc>
        <w:tc>
          <w:tcPr>
            <w:tcW w:w="472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年初设定目标</w:t>
            </w:r>
          </w:p>
        </w:tc>
        <w:tc>
          <w:tcPr>
            <w:tcW w:w="3691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年度总体完成情况综述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0" w:hRule="atLeast"/>
        </w:trPr>
        <w:tc>
          <w:tcPr>
            <w:tcW w:w="194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2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9"/>
                <w:lang w:val="en-US" w:eastAsia="zh-CN" w:bidi="ar"/>
              </w:rPr>
              <w:t>本次应急指挥(值班)中心标准化建设项目资金主要用于本项目建设面积300m</w:t>
            </w:r>
            <w:r>
              <w:rPr>
                <w:rStyle w:val="10"/>
                <w:lang w:val="en-US" w:eastAsia="zh-CN" w:bidi="ar"/>
              </w:rPr>
              <w:t>²</w:t>
            </w:r>
            <w:r>
              <w:rPr>
                <w:rStyle w:val="9"/>
                <w:lang w:val="en-US" w:eastAsia="zh-CN" w:bidi="ar"/>
              </w:rPr>
              <w:t>。包括指挥大厅会商室、应急广播室、值班室以及设备、动力机房、信息化系统配套及辅助场所。房间改造、电力改造、应急业务处理平 台、会议系统、指挥大</w:t>
            </w:r>
            <w:r>
              <w:rPr>
                <w:rStyle w:val="9"/>
                <w:lang w:val="en-US" w:eastAsia="zh-CN" w:bidi="ar"/>
              </w:rPr>
              <w:br w:type="textWrapping"/>
            </w:r>
            <w:r>
              <w:rPr>
                <w:rStyle w:val="9"/>
                <w:lang w:val="en-US" w:eastAsia="zh-CN" w:bidi="ar"/>
              </w:rPr>
              <w:t>厅显示大屏系统、值班中 心日常办公设备、指挥厅、值班中心装修</w:t>
            </w:r>
          </w:p>
        </w:tc>
        <w:tc>
          <w:tcPr>
            <w:tcW w:w="3691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5240" cy="190500"/>
                  <wp:effectExtent l="0" t="0" r="3810" b="0"/>
                  <wp:wrapNone/>
                  <wp:docPr id="1" name="图片_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_1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4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Style w:val="9"/>
                <w:lang w:val="en-US" w:eastAsia="zh-CN" w:bidi="ar"/>
              </w:rPr>
              <w:t>本项目建设面积300m</w:t>
            </w:r>
            <w:r>
              <w:rPr>
                <w:rStyle w:val="10"/>
                <w:lang w:val="en-US" w:eastAsia="zh-CN" w:bidi="ar"/>
              </w:rPr>
              <w:t>²</w:t>
            </w:r>
            <w:r>
              <w:rPr>
                <w:rStyle w:val="9"/>
                <w:lang w:val="en-US" w:eastAsia="zh-CN" w:bidi="ar"/>
              </w:rPr>
              <w:t>。包括指挥大厅会商室、应急广播室、值班室以及设备动力机房、信息化系统配套及辅助场</w:t>
            </w:r>
            <w:r>
              <w:rPr>
                <w:rStyle w:val="9"/>
                <w:lang w:val="en-US" w:eastAsia="zh-CN" w:bidi="ar"/>
              </w:rPr>
              <w:br w:type="textWrapping"/>
            </w:r>
            <w:r>
              <w:rPr>
                <w:rStyle w:val="9"/>
                <w:lang w:val="en-US" w:eastAsia="zh-CN" w:bidi="ar"/>
              </w:rPr>
              <w:t>所。房间改造、电力改造应急业务处理平台、会议系统、指挥大厅显示大屏系统、值班中心日常办公设备、指挥厅值班中心装修。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7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绩效指标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分值</w:t>
            </w:r>
          </w:p>
        </w:tc>
        <w:tc>
          <w:tcPr>
            <w:tcW w:w="1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年度指标值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实际完成值</w:t>
            </w:r>
          </w:p>
        </w:tc>
        <w:tc>
          <w:tcPr>
            <w:tcW w:w="9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得分</w:t>
            </w:r>
          </w:p>
        </w:tc>
        <w:tc>
          <w:tcPr>
            <w:tcW w:w="153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未完成原因及拟采取的措施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0" w:hRule="atLeast"/>
        </w:trPr>
        <w:tc>
          <w:tcPr>
            <w:tcW w:w="87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6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9"/>
                <w:lang w:val="en-US" w:eastAsia="zh-CN" w:bidi="ar"/>
              </w:rPr>
              <w:t>产出指标（</w:t>
            </w:r>
            <w:r>
              <w:rPr>
                <w:rStyle w:val="10"/>
                <w:lang w:val="en-US" w:eastAsia="zh-CN" w:bidi="ar"/>
              </w:rPr>
              <w:t>50</w:t>
            </w:r>
            <w:r>
              <w:rPr>
                <w:rStyle w:val="9"/>
                <w:lang w:val="en-US" w:eastAsia="zh-CN" w:bidi="ar"/>
              </w:rPr>
              <w:t>分）</w:t>
            </w:r>
          </w:p>
        </w:tc>
        <w:tc>
          <w:tcPr>
            <w:tcW w:w="106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采购值班中心设备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1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应急业务处理平台、会议系统、大屏显示系统等6套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应急业务处理平台、会议系统、大屏显示系统等6套</w:t>
            </w:r>
          </w:p>
        </w:tc>
        <w:tc>
          <w:tcPr>
            <w:tcW w:w="9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153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87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改造装修面积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1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9"/>
                <w:lang w:val="en-US" w:eastAsia="zh-CN" w:bidi="ar"/>
              </w:rPr>
              <w:t>300m</w:t>
            </w:r>
            <w:r>
              <w:rPr>
                <w:rStyle w:val="10"/>
                <w:lang w:val="en-US" w:eastAsia="zh-CN" w:bidi="ar"/>
              </w:rPr>
              <w:t>²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9"/>
                <w:lang w:val="en-US" w:eastAsia="zh-CN" w:bidi="ar"/>
              </w:rPr>
              <w:t>300m</w:t>
            </w:r>
            <w:r>
              <w:rPr>
                <w:rStyle w:val="10"/>
                <w:lang w:val="en-US" w:eastAsia="zh-CN" w:bidi="ar"/>
              </w:rPr>
              <w:t>²</w:t>
            </w:r>
          </w:p>
        </w:tc>
        <w:tc>
          <w:tcPr>
            <w:tcW w:w="9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153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7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1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资金到位率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9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53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87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1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工程验收合格率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9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53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87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6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1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设备利用率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1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9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153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0" w:hRule="atLeast"/>
        </w:trPr>
        <w:tc>
          <w:tcPr>
            <w:tcW w:w="87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1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设备使用期限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1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10年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10年</w:t>
            </w:r>
          </w:p>
        </w:tc>
        <w:tc>
          <w:tcPr>
            <w:tcW w:w="9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153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</w:trPr>
        <w:tc>
          <w:tcPr>
            <w:tcW w:w="87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9"/>
                <w:lang w:val="en-US" w:eastAsia="zh-CN" w:bidi="ar"/>
              </w:rPr>
              <w:t>满意度指标（</w:t>
            </w:r>
            <w:r>
              <w:rPr>
                <w:rStyle w:val="10"/>
                <w:lang w:val="en-US" w:eastAsia="zh-CN" w:bidi="ar"/>
              </w:rPr>
              <w:t>10</w:t>
            </w:r>
            <w:r>
              <w:rPr>
                <w:rStyle w:val="9"/>
                <w:lang w:val="en-US" w:eastAsia="zh-CN" w:bidi="ar"/>
              </w:rPr>
              <w:t>分）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服务对象满意度指标</w:t>
            </w:r>
          </w:p>
        </w:tc>
        <w:tc>
          <w:tcPr>
            <w:tcW w:w="1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受益对象满意度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≥95%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95%</w:t>
            </w:r>
          </w:p>
        </w:tc>
        <w:tc>
          <w:tcPr>
            <w:tcW w:w="9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53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9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合计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96</w:t>
            </w:r>
          </w:p>
        </w:tc>
        <w:tc>
          <w:tcPr>
            <w:tcW w:w="153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</w:tbl>
    <w:p>
      <w:pPr>
        <w:numPr>
          <w:ilvl w:val="0"/>
          <w:numId w:val="2"/>
        </w:numPr>
        <w:spacing w:line="600" w:lineRule="exact"/>
        <w:ind w:left="0" w:leftChars="0" w:firstLine="640" w:firstLineChars="200"/>
        <w:outlineLvl w:val="0"/>
        <w:rPr>
          <w:rFonts w:hint="eastAsia"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绩效目标完成情况分析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（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见绩效目标自评表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）</w:t>
      </w:r>
    </w:p>
    <w:p>
      <w:pPr>
        <w:pStyle w:val="2"/>
        <w:rPr>
          <w:rFonts w:hint="eastAsia"/>
        </w:rPr>
      </w:pPr>
    </w:p>
    <w:p>
      <w:pPr>
        <w:numPr>
          <w:ilvl w:val="0"/>
          <w:numId w:val="0"/>
        </w:numPr>
        <w:spacing w:line="600" w:lineRule="exact"/>
        <w:rPr>
          <w:rFonts w:hint="eastAsia"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  <w:lang w:val="en-US" w:eastAsia="zh-CN"/>
        </w:rPr>
        <w:t xml:space="preserve">   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 xml:space="preserve"> 三、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偏离绩效目标的原因和下一步改进措施</w:t>
      </w:r>
    </w:p>
    <w:p>
      <w:pPr>
        <w:pStyle w:val="2"/>
        <w:numPr>
          <w:ilvl w:val="0"/>
          <w:numId w:val="0"/>
        </w:numP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 xml:space="preserve">       </w:t>
      </w:r>
      <w:r>
        <w:rPr>
          <w:rFonts w:hint="eastAsia" w:ascii="方正仿宋_GBK" w:hAnsi="方正仿宋_GBK" w:eastAsia="方正仿宋_GBK" w:cs="方正仿宋_GBK"/>
          <w:bCs/>
          <w:kern w:val="2"/>
          <w:sz w:val="32"/>
          <w:szCs w:val="32"/>
          <w:lang w:val="en-US" w:eastAsia="zh-CN" w:bidi="ar-SA"/>
        </w:rPr>
        <w:t>无</w:t>
      </w:r>
    </w:p>
    <w:p>
      <w:pPr>
        <w:numPr>
          <w:ilvl w:val="0"/>
          <w:numId w:val="3"/>
        </w:numPr>
        <w:spacing w:line="600" w:lineRule="exact"/>
        <w:ind w:firstLine="640" w:firstLineChars="200"/>
        <w:rPr>
          <w:rFonts w:hint="eastAsia"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绩效自评结果拟应用和公开情况</w:t>
      </w:r>
    </w:p>
    <w:p>
      <w:pPr>
        <w:numPr>
          <w:ilvl w:val="0"/>
          <w:numId w:val="0"/>
        </w:numPr>
        <w:spacing w:line="600" w:lineRule="exact"/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 xml:space="preserve">       无</w:t>
      </w:r>
    </w:p>
    <w:p>
      <w:pPr>
        <w:numPr>
          <w:ilvl w:val="0"/>
          <w:numId w:val="3"/>
        </w:numPr>
        <w:spacing w:line="600" w:lineRule="exact"/>
        <w:ind w:left="0" w:leftChars="0" w:firstLine="640" w:firstLineChars="200"/>
        <w:rPr>
          <w:rFonts w:hint="eastAsia"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其他需要说明的问题</w:t>
      </w:r>
    </w:p>
    <w:p>
      <w:pPr>
        <w:numPr>
          <w:ilvl w:val="0"/>
          <w:numId w:val="0"/>
        </w:numPr>
        <w:spacing w:line="600" w:lineRule="exact"/>
        <w:ind w:leftChars="200" w:firstLine="640" w:firstLineChars="200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暂无其他需要说明的事项</w:t>
      </w:r>
    </w:p>
    <w:p>
      <w:pPr>
        <w:rPr>
          <w:rFonts w:hint="eastAsia" w:ascii="方正仿宋_GBK" w:hAnsi="方正仿宋_GBK" w:eastAsia="方正仿宋_GBK" w:cs="方正仿宋_GBK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CA72D86"/>
    <w:multiLevelType w:val="singleLevel"/>
    <w:tmpl w:val="9CA72D86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44EE6D55"/>
    <w:multiLevelType w:val="singleLevel"/>
    <w:tmpl w:val="44EE6D55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58B3936E"/>
    <w:multiLevelType w:val="singleLevel"/>
    <w:tmpl w:val="58B3936E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74A7174"/>
    <w:rsid w:val="174A7174"/>
    <w:rsid w:val="1C862E31"/>
    <w:rsid w:val="1F393F88"/>
    <w:rsid w:val="44354894"/>
    <w:rsid w:val="5F881049"/>
    <w:rsid w:val="645738D6"/>
    <w:rsid w:val="67C426C7"/>
    <w:rsid w:val="6B54753F"/>
    <w:rsid w:val="6F9242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方正仿宋_GBK" w:hAnsi="Times New Roman" w:eastAsia="方正仿宋_GBK" w:cs="Times New Roman"/>
      <w:color w:val="000000"/>
      <w:sz w:val="24"/>
      <w:szCs w:val="24"/>
      <w:lang w:val="en-US" w:eastAsia="zh-CN" w:bidi="ar-SA"/>
    </w:rPr>
  </w:style>
  <w:style w:type="character" w:customStyle="1" w:styleId="5">
    <w:name w:val="font61"/>
    <w:basedOn w:val="4"/>
    <w:qFormat/>
    <w:uiPriority w:val="0"/>
    <w:rPr>
      <w:rFonts w:hint="eastAsia" w:ascii="方正仿宋_GBK" w:hAnsi="方正仿宋_GBK" w:eastAsia="方正仿宋_GBK" w:cs="方正仿宋_GBK"/>
      <w:color w:val="000000"/>
      <w:sz w:val="18"/>
      <w:szCs w:val="18"/>
      <w:u w:val="none"/>
    </w:rPr>
  </w:style>
  <w:style w:type="character" w:customStyle="1" w:styleId="6">
    <w:name w:val="font41"/>
    <w:basedOn w:val="4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7">
    <w:name w:val="font31"/>
    <w:basedOn w:val="4"/>
    <w:qFormat/>
    <w:uiPriority w:val="0"/>
    <w:rPr>
      <w:rFonts w:hint="eastAsia" w:ascii="方正仿宋_GBK" w:hAnsi="方正仿宋_GBK" w:eastAsia="方正仿宋_GBK" w:cs="方正仿宋_GBK"/>
      <w:color w:val="000000"/>
      <w:sz w:val="20"/>
      <w:szCs w:val="20"/>
      <w:u w:val="none"/>
    </w:rPr>
  </w:style>
  <w:style w:type="character" w:customStyle="1" w:styleId="8">
    <w:name w:val="font11"/>
    <w:basedOn w:val="4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9">
    <w:name w:val="font01"/>
    <w:basedOn w:val="4"/>
    <w:uiPriority w:val="0"/>
    <w:rPr>
      <w:rFonts w:hint="eastAsia" w:ascii="方正仿宋_GBK" w:hAnsi="方正仿宋_GBK" w:eastAsia="方正仿宋_GBK" w:cs="方正仿宋_GBK"/>
      <w:color w:val="000000"/>
      <w:sz w:val="20"/>
      <w:szCs w:val="20"/>
      <w:u w:val="none"/>
    </w:rPr>
  </w:style>
  <w:style w:type="character" w:customStyle="1" w:styleId="10">
    <w:name w:val="font51"/>
    <w:basedOn w:val="4"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Office_11.1.0.10578_F1E327BC-269C-435d-A152-05C5408002CA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2021-05-25T01:48:00Z</dcterms:created>
  <dc:creator>八重樱</dc:creator>
  <cp:lastModifiedBy>八重樱</cp:lastModifiedBy>
  <dcterms:modified xsi:type="dcterms:W3CDTF">2021-06-24T03:32:31Z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2052-11.1.0.10578</vt:lpwstr>
  </property>
  <property fmtid="{D5CDD505-2E9C-101B-9397-08002B2CF9AE}" pid="3" name="ICV">
    <vt:lpwstr>5FCCF5DC6868465B8535BCD338904A21</vt:lpwstr>
  </property>
  <property fmtid="{D5CDD505-2E9C-101B-9397-08002B2CF9AE}" pid="4" name="KSOSaveFontToCloudKey">
    <vt:lpwstr>721418859_cloud</vt:lpwstr>
  </property>
</Properties>
</file>