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44"/>
          <w:szCs w:val="44"/>
          <w:lang w:val="en-US" w:eastAsia="zh-CN"/>
        </w:rPr>
        <w:t>2019年自然灾害冬春生活救助中央和市级补助资金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44"/>
          <w:szCs w:val="44"/>
          <w:lang w:val="en-US" w:eastAsia="zh-CN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1.预算下达情况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根据《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关于下达2019年自然灾害冬春生活救助中央和市级补助资金的通知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》（奉节财建〔2020〕3号)，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奉节县财政局下达我局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自然灾害防治体系建设补助资金406万元。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绩效目标情况</w:t>
      </w:r>
    </w:p>
    <w:p>
      <w:pPr>
        <w:pStyle w:val="2"/>
        <w:numPr>
          <w:ilvl w:val="0"/>
          <w:numId w:val="0"/>
        </w:numP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2019年自然灾害冬春生活救助，按照“分类救助、重点救助”的原则，重灾重补、轻灾轻补、无灾不补</w:t>
      </w:r>
      <w:r>
        <w:rPr>
          <w:rFonts w:hint="eastAsia" w:hAnsi="方正仿宋_GBK" w:cs="方正仿宋_GBK"/>
          <w:b w:val="0"/>
          <w:bCs w:val="0"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我局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自然灾害冬春生活救助中央和市级补助资金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指标406万元，当年资金到位406万元。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项目资金执行情况分析</w:t>
      </w:r>
    </w:p>
    <w:p>
      <w:pPr>
        <w:numPr>
          <w:ilvl w:val="0"/>
          <w:numId w:val="0"/>
        </w:numPr>
        <w:spacing w:line="600" w:lineRule="exact"/>
        <w:ind w:firstLine="64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2019年自然灾害冬春生活救助中央和市级补助资金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：已支付资金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406万元，执行率100%。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项目资金管理情况分析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按照我县关于项目建设管理的相关规定，结合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2019年自然灾害冬春生活救助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情况，拨付资金。</w:t>
      </w:r>
    </w:p>
    <w:p>
      <w:pPr>
        <w:numPr>
          <w:ilvl w:val="0"/>
          <w:numId w:val="2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</w:t>
      </w:r>
    </w:p>
    <w:p>
      <w:pPr>
        <w:numPr>
          <w:ilvl w:val="0"/>
          <w:numId w:val="0"/>
        </w:numPr>
        <w:spacing w:line="600" w:lineRule="exact"/>
        <w:ind w:firstLine="64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2019年自然灾害冬春生活救助中央和市级补助资金共发放到14035户27816人。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绩效目标完成情况分析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见绩效目标自评表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</w:p>
    <w:tbl>
      <w:tblPr>
        <w:tblpPr w:leftFromText="180" w:rightFromText="180" w:vertAnchor="text" w:horzAnchor="page" w:tblpX="1487" w:tblpY="629"/>
        <w:tblOverlap w:val="never"/>
        <w:tblW w:w="10515" w:type="dxa"/>
        <w:tblInd w:w="0" w:type="dxa"/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1079"/>
        <w:gridCol w:w="719"/>
        <w:gridCol w:w="1079"/>
        <w:gridCol w:w="812"/>
        <w:gridCol w:w="1785"/>
        <w:gridCol w:w="1785"/>
        <w:gridCol w:w="555"/>
        <w:gridCol w:w="466"/>
        <w:gridCol w:w="706"/>
        <w:gridCol w:w="780"/>
      </w:tblGrid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5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绩效目标自评表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2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   2020  年度）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6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2019年自然灾害冬春生活救助中央和市级补助资金</w:t>
            </w:r>
          </w:p>
        </w:tc>
        <w:tc>
          <w:tcPr>
            <w:tcW w:w="41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19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黄承举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26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19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奉节应急管理局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3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资金情况（万元）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类       别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23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406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406</w:t>
            </w:r>
          </w:p>
        </w:tc>
        <w:tc>
          <w:tcPr>
            <w:tcW w:w="23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10分</w:t>
            </w:r>
          </w:p>
        </w:tc>
        <w:tc>
          <w:tcPr>
            <w:tcW w:w="1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其中：财政拨款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406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406</w:t>
            </w:r>
          </w:p>
        </w:tc>
        <w:tc>
          <w:tcPr>
            <w:tcW w:w="23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     其他资金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44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年初设定目标</w:t>
            </w:r>
          </w:p>
        </w:tc>
        <w:tc>
          <w:tcPr>
            <w:tcW w:w="42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年度总体完成情况综述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本次2019年自然灾害冬春生活救助救助中央和市级补助资金主要用于2019年自然灾害冬春生活救助，按照“分类救助、重点救助”的原则，重灾重补、轻灾轻补、无灾不补等费用支出。</w:t>
            </w:r>
          </w:p>
        </w:tc>
        <w:tc>
          <w:tcPr>
            <w:tcW w:w="42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240" cy="219075"/>
                  <wp:effectExtent l="0" t="0" r="0" b="0"/>
                  <wp:wrapNone/>
                  <wp:docPr id="1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2019年自然灾害冬春生活救助中央和市级补助资金共发放到14035户27816人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未完成原因及拟采取的措施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产出指标（50分）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救助户数人数</w:t>
            </w:r>
          </w:p>
        </w:tc>
        <w:tc>
          <w:tcPr>
            <w:tcW w:w="8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7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14035户27816人</w:t>
            </w:r>
          </w:p>
        </w:tc>
        <w:tc>
          <w:tcPr>
            <w:tcW w:w="17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14035户27816人</w:t>
            </w:r>
          </w:p>
        </w:tc>
        <w:tc>
          <w:tcPr>
            <w:tcW w:w="102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48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发放准确率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资金到位及时率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救助标准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每人不低于150元，每户不超过1350元。特困户、五保户等特殊情况可适当倾斜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每人不低于150元，每户不超过1350元。特困户、五保户等特殊情况可适当倾斜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效益指标（30分）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保障受灾人员能够温暖过冬</w:t>
            </w:r>
          </w:p>
        </w:tc>
        <w:tc>
          <w:tcPr>
            <w:tcW w:w="8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7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保障</w:t>
            </w:r>
          </w:p>
        </w:tc>
        <w:tc>
          <w:tcPr>
            <w:tcW w:w="17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保障</w:t>
            </w:r>
          </w:p>
        </w:tc>
        <w:tc>
          <w:tcPr>
            <w:tcW w:w="102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48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可持续使用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长期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长期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群众满意度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≥95%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98%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numPr>
          <w:ilvl w:val="0"/>
          <w:numId w:val="0"/>
        </w:numPr>
        <w:spacing w:line="600" w:lineRule="exact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 xml:space="preserve"> 三、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偏离绩效目标的原因和下一步改进措施</w:t>
      </w:r>
    </w:p>
    <w:p>
      <w:pPr>
        <w:pStyle w:val="2"/>
        <w:numPr>
          <w:ilvl w:val="0"/>
          <w:numId w:val="0"/>
        </w:num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</w:t>
      </w:r>
      <w:r>
        <w:rPr>
          <w:rFonts w:hint="eastAsia" w:ascii="方正仿宋_GBK" w:hAnsi="方正仿宋_GBK" w:eastAsia="方正仿宋_GBK" w:cs="方正仿宋_GBK"/>
          <w:bCs/>
          <w:kern w:val="2"/>
          <w:sz w:val="32"/>
          <w:szCs w:val="32"/>
          <w:lang w:val="en-US" w:eastAsia="zh-CN" w:bidi="ar-SA"/>
        </w:rPr>
        <w:t>无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绩效自评结果拟应用和公开情况</w:t>
      </w:r>
    </w:p>
    <w:p>
      <w:pPr>
        <w:numPr>
          <w:ilvl w:val="0"/>
          <w:numId w:val="0"/>
        </w:numPr>
        <w:spacing w:line="600" w:lineRule="exact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 xml:space="preserve">        无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spacing w:line="600" w:lineRule="exact"/>
        <w:ind w:leftChars="200" w:firstLine="960" w:firstLineChars="3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暂无其他需要说明的事项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A72D86"/>
    <w:multiLevelType w:val="singleLevel"/>
    <w:tmpl w:val="9CA72D8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4EE6D55"/>
    <w:multiLevelType w:val="singleLevel"/>
    <w:tmpl w:val="44EE6D5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8B3936E"/>
    <w:multiLevelType w:val="singleLevel"/>
    <w:tmpl w:val="58B3936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A7174"/>
    <w:rsid w:val="02424410"/>
    <w:rsid w:val="07D12E96"/>
    <w:rsid w:val="0A5B2D5F"/>
    <w:rsid w:val="0D6B1C74"/>
    <w:rsid w:val="11FB6DF8"/>
    <w:rsid w:val="174A7174"/>
    <w:rsid w:val="1C862E31"/>
    <w:rsid w:val="2C371E8D"/>
    <w:rsid w:val="3E900234"/>
    <w:rsid w:val="4C503374"/>
    <w:rsid w:val="67C426C7"/>
    <w:rsid w:val="69A970DD"/>
    <w:rsid w:val="6B54753F"/>
    <w:rsid w:val="71C5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character" w:customStyle="1" w:styleId="5">
    <w:name w:val="font61"/>
    <w:basedOn w:val="4"/>
    <w:qFormat/>
    <w:uiPriority w:val="0"/>
    <w:rPr>
      <w:rFonts w:hint="eastAsia" w:ascii="方正仿宋_GBK" w:hAnsi="方正仿宋_GBK" w:eastAsia="方正仿宋_GBK" w:cs="方正仿宋_GBK"/>
      <w:color w:val="000000"/>
      <w:sz w:val="18"/>
      <w:szCs w:val="18"/>
      <w:u w:val="none"/>
    </w:rPr>
  </w:style>
  <w:style w:type="character" w:customStyle="1" w:styleId="6">
    <w:name w:val="font4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5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">
    <w:name w:val="font1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">
    <w:name w:val="font31"/>
    <w:basedOn w:val="4"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2021-05-25T01:48:00Z</dcterms:created>
  <dc:creator>八重樱</dc:creator>
  <cp:lastModifiedBy>八重樱</cp:lastModifiedBy>
  <dcterms:modified xsi:type="dcterms:W3CDTF">2021-06-24T03:31:14Z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1E2AB3288FF841938476ED5F6F9E0391</vt:lpwstr>
  </property>
  <property fmtid="{D5CDD505-2E9C-101B-9397-08002B2CF9AE}" pid="4" name="KSOSaveFontToCloudKey">
    <vt:lpwstr>721418859_cloud</vt:lpwstr>
  </property>
</Properties>
</file>