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AF3034">
      <w:pPr>
        <w:spacing w:line="600" w:lineRule="exact"/>
        <w:jc w:val="center"/>
        <w:rPr>
          <w:rFonts w:hint="eastAsia" w:ascii="Times New Roman" w:hAnsi="Times New Roman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方正小标宋_GBK"/>
          <w:b w:val="0"/>
          <w:bCs/>
          <w:sz w:val="44"/>
          <w:szCs w:val="44"/>
          <w:lang w:val="en-US" w:eastAsia="zh-CN"/>
        </w:rPr>
        <w:t>奉节县信访办公室</w:t>
      </w:r>
    </w:p>
    <w:p w14:paraId="2971DA1F">
      <w:pPr>
        <w:spacing w:line="600" w:lineRule="exact"/>
        <w:jc w:val="center"/>
        <w:rPr>
          <w:rFonts w:hint="eastAsia" w:ascii="Times New Roman" w:hAnsi="Times New Roman" w:eastAsia="方正小标宋_GBK" w:cs="方正小标宋_GBK"/>
          <w:b w:val="0"/>
          <w:bCs/>
          <w:sz w:val="44"/>
          <w:szCs w:val="44"/>
        </w:rPr>
      </w:pPr>
      <w:r>
        <w:rPr>
          <w:rFonts w:hint="eastAsia" w:ascii="Times New Roman" w:hAnsi="Times New Roman" w:eastAsia="方正小标宋_GBK" w:cs="方正小标宋_GBK"/>
          <w:b w:val="0"/>
          <w:bCs/>
          <w:sz w:val="44"/>
          <w:szCs w:val="44"/>
          <w:lang w:val="en-US" w:eastAsia="zh-CN"/>
        </w:rPr>
        <w:t>信访稳定发展专项经费支出</w:t>
      </w:r>
      <w:r>
        <w:rPr>
          <w:rFonts w:hint="eastAsia" w:ascii="Times New Roman" w:hAnsi="Times New Roman" w:eastAsia="方正小标宋_GBK" w:cs="方正小标宋_GBK"/>
          <w:b w:val="0"/>
          <w:bCs/>
          <w:sz w:val="44"/>
          <w:szCs w:val="44"/>
        </w:rPr>
        <w:t>自评报告</w:t>
      </w:r>
    </w:p>
    <w:p w14:paraId="57A62F7F"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 w14:paraId="53463102"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 w14:paraId="0400270A"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方正楷体_GBK"/>
          <w:sz w:val="32"/>
          <w:szCs w:val="32"/>
        </w:rPr>
        <w:t>（一）县财政下达</w:t>
      </w:r>
      <w:r>
        <w:rPr>
          <w:rFonts w:hint="eastAsia" w:ascii="Times New Roman" w:hAnsi="Times New Roman" w:eastAsia="方正楷体_GBK" w:cs="方正楷体_GBK"/>
          <w:sz w:val="32"/>
          <w:szCs w:val="32"/>
          <w:lang w:eastAsia="zh-CN"/>
        </w:rPr>
        <w:t>项目</w:t>
      </w:r>
      <w:r>
        <w:rPr>
          <w:rFonts w:hint="eastAsia" w:ascii="Times New Roman" w:hAnsi="Times New Roman" w:eastAsia="方正楷体_GBK" w:cs="方正楷体_GBK"/>
          <w:sz w:val="32"/>
          <w:szCs w:val="32"/>
        </w:rPr>
        <w:t>绩效目标情况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。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奉节县财政局《关于下达信访稳定发展专项经费的通知》（奉节财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行〔2023〕23、83号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），在下达资金预算时同步下达了绩效目标。</w:t>
      </w:r>
    </w:p>
    <w:p w14:paraId="3EA89187"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</w:pPr>
      <w:r>
        <w:rPr>
          <w:rFonts w:hint="eastAsia" w:ascii="Times New Roman" w:hAnsi="Times New Roman" w:eastAsia="方正楷体_GBK" w:cs="方正楷体_GBK"/>
          <w:sz w:val="32"/>
          <w:szCs w:val="32"/>
        </w:rPr>
        <w:t>（二）部门资金安排、分解下达预算和绩效目标情况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。</w:t>
      </w:r>
    </w:p>
    <w:p w14:paraId="5ECEA6A7"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Cs w:val="32"/>
        </w:rPr>
        <w:t>县财政下达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信访维稳工作经费</w:t>
      </w:r>
      <w:r>
        <w:rPr>
          <w:rFonts w:hint="eastAsia" w:ascii="Times New Roman" w:hAnsi="Times New Roman" w:eastAsia="方正仿宋_GBK" w:cs="方正仿宋_GBK"/>
          <w:szCs w:val="32"/>
        </w:rPr>
        <w:t>专项资金</w:t>
      </w:r>
      <w:r>
        <w:rPr>
          <w:rFonts w:hint="eastAsia" w:ascii="Times New Roman" w:hAnsi="Times New Roman" w:eastAsia="方正仿宋_GBK" w:cs="方正仿宋_GBK"/>
          <w:szCs w:val="32"/>
          <w:lang w:val="en-US" w:eastAsia="zh-CN"/>
        </w:rPr>
        <w:t>100</w:t>
      </w:r>
      <w:r>
        <w:rPr>
          <w:rFonts w:hint="eastAsia" w:ascii="Times New Roman" w:hAnsi="Times New Roman" w:eastAsia="方正仿宋_GBK" w:cs="方正仿宋_GBK"/>
          <w:szCs w:val="32"/>
        </w:rPr>
        <w:t>万元，主要用于全县信访维稳工作支出</w:t>
      </w:r>
      <w:r>
        <w:rPr>
          <w:rFonts w:hint="eastAsia" w:ascii="Times New Roman" w:hAnsi="Times New Roman" w:eastAsia="方正仿宋_GBK" w:cs="方正仿宋_GBK"/>
          <w:szCs w:val="32"/>
          <w:lang w:eastAsia="zh-CN"/>
        </w:rPr>
        <w:t>。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ab/>
      </w:r>
    </w:p>
    <w:p w14:paraId="603198FC">
      <w:pPr>
        <w:spacing w:line="600" w:lineRule="exact"/>
        <w:ind w:firstLine="640" w:firstLineChars="200"/>
        <w:rPr>
          <w:rFonts w:hint="eastAsia" w:ascii="Times New Roman" w:hAnsi="Times New Roman" w:eastAsia="方正黑体_GBK" w:cs="Times New Roman"/>
          <w:bCs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 w14:paraId="6CD5BAB9"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方正仿宋_GBK"/>
          <w:bCs/>
          <w:sz w:val="32"/>
          <w:szCs w:val="32"/>
        </w:rPr>
      </w:pPr>
      <w:r>
        <w:rPr>
          <w:rFonts w:hint="eastAsia" w:ascii="Times New Roman" w:hAnsi="Times New Roman" w:eastAsia="方正楷体_GBK" w:cs="方正楷体_GBK"/>
          <w:sz w:val="32"/>
          <w:szCs w:val="32"/>
        </w:rPr>
        <w:t>（一）资金投入情况分析</w:t>
      </w:r>
      <w:r>
        <w:rPr>
          <w:rFonts w:hint="eastAsia" w:ascii="Times New Roman" w:hAnsi="Times New Roman" w:eastAsia="方正仿宋_GBK" w:cs="方正仿宋_GBK"/>
          <w:bCs/>
          <w:sz w:val="32"/>
          <w:szCs w:val="32"/>
        </w:rPr>
        <w:t>。</w:t>
      </w:r>
    </w:p>
    <w:p w14:paraId="30D0B458">
      <w:pPr>
        <w:spacing w:line="600" w:lineRule="exact"/>
        <w:ind w:firstLine="640" w:firstLineChars="200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项目资金到位情况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2022年2月、6月分别到位信访维稳工作经费50万元，合计100万元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项目资金执行情况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2023年共执行100万元，用于维护本区域信访稳定，圆满完成全县信访维稳工作任务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项目资金管理情况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方正仿宋_GBK" w:cs="方正仿宋_GBK"/>
          <w:color w:val="333333"/>
          <w:kern w:val="0"/>
          <w:szCs w:val="32"/>
          <w:shd w:val="clear" w:color="auto" w:fill="FFFFFF"/>
        </w:rPr>
        <w:t>我办严格按照资金用途专款专用，加强资金管理，确保资金合理、高效的使用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。</w:t>
      </w:r>
    </w:p>
    <w:p w14:paraId="5245E47D"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方正仿宋_GBK"/>
          <w:bCs/>
          <w:sz w:val="32"/>
          <w:szCs w:val="32"/>
        </w:rPr>
      </w:pPr>
      <w:r>
        <w:rPr>
          <w:rFonts w:hint="eastAsia" w:ascii="Times New Roman" w:hAnsi="Times New Roman" w:eastAsia="方正楷体_GBK" w:cs="方正楷体_GBK"/>
          <w:sz w:val="32"/>
          <w:szCs w:val="32"/>
        </w:rPr>
        <w:t>总体绩效目标完成情况分析</w:t>
      </w:r>
      <w:r>
        <w:rPr>
          <w:rFonts w:hint="eastAsia" w:ascii="Times New Roman" w:hAnsi="Times New Roman" w:eastAsia="方正仿宋_GBK" w:cs="方正仿宋_GBK"/>
          <w:bCs/>
          <w:sz w:val="32"/>
          <w:szCs w:val="32"/>
        </w:rPr>
        <w:t>。</w:t>
      </w:r>
    </w:p>
    <w:p w14:paraId="1CB9C5B3">
      <w:pPr>
        <w:numPr>
          <w:numId w:val="0"/>
        </w:num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Times New Roman" w:hAnsi="Times New Roman" w:eastAsia="方正仿宋_GBK" w:cs="方正仿宋_GBK"/>
          <w:szCs w:val="32"/>
        </w:rPr>
        <w:t>资金主要用于处理群众来信来访，到市进京访劝返处置，承办上级交办的信访事项，疑难信访问题化解，各项专项督查，重大活动期间和其他重要敏感节点的</w:t>
      </w:r>
      <w:r>
        <w:rPr>
          <w:rFonts w:hint="eastAsia" w:ascii="Times New Roman" w:hAnsi="Times New Roman" w:eastAsia="方正仿宋_GBK" w:cs="方正仿宋_GBK"/>
          <w:szCs w:val="32"/>
          <w:lang w:val="en-US" w:eastAsia="zh-CN"/>
        </w:rPr>
        <w:t>维稳</w:t>
      </w:r>
      <w:r>
        <w:rPr>
          <w:rFonts w:hint="eastAsia" w:ascii="Times New Roman" w:hAnsi="Times New Roman" w:eastAsia="方正仿宋_GBK" w:cs="方正仿宋_GBK"/>
          <w:szCs w:val="32"/>
        </w:rPr>
        <w:t>支出。圆满完成各项信访维稳工作任务</w:t>
      </w:r>
      <w:r>
        <w:rPr>
          <w:rFonts w:hint="eastAsia" w:ascii="Times New Roman" w:hAnsi="Times New Roman" w:eastAsia="方正仿宋_GBK" w:cs="方正仿宋_GBK"/>
          <w:szCs w:val="32"/>
          <w:lang w:eastAsia="zh-CN"/>
        </w:rPr>
        <w:t>，</w:t>
      </w:r>
      <w:r>
        <w:rPr>
          <w:rFonts w:hint="eastAsia" w:ascii="Times New Roman" w:hAnsi="Times New Roman" w:eastAsia="方正仿宋_GBK" w:cs="方正仿宋_GBK"/>
          <w:szCs w:val="32"/>
        </w:rPr>
        <w:t>有效的维护我县社会</w:t>
      </w:r>
      <w:r>
        <w:rPr>
          <w:rFonts w:hint="eastAsia" w:ascii="Times New Roman" w:hAnsi="Times New Roman" w:eastAsia="方正仿宋_GBK" w:cs="方正仿宋_GBK"/>
          <w:szCs w:val="32"/>
          <w:lang w:val="en-US" w:eastAsia="zh-CN"/>
        </w:rPr>
        <w:t>大局和谐</w:t>
      </w:r>
      <w:r>
        <w:rPr>
          <w:rFonts w:hint="eastAsia" w:ascii="Times New Roman" w:hAnsi="Times New Roman" w:eastAsia="方正仿宋_GBK" w:cs="方正仿宋_GBK"/>
          <w:szCs w:val="32"/>
        </w:rPr>
        <w:t>稳定</w:t>
      </w:r>
      <w:r>
        <w:rPr>
          <w:rFonts w:hint="eastAsia" w:ascii="Times New Roman" w:hAnsi="Times New Roman" w:eastAsia="方正仿宋_GBK" w:cs="方正仿宋_GBK"/>
          <w:szCs w:val="32"/>
          <w:lang w:eastAsia="zh-CN"/>
        </w:rPr>
        <w:t>。</w:t>
      </w:r>
    </w:p>
    <w:p w14:paraId="61F16208"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楷体_GBK" w:cs="方正楷体_GBK"/>
          <w:sz w:val="32"/>
          <w:szCs w:val="32"/>
        </w:rPr>
        <w:t>（三）绩效目标完成情况分析</w:t>
      </w:r>
      <w:r>
        <w:rPr>
          <w:rFonts w:hint="eastAsia" w:ascii="Times New Roman" w:hAnsi="Times New Roman" w:eastAsia="方正仿宋_GBK" w:cs="方正仿宋_GBK"/>
          <w:bCs/>
          <w:sz w:val="32"/>
          <w:szCs w:val="32"/>
        </w:rPr>
        <w:t>。</w:t>
      </w:r>
    </w:p>
    <w:p w14:paraId="7B5BCACB">
      <w:pPr>
        <w:spacing w:line="600" w:lineRule="exact"/>
        <w:ind w:firstLine="640" w:firstLineChars="200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1.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产出指标完成情况分析。</w:t>
      </w:r>
    </w:p>
    <w:p w14:paraId="40821F6C">
      <w:pPr>
        <w:spacing w:line="594" w:lineRule="exact"/>
        <w:ind w:firstLine="640" w:firstLineChars="200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（1）数量指标。</w:t>
      </w:r>
      <w:r>
        <w:rPr>
          <w:rFonts w:hint="eastAsia" w:ascii="Times New Roman" w:hAnsi="Times New Roman" w:eastAsia="方正仿宋_GBK" w:cs="方正仿宋_GBK"/>
          <w:szCs w:val="32"/>
        </w:rPr>
        <w:t>调研指导乡镇信访业务工作次数6</w:t>
      </w:r>
      <w:r>
        <w:rPr>
          <w:rFonts w:hint="eastAsia" w:ascii="Times New Roman" w:hAnsi="Times New Roman" w:eastAsia="方正仿宋_GBK" w:cs="方正仿宋_GBK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 w:cs="方正仿宋_GBK"/>
          <w:szCs w:val="32"/>
        </w:rPr>
        <w:t>次，</w:t>
      </w:r>
      <w:r>
        <w:rPr>
          <w:rFonts w:hint="eastAsia" w:ascii="Times New Roman" w:hAnsi="Times New Roman" w:eastAsia="方正仿宋_GBK" w:cs="方正仿宋_GBK"/>
          <w:color w:val="333333"/>
          <w:kern w:val="0"/>
          <w:szCs w:val="32"/>
        </w:rPr>
        <w:t>根据评价标准该项得10分。</w:t>
      </w:r>
    </w:p>
    <w:p w14:paraId="0287669B">
      <w:pPr>
        <w:spacing w:line="600" w:lineRule="exact"/>
        <w:ind w:firstLine="640" w:firstLineChars="200"/>
        <w:rPr>
          <w:rFonts w:hint="eastAsia" w:ascii="Times New Roman" w:hAnsi="Times New Roman" w:eastAsia="方正仿宋_GBK" w:cs="方正仿宋_GBK"/>
          <w:color w:val="333333"/>
          <w:kern w:val="0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（2）质量指标。领导干部接访下访群众工作完成率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100%，信访维稳工作任务完成率100%，</w:t>
      </w:r>
      <w:r>
        <w:rPr>
          <w:rFonts w:hint="eastAsia" w:ascii="Times New Roman" w:hAnsi="Times New Roman" w:eastAsia="方正仿宋_GBK" w:cs="方正仿宋_GBK"/>
          <w:color w:val="333333"/>
          <w:kern w:val="0"/>
          <w:szCs w:val="32"/>
        </w:rPr>
        <w:t>根据评价标准该项得</w:t>
      </w:r>
      <w:r>
        <w:rPr>
          <w:rFonts w:hint="eastAsia" w:ascii="Times New Roman" w:hAnsi="Times New Roman" w:eastAsia="方正仿宋_GBK" w:cs="方正仿宋_GBK"/>
          <w:color w:val="333333"/>
          <w:kern w:val="0"/>
          <w:szCs w:val="32"/>
          <w:lang w:val="en-US" w:eastAsia="zh-CN"/>
        </w:rPr>
        <w:t>20</w:t>
      </w:r>
      <w:r>
        <w:rPr>
          <w:rFonts w:hint="eastAsia" w:ascii="Times New Roman" w:hAnsi="Times New Roman" w:eastAsia="方正仿宋_GBK" w:cs="方正仿宋_GBK"/>
          <w:color w:val="333333"/>
          <w:kern w:val="0"/>
          <w:szCs w:val="32"/>
        </w:rPr>
        <w:t>分</w:t>
      </w:r>
      <w:r>
        <w:rPr>
          <w:rFonts w:hint="eastAsia" w:ascii="Times New Roman" w:hAnsi="Times New Roman" w:eastAsia="方正仿宋_GBK" w:cs="方正仿宋_GBK"/>
          <w:color w:val="333333"/>
          <w:kern w:val="0"/>
          <w:szCs w:val="32"/>
          <w:lang w:val="en-US" w:eastAsia="zh-CN"/>
        </w:rPr>
        <w:t>。</w:t>
      </w:r>
    </w:p>
    <w:p w14:paraId="75670424">
      <w:pPr>
        <w:spacing w:line="600" w:lineRule="exact"/>
        <w:ind w:firstLine="640" w:firstLineChars="200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（3）时效指标。信访事项按期办结率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和信访事项及时受理率均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为100%，</w:t>
      </w:r>
      <w:r>
        <w:rPr>
          <w:rFonts w:hint="eastAsia" w:ascii="Times New Roman" w:hAnsi="Times New Roman" w:eastAsia="方正仿宋_GBK" w:cs="方正仿宋_GBK"/>
          <w:color w:val="333333"/>
          <w:kern w:val="0"/>
          <w:szCs w:val="32"/>
        </w:rPr>
        <w:t>根据评价标准该项得</w:t>
      </w:r>
      <w:r>
        <w:rPr>
          <w:rFonts w:hint="eastAsia" w:ascii="Times New Roman" w:hAnsi="Times New Roman" w:eastAsia="方正仿宋_GBK" w:cs="方正仿宋_GBK"/>
          <w:color w:val="333333"/>
          <w:kern w:val="0"/>
          <w:szCs w:val="32"/>
          <w:lang w:val="en-US" w:eastAsia="zh-CN"/>
        </w:rPr>
        <w:t>20</w:t>
      </w:r>
      <w:r>
        <w:rPr>
          <w:rFonts w:hint="eastAsia" w:ascii="Times New Roman" w:hAnsi="Times New Roman" w:eastAsia="方正仿宋_GBK" w:cs="方正仿宋_GBK"/>
          <w:color w:val="333333"/>
          <w:kern w:val="0"/>
          <w:szCs w:val="32"/>
        </w:rPr>
        <w:t>分</w:t>
      </w:r>
      <w:r>
        <w:rPr>
          <w:rFonts w:hint="eastAsia" w:ascii="Times New Roman" w:hAnsi="Times New Roman" w:eastAsia="方正仿宋_GBK" w:cs="方正仿宋_GBK"/>
          <w:color w:val="333333"/>
          <w:kern w:val="0"/>
          <w:szCs w:val="32"/>
          <w:lang w:val="en-US" w:eastAsia="zh-CN"/>
        </w:rPr>
        <w:t>。</w:t>
      </w:r>
    </w:p>
    <w:p w14:paraId="773E4D4B">
      <w:pPr>
        <w:spacing w:line="600" w:lineRule="exact"/>
        <w:ind w:firstLine="640" w:firstLineChars="200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2.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效益指标完成情况分析。</w:t>
      </w:r>
    </w:p>
    <w:p w14:paraId="4CDB0533">
      <w:pPr>
        <w:spacing w:line="600" w:lineRule="exact"/>
        <w:ind w:firstLine="640" w:firstLineChars="200"/>
        <w:rPr>
          <w:rFonts w:hint="eastAsia" w:ascii="Times New Roman" w:hAnsi="Times New Roman" w:eastAsia="方正仿宋_GBK" w:cs="方正仿宋_GBK"/>
          <w:color w:val="333333"/>
          <w:kern w:val="0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color w:val="333333"/>
          <w:kern w:val="0"/>
          <w:szCs w:val="32"/>
        </w:rPr>
        <w:t>（</w:t>
      </w:r>
      <w:r>
        <w:rPr>
          <w:rFonts w:hint="eastAsia" w:ascii="Times New Roman" w:hAnsi="Times New Roman" w:eastAsia="方正仿宋_GBK" w:cs="方正仿宋_GBK"/>
          <w:color w:val="333333"/>
          <w:kern w:val="0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_GBK" w:cs="方正仿宋_GBK"/>
          <w:color w:val="333333"/>
          <w:kern w:val="0"/>
          <w:szCs w:val="32"/>
        </w:rPr>
        <w:t>）社会效益。社会稳定风险评估结果使用率</w:t>
      </w:r>
      <w:r>
        <w:rPr>
          <w:rFonts w:hint="eastAsia" w:ascii="Times New Roman" w:hAnsi="Times New Roman" w:eastAsia="方正仿宋_GBK" w:cs="方正仿宋_GBK"/>
          <w:color w:val="333333"/>
          <w:kern w:val="0"/>
          <w:szCs w:val="32"/>
          <w:lang w:eastAsia="zh-CN"/>
        </w:rPr>
        <w:t>和敏感期进京上访人员劝返率均为</w:t>
      </w:r>
      <w:r>
        <w:rPr>
          <w:rFonts w:hint="eastAsia" w:ascii="Times New Roman" w:hAnsi="Times New Roman" w:eastAsia="方正仿宋_GBK" w:cs="方正仿宋_GBK"/>
          <w:color w:val="333333"/>
          <w:kern w:val="0"/>
          <w:szCs w:val="32"/>
          <w:lang w:val="en-US" w:eastAsia="zh-CN"/>
        </w:rPr>
        <w:t>100%，</w:t>
      </w:r>
      <w:r>
        <w:rPr>
          <w:rFonts w:hint="eastAsia" w:ascii="Times New Roman" w:hAnsi="Times New Roman" w:eastAsia="方正仿宋_GBK" w:cs="方正仿宋_GBK"/>
          <w:color w:val="333333"/>
          <w:kern w:val="0"/>
          <w:szCs w:val="32"/>
        </w:rPr>
        <w:t>根据评价标准该项得</w:t>
      </w:r>
      <w:r>
        <w:rPr>
          <w:rFonts w:hint="eastAsia" w:ascii="Times New Roman" w:hAnsi="Times New Roman" w:eastAsia="方正仿宋_GBK" w:cs="方正仿宋_GBK"/>
          <w:color w:val="333333"/>
          <w:kern w:val="0"/>
          <w:szCs w:val="32"/>
          <w:lang w:val="en-US" w:eastAsia="zh-CN"/>
        </w:rPr>
        <w:t>30</w:t>
      </w:r>
      <w:r>
        <w:rPr>
          <w:rFonts w:hint="eastAsia" w:ascii="Times New Roman" w:hAnsi="Times New Roman" w:eastAsia="方正仿宋_GBK" w:cs="方正仿宋_GBK"/>
          <w:color w:val="333333"/>
          <w:kern w:val="0"/>
          <w:szCs w:val="32"/>
        </w:rPr>
        <w:t>分</w:t>
      </w:r>
      <w:r>
        <w:rPr>
          <w:rFonts w:hint="eastAsia" w:ascii="Times New Roman" w:hAnsi="Times New Roman" w:eastAsia="方正仿宋_GBK" w:cs="方正仿宋_GBK"/>
          <w:color w:val="333333"/>
          <w:kern w:val="0"/>
          <w:szCs w:val="32"/>
          <w:lang w:val="en-US" w:eastAsia="zh-CN"/>
        </w:rPr>
        <w:t>。</w:t>
      </w:r>
    </w:p>
    <w:p w14:paraId="6B65C491">
      <w:pPr>
        <w:spacing w:line="600" w:lineRule="exact"/>
        <w:ind w:firstLine="640" w:firstLineChars="200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3.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满意度指标完成情况分析。信访事项处理群众满意率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98.76%，</w:t>
      </w:r>
      <w:r>
        <w:rPr>
          <w:rFonts w:hint="eastAsia" w:ascii="Times New Roman" w:hAnsi="Times New Roman" w:eastAsia="方正仿宋_GBK" w:cs="方正仿宋_GBK"/>
          <w:color w:val="333333"/>
          <w:kern w:val="0"/>
          <w:szCs w:val="32"/>
        </w:rPr>
        <w:t>根据评价标准该项得</w:t>
      </w:r>
      <w:r>
        <w:rPr>
          <w:rFonts w:hint="eastAsia" w:ascii="Times New Roman" w:hAnsi="Times New Roman" w:eastAsia="方正仿宋_GBK" w:cs="方正仿宋_GBK"/>
          <w:color w:val="333333"/>
          <w:kern w:val="0"/>
          <w:szCs w:val="32"/>
          <w:lang w:val="en-US" w:eastAsia="zh-CN"/>
        </w:rPr>
        <w:t>10</w:t>
      </w:r>
      <w:r>
        <w:rPr>
          <w:rFonts w:hint="eastAsia" w:ascii="Times New Roman" w:hAnsi="Times New Roman" w:eastAsia="方正仿宋_GBK" w:cs="方正仿宋_GBK"/>
          <w:color w:val="333333"/>
          <w:kern w:val="0"/>
          <w:szCs w:val="32"/>
        </w:rPr>
        <w:t>分</w:t>
      </w:r>
      <w:r>
        <w:rPr>
          <w:rFonts w:hint="eastAsia" w:ascii="Times New Roman" w:hAnsi="Times New Roman" w:eastAsia="方正仿宋_GBK" w:cs="方正仿宋_GBK"/>
          <w:color w:val="333333"/>
          <w:kern w:val="0"/>
          <w:szCs w:val="32"/>
          <w:lang w:val="en-US" w:eastAsia="zh-CN"/>
        </w:rPr>
        <w:t>。</w:t>
      </w:r>
    </w:p>
    <w:p w14:paraId="5BF147DE">
      <w:pPr>
        <w:spacing w:line="600" w:lineRule="exact"/>
        <w:ind w:firstLine="640" w:firstLineChars="200"/>
        <w:rPr>
          <w:rFonts w:hint="eastAsia" w:ascii="Times New Roman" w:hAnsi="Times New Roman" w:eastAsia="方正黑体_GBK" w:cs="Times New Roman"/>
          <w:bCs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 w14:paraId="0F90A998">
      <w:pPr>
        <w:numPr>
          <w:ilvl w:val="0"/>
          <w:numId w:val="0"/>
        </w:numPr>
        <w:ind w:firstLine="640" w:firstLineChars="200"/>
        <w:rPr>
          <w:rFonts w:hint="eastAsia" w:ascii="Times New Roman" w:hAnsi="Times New Roman" w:eastAsia="方正仿宋_GBK" w:cs="方正仿宋_GBK"/>
        </w:rPr>
      </w:pPr>
      <w:r>
        <w:rPr>
          <w:rFonts w:hint="eastAsia" w:ascii="Times New Roman" w:hAnsi="Times New Roman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通过认真开展单位项目支出绩效目标自评，综合评分100分，评价结果为</w:t>
      </w:r>
      <w:r>
        <w:rPr>
          <w:rFonts w:hint="eastAsia" w:ascii="Times New Roman" w:hAnsi="Times New Roman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优</w:t>
      </w:r>
      <w:r>
        <w:rPr>
          <w:rFonts w:hint="eastAsia" w:ascii="Times New Roman" w:hAnsi="Times New Roman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 w14:paraId="33A17358">
      <w:pPr>
        <w:spacing w:line="600" w:lineRule="exact"/>
        <w:ind w:firstLine="640" w:firstLineChars="200"/>
        <w:rPr>
          <w:rFonts w:hint="eastAsia" w:ascii="Times New Roman" w:hAnsi="Times New Roman" w:eastAsia="方正黑体_GBK" w:cs="Times New Roman"/>
          <w:bCs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eastAsia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 w14:paraId="337EA647">
      <w:pPr>
        <w:spacing w:line="600" w:lineRule="exact"/>
        <w:ind w:firstLine="640" w:firstLineChars="200"/>
        <w:rPr>
          <w:rFonts w:hint="eastAsia" w:ascii="Times New Roman" w:hAnsi="Times New Roman" w:eastAsia="方正仿宋_GBK" w:cs="方正仿宋_GBK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无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。</w:t>
      </w:r>
    </w:p>
    <w:p w14:paraId="3CDA1EB2">
      <w:pPr>
        <w:spacing w:line="600" w:lineRule="exact"/>
        <w:ind w:firstLine="640" w:firstLineChars="200"/>
        <w:rPr>
          <w:rFonts w:hint="eastAsia" w:ascii="Times New Roman" w:hAnsi="Times New Roman" w:eastAsia="方正仿宋_GBK" w:cs="方正仿宋_GBK"/>
          <w:bCs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 w14:paraId="5B5B653C">
      <w:pPr>
        <w:spacing w:line="600" w:lineRule="exact"/>
        <w:ind w:firstLine="640" w:firstLineChars="200"/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无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。</w:t>
      </w:r>
    </w:p>
    <w:p w14:paraId="2981B965">
      <w:pPr>
        <w:rPr>
          <w:rFonts w:ascii="Times New Roman" w:hAnsi="Times New Roman"/>
        </w:rPr>
      </w:pPr>
    </w:p>
    <w:sectPr>
      <w:footerReference r:id="rId3" w:type="default"/>
      <w:pgSz w:w="11906" w:h="16838"/>
      <w:pgMar w:top="1984" w:right="1446" w:bottom="1644" w:left="1446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AFAF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C53C58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C53C58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710066"/>
    <w:multiLevelType w:val="singleLevel"/>
    <w:tmpl w:val="5771006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mYzEwZWVhNzE0ZjhiY2I1ZGM2ODlhN2FhMTY3NDgifQ=="/>
  </w:docVars>
  <w:rsids>
    <w:rsidRoot w:val="00000000"/>
    <w:rsid w:val="01492A54"/>
    <w:rsid w:val="0B093D05"/>
    <w:rsid w:val="0C6B77D8"/>
    <w:rsid w:val="10052A25"/>
    <w:rsid w:val="1662251B"/>
    <w:rsid w:val="1B4F7880"/>
    <w:rsid w:val="20482782"/>
    <w:rsid w:val="239F50EB"/>
    <w:rsid w:val="2C4D5297"/>
    <w:rsid w:val="3599165E"/>
    <w:rsid w:val="3DBE5134"/>
    <w:rsid w:val="487B2E45"/>
    <w:rsid w:val="492B6619"/>
    <w:rsid w:val="4E674142"/>
    <w:rsid w:val="4EE617A2"/>
    <w:rsid w:val="52ED5C8E"/>
    <w:rsid w:val="5CAC71FB"/>
    <w:rsid w:val="5FFDC982"/>
    <w:rsid w:val="642A59F3"/>
    <w:rsid w:val="6DFDB9CC"/>
    <w:rsid w:val="7C866787"/>
    <w:rsid w:val="B45FCEFA"/>
    <w:rsid w:val="DB5F2318"/>
    <w:rsid w:val="F6E6F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775</Words>
  <Characters>821</Characters>
  <Lines>0</Lines>
  <Paragraphs>0</Paragraphs>
  <TotalTime>37</TotalTime>
  <ScaleCrop>false</ScaleCrop>
  <LinksUpToDate>false</LinksUpToDate>
  <CharactersWithSpaces>825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2023-03-30T17:27:00Z</dcterms:created>
  <dc:creator>ASUS</dc:creator>
  <cp:lastModifiedBy>企业用户_613594899</cp:lastModifiedBy>
  <dcterms:modified xsi:type="dcterms:W3CDTF">2024-08-12T07:11:57Z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DAC52B5576264CD5842F73838CEBA90C</vt:lpwstr>
  </property>
</Properties>
</file>