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880" w:firstLineChars="20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shd w:val="clear" w:color="auto" w:fill="FFFFFF"/>
          <w:lang w:val="en-US" w:eastAsia="zh-CN" w:bidi="ar"/>
        </w:rPr>
        <w:t>奉节县统计局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440" w:firstLineChars="100"/>
        <w:jc w:val="both"/>
        <w:textAlignment w:val="auto"/>
        <w:outlineLvl w:val="9"/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shd w:val="clear" w:color="auto" w:fill="FFFFFF"/>
          <w:lang w:val="en-US" w:eastAsia="zh-CN" w:bidi="ar"/>
        </w:rPr>
        <w:t>202</w:t>
      </w:r>
      <w:r>
        <w:rPr>
          <w:rFonts w:hint="eastAsia" w:eastAsia="方正小标宋_GBK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shd w:val="clear" w:color="auto" w:fill="FFFFFF"/>
          <w:lang w:val="en-US" w:eastAsia="zh-CN" w:bidi="ar"/>
        </w:rPr>
        <w:t>3</w:t>
      </w:r>
      <w:r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shd w:val="clear" w:color="auto" w:fill="FFFFFF"/>
          <w:lang w:val="en-US" w:eastAsia="zh-CN" w:bidi="ar"/>
        </w:rPr>
        <w:t>年度部门整体支出预算绩效自评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3960" w:firstLineChars="900"/>
        <w:jc w:val="both"/>
        <w:textAlignment w:val="auto"/>
        <w:outlineLvl w:val="9"/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shd w:val="clear" w:color="auto" w:fill="FFFFFF"/>
          <w:lang w:val="en-US" w:eastAsia="zh-CN" w:bidi="ar"/>
        </w:rPr>
        <w:t>报告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一、单位概况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（一）基本情况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年我单位预算编制范围包括：奉节县统计局机关及所属奉节县社会经济调查队。我单位核定人员编制数为1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人（其中行政编制13人，事业编制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人，其他1人），实际在职在岗16人。公务用车编制数1台，实际1台。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二）</w:t>
      </w:r>
      <w:r>
        <w:rPr>
          <w:rFonts w:hint="default" w:ascii="Times New Roman" w:hAnsi="Times New Roman" w:eastAsia="方正楷体_GBK" w:cs="Times New Roman"/>
          <w:sz w:val="32"/>
          <w:szCs w:val="32"/>
        </w:rPr>
        <w:t>基本职责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1、承担组织领导和管理协调全县统计工作，确保统计数据真实、准确、及时的责任；组织实施国家统计制度、统计标准和发展规划；制定并组织实施地方统计调查制度和统计改革发展规划。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2、贯彻执行统计法律、法规、规章和方针政策；监督和检查统计法律的实施，查处统计违法违纪行为；依法对涉外调查事务、民间统计进行监督管理。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3、管理和指导乡镇（街道）、部门（行业）统计工作；协调政府综合统计与部门统计之间的关系；依法对部门统计数据进行审核、评估；依法管理地方统计调查项目；加强全县统计基层基础工作。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4、会同有关部门拟订县情县力普查方案，组织实施全县人口、经济、农业等有关普查、专项调查，搜集、整理和提供有关统计数据。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5、组织实施全县国民经济核算制度和全县投入产出调查；核算全县生产总值；搜集、整理和提供国民经济核算有关资料。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6、组织实施全县一、二、三产业有关统计调查；搜集、整理和提供有关国民经济、社会发展、科技进步、能源资源和环境等统计数据。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7、建立有关统计数据质量审核、评估和监控制度并组织实施；整理、核定、管理、提供、发布全县性基本统计资料；发布全县国民经济和社会发展情况的统计信息；加强对全县统计信息发布的规范管理，组织建立统计信息共享制度和发布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8、对国民经济、社会发展、科技进步、能源资源、环境等情况进行统计分析、统计预警和统计监督；建立健全全县经济社会发展的统计监测和评价体系，加强动态监测和决策咨询服务；参与对乡镇（街道）、县级部门（单位）的考核评价工作；承担社情民意调查，收集、整理和提供有关统计调查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9、制定并组织实施全县统计信息化建设规划；建立健全和统一管理全县统计信息自动化系统、全县经济社会发展综合统计数据库和网络体系。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10、在重庆市统计局指导下，统一管理本县统计部门的统计事业费；协助有关部门组织管理统计专业资格考试、职务评聘、从业资格认定等工作；管理和监督由各级财政安排的统计工作经费和专项基本建设投资。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11、组织指导全县统计科学研究、统计教育、统计干部培训工作，开展统计工作合作交流，促进全县统计人才队伍建设。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12、完成县委、县政府交办的其他任务。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（三）年度主要工作概述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highlight w:val="none"/>
          <w:lang w:val="en-US" w:eastAsia="zh-CN"/>
        </w:rPr>
        <w:t>1、旗帜鲜明讲政治，党的建设全面加强。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扎实开展主题教育，加强政治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理论学习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，强化党风廉政建设。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落实全面从严治党主体责任，制定两个“责任清单”，细化党风廉政建设计划。推动全面从严治党在各项工作环节全覆盖，确保各项工作有序开展。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highlight w:val="none"/>
          <w:lang w:val="en-US" w:eastAsia="zh-CN"/>
        </w:rPr>
        <w:t>2、凝心聚力强基础，常规工作全面推进。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推进统计工作规范化建设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。持续建章立制全流程管理数据。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建立完善《奉节县统计全流程质量控制管理办法》等七项基本制度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常态化开展名录库管理和更新维护。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按照统筹协调，动态管理的原则，切实做好基本单位名录库更新维护工作。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统计咨政能力稳步提升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围绕全县中心工作，印发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高质量统计咨政产品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《统计内参》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12篇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、《统计数据与分析》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15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篇，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撰写统计分析17篇，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为县委、县政府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提供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决策依据。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多形式提高统计队伍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素质。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分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乡镇培训统计人员12场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次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上千人。牵头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组织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全县统计专业人员共50余人赴东北财经大学开展统计专业专题培训。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探索</w:t>
      </w:r>
      <w:r>
        <w:rPr>
          <w:rFonts w:hint="default" w:ascii="Times New Roman" w:hAnsi="Times New Roman" w:eastAsia="方正楷体_GBK" w:cs="Times New Roman"/>
          <w:sz w:val="32"/>
          <w:szCs w:val="32"/>
        </w:rPr>
        <w:t>建立联系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企业</w:t>
      </w:r>
      <w:r>
        <w:rPr>
          <w:rFonts w:hint="default" w:ascii="Times New Roman" w:hAnsi="Times New Roman" w:eastAsia="方正楷体_GBK" w:cs="Times New Roman"/>
          <w:sz w:val="32"/>
          <w:szCs w:val="32"/>
        </w:rPr>
        <w:t>服务机制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职工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联系规上企业，收集问题建议，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并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反馈办理结果。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切实履行统计监督职能</w:t>
      </w: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会同县纪委监委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、县委巡察办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等部门印发《关于加强纪检监察监督与财会监督统计监督协作配合的实施办法（试行）》《关于加强县委巡察机构与县统计局协作配合的实施意见》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highlight w:val="none"/>
          <w:lang w:val="en-US" w:eastAsia="zh-CN"/>
        </w:rPr>
        <w:t>对标对表抓关键，</w:t>
      </w: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highlight w:val="none"/>
          <w:lang w:val="en-US" w:eastAsia="zh-CN"/>
        </w:rPr>
        <w:t>统筹推进重点工作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highlight w:val="none"/>
          <w:lang w:val="en-US" w:eastAsia="zh-CN"/>
        </w:rPr>
        <w:t>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方正楷体_GBK" w:cs="Times New Roman"/>
          <w:sz w:val="32"/>
          <w:szCs w:val="32"/>
          <w:lang w:val="en-US" w:eastAsia="zh-CN"/>
        </w:rPr>
        <w:t>有序推进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第五次全国经济普查工作。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领导高度重视，明确县级各部门工作职责任务，组建“五经普工作专班”，集中办公，统筹推进各项工作。全方位宣传五经普相关内容，营造五经普的良好氛围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eastAsia="方正楷体_GBK" w:cs="Times New Roman"/>
          <w:sz w:val="32"/>
          <w:szCs w:val="32"/>
          <w:lang w:val="en-US" w:eastAsia="zh-CN"/>
        </w:rPr>
        <w:t>扎实开展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统计造假专项治理行动。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按照国家统计局、市统计局关于统计造假屡禁难绝专项治理行动工作统一部署，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对标对表市统计局实施方案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有序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开展专项治理行动各项工作。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稳步推行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企业电子统计台账</w:t>
      </w:r>
      <w:r>
        <w:rPr>
          <w:rFonts w:hint="eastAsia" w:eastAsia="方正楷体_GBK" w:cs="Times New Roman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积极协调行业主管部门、软件公司，分专业分批次推进企业电子统计台账的使用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保障企业电子统计台账工作的组织实施。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强化统计督察整改。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推动全县建立《奉节县统计工作重要文件及统计法律法规常态化学习制度》等三项制度、局内部建立完善多项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统计管理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制度，坚决防范和惩治统计造假行为，切实营造依法统计的良好生态。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（四）绩效目标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整体支出绩效目标申报及年中追加支出绩效目标情况：年初预算下达了整体支出绩效目标，由于年中追加了预算，对整体支出绩效目标进行了调整，我单位根据调整后的整体支出绩效目标开展了自评。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（五）年度预决算情况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我单位202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年初预算总收入为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378.57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万元，年中追加收入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607.96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万元，全年总收入为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986.53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万元；全年总支出为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986.53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万元，其中：基本支出3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91.96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万元（工资福利支出3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23.89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万元、商品和服务支出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57.87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万元、对个人和家庭的补助10.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万元），项目支出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594.57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年初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预算收入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378.57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万元，其中：财政拨款收入年初预算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378.57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万元（一般公共预算收入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378.57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万元，政府基金预算收入0万元，国有资本经营收入预算0万元，社保基金预算收入0万元，其他收入0万元），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年中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追加资金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607.96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万元（一般公共预算收入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607.96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万元，政府基金预算收入0万元，国有资本经营收入预算0万元，社保基金预算收入0万元，其他收入0万元），共计收入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986.53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2、年初预算支出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378.57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万元，基本支出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378.57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万元（工资福利支出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310.13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万元、商品和服务支出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58.12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万元、对个人和家庭的补助10.32万元），项目支出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万元；年中追加支出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607.96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其中，项目支出594.57万元。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共计支出为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986.53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二、整体支出管理及使用情况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（一）基本支出：202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年度我单位基本支出3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91.96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万元，其中：人员支出3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34.09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万元，公用支出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57.87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年三公经费支出1.92万元（预算为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万元），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跟上年持平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。其中：公务接待费0万元（预算为0万元），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跟上年持平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，公务用车运行维护费1.92万元（预算为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万元），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跟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上年持平，政府采购完成0万元（预算为0万元），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跟上年持平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eastAsia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项目支出：202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年财政拨款项目支出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594.57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万元，同比上年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增长98.38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%。其中：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专项统计业务86.4万元、专项普查活动100万元、统计抽样调查62.17万元、其他统计信息事务支出346万元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三、整体支出绩效情况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（一）财务管理制度建设情况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：资金拨付严格按程序申报、审批，合理合规使用资金，确保财政资金安全。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（二）资产管理：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按照要求及时报送资产情况报表，确保各项资产核算准确、帐实相符、管理到位。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（三）预决算公开：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按时按要求在县人民政府门户网站上进行了预决算公开。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（四）“三公经费”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控制情况：能严格遵守各项规章制度，严控“三公”经费支出，“三公经费”减少，并及时在县人民政府门户网站上对“三公”经费情况进行公示。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（五）政府采购情况：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严格按照政府采购相关规定执行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94" w:lineRule="exact"/>
        <w:ind w:left="640" w:leftChars="0"/>
        <w:textAlignment w:val="auto"/>
        <w:outlineLvl w:val="9"/>
        <w:rPr>
          <w:rFonts w:hint="default" w:ascii="Times New Roman" w:hAnsi="Times New Roman" w:eastAsia="方正黑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方正黑体_GBK" w:cs="Times New Roman"/>
          <w:color w:val="000000"/>
          <w:sz w:val="32"/>
          <w:szCs w:val="32"/>
        </w:rPr>
        <w:t>评价结论及分析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通过认真开展单位整体支出绩效目标自评，综合评分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99.33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分，评价结果为优。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（一）经济性分析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执行绩效评价体系，从以下几个方面提升了我单位的绩效工作：一是要加大支出管理。严格执行公务接待、公车管理及差旅费、会议费管理，坚持厉行节约，努力降低财政运行成本。二是严格预算约束做好增收节支，极力控制非生产性支出，降低行政运行成本，严肃财经纪律，坚决反对铺张浪费。三是加强预算执行，建立健全财政资金使用管理办法，促进资金使用效益；四是积极化解存量债务，严控政府性债务风险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（二）效率性分析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取得了统计工作、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经济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普查工作的各项成绩，提高了统计监测效率。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（三）效益性分析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年，我单位的绩效评价工作在县委县政府的坚强领导下，在社会各界的大力支持下，深入挖掘增收潜力，坚持稳增长、调结构、促改革、惠民生、防风险，各项支出得到较好保障。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五、存在的问题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（一）因业务水平有限，年初预算的编制支出类别上理解不够，比如基本支出和项目支出，在日常业务操作时容易出错。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（二）预决算项目支出编制需进一步明确、精细化。同时项目执行率需进一步提高。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三）随着对预、决算编制工作水平要求越来越高，数据编制要求越来越精准、规范；时间紧、任务大；加之现行决算工作与实际账务处理工作间衔接还存在一定差异；会计人员业务明显增加，人员紧缺，加之业务操作水平有限，实际操作中确实感到力不从心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六、改进措施和有关建议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（一）细化预算编制工作，进一步加强内设机构的预算管理意识，严格按照预算编制的相关制度和要求进行预算编制。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加强财务管理，严格财务审核。加强单位财务管理，健全单位财务管理制度体系，规范单位财务行为。在费用报账支付时，按照预算规定的费用项目和用途进行资金使用审核、财务严格核算，杜绝超支现象的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（三）合理安排会计岗位，适当增加会计人员，增加业务知识培训，加强决算工作与账务处理工作衔接。        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附件：部门（单位）整体支出预算绩效自评表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jc w:val="center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奉节县统计局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94" w:lineRule="exact"/>
        <w:ind w:firstLine="640" w:firstLineChars="20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>
      <w:pPr>
        <w:ind w:firstLine="640" w:firstLineChars="200"/>
        <w:jc w:val="right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bidi w:val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tabs>
          <w:tab w:val="left" w:pos="5184"/>
        </w:tabs>
        <w:bidi w:val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ab/>
      </w:r>
    </w:p>
    <w:p/>
    <w:sectPr>
      <w:headerReference r:id="rId3" w:type="default"/>
      <w:footerReference r:id="rId4" w:type="default"/>
      <w:pgSz w:w="11906" w:h="16838"/>
      <w:pgMar w:top="1757" w:right="1474" w:bottom="1644" w:left="1587" w:header="851" w:footer="992" w:gutter="0"/>
      <w:pgNumType w:fmt="decimal"/>
      <w:cols w:space="720" w:num="1"/>
      <w:docGrid w:type="linesAndChars" w:linePitch="312" w:charSpace="1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34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ind w:right="360" w:firstLine="360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-228600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Style w:val="11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1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1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8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FgAAAGRycy9QSwECFAAUAAAACACHTuJAuv2ICtcAAAAIAQAADwAAAAAAAAABACAAAAA4&#10;AAAAZHJzL2Rvd25yZXYueG1sUEsBAhQAFAAAAAgAh07iQLkLgRm8AQAAXAMAAA4AAAAAAAAAAQAg&#10;AAAAPAEAAGRycy9lMm9Eb2MueG1sUEsFBgAAAAAGAAYAWQEAAGo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Style w:val="11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1"/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1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1"/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1"/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95DE89"/>
    <w:multiLevelType w:val="singleLevel"/>
    <w:tmpl w:val="4095DE8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wNGMzYjk5MjEwNDYxNmYzNGNiZjY2YWU1OTdlYmQifQ=="/>
  </w:docVars>
  <w:rsids>
    <w:rsidRoot w:val="1CDC2257"/>
    <w:rsid w:val="16294E19"/>
    <w:rsid w:val="1CDC2257"/>
    <w:rsid w:val="2ECE479A"/>
    <w:rsid w:val="30BF0024"/>
    <w:rsid w:val="4DE17459"/>
    <w:rsid w:val="505A6A6B"/>
    <w:rsid w:val="5A723C0B"/>
    <w:rsid w:val="CFBE8B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微软雅黑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Body Text"/>
    <w:basedOn w:val="1"/>
    <w:qFormat/>
    <w:uiPriority w:val="0"/>
    <w:rPr>
      <w:rFonts w:eastAsia="仿宋_GB2312"/>
      <w:b/>
      <w:bCs/>
      <w:sz w:val="32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Body Text First Indent 2"/>
    <w:qFormat/>
    <w:uiPriority w:val="0"/>
    <w:pPr>
      <w:spacing w:line="560" w:lineRule="exact"/>
      <w:ind w:firstLine="640" w:firstLineChars="200"/>
    </w:pPr>
    <w:rPr>
      <w:rFonts w:ascii="仿宋_GB2312" w:hAnsi="仿宋_GB2312" w:eastAsia="仿宋_GB2312" w:cs="Times New Roman"/>
      <w:sz w:val="32"/>
    </w:rPr>
  </w:style>
  <w:style w:type="character" w:styleId="11">
    <w:name w:val="page number"/>
    <w:basedOn w:val="10"/>
    <w:qFormat/>
    <w:uiPriority w:val="0"/>
  </w:style>
  <w:style w:type="character" w:customStyle="1" w:styleId="12">
    <w:name w:val="font81"/>
    <w:basedOn w:val="10"/>
    <w:qFormat/>
    <w:uiPriority w:val="0"/>
    <w:rPr>
      <w:rFonts w:ascii="Calibri" w:hAnsi="Calibri" w:eastAsia="宋体" w:cs="Calibri"/>
      <w:color w:val="000000"/>
      <w:sz w:val="21"/>
      <w:szCs w:val="21"/>
      <w:u w:val="none"/>
    </w:rPr>
  </w:style>
  <w:style w:type="character" w:customStyle="1" w:styleId="13">
    <w:name w:val="font3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9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5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paragraph" w:customStyle="1" w:styleId="16">
    <w:name w:val="常用样式"/>
    <w:basedOn w:val="1"/>
    <w:qFormat/>
    <w:uiPriority w:val="0"/>
    <w:pPr>
      <w:spacing w:line="594" w:lineRule="exact"/>
      <w:ind w:firstLine="640" w:firstLineChars="200"/>
    </w:pPr>
    <w:rPr>
      <w:rFonts w:ascii="Times New Roman" w:hAnsi="Times New Roman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2024-01-16T17:04:00Z</dcterms:created>
  <dc:creator>雾非雾</dc:creator>
  <cp:lastModifiedBy>guest</cp:lastModifiedBy>
  <dcterms:modified xsi:type="dcterms:W3CDTF">2024-06-20T14:37:00Z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205B766BA994489084DB228F00ED3C01_11</vt:lpwstr>
  </property>
</Properties>
</file>