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奉节县统计局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2022年度部门（单位）整体支出预算绩效自评报告</w:t>
      </w:r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2022年我单位预算编制范围包括：奉节县统计局机关及所属奉节县社会经济调查队。我单位核定人员编制数为18人（其中行政编制13人，事业编制4人，其他1人），实际在职在岗16人。公务用车编制数1台，实际1台。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基本职责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1、承担组织领导和管理协调全县统计工作，确保统计数据真实、准确、及时的责任；组织实施国家统计制度、统计标准和发展规划；制定并组织实施地方统计调查制度和统计改革发展规划。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2、贯彻执行统计法律、法规、规章和方针政策；监督和检查统计法律的实施，查处统计违法违纪行为；依法对涉外调查事务、民间统计进行监督管理。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eastAsia="方正仿宋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3、管理和指导乡镇（街道）、部门（行业）统计工作；协调政府综合统计与部门统计之间的关系；依法对部门统计数据进行审核、评估；依法管理地方统计调查项目；加强全县统计基层基础工作。</w:t>
      </w:r>
      <w:r>
        <w:rPr>
          <w:rFonts w:hint="default" w:eastAsia="方正仿宋_GBK" w:cs="Times New Roman"/>
          <w:sz w:val="32"/>
          <w:szCs w:val="32"/>
          <w:lang w:val="en"/>
        </w:rPr>
        <w:t>服务对象满意度</w:t>
      </w:r>
    </w:p>
    <w:p>
      <w:pPr>
        <w:pStyle w:val="2"/>
        <w:rPr>
          <w:rFonts w:hint="default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4、会同有关部门拟订县情县力普查方案，组织实施全县人口、经济、农业等有关普查、专项调查，搜集、整理和提供有关统计数据。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5、组织实施全县国民经济核算制度和全县投入产出调查；核算全县生产总值；搜集、整理和提供国民经济核算有关资料。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6、组织实施全县一、二、三产业有关统计调查；搜集、整理和提供有关国民经济、社会发展、科技进步、能源资源和环境等统计数据。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建立有关统计数据质量审核、评估和监控制度并组织实施；整理、核定、管理、提供、发布全县性基本统计资料；发布全县国民经济和社会发展情况的统计信息；加强对全县统计信息发布的规范管理，组织建立统计信息共享制度和发布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、对国民经济、社会发展、科技进步、能源资源、环境等情况进行统计分析、统计预警和统计监督；建立健全全县经济社会发展的统计监测和评价体系，加强动态监测和决策咨询服务；参与对乡镇（街道）、县级部门（单位）的考核评价工作；承担社情民意调查，收集、整理和提供有关统计调查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9、制定并组织实施全县统计信息化建设规划；建立健全和统一管理全县统计信息自动化系统、全县经济社会发展综合统计数据库和网络体系。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10、在重庆市统计局指导下，统一管理本县统计部门的统计事业费；协助有关部门组织管理统计专业资格考试、职务评聘、从业资格认定等工作；管理和监督由各级财政安排的统计工作经费和专项基本建设投资。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11、组织指导全县统计科学研究、统计教育、统计干部培训工作，开展统计工作合作交流，促进全县统计人才队伍建设。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12、完成县委、县政府交办的其他任务。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（三）年度主要工作概述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坚持党建引领，坚定不移加强党的全面建设。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县统计局充分利用局党组会、党组理论学习中心组、职工会等学习平台，全面学习习近平新时代中国特色社会主义思想及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党的十九届历次全会精神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近平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总书记关于统计工作重要讲话指示批示精神为指引，切实将《意见》《办法》《规定》《监督意见》及各项统计法律法规与工作结合起来，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努力提高统计能力、夯实统计数据质量基础、提升政府统计公信力，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全县统计工作持续向好。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突出统计工作主责主业，协调推进业务工作。一是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强化数据审核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、夯实统计基础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。二是严格入退库程序，确保在库企业质量。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三是推进统计法治建设，营造良好统计环境。四是立足部门实际，提高统计服务能力。五是注重协调联动，加强基层基础建设。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精心组织实施，扎实开展重点工作。一是有序开展五经普前期筹备工作。二是全面完成企业电子统计台账工作。三是完成统计造假不收手不收敛问题专项纠治工作。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加强统筹协调，密切配合做好中心工作。一是深入社区一线，创建文明城市。二是优化人员配置，推进疫情防控。三是做好帮扶工作，助力乡村振兴。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（五）年度预决算情况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2022年初预算总收入为486.45万元，年中追加（减）收入170.94万元，全年总收入为657.39万元；全年总支出为657.39万元，其中：基本支出357.68万元（工资福利支出303.03万元、商品和服务支出44.23万元、对个人和家庭的补助10.42万元），项目支出299.71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预算收入486.45万元，其中：财政拨款收入年初预算486.45万元（一般公共预算收入486.45万元，政府基金预算收入0万元，国有资本经营收入预算0万元，社保基金预算收入0万元，其他收入0万元），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追加专项资金170.94万元（一般公共预算收入170.94万元，政府基金预算收入0万元，国有资本经营收入预算0万元，社保基金预算收入0万元，其他收入0万元），共计收入657.39万元。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年初预算支出486.45万元，基本支出336.44万元（工资福利支出259.09万元、商品和服务支出67.03万元、对个人和家庭的补助10.32万元），项目支出150万元；年中追加（4个项目）专项支出170.94万元，共计支出为657.39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（一）基本支出：2022年度我单位基本支出357.68万元，其中：人员支出313.45万元，公用支出44.23万元。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1.92万元（预算为4万元），同比上年减少21.95%。其中：公务接待费0万元（预算为0万元），同比去年减少100%，公务用车运行维护费1.92万元（预算为4万元），同比上年持平，政府采购完成0万元（预算为0万元），同比上年增加（减少）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项目支出：2022年财政拨款项目支出299.71万元，同比上年减少82.66%。其中：统计网络经费30万元， 联网直报企业报表人员补贴150万，抽样调查经费36.31万元，2021年民调工作经费36.4万元，人普办网络专线、课题研究及成果利用经费47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三、整体支出绩效情况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（一）财务管理制度建设情况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：资金拨付严格按程序申报、审批，合理合规使用资金，确保财政资金安全。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（二）资产管理：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按照要求及时报送资产情况报表，确保各项资产核算准确、帐实相符、管理到位。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（三）预决算公开：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按时按要求在县人民政府门户网站上进行了预决算公开。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eastAsia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三公</w:t>
      </w:r>
      <w:r>
        <w:rPr>
          <w:rFonts w:hint="eastAsia" w:eastAsia="方正楷体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控制情况：能严格遵守各项规章制度，严控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经费支出，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经费减少，并及时在县人民政府门户网站上对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经费情况进行公示。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（五）政府采购情况：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严格按照政府采购相关规定执行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4" w:lineRule="exact"/>
        <w:ind w:left="640" w:leftChars="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评价结论及分析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通过认真开展单位整体支出绩效目标自评，综合评分99分，评价结果为优。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（一）经济性分析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行绩效评价体系，从以下几个方面提升了我单位的绩效工作：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（二）效率性分析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取得了统计工作、人口普查工作的各项成绩，提高了统计监测效率。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（三）效益性分析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年，我单位的绩效评价工作在县委县政府的坚强领导下，在社会各界的大力支持下，深入挖掘增收潜力，坚持稳增长、调结构、促改革、惠民生、防风险，各项支出得到较好保障。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（一）因业务水平有限，年初预算的编制支出类别上理解不够，比如基本支出和项目支出，在日常业务操作时容易出错。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（二）预决算项目支出编制需进一步明确、精细化。同时项目执行率需进一步提高。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六、改进措施和有关建议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（一）细化预算编制工作，进一步加强内设机构的预算管理意识，严格按照预算编制的相关制度和要求进行预算编制。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（三）合理安排会计岗位，适当增加会计人员，增加业务知识培训，加强决算工作与账务处理工作衔接。        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附件：部门（单位）整体支出预算绩效自评表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49"/>
        <w:gridCol w:w="1815"/>
        <w:gridCol w:w="1251"/>
        <w:gridCol w:w="120"/>
        <w:gridCol w:w="645"/>
        <w:gridCol w:w="174"/>
        <w:gridCol w:w="846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32"/>
                <w:lang w:bidi="ar"/>
              </w:rPr>
              <w:t>部门（单位）整体支出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32"/>
                <w:lang w:bidi="ar"/>
              </w:rPr>
              <w:t>绩效自评表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 xml:space="preserve"> 2022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部门名称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奉节县统计局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内设机构个数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3个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职工实有人数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共16人：行政7人，参公4人，事业4人，工勤1人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项目负责人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78"/>
              </w:tabs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黄木艳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13896207707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预算及执行整体规模（万元）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资金来源与结构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年初预算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追加预算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预算执行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资金来源：（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bidi="ar"/>
              </w:rPr>
              <w:t>1</w:t>
            </w:r>
            <w:r>
              <w:rPr>
                <w:rStyle w:val="13"/>
                <w:rFonts w:hint="default" w:ascii="Times New Roman" w:hAnsi="Times New Roman" w:cs="Times New Roman"/>
                <w:sz w:val="20"/>
                <w:szCs w:val="20"/>
                <w:lang w:bidi="ar"/>
              </w:rPr>
              <w:t>）财政拨款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486.45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170.94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657.39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（2）其他资金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资金结构：（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bidi="ar"/>
              </w:rPr>
              <w:t>1</w:t>
            </w:r>
            <w:r>
              <w:rPr>
                <w:rStyle w:val="13"/>
                <w:rFonts w:hint="default" w:ascii="Times New Roman" w:hAnsi="Times New Roman" w:cs="Times New Roman"/>
                <w:sz w:val="20"/>
                <w:szCs w:val="20"/>
                <w:lang w:bidi="ar"/>
              </w:rPr>
              <w:t>）基本支出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336.44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21.24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357.68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（2）项目支出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149.71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299.71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年度总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体目标      及完成情况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年初工作 计划综述</w:t>
            </w:r>
          </w:p>
        </w:tc>
        <w:tc>
          <w:tcPr>
            <w:tcW w:w="6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560" w:lineRule="exact"/>
              <w:ind w:firstLine="645"/>
              <w:jc w:val="both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 xml:space="preserve"> 坚持党对统计工作的领导。推进统计工作规范化建设。深入推进机关党建规范化。精心组织实施，扎实开展重点工作。一是有序开展五经普前期筹备工作。二是全面完成企业电子统计台账工作。三是完成统计造假不收手不收敛问题专项纠治工作。夯实基层基础。强化业务指导。加强对部门乡镇和企业的业务培训和指导，不断提高各行业统计业务的整体能力和水平。加强名录库管理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全年完成 情况综述</w:t>
            </w:r>
          </w:p>
        </w:tc>
        <w:tc>
          <w:tcPr>
            <w:tcW w:w="6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按照县委及县统计局党组、支部的有关要求，全面完成党建工作任务。严格执行机关管理各项规章制度，进一步规范办公室运行、财务管理、请销假制度、平时考核等流程和方式，提高机关管理效能。深入推进业务工作规范化。按照《统计法》和各专业统计要求，提高统计数据的质量和统计工作的权威性。要加强上报数据审核把关，防止出现各项指标前低后高、增速异常波动、数据间逻辑不符等现象，不断提高报表数据质量。加强与市场监管部门常态化沟通，定期开展企业法人信息核实比对工作。加强在库“四上”企业管理。加强对部门乡镇和企业的业务培训和指导，不断提高各行业统计业务的整体能力和水平。根据现行统计制度和方法，制作各专业通俗易懂的指导读本，力求让行业主管部门的领导和专业人员熟悉核算方法、掌握关键重点，有的放矢开展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分解目标自评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一级指标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指标值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完成值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实际完成率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质量达标率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完成及时率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成本节约率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≤5%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≤5%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履职效能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个性指标完成率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公务卡刷卡率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≥40%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公用经费控制率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共性指标完成率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固定资产利用率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≥95%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≥95%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三公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经费控制率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项目监控到位率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项目开工率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项目评价完成率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项目完工率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预算执行率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在职人员控制率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≥85%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≥85%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政府采购执行率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cs="Times New Roman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eastAsia="宋体" w:cs="Times New Roman"/>
                <w:color w:val="000000"/>
                <w:kern w:val="0"/>
                <w:sz w:val="22"/>
                <w:szCs w:val="22"/>
                <w:lang w:val="en" w:bidi="ar"/>
              </w:rPr>
              <w:t>服务对象满意度</w:t>
            </w:r>
          </w:p>
          <w:p>
            <w:pPr>
              <w:pStyle w:val="2"/>
              <w:rPr>
                <w:rFonts w:hint="default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资金结转结余率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管理制度健全性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绩效目标合格率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≥98%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≥98%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信息公开完整率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预算编制完整率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预算编制准确率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cs="Times New Roman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eastAsia="宋体" w:cs="Times New Roman"/>
                <w:color w:val="000000"/>
                <w:kern w:val="0"/>
                <w:sz w:val="22"/>
                <w:szCs w:val="22"/>
                <w:lang w:val="en" w:bidi="ar"/>
              </w:rPr>
              <w:t>服务对象满意度</w:t>
            </w:r>
          </w:p>
          <w:p>
            <w:pPr>
              <w:pStyle w:val="2"/>
              <w:rPr>
                <w:rFonts w:hint="default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4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资金使用合规性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信息公开及时率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经济成本指标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单位运行人均成本变化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≤100%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≤100%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社会效应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社会效益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带动经济发展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单位正常运转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生态效益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单位节能减排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可持续发展能力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可持续发展能力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管理制度可持续性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社会公众满意度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≥98%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≥98%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管理效率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管理效率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管理效率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lang w:bidi="ar"/>
              </w:rPr>
              <w:t>分值合计：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单位负责人：黄木艳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填表人：刘冬艳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0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填表日期：2023/2/23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9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  <w:t>奉节县统计局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  <w:t>项目支出预算绩效目标自评情况说明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2022年年初下达项目1个，金额150万元；年中追加下达项目4个，金额149.71万元；共计应有5个项目开展绩效目标自评。2022年实际开展绩效目标自评5个，金额299.71万元。（项目支出绩效目标自评情况见附件）。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特此说明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奉节县统计局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2023年3月20日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518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/>
    <w:sectPr>
      <w:headerReference r:id="rId3" w:type="default"/>
      <w:footerReference r:id="rId4" w:type="default"/>
      <w:pgSz w:w="11906" w:h="16838"/>
      <w:pgMar w:top="1757" w:right="1474" w:bottom="1644" w:left="1587" w:header="851" w:footer="992" w:gutter="0"/>
      <w:pgNumType w:fmt="decimal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v2ICtcAAAAIAQAADwAAAAAAAAABACAAAAA4&#10;AAAAZHJzL2Rvd25yZXYueG1sUEsBAhQAFAAAAAgAh07iQLkLgRm8AQAAXAMAAA4AAAAAAAAAAQAg&#10;AAAAPA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GMzYjk5MjEwNDYxNmYzNGNiZjY2YWU1OTdlYmQifQ=="/>
  </w:docVars>
  <w:rsids>
    <w:rsidRoot w:val="229016B9"/>
    <w:rsid w:val="229016B9"/>
    <w:rsid w:val="61FE8BDA"/>
    <w:rsid w:val="6F97CA5A"/>
    <w:rsid w:val="7F5FFB0E"/>
    <w:rsid w:val="BDDE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/>
      <w:bCs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font81"/>
    <w:basedOn w:val="7"/>
    <w:qFormat/>
    <w:uiPriority w:val="0"/>
    <w:rPr>
      <w:rFonts w:ascii="Calibri" w:hAnsi="Calibri" w:eastAsia="宋体" w:cs="Calibri"/>
      <w:color w:val="00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2024-01-05T07:01:00Z</dcterms:created>
  <dc:creator>雾非雾</dc:creator>
  <cp:lastModifiedBy>guest</cp:lastModifiedBy>
  <dcterms:modified xsi:type="dcterms:W3CDTF">2024-12-24T17:04:53Z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570791EB6ED34B0888EBAB4F1CA2456D_11</vt:lpwstr>
  </property>
</Properties>
</file>