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600" w:lineRule="exact"/>
        <w:jc w:val="center"/>
        <w:textAlignment w:val="auto"/>
        <w:rPr>
          <w:rFonts w:hint="default" w:ascii="Times New Roman" w:hAnsi="Times New Roman" w:eastAsia="方正小标宋_GBK" w:cs="Times New Roman"/>
          <w:kern w:val="0"/>
          <w:sz w:val="44"/>
          <w:szCs w:val="44"/>
          <w:shd w:val="clear" w:color="auto" w:fill="FFFFFF"/>
          <w:lang w:eastAsia="zh-CN" w:bidi="ar"/>
        </w:rPr>
      </w:pPr>
      <w:r>
        <w:rPr>
          <w:rFonts w:hint="default" w:ascii="Times New Roman" w:hAnsi="Times New Roman" w:eastAsia="方正小标宋_GBK" w:cs="Times New Roman"/>
          <w:kern w:val="0"/>
          <w:sz w:val="44"/>
          <w:szCs w:val="44"/>
          <w:shd w:val="clear" w:color="auto" w:fill="FFFFFF"/>
          <w:lang w:bidi="ar"/>
        </w:rPr>
        <w:t>奉节县</w:t>
      </w:r>
      <w:r>
        <w:rPr>
          <w:rFonts w:hint="default" w:ascii="Times New Roman" w:hAnsi="Times New Roman" w:eastAsia="方正小标宋_GBK" w:cs="Times New Roman"/>
          <w:kern w:val="0"/>
          <w:sz w:val="44"/>
          <w:szCs w:val="44"/>
          <w:shd w:val="clear" w:color="auto" w:fill="FFFFFF"/>
          <w:lang w:eastAsia="zh-CN" w:bidi="ar"/>
        </w:rPr>
        <w:t>商务委员会</w:t>
      </w:r>
    </w:p>
    <w:p>
      <w:pPr>
        <w:keepNext w:val="0"/>
        <w:keepLines w:val="0"/>
        <w:pageBreakBefore w:val="0"/>
        <w:widowControl w:val="0"/>
        <w:kinsoku/>
        <w:wordWrap/>
        <w:overflowPunct/>
        <w:topLinePunct w:val="0"/>
        <w:bidi w:val="0"/>
        <w:snapToGrid/>
        <w:spacing w:line="600" w:lineRule="exact"/>
        <w:jc w:val="center"/>
        <w:textAlignment w:val="auto"/>
        <w:rPr>
          <w:rFonts w:hint="default" w:ascii="Times New Roman" w:hAnsi="Times New Roman" w:eastAsia="方正小标宋_GBK" w:cs="Times New Roman"/>
          <w:kern w:val="0"/>
          <w:sz w:val="44"/>
          <w:szCs w:val="44"/>
          <w:shd w:val="clear" w:color="auto" w:fill="FFFFFF"/>
          <w:lang w:bidi="ar"/>
        </w:rPr>
      </w:pPr>
      <w:r>
        <w:rPr>
          <w:rFonts w:hint="default" w:ascii="Times New Roman" w:hAnsi="Times New Roman" w:eastAsia="方正小标宋_GBK" w:cs="Times New Roman"/>
          <w:kern w:val="0"/>
          <w:sz w:val="44"/>
          <w:szCs w:val="44"/>
          <w:shd w:val="clear" w:color="auto" w:fill="FFFFFF"/>
          <w:lang w:val="en-US" w:eastAsia="zh-CN" w:bidi="ar"/>
        </w:rPr>
        <w:t>2022年度</w:t>
      </w:r>
      <w:r>
        <w:rPr>
          <w:rFonts w:hint="default" w:ascii="Times New Roman" w:hAnsi="Times New Roman" w:eastAsia="方正小标宋_GBK" w:cs="Times New Roman"/>
          <w:kern w:val="0"/>
          <w:sz w:val="44"/>
          <w:szCs w:val="44"/>
          <w:shd w:val="clear" w:color="auto" w:fill="FFFFFF"/>
          <w:lang w:bidi="ar"/>
        </w:rPr>
        <w:t>整体支出预算绩效自评报告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jc w:val="left"/>
        <w:textAlignment w:val="auto"/>
        <w:rPr>
          <w:rFonts w:hint="default" w:ascii="Times New Roman" w:hAnsi="Times New Roman" w:eastAsia="方正仿宋_GBK" w:cs="Times New Roman"/>
          <w:color w:val="000000"/>
          <w:kern w:val="0"/>
          <w:sz w:val="24"/>
          <w:szCs w:val="2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一、单位概况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年我单位预算编制范围包括：202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我单位预算编制范围包括：商务委员会机关及所属事业单位、代管单位共计4个单位。将商务委员会作为一级预算单位，具体为县商务委，内设机构4个：办公室、市场科、电商科、商贸科；事业单位3个：商务信息中心、商务执法大队、贸促会。我单位核定人员编制数为32人（其中行政编制12人，事业编制20人），实际在职在岗</w:t>
      </w:r>
      <w:r>
        <w:rPr>
          <w:rFonts w:hint="default" w:ascii="Times New Roman" w:hAnsi="Times New Roman" w:eastAsia="方正仿宋_GBK" w:cs="Times New Roman"/>
          <w:sz w:val="32"/>
          <w:szCs w:val="32"/>
          <w:lang w:val="en-US" w:eastAsia="zh-CN"/>
        </w:rPr>
        <w:t>30</w:t>
      </w:r>
      <w:r>
        <w:rPr>
          <w:rFonts w:hint="default" w:ascii="Times New Roman" w:hAnsi="Times New Roman" w:eastAsia="方正仿宋_GBK" w:cs="Times New Roman"/>
          <w:sz w:val="32"/>
          <w:szCs w:val="32"/>
        </w:rPr>
        <w:t>人，遗属补助8人。</w:t>
      </w:r>
      <w:r>
        <w:rPr>
          <w:rFonts w:hint="default" w:ascii="Times New Roman" w:hAnsi="Times New Roman" w:eastAsia="方正仿宋_GBK" w:cs="Times New Roman"/>
          <w:sz w:val="32"/>
          <w:szCs w:val="32"/>
          <w:lang w:eastAsia="zh-CN"/>
        </w:rPr>
        <w:t>商务执法大队公务用车编制数</w:t>
      </w:r>
      <w:r>
        <w:rPr>
          <w:rFonts w:hint="default" w:ascii="Times New Roman" w:hAnsi="Times New Roman" w:eastAsia="方正仿宋_GBK" w:cs="Times New Roman"/>
          <w:sz w:val="32"/>
          <w:szCs w:val="32"/>
          <w:lang w:val="en-US" w:eastAsia="zh-CN"/>
        </w:rPr>
        <w:t>1台，实际1台。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lang w:eastAsia="zh-CN"/>
        </w:rPr>
        <w:t>（二）</w:t>
      </w:r>
      <w:r>
        <w:rPr>
          <w:rFonts w:hint="default" w:ascii="Times New Roman" w:hAnsi="Times New Roman" w:eastAsia="方正楷体_GBK" w:cs="Times New Roman"/>
          <w:sz w:val="32"/>
          <w:szCs w:val="32"/>
        </w:rPr>
        <w:t>基本职责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 xml:space="preserve"> 1.贯彻执行国家有关商贸流通业、餐饮服务业的法律、法规、规章和方针政策；提出商贸流通业发展政策建议，制定全县商贸流通业发展目标规划和布局并组织实施；促进市场体系的建立和完善。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负责推进商贸流通业发展，拟订开拓市场、促进消费的政策措施，提出培育商贸流通企业、促进商贸流通中小企业发展的政策建议，推动流通标准化和连锁经营、特许经营、物流配送、电子商务等现代流通方式的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3.承担组织实施重要商品市场调控和流通管理工作；建立健全生活必需品市场供应应急管理机制，统计、监测、分析市场运行，商品供求状况；负责重要商品的储备管理工作；负责执行商贸流通业行业规范、行业标准和市场准入规则；承担指导各种经济成分商业的协调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4.负责城乡商贸统筹发展工作，指导大宗产品批发市场规划和城乡商业网点规划，合理规划布局大型商场、大型市场建设项目；承担城乡统筹商贸网络建设工作，推进城乡市场体系建设。组织社会大流通，负责本县及外出和外地来奉举办大型商品交易、展览、展示活动的协调、组织和管理；引导开展各类促销活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5.承担牵头协调整顿和规范市场经济秩序工作。拟订规范市场运行、流通秩序的政策措施，推动商务领域信用建设，指导商业信用销售，建立市场诚信公共服务平台，负责商贸流通业的行政执法监管和商务举报投诉受理，参与打击商业欺诈等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6.承担商贸流通业监督管理工作。按有关规定对汽车流通、旧货流通、拍卖、典当、租赁、再生资源回收等行业进行监督管理；对辖区内散装水泥、酒类等重要商品经营进行监督管理。按有关规定对成品油流通进行监督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7.负责推动商贸流通科技信息化建设，会同有关部门管理商贸流通各类业务资金、专项基金，组织、指导商贸流通业职工技能培训。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8.组织拟订电子商务发展政策、措施并组织实施；统筹完善电子商务支撑体系建设；推进电子商务领域合作与交流；推进农村电子商务发展。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9.负责统筹全县进出口贸易。组织实施和指导对外贸易促进体系建设和对外贸易促进活动。负责对外贸易统计和运行情况分析。指导企业开展国际化经营、对外贸易、经济合作、劳务合作；指导企业利用外资；监督检查外商投资企业执行有关法律法规和合同、章程的情况；管理和协调外商投诉工作。贯彻执行国家有关口岸、物流工作的方针政策和法律、法规；牵头推进全县口岸、仓储、物流工作，牵头拟订全县物流产业发展计划、中长期发展规划和政策措施；协调海关有关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10.负责机关、直属事业单位和行业社会组织党建工作。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11.代管中国国际贸易促进委员会重庆市奉节县委员会。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12.完成县委、县政府交办的其他任务。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rPr>
        <w:t>（三）年度主要工作概</w:t>
      </w:r>
      <w:r>
        <w:rPr>
          <w:rFonts w:hint="default" w:ascii="Times New Roman" w:hAnsi="Times New Roman" w:eastAsia="方正楷体_GBK" w:cs="Times New Roman"/>
          <w:sz w:val="32"/>
          <w:szCs w:val="32"/>
          <w:lang w:val="en-US" w:eastAsia="zh-CN"/>
        </w:rPr>
        <w:t>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黑体_GBK" w:cs="Times New Roman"/>
          <w:color w:val="auto"/>
          <w:sz w:val="32"/>
          <w:szCs w:val="32"/>
          <w:highlight w:val="none"/>
          <w:lang w:eastAsia="zh-CN"/>
        </w:rPr>
      </w:pPr>
      <w:r>
        <w:rPr>
          <w:rFonts w:hint="default" w:ascii="Times New Roman" w:hAnsi="Times New Roman" w:eastAsia="方正楷体_GBK" w:cs="Times New Roman"/>
          <w:sz w:val="32"/>
          <w:szCs w:val="32"/>
          <w:lang w:val="en-US" w:eastAsia="zh-CN"/>
        </w:rPr>
        <w:t xml:space="preserve">  </w:t>
      </w:r>
      <w:r>
        <w:rPr>
          <w:rFonts w:hint="default" w:ascii="Times New Roman" w:hAnsi="Times New Roman" w:eastAsia="方正黑体_GBK" w:cs="Times New Roman"/>
          <w:color w:val="auto"/>
          <w:sz w:val="32"/>
          <w:szCs w:val="32"/>
          <w:highlight w:val="none"/>
          <w:lang w:eastAsia="zh-CN"/>
        </w:rPr>
        <w:t>一、主要经济指标完成情况</w:t>
      </w:r>
    </w:p>
    <w:p>
      <w:pPr>
        <w:keepNext w:val="0"/>
        <w:keepLines w:val="0"/>
        <w:pageBreakBefore w:val="0"/>
        <w:widowControl w:val="0"/>
        <w:kinsoku/>
        <w:wordWrap/>
        <w:overflowPunct/>
        <w:topLinePunct w:val="0"/>
        <w:autoSpaceDE/>
        <w:autoSpaceDN/>
        <w:bidi w:val="0"/>
        <w:adjustRightInd w:val="0"/>
        <w:snapToGrid w:val="0"/>
        <w:spacing w:line="600" w:lineRule="exact"/>
        <w:ind w:left="0" w:right="0" w:firstLine="640" w:firstLineChars="200"/>
        <w:textAlignment w:val="auto"/>
        <w:outlineLvl w:val="9"/>
        <w:rPr>
          <w:rFonts w:hint="default" w:ascii="Times New Roman" w:hAnsi="Times New Roman" w:eastAsia="方正仿宋_GBK" w:cs="Times New Roman"/>
          <w:color w:val="auto"/>
          <w:kern w:val="0"/>
          <w:sz w:val="32"/>
          <w:szCs w:val="32"/>
          <w:highlight w:val="none"/>
          <w:lang w:val="en-US" w:eastAsia="zh-CN" w:bidi="ar-SA"/>
        </w:rPr>
      </w:pPr>
      <w:r>
        <w:rPr>
          <w:rFonts w:hint="default" w:ascii="Times New Roman" w:hAnsi="Times New Roman" w:eastAsia="方正仿宋_GBK" w:cs="Times New Roman"/>
          <w:color w:val="auto"/>
          <w:kern w:val="0"/>
          <w:sz w:val="32"/>
          <w:szCs w:val="32"/>
          <w:highlight w:val="none"/>
          <w:lang w:val="en-US" w:eastAsia="zh-CN" w:bidi="ar-SA"/>
        </w:rPr>
        <w:t>2022年1-3</w:t>
      </w:r>
      <w:r>
        <w:rPr>
          <w:rFonts w:hint="default" w:ascii="Times New Roman" w:hAnsi="Times New Roman" w:eastAsia="方正仿宋_GBK" w:cs="Times New Roman"/>
          <w:color w:val="auto"/>
          <w:kern w:val="0"/>
          <w:sz w:val="32"/>
          <w:szCs w:val="32"/>
          <w:highlight w:val="none"/>
          <w:lang w:val="en" w:eastAsia="zh-CN" w:bidi="ar-SA"/>
        </w:rPr>
        <w:t>季度，全县</w:t>
      </w:r>
      <w:r>
        <w:rPr>
          <w:rFonts w:hint="default" w:ascii="Times New Roman" w:hAnsi="Times New Roman" w:eastAsia="方正仿宋_GBK" w:cs="Times New Roman"/>
          <w:color w:val="auto"/>
          <w:kern w:val="0"/>
          <w:sz w:val="32"/>
          <w:szCs w:val="32"/>
          <w:highlight w:val="none"/>
          <w:lang w:val="en-US" w:eastAsia="zh-CN" w:bidi="ar-SA"/>
        </w:rPr>
        <w:t>社零总额实现87亿元，同比增速2.2%，批发业销售总额实现168.9亿元，同比增速8.2%；零售业销售总额实现69.4亿元，同比增速7.3%；餐饮业营业总额实现12.8亿元，同比增速5.9%；住宿业营业额实现7.8亿元，同比增速3.8%；市对县考核指标在渝东北组内位列第七，较上半年上升一位。</w:t>
      </w:r>
    </w:p>
    <w:p>
      <w:pPr>
        <w:keepNext w:val="0"/>
        <w:keepLines w:val="0"/>
        <w:pageBreakBefore w:val="0"/>
        <w:kinsoku/>
        <w:wordWrap/>
        <w:overflowPunct/>
        <w:topLinePunct w:val="0"/>
        <w:bidi w:val="0"/>
        <w:adjustRightInd w:val="0"/>
        <w:snapToGrid w:val="0"/>
        <w:spacing w:line="600" w:lineRule="exact"/>
        <w:ind w:firstLine="640" w:firstLineChars="200"/>
        <w:textAlignment w:val="auto"/>
        <w:rPr>
          <w:rFonts w:hint="default" w:ascii="Times New Roman" w:hAnsi="Times New Roman" w:eastAsia="方正黑体_GBK" w:cs="Times New Roman"/>
          <w:color w:val="auto"/>
          <w:sz w:val="32"/>
          <w:szCs w:val="32"/>
          <w:lang w:eastAsia="zh-CN"/>
        </w:rPr>
      </w:pPr>
      <w:r>
        <w:rPr>
          <w:rFonts w:hint="default" w:ascii="Times New Roman" w:hAnsi="Times New Roman" w:eastAsia="方正黑体_GBK" w:cs="Times New Roman"/>
          <w:color w:val="auto"/>
          <w:sz w:val="32"/>
          <w:szCs w:val="32"/>
          <w:lang w:eastAsia="zh-CN"/>
        </w:rPr>
        <w:t>二</w:t>
      </w:r>
      <w:r>
        <w:rPr>
          <w:rFonts w:hint="default" w:ascii="Times New Roman" w:hAnsi="Times New Roman" w:eastAsia="方正黑体_GBK" w:cs="Times New Roman"/>
          <w:color w:val="auto"/>
          <w:sz w:val="32"/>
          <w:szCs w:val="32"/>
        </w:rPr>
        <w:t>、</w:t>
      </w:r>
      <w:r>
        <w:rPr>
          <w:rFonts w:hint="default" w:ascii="Times New Roman" w:hAnsi="Times New Roman" w:eastAsia="方正黑体_GBK" w:cs="Times New Roman"/>
          <w:color w:val="auto"/>
          <w:sz w:val="32"/>
          <w:szCs w:val="32"/>
          <w:lang w:val="en-US" w:eastAsia="zh-CN"/>
        </w:rPr>
        <w:t>2022年</w:t>
      </w:r>
      <w:r>
        <w:rPr>
          <w:rFonts w:hint="default" w:ascii="Times New Roman" w:hAnsi="Times New Roman" w:eastAsia="方正黑体_GBK" w:cs="Times New Roman"/>
          <w:color w:val="auto"/>
          <w:sz w:val="32"/>
          <w:szCs w:val="32"/>
        </w:rPr>
        <w:t>工作</w:t>
      </w:r>
      <w:r>
        <w:rPr>
          <w:rFonts w:hint="default" w:ascii="Times New Roman" w:hAnsi="Times New Roman" w:eastAsia="方正黑体_GBK" w:cs="Times New Roman"/>
          <w:color w:val="auto"/>
          <w:sz w:val="32"/>
          <w:szCs w:val="32"/>
          <w:lang w:eastAsia="zh-CN"/>
        </w:rPr>
        <w:t>亮点</w:t>
      </w:r>
    </w:p>
    <w:p>
      <w:pPr>
        <w:keepNext w:val="0"/>
        <w:keepLines w:val="0"/>
        <w:pageBreakBefore w:val="0"/>
        <w:kinsoku/>
        <w:wordWrap/>
        <w:overflowPunct/>
        <w:topLinePunct w:val="0"/>
        <w:bidi w:val="0"/>
        <w:adjustRightInd w:val="0"/>
        <w:snapToGrid w:val="0"/>
        <w:spacing w:line="600" w:lineRule="exact"/>
        <w:ind w:firstLine="667" w:firstLineChars="200"/>
        <w:textAlignment w:val="auto"/>
        <w:rPr>
          <w:rFonts w:hint="default" w:ascii="Times New Roman" w:hAnsi="Times New Roman" w:eastAsia="方正仿宋_GBK" w:cs="Times New Roman"/>
          <w:color w:val="auto"/>
          <w:spacing w:val="6"/>
          <w:kern w:val="0"/>
          <w:sz w:val="32"/>
          <w:szCs w:val="32"/>
        </w:rPr>
      </w:pPr>
      <w:r>
        <w:rPr>
          <w:rFonts w:hint="default" w:ascii="Times New Roman" w:hAnsi="Times New Roman" w:eastAsia="方正仿宋_GBK" w:cs="Times New Roman"/>
          <w:b/>
          <w:bCs/>
          <w:color w:val="auto"/>
          <w:spacing w:val="6"/>
          <w:kern w:val="0"/>
          <w:sz w:val="32"/>
          <w:szCs w:val="32"/>
        </w:rPr>
        <w:t>一是</w:t>
      </w:r>
      <w:r>
        <w:rPr>
          <w:rFonts w:hint="default" w:ascii="Times New Roman" w:hAnsi="Times New Roman" w:eastAsia="方正仿宋_GBK" w:cs="Times New Roman"/>
          <w:color w:val="auto"/>
          <w:spacing w:val="6"/>
          <w:kern w:val="0"/>
          <w:sz w:val="32"/>
          <w:szCs w:val="32"/>
        </w:rPr>
        <w:t>重庆首座县域万达广场开工建设，京东（奉节）数字经济产业园和京东（奉节）新经济人才中心初步建成；</w:t>
      </w:r>
      <w:r>
        <w:rPr>
          <w:rFonts w:hint="default" w:ascii="Times New Roman" w:hAnsi="Times New Roman" w:eastAsia="方正仿宋_GBK" w:cs="Times New Roman"/>
          <w:b/>
          <w:bCs/>
          <w:color w:val="auto"/>
          <w:spacing w:val="6"/>
          <w:kern w:val="0"/>
          <w:sz w:val="32"/>
          <w:szCs w:val="32"/>
        </w:rPr>
        <w:t>二是</w:t>
      </w:r>
      <w:r>
        <w:rPr>
          <w:rFonts w:hint="default" w:ascii="Times New Roman" w:hAnsi="Times New Roman" w:eastAsia="方正仿宋_GBK" w:cs="Times New Roman"/>
          <w:color w:val="auto"/>
          <w:spacing w:val="6"/>
          <w:kern w:val="0"/>
          <w:sz w:val="32"/>
          <w:szCs w:val="32"/>
        </w:rPr>
        <w:t>夔门印像获评市级美食街称号，瑞幸咖啡、维也纳国际、柏曼、锦江之星等先后开业；</w:t>
      </w:r>
      <w:r>
        <w:rPr>
          <w:rFonts w:hint="default" w:ascii="Times New Roman" w:hAnsi="Times New Roman" w:eastAsia="方正仿宋_GBK" w:cs="Times New Roman"/>
          <w:b/>
          <w:bCs/>
          <w:color w:val="auto"/>
          <w:spacing w:val="6"/>
          <w:kern w:val="0"/>
          <w:sz w:val="32"/>
          <w:szCs w:val="32"/>
          <w:lang w:eastAsia="zh-CN"/>
        </w:rPr>
        <w:t>三是</w:t>
      </w:r>
      <w:r>
        <w:rPr>
          <w:rFonts w:hint="default" w:ascii="Times New Roman" w:hAnsi="Times New Roman" w:eastAsia="方正仿宋_GBK" w:cs="Times New Roman"/>
          <w:color w:val="auto"/>
          <w:spacing w:val="6"/>
          <w:kern w:val="0"/>
          <w:sz w:val="32"/>
          <w:szCs w:val="32"/>
          <w:lang w:eastAsia="zh-CN"/>
        </w:rPr>
        <w:t>召开</w:t>
      </w:r>
      <w:r>
        <w:rPr>
          <w:rFonts w:hint="default" w:ascii="Times New Roman" w:hAnsi="Times New Roman" w:eastAsia="方正仿宋_GBK" w:cs="Times New Roman"/>
          <w:color w:val="auto"/>
          <w:sz w:val="32"/>
          <w:szCs w:val="32"/>
          <w:highlight w:val="none"/>
          <w:lang w:val="en-US" w:eastAsia="zh-CN"/>
        </w:rPr>
        <w:t>奉节县培育建设区域消费中心城市大会、市商务委赴奉调研座谈会，与市商务委签订共建区域消费中心城市和三峡库区数商兴农先行示范区合作协议；</w:t>
      </w:r>
      <w:r>
        <w:rPr>
          <w:rFonts w:hint="default" w:ascii="Times New Roman" w:hAnsi="Times New Roman" w:eastAsia="方正仿宋_GBK" w:cs="Times New Roman"/>
          <w:b/>
          <w:bCs/>
          <w:color w:val="auto"/>
          <w:spacing w:val="6"/>
          <w:kern w:val="0"/>
          <w:sz w:val="32"/>
          <w:szCs w:val="32"/>
          <w:lang w:eastAsia="zh-CN"/>
        </w:rPr>
        <w:t>四</w:t>
      </w:r>
      <w:r>
        <w:rPr>
          <w:rFonts w:hint="default" w:ascii="Times New Roman" w:hAnsi="Times New Roman" w:eastAsia="方正仿宋_GBK" w:cs="Times New Roman"/>
          <w:b/>
          <w:bCs/>
          <w:color w:val="auto"/>
          <w:spacing w:val="6"/>
          <w:kern w:val="0"/>
          <w:sz w:val="32"/>
          <w:szCs w:val="32"/>
        </w:rPr>
        <w:t>是</w:t>
      </w:r>
      <w:r>
        <w:rPr>
          <w:rFonts w:hint="default" w:ascii="Times New Roman" w:hAnsi="Times New Roman" w:eastAsia="方正仿宋_GBK" w:cs="Times New Roman"/>
          <w:color w:val="auto"/>
          <w:spacing w:val="6"/>
          <w:kern w:val="0"/>
          <w:sz w:val="32"/>
          <w:szCs w:val="32"/>
        </w:rPr>
        <w:t>裳裳云华服饰进出口贸易结算总部暨服饰加工项目签约落地，贝贝南瓜出口新加坡、弘源鞋业自营出口额达400万美元；</w:t>
      </w:r>
      <w:r>
        <w:rPr>
          <w:rFonts w:hint="default" w:ascii="Times New Roman" w:hAnsi="Times New Roman" w:eastAsia="方正仿宋_GBK" w:cs="Times New Roman"/>
          <w:b/>
          <w:bCs/>
          <w:color w:val="auto"/>
          <w:spacing w:val="6"/>
          <w:kern w:val="0"/>
          <w:sz w:val="32"/>
          <w:szCs w:val="32"/>
          <w:lang w:eastAsia="zh-CN"/>
        </w:rPr>
        <w:t>五</w:t>
      </w:r>
      <w:r>
        <w:rPr>
          <w:rFonts w:hint="default" w:ascii="Times New Roman" w:hAnsi="Times New Roman" w:eastAsia="方正仿宋_GBK" w:cs="Times New Roman"/>
          <w:b/>
          <w:bCs/>
          <w:color w:val="auto"/>
          <w:spacing w:val="6"/>
          <w:kern w:val="0"/>
          <w:sz w:val="32"/>
          <w:szCs w:val="32"/>
        </w:rPr>
        <w:t>是</w:t>
      </w:r>
      <w:r>
        <w:rPr>
          <w:rFonts w:hint="default" w:ascii="Times New Roman" w:hAnsi="Times New Roman" w:eastAsia="方正仿宋_GBK" w:cs="Times New Roman"/>
          <w:color w:val="auto"/>
          <w:spacing w:val="6"/>
          <w:kern w:val="0"/>
          <w:sz w:val="32"/>
          <w:szCs w:val="32"/>
        </w:rPr>
        <w:t>全县商贸行业限上企业342家，居渝东北第二，限上个体户577家，居渝东北第一；</w:t>
      </w:r>
      <w:r>
        <w:rPr>
          <w:rFonts w:hint="default" w:ascii="Times New Roman" w:hAnsi="Times New Roman" w:eastAsia="方正仿宋_GBK" w:cs="Times New Roman"/>
          <w:b/>
          <w:bCs/>
          <w:color w:val="auto"/>
          <w:spacing w:val="6"/>
          <w:kern w:val="0"/>
          <w:sz w:val="32"/>
          <w:szCs w:val="32"/>
          <w:lang w:eastAsia="zh-CN"/>
        </w:rPr>
        <w:t>六</w:t>
      </w:r>
      <w:r>
        <w:rPr>
          <w:rFonts w:hint="default" w:ascii="Times New Roman" w:hAnsi="Times New Roman" w:eastAsia="方正仿宋_GBK" w:cs="Times New Roman"/>
          <w:b/>
          <w:bCs/>
          <w:color w:val="auto"/>
          <w:spacing w:val="6"/>
          <w:kern w:val="0"/>
          <w:sz w:val="32"/>
          <w:szCs w:val="32"/>
        </w:rPr>
        <w:t>是</w:t>
      </w:r>
      <w:r>
        <w:rPr>
          <w:rFonts w:hint="default" w:ascii="Times New Roman" w:hAnsi="Times New Roman" w:eastAsia="方正仿宋_GBK" w:cs="Times New Roman"/>
          <w:color w:val="auto"/>
          <w:spacing w:val="6"/>
          <w:kern w:val="0"/>
          <w:sz w:val="32"/>
          <w:szCs w:val="32"/>
        </w:rPr>
        <w:t>商贸行业实现税收收入3.06亿元，同比增长9.3%，占全县总税收收入比重达34%，比去年同期占比上升14.5个百分点。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黑体_GBK" w:cs="Times New Roman"/>
          <w:color w:val="auto"/>
          <w:sz w:val="32"/>
          <w:szCs w:val="32"/>
          <w:highlight w:val="none"/>
        </w:rPr>
      </w:pPr>
      <w:r>
        <w:rPr>
          <w:rFonts w:hint="default" w:ascii="Times New Roman" w:hAnsi="Times New Roman" w:eastAsia="方正黑体_GBK" w:cs="Times New Roman"/>
          <w:color w:val="auto"/>
          <w:sz w:val="32"/>
          <w:szCs w:val="32"/>
          <w:highlight w:val="none"/>
          <w:lang w:val="en-US" w:eastAsia="zh-CN"/>
        </w:rPr>
        <w:t>三</w:t>
      </w:r>
      <w:r>
        <w:rPr>
          <w:rFonts w:hint="default" w:ascii="Times New Roman" w:hAnsi="Times New Roman" w:eastAsia="方正黑体_GBK" w:cs="Times New Roman"/>
          <w:color w:val="auto"/>
          <w:sz w:val="32"/>
          <w:szCs w:val="32"/>
          <w:highlight w:val="none"/>
        </w:rPr>
        <w:t>、</w:t>
      </w:r>
      <w:r>
        <w:rPr>
          <w:rFonts w:hint="default" w:ascii="Times New Roman" w:hAnsi="Times New Roman" w:eastAsia="方正黑体_GBK" w:cs="Times New Roman"/>
          <w:color w:val="auto"/>
          <w:sz w:val="32"/>
          <w:szCs w:val="32"/>
          <w:highlight w:val="none"/>
          <w:lang w:val="en-US" w:eastAsia="zh-CN"/>
        </w:rPr>
        <w:t>2022年商务工作总结及主要做法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val="en-US" w:eastAsia="zh-CN"/>
        </w:rPr>
        <w:t xml:space="preserve"> </w:t>
      </w:r>
      <w:r>
        <w:rPr>
          <w:rFonts w:hint="default" w:ascii="Times New Roman" w:hAnsi="Times New Roman" w:eastAsia="方正楷体_GBK" w:cs="Times New Roman"/>
          <w:color w:val="auto"/>
          <w:sz w:val="32"/>
          <w:szCs w:val="32"/>
          <w:highlight w:val="none"/>
          <w:lang w:eastAsia="zh-CN"/>
        </w:rPr>
        <w:t>聚焦主阵地，党建引领站位高、作用强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b/>
          <w:bCs/>
          <w:color w:val="auto"/>
          <w:sz w:val="32"/>
          <w:szCs w:val="32"/>
          <w:highlight w:val="none"/>
          <w:lang w:val="en-US" w:eastAsia="zh-CN"/>
        </w:rPr>
        <w:t>一是严格落实党管商务基本原则。</w:t>
      </w:r>
      <w:r>
        <w:rPr>
          <w:rFonts w:hint="default" w:ascii="Times New Roman" w:hAnsi="Times New Roman" w:eastAsia="方正仿宋_GBK" w:cs="Times New Roman"/>
          <w:color w:val="auto"/>
          <w:sz w:val="32"/>
          <w:szCs w:val="32"/>
          <w:highlight w:val="none"/>
          <w:lang w:val="en-US" w:eastAsia="zh-CN"/>
        </w:rPr>
        <w:t>坚持以习近平新时代中国特色社会主义思想为指导，不断提高站位全局、辨别政治是非、保持政治定力、防范政治风险的能力；</w:t>
      </w:r>
      <w:r>
        <w:rPr>
          <w:rFonts w:hint="default" w:ascii="Times New Roman" w:hAnsi="Times New Roman" w:eastAsia="方正仿宋_GBK" w:cs="Times New Roman"/>
          <w:color w:val="auto"/>
          <w:sz w:val="32"/>
          <w:szCs w:val="32"/>
          <w:highlight w:val="none"/>
          <w:lang w:eastAsia="zh-CN"/>
        </w:rPr>
        <w:t>严格履行党组书记“第一责任人”职责，将党建工作与商务工作同安排同部署同落实，坚持以党建促发展，以党建统揽业务工作，召开党组会</w:t>
      </w:r>
      <w:r>
        <w:rPr>
          <w:rFonts w:hint="default" w:ascii="Times New Roman" w:hAnsi="Times New Roman" w:eastAsia="方正仿宋_GBK" w:cs="Times New Roman"/>
          <w:color w:val="auto"/>
          <w:sz w:val="32"/>
          <w:szCs w:val="32"/>
          <w:highlight w:val="none"/>
          <w:lang w:val="en-US" w:eastAsia="zh-CN"/>
        </w:rPr>
        <w:t>19次，研究“三重一大”事项27个</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b/>
          <w:bCs/>
          <w:color w:val="auto"/>
          <w:sz w:val="32"/>
          <w:szCs w:val="32"/>
          <w:highlight w:val="none"/>
          <w:lang w:val="en-US" w:eastAsia="zh-CN"/>
        </w:rPr>
        <w:t>二是坚决履行从严治党主体责任。</w:t>
      </w:r>
      <w:r>
        <w:rPr>
          <w:rFonts w:hint="default" w:ascii="Times New Roman" w:hAnsi="Times New Roman" w:eastAsia="方正仿宋_GBK" w:cs="Times New Roman"/>
          <w:color w:val="auto"/>
          <w:sz w:val="32"/>
          <w:szCs w:val="32"/>
          <w:highlight w:val="none"/>
          <w:lang w:val="en-US" w:eastAsia="zh-CN"/>
        </w:rPr>
        <w:t>以政治建设为统领，落实全面从严治党主体责任，以强化党风廉政及干部执行力作风建设为契机，梳理重点岗位廉政风险25条，制定完善风险防控措施30条，开展廉政谈话50余人次，开展作风督查12次。</w:t>
      </w:r>
      <w:r>
        <w:rPr>
          <w:rFonts w:hint="default" w:ascii="Times New Roman" w:hAnsi="Times New Roman" w:eastAsia="方正仿宋_GBK" w:cs="Times New Roman"/>
          <w:b/>
          <w:bCs/>
          <w:color w:val="auto"/>
          <w:sz w:val="32"/>
          <w:szCs w:val="32"/>
          <w:highlight w:val="none"/>
          <w:lang w:val="en-US" w:eastAsia="zh-CN"/>
        </w:rPr>
        <w:t>三是扛起巡察问题整改政治责任。</w:t>
      </w:r>
      <w:r>
        <w:rPr>
          <w:rFonts w:hint="default" w:ascii="Times New Roman" w:hAnsi="Times New Roman" w:eastAsia="方正仿宋_GBK" w:cs="Times New Roman"/>
          <w:color w:val="auto"/>
          <w:sz w:val="32"/>
          <w:szCs w:val="32"/>
          <w:highlight w:val="none"/>
          <w:lang w:val="en-US" w:eastAsia="zh-CN"/>
        </w:rPr>
        <w:t>成立巡察反馈意见整改工作领导小组，针对反馈的12个突出问题41个具体表现，制定整改措施，明确整改时限，逐一对照整改。</w:t>
      </w:r>
    </w:p>
    <w:p>
      <w:pPr>
        <w:pStyle w:val="10"/>
        <w:keepNext w:val="0"/>
        <w:keepLines w:val="0"/>
        <w:pageBreakBefore w:val="0"/>
        <w:kinsoku/>
        <w:wordWrap/>
        <w:overflowPunct/>
        <w:topLinePunct w:val="0"/>
        <w:bidi w:val="0"/>
        <w:adjustRightInd w:val="0"/>
        <w:snapToGrid w:val="0"/>
        <w:spacing w:line="60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聚焦大产业，</w:t>
      </w:r>
      <w:r>
        <w:rPr>
          <w:rFonts w:hint="default" w:ascii="Times New Roman" w:hAnsi="Times New Roman" w:eastAsia="方正楷体_GBK" w:cs="Times New Roman"/>
          <w:color w:val="auto"/>
          <w:sz w:val="32"/>
          <w:szCs w:val="32"/>
          <w:highlight w:val="none"/>
          <w:lang w:val="en-US" w:eastAsia="zh-CN"/>
        </w:rPr>
        <w:t>招引培育</w:t>
      </w:r>
      <w:r>
        <w:rPr>
          <w:rFonts w:hint="default" w:ascii="Times New Roman" w:hAnsi="Times New Roman" w:eastAsia="方正楷体_GBK" w:cs="Times New Roman"/>
          <w:color w:val="auto"/>
          <w:sz w:val="32"/>
          <w:szCs w:val="32"/>
          <w:highlight w:val="none"/>
          <w:lang w:eastAsia="zh-CN"/>
        </w:rPr>
        <w:t>成果亮、服务优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b/>
          <w:bCs/>
          <w:color w:val="auto"/>
          <w:sz w:val="32"/>
          <w:szCs w:val="32"/>
          <w:highlight w:val="none"/>
          <w:lang w:val="en-US" w:eastAsia="zh-CN"/>
        </w:rPr>
        <w:t>一是招商引资成效凸显。</w:t>
      </w:r>
      <w:r>
        <w:rPr>
          <w:rFonts w:hint="default" w:ascii="Times New Roman" w:hAnsi="Times New Roman" w:eastAsia="方正仿宋_GBK" w:cs="Times New Roman"/>
          <w:color w:val="auto"/>
          <w:sz w:val="32"/>
          <w:szCs w:val="32"/>
          <w:highlight w:val="none"/>
          <w:lang w:val="en-US" w:eastAsia="zh-CN"/>
        </w:rPr>
        <w:t>围绕产业开展精准招商，万达广场、京东数字经济产业园、瑞幸咖啡等项目品牌相继落户，维也纳国际、柏曼、锦江之星等知名连锁酒店和俏巴渝、徐鼎盛等餐饮品牌店在奉投产。截至目前，已签约合作协议20个，协议投资额25.04亿元，其中框架协议3个，投资额亿元以上的项目4个。已开工项目14个，协议投资额6.96亿元，其中已投产项目10个，到位资金5.46亿元。</w:t>
      </w:r>
      <w:r>
        <w:rPr>
          <w:rFonts w:hint="default" w:ascii="Times New Roman" w:hAnsi="Times New Roman" w:eastAsia="方正仿宋_GBK" w:cs="Times New Roman"/>
          <w:b/>
          <w:bCs/>
          <w:color w:val="auto"/>
          <w:sz w:val="32"/>
          <w:szCs w:val="32"/>
          <w:highlight w:val="none"/>
          <w:lang w:val="en-US" w:eastAsia="zh-CN"/>
        </w:rPr>
        <w:t>二是培育孵化能力提升。</w:t>
      </w:r>
      <w:r>
        <w:rPr>
          <w:rFonts w:hint="default" w:ascii="Times New Roman" w:hAnsi="Times New Roman" w:eastAsia="方正仿宋_GBK" w:cs="Times New Roman"/>
          <w:color w:val="auto"/>
          <w:sz w:val="32"/>
          <w:szCs w:val="32"/>
          <w:highlight w:val="none"/>
          <w:lang w:val="en-US" w:eastAsia="zh-CN"/>
        </w:rPr>
        <w:t>坚持两眼向上，争取市级配套项目资金978万元，助力18家企业转型升级，落实133家限上商贸企业补助266万元；新增服务业市场主体2986户，新增批发、零售、住宿、餐饮企业等现代服务业企业486家。</w:t>
      </w:r>
      <w:r>
        <w:rPr>
          <w:rFonts w:hint="default" w:ascii="Times New Roman" w:hAnsi="Times New Roman" w:eastAsia="方正仿宋_GBK" w:cs="Times New Roman"/>
          <w:b/>
          <w:bCs/>
          <w:color w:val="auto"/>
          <w:sz w:val="32"/>
          <w:szCs w:val="32"/>
          <w:highlight w:val="none"/>
          <w:lang w:val="en-US" w:eastAsia="zh-CN"/>
        </w:rPr>
        <w:t>三是服务水平不断优化。</w:t>
      </w:r>
      <w:r>
        <w:rPr>
          <w:rFonts w:hint="default" w:ascii="Times New Roman" w:hAnsi="Times New Roman" w:eastAsia="方正仿宋_GBK" w:cs="Times New Roman"/>
          <w:color w:val="auto"/>
          <w:sz w:val="32"/>
          <w:szCs w:val="32"/>
          <w:highlight w:val="none"/>
          <w:lang w:val="en-US" w:eastAsia="zh-CN"/>
        </w:rPr>
        <w:t>坚持服务企业“四到十六条”“三送一访”要求，成立工作专班，为企业考察、调研、注册提供“一站式服务”，协助办理企业登记27户，组织召开市场主体座谈会2次，跟踪服务251家限上商贸企业，走访结对联创街道辖区内企业32家，陪同市管领导走访企业20家，收集解决场地、人才等问题10个，解决部门交办问题3个。</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聚焦大商贸，消费城市氛围浓、成效显。</w:t>
      </w:r>
    </w:p>
    <w:p>
      <w:pPr>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b/>
          <w:bCs/>
          <w:color w:val="auto"/>
          <w:sz w:val="32"/>
          <w:szCs w:val="32"/>
          <w:highlight w:val="none"/>
          <w:lang w:eastAsia="zh-CN"/>
        </w:rPr>
        <w:t>一是凝心聚力</w:t>
      </w:r>
      <w:r>
        <w:rPr>
          <w:rFonts w:hint="default" w:ascii="Times New Roman" w:hAnsi="Times New Roman" w:eastAsia="方正仿宋_GBK" w:cs="Times New Roman"/>
          <w:b/>
          <w:bCs/>
          <w:color w:val="auto"/>
          <w:sz w:val="32"/>
          <w:szCs w:val="32"/>
          <w:highlight w:val="none"/>
          <w:lang w:val="en" w:eastAsia="zh-CN"/>
        </w:rPr>
        <w:t>高位推动。</w:t>
      </w:r>
      <w:r>
        <w:rPr>
          <w:rFonts w:hint="default" w:ascii="Times New Roman" w:hAnsi="Times New Roman" w:eastAsia="方正仿宋_GBK" w:cs="Times New Roman"/>
          <w:color w:val="auto"/>
          <w:sz w:val="32"/>
          <w:szCs w:val="32"/>
          <w:highlight w:val="none"/>
          <w:lang w:val="en" w:eastAsia="zh-CN"/>
        </w:rPr>
        <w:t>成立奉节县培育建设区域消费中心城市暨商业体系建设工作领导小组，推动召开</w:t>
      </w:r>
      <w:r>
        <w:rPr>
          <w:rFonts w:hint="default" w:ascii="Times New Roman" w:hAnsi="Times New Roman" w:eastAsia="方正仿宋_GBK" w:cs="Times New Roman"/>
          <w:color w:val="auto"/>
          <w:sz w:val="32"/>
          <w:szCs w:val="32"/>
          <w:highlight w:val="none"/>
          <w:lang w:val="en-US" w:eastAsia="zh-CN"/>
        </w:rPr>
        <w:t>奉节县培育建设区域消费中心城市大会；</w:t>
      </w:r>
      <w:r>
        <w:rPr>
          <w:rFonts w:hint="default" w:ascii="Times New Roman" w:hAnsi="Times New Roman" w:eastAsia="方正仿宋_GBK" w:cs="Times New Roman"/>
          <w:color w:val="auto"/>
          <w:sz w:val="32"/>
          <w:szCs w:val="32"/>
          <w:highlight w:val="none"/>
          <w:lang w:val="en" w:eastAsia="zh-CN"/>
        </w:rPr>
        <w:t>出台《奉节县培育建设区域消费中心城市三年行动方案》，</w:t>
      </w:r>
      <w:r>
        <w:rPr>
          <w:rFonts w:hint="default" w:ascii="Times New Roman" w:hAnsi="Times New Roman" w:eastAsia="方正仿宋_GBK" w:cs="Times New Roman"/>
          <w:color w:val="auto"/>
          <w:sz w:val="32"/>
          <w:szCs w:val="32"/>
          <w:highlight w:val="none"/>
          <w:lang w:val="en-US" w:eastAsia="zh-CN"/>
        </w:rPr>
        <w:t>明确</w:t>
      </w:r>
      <w:r>
        <w:rPr>
          <w:rFonts w:hint="default" w:ascii="Times New Roman" w:hAnsi="Times New Roman" w:eastAsia="方正仿宋_GBK" w:cs="Times New Roman"/>
          <w:color w:val="auto"/>
          <w:sz w:val="32"/>
          <w:szCs w:val="32"/>
          <w:highlight w:val="none"/>
          <w:lang w:val="en" w:eastAsia="zh-CN"/>
        </w:rPr>
        <w:t>创建工作</w:t>
      </w:r>
      <w:r>
        <w:rPr>
          <w:rFonts w:hint="default" w:ascii="Times New Roman" w:hAnsi="Times New Roman" w:eastAsia="方正仿宋_GBK" w:cs="Times New Roman"/>
          <w:color w:val="auto"/>
          <w:sz w:val="32"/>
          <w:szCs w:val="32"/>
          <w:highlight w:val="none"/>
          <w:lang w:val="en-US" w:eastAsia="zh-CN"/>
        </w:rPr>
        <w:t>6</w:t>
      </w:r>
      <w:r>
        <w:rPr>
          <w:rFonts w:hint="default" w:ascii="Times New Roman" w:hAnsi="Times New Roman" w:eastAsia="方正仿宋_GBK" w:cs="Times New Roman"/>
          <w:color w:val="auto"/>
          <w:sz w:val="32"/>
          <w:szCs w:val="32"/>
          <w:highlight w:val="none"/>
          <w:lang w:val="en" w:eastAsia="zh-CN"/>
        </w:rPr>
        <w:t>项重点任务62项主要内容，建立时间、任务、责任三张清单，</w:t>
      </w:r>
      <w:r>
        <w:rPr>
          <w:rFonts w:hint="default" w:ascii="Times New Roman" w:hAnsi="Times New Roman" w:eastAsia="方正仿宋_GBK" w:cs="Times New Roman"/>
          <w:color w:val="auto"/>
          <w:sz w:val="32"/>
          <w:szCs w:val="32"/>
          <w:highlight w:val="none"/>
          <w:lang w:val="en-US" w:eastAsia="zh-CN"/>
        </w:rPr>
        <w:t>与市商务委签订共建区域消费中心城市和三峡库区数商兴农先行示范区合作协议，</w:t>
      </w:r>
      <w:r>
        <w:rPr>
          <w:rFonts w:hint="default" w:ascii="Times New Roman" w:hAnsi="Times New Roman" w:eastAsia="方正仿宋_GBK" w:cs="Times New Roman"/>
          <w:color w:val="auto"/>
          <w:sz w:val="32"/>
          <w:szCs w:val="32"/>
          <w:highlight w:val="none"/>
          <w:lang w:val="en" w:eastAsia="zh-CN"/>
        </w:rPr>
        <w:t>率渝东北之先掀起区域消费中心城市创建新高潮。</w:t>
      </w:r>
      <w:r>
        <w:rPr>
          <w:rFonts w:hint="default" w:ascii="Times New Roman" w:hAnsi="Times New Roman" w:eastAsia="方正仿宋_GBK" w:cs="Times New Roman"/>
          <w:b/>
          <w:bCs/>
          <w:color w:val="auto"/>
          <w:sz w:val="32"/>
          <w:szCs w:val="32"/>
          <w:highlight w:val="none"/>
          <w:lang w:eastAsia="zh-CN"/>
        </w:rPr>
        <w:t>二是全域融合品质提升。</w:t>
      </w:r>
      <w:r>
        <w:rPr>
          <w:rFonts w:hint="default" w:ascii="Times New Roman" w:hAnsi="Times New Roman" w:eastAsia="方正仿宋_GBK" w:cs="Times New Roman"/>
          <w:color w:val="auto"/>
          <w:sz w:val="32"/>
          <w:szCs w:val="32"/>
          <w:highlight w:val="none"/>
          <w:lang w:val="en" w:eastAsia="zh-CN"/>
        </w:rPr>
        <w:t>以区域消费中心城市建设为契机，全力推进城区商业载体、业务、服务融合，</w:t>
      </w:r>
      <w:r>
        <w:rPr>
          <w:rFonts w:hint="default" w:ascii="Times New Roman" w:hAnsi="Times New Roman" w:eastAsia="方正仿宋_GBK" w:cs="Times New Roman"/>
          <w:color w:val="auto"/>
          <w:sz w:val="32"/>
          <w:szCs w:val="32"/>
          <w:highlight w:val="none"/>
          <w:lang w:val="en-US" w:eastAsia="zh-CN"/>
        </w:rPr>
        <w:t>聚焦首发首店经济发展，梳理物流、商贸服务业招商引资市、县优惠政策27条，累计</w:t>
      </w:r>
      <w:r>
        <w:rPr>
          <w:rFonts w:hint="default" w:ascii="Times New Roman" w:hAnsi="Times New Roman" w:eastAsia="方正仿宋_GBK" w:cs="Times New Roman"/>
          <w:color w:val="auto"/>
          <w:sz w:val="32"/>
          <w:szCs w:val="32"/>
          <w:highlight w:val="none"/>
          <w:lang w:val="en" w:eastAsia="zh-CN"/>
        </w:rPr>
        <w:t>建成滨江郦城等商圈3个，商贸城等专业市场6个，诗城皇廷等本土品牌酒店5家，整体商业体量近30万平方米，商贸行业市场主体达5.79万户，年销售额60亿元，</w:t>
      </w:r>
      <w:r>
        <w:rPr>
          <w:rFonts w:hint="default" w:ascii="Times New Roman" w:hAnsi="Times New Roman" w:eastAsia="方正仿宋_GBK" w:cs="Times New Roman"/>
          <w:color w:val="auto"/>
          <w:sz w:val="32"/>
          <w:szCs w:val="32"/>
          <w:highlight w:val="none"/>
          <w:lang w:val="en-US" w:eastAsia="zh-CN"/>
        </w:rPr>
        <w:t>“夔门印像”成功获评市级美食街，</w:t>
      </w:r>
      <w:r>
        <w:rPr>
          <w:rFonts w:hint="default" w:ascii="Times New Roman" w:hAnsi="Times New Roman" w:eastAsia="方正仿宋_GBK" w:cs="Times New Roman"/>
          <w:color w:val="auto"/>
          <w:sz w:val="32"/>
          <w:szCs w:val="32"/>
          <w:highlight w:val="none"/>
          <w:lang w:val="en" w:eastAsia="zh-CN"/>
        </w:rPr>
        <w:t>万达广场落户开工，城市大商贸新格局逐步形成。</w:t>
      </w:r>
      <w:r>
        <w:rPr>
          <w:rFonts w:hint="default" w:ascii="Times New Roman" w:hAnsi="Times New Roman" w:eastAsia="方正仿宋_GBK" w:cs="Times New Roman"/>
          <w:b/>
          <w:bCs/>
          <w:color w:val="auto"/>
          <w:sz w:val="32"/>
          <w:szCs w:val="32"/>
          <w:highlight w:val="none"/>
          <w:lang w:eastAsia="zh-CN"/>
        </w:rPr>
        <w:t>三是常态促销再掀高潮。</w:t>
      </w:r>
      <w:r>
        <w:rPr>
          <w:rFonts w:hint="default" w:ascii="Times New Roman" w:hAnsi="Times New Roman" w:eastAsia="方正仿宋_GBK" w:cs="Times New Roman"/>
          <w:color w:val="auto"/>
          <w:sz w:val="32"/>
          <w:szCs w:val="32"/>
          <w:highlight w:val="none"/>
          <w:lang w:eastAsia="zh-CN"/>
        </w:rPr>
        <w:t>鼓励大型商超、家电、汽车经销主体开展“爱尚奉节”焕新消费季活动，成功举办春季汽车消费节，发放消费券</w:t>
      </w:r>
      <w:r>
        <w:rPr>
          <w:rFonts w:hint="default" w:ascii="Times New Roman" w:hAnsi="Times New Roman" w:eastAsia="方正仿宋_GBK" w:cs="Times New Roman"/>
          <w:color w:val="auto"/>
          <w:sz w:val="32"/>
          <w:szCs w:val="32"/>
          <w:highlight w:val="none"/>
          <w:lang w:val="en-US" w:eastAsia="zh-CN"/>
        </w:rPr>
        <w:t>4万余元，全年</w:t>
      </w:r>
      <w:r>
        <w:rPr>
          <w:rFonts w:hint="default" w:ascii="Times New Roman" w:hAnsi="Times New Roman" w:eastAsia="方正仿宋_GBK" w:cs="Times New Roman"/>
          <w:color w:val="auto"/>
          <w:sz w:val="32"/>
          <w:szCs w:val="32"/>
          <w:highlight w:val="none"/>
          <w:lang w:eastAsia="zh-CN"/>
        </w:rPr>
        <w:t>累计销售</w:t>
      </w:r>
      <w:r>
        <w:rPr>
          <w:rFonts w:hint="default" w:ascii="Times New Roman" w:hAnsi="Times New Roman" w:eastAsia="方正仿宋_GBK" w:cs="Times New Roman"/>
          <w:color w:val="auto"/>
          <w:sz w:val="32"/>
          <w:szCs w:val="32"/>
          <w:highlight w:val="none"/>
          <w:lang w:val="en-US" w:eastAsia="zh-CN"/>
        </w:rPr>
        <w:t>6000余台，销售额达9亿元</w:t>
      </w:r>
      <w:r>
        <w:rPr>
          <w:rFonts w:hint="default" w:ascii="Times New Roman" w:hAnsi="Times New Roman" w:eastAsia="方正仿宋_GBK" w:cs="Times New Roman"/>
          <w:color w:val="auto"/>
          <w:sz w:val="32"/>
          <w:szCs w:val="32"/>
          <w:highlight w:val="none"/>
          <w:lang w:eastAsia="zh-CN"/>
        </w:rPr>
        <w:t>。引导商贸企业加大促销力度，开展五一促销、618电商节等促销活动11场，新世纪奉节商都、洋洋百货、大中型餐饮企业实现促销活动常态化。强化“银企协作”促销，在夔门印像开展数字人民币推广活动1场。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聚焦大枢纽，物流集散起步高、目标明。</w:t>
      </w:r>
    </w:p>
    <w:p>
      <w:pPr>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spacing w:val="6"/>
          <w:kern w:val="0"/>
          <w:sz w:val="32"/>
          <w:szCs w:val="32"/>
          <w:lang w:val="en-US" w:eastAsia="zh-CN"/>
        </w:rPr>
      </w:pPr>
      <w:r>
        <w:rPr>
          <w:rFonts w:hint="default" w:ascii="Times New Roman" w:hAnsi="Times New Roman" w:eastAsia="方正仿宋_GBK" w:cs="Times New Roman"/>
          <w:b/>
          <w:bCs/>
          <w:color w:val="auto"/>
          <w:sz w:val="32"/>
          <w:szCs w:val="32"/>
          <w:highlight w:val="none"/>
          <w:lang w:eastAsia="zh-CN"/>
        </w:rPr>
        <w:t>一是</w:t>
      </w:r>
      <w:r>
        <w:rPr>
          <w:rFonts w:hint="default" w:ascii="Times New Roman" w:hAnsi="Times New Roman" w:eastAsia="方正仿宋_GBK" w:cs="Times New Roman"/>
          <w:b/>
          <w:bCs/>
          <w:color w:val="auto"/>
          <w:sz w:val="32"/>
          <w:szCs w:val="32"/>
          <w:highlight w:val="none"/>
          <w:lang w:val="en" w:eastAsia="zh-CN"/>
        </w:rPr>
        <w:t>锚定目标定方向。</w:t>
      </w:r>
      <w:r>
        <w:rPr>
          <w:rFonts w:hint="default" w:ascii="Times New Roman" w:hAnsi="Times New Roman" w:eastAsia="方正仿宋_GBK" w:cs="Times New Roman"/>
          <w:color w:val="auto"/>
          <w:sz w:val="32"/>
          <w:szCs w:val="32"/>
          <w:highlight w:val="none"/>
          <w:lang w:val="en" w:eastAsia="zh-CN"/>
        </w:rPr>
        <w:t>立足市政府对我县“渝陕鄂交界地区商贸物流集散中心”功能定位，召开全县商贸物流企业座谈会，</w:t>
      </w:r>
      <w:r>
        <w:rPr>
          <w:rFonts w:hint="default" w:ascii="Times New Roman" w:hAnsi="Times New Roman" w:eastAsia="方正仿宋_GBK" w:cs="Times New Roman"/>
          <w:color w:val="auto"/>
          <w:spacing w:val="6"/>
          <w:kern w:val="0"/>
          <w:sz w:val="32"/>
          <w:szCs w:val="32"/>
          <w:lang w:eastAsia="zh-CN"/>
        </w:rPr>
        <w:t>挂牌成立奉节县口岸物流服务中心，更名并完善</w:t>
      </w:r>
      <w:r>
        <w:rPr>
          <w:rFonts w:hint="default" w:ascii="Times New Roman" w:hAnsi="Times New Roman" w:eastAsia="方正仿宋_GBK" w:cs="Times New Roman"/>
          <w:color w:val="auto"/>
          <w:spacing w:val="6"/>
          <w:kern w:val="0"/>
          <w:sz w:val="32"/>
          <w:szCs w:val="32"/>
          <w:lang w:val="en-US" w:eastAsia="zh-CN"/>
        </w:rPr>
        <w:t>中共奉节县快递物流行业党支部组织架构，</w:t>
      </w:r>
      <w:r>
        <w:rPr>
          <w:rFonts w:hint="default" w:ascii="Times New Roman" w:hAnsi="Times New Roman" w:eastAsia="方正仿宋_GBK" w:cs="Times New Roman"/>
          <w:color w:val="auto"/>
          <w:sz w:val="32"/>
          <w:szCs w:val="32"/>
          <w:highlight w:val="none"/>
          <w:lang w:val="en" w:eastAsia="zh-CN"/>
        </w:rPr>
        <w:t>出台《奉节县现代物流业发展专项规划》，规划储备</w:t>
      </w:r>
      <w:r>
        <w:rPr>
          <w:rFonts w:hint="default" w:ascii="Times New Roman" w:hAnsi="Times New Roman" w:eastAsia="方正仿宋_GBK" w:cs="Times New Roman"/>
          <w:color w:val="auto"/>
          <w:sz w:val="32"/>
          <w:szCs w:val="32"/>
          <w:highlight w:val="none"/>
          <w:lang w:eastAsia="zh-CN"/>
        </w:rPr>
        <w:t>“一枢纽两基地四园区多节点”重大项目</w:t>
      </w:r>
      <w:r>
        <w:rPr>
          <w:rFonts w:hint="default" w:ascii="Times New Roman" w:hAnsi="Times New Roman" w:eastAsia="方正仿宋_GBK" w:cs="Times New Roman"/>
          <w:color w:val="auto"/>
          <w:sz w:val="32"/>
          <w:szCs w:val="32"/>
          <w:highlight w:val="none"/>
          <w:lang w:val="en-US" w:eastAsia="zh-CN"/>
        </w:rPr>
        <w:t>18个，投资概算达56.25亿元。</w:t>
      </w:r>
      <w:r>
        <w:rPr>
          <w:rFonts w:hint="default" w:ascii="Times New Roman" w:hAnsi="Times New Roman" w:eastAsia="方正仿宋_GBK" w:cs="Times New Roman"/>
          <w:b/>
          <w:bCs/>
          <w:color w:val="auto"/>
          <w:sz w:val="32"/>
          <w:szCs w:val="32"/>
          <w:highlight w:val="none"/>
          <w:lang w:val="en-US" w:eastAsia="zh-CN"/>
        </w:rPr>
        <w:t>二是重点项目夯基础。</w:t>
      </w:r>
      <w:r>
        <w:rPr>
          <w:rFonts w:hint="default" w:ascii="Times New Roman" w:hAnsi="Times New Roman" w:eastAsia="方正仿宋_GBK" w:cs="Times New Roman"/>
          <w:color w:val="auto"/>
          <w:spacing w:val="6"/>
          <w:kern w:val="0"/>
          <w:sz w:val="32"/>
          <w:szCs w:val="32"/>
          <w:lang w:val="en-US" w:eastAsia="zh-CN"/>
        </w:rPr>
        <w:t>签订高铁生态城智慧物流基地合作框架协议，县域综合型共同配送中心完成项目用地审批和规划设计，甘溪沟冷链物流集散中心完成一期项目购地、规划设计、地勘等前期工作，邮政分拔中心完成项目购地和规划设计，白马物流园完成项目用地场坪，启动招商，金盆物流园启动项目用地清理，累计培育物流企业70余家，新增物流规划用地631亩，物流服务商贸能力进一步增强。</w:t>
      </w:r>
      <w:r>
        <w:rPr>
          <w:rFonts w:hint="default" w:ascii="Times New Roman" w:hAnsi="Times New Roman" w:eastAsia="方正仿宋_GBK" w:cs="Times New Roman"/>
          <w:b/>
          <w:bCs/>
          <w:color w:val="auto"/>
          <w:spacing w:val="6"/>
          <w:kern w:val="0"/>
          <w:sz w:val="32"/>
          <w:szCs w:val="32"/>
          <w:lang w:val="en-US" w:eastAsia="zh-CN"/>
        </w:rPr>
        <w:t>三是城乡联动建体系。</w:t>
      </w:r>
      <w:r>
        <w:rPr>
          <w:rFonts w:hint="default" w:ascii="Times New Roman" w:hAnsi="Times New Roman" w:eastAsia="方正仿宋_GBK" w:cs="Times New Roman"/>
          <w:color w:val="auto"/>
          <w:spacing w:val="6"/>
          <w:kern w:val="0"/>
          <w:sz w:val="32"/>
          <w:szCs w:val="32"/>
          <w:lang w:val="en-US" w:eastAsia="zh-CN"/>
        </w:rPr>
        <w:t>引导韵达、中通等5家快递企业成立入驿达供应链公司，建设共配中心；支持万运奉节分公司参与城乡货物配送，建成区域仓储物流中心。建成城区驿站60余家，升级乡镇物流分拨中心8个、村级电商综合服务站189个，大力拓展统仓共配、邮快合作、快企合作模式，县乡村三级物流体系进一步完善。</w:t>
      </w:r>
    </w:p>
    <w:p>
      <w:pPr>
        <w:pStyle w:val="10"/>
        <w:keepNext w:val="0"/>
        <w:keepLines w:val="0"/>
        <w:pageBreakBefore w:val="0"/>
        <w:kinsoku/>
        <w:wordWrap/>
        <w:overflowPunct/>
        <w:topLinePunct w:val="0"/>
        <w:bidi w:val="0"/>
        <w:adjustRightInd w:val="0"/>
        <w:snapToGrid w:val="0"/>
        <w:spacing w:line="60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聚焦大平台，开放经济导向准、格局新。</w:t>
      </w:r>
    </w:p>
    <w:p>
      <w:pPr>
        <w:pStyle w:val="10"/>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b/>
          <w:bCs/>
          <w:color w:val="auto"/>
          <w:kern w:val="2"/>
          <w:sz w:val="32"/>
          <w:szCs w:val="32"/>
          <w:highlight w:val="none"/>
          <w:lang w:val="en-US" w:eastAsia="zh-CN" w:bidi="ar-SA"/>
        </w:rPr>
        <w:t>一是合作交流逐步开拓。</w:t>
      </w:r>
      <w:r>
        <w:rPr>
          <w:rFonts w:hint="default" w:ascii="Times New Roman" w:hAnsi="Times New Roman" w:eastAsia="方正仿宋_GBK" w:cs="Times New Roman"/>
          <w:color w:val="auto"/>
          <w:kern w:val="2"/>
          <w:sz w:val="32"/>
          <w:szCs w:val="32"/>
          <w:highlight w:val="none"/>
          <w:lang w:val="en-US" w:eastAsia="zh-CN" w:bidi="ar-SA"/>
        </w:rPr>
        <w:t>积极融入重庆市内陆开放高地建设，启动RCEP专题培训2场160余人次，对接万州海关、寸滩综合保税港区、渝新欧等部门，组织参观见学5次，接待来奉考察外贸企业12个，组织56家企业参加西洽会、进博会、辽博会等节庆展会8场，有效开拓了国内外市场；</w:t>
      </w:r>
      <w:r>
        <w:rPr>
          <w:rFonts w:hint="default" w:ascii="Times New Roman" w:hAnsi="Times New Roman" w:eastAsia="方正仿宋_GBK" w:cs="Times New Roman"/>
          <w:b/>
          <w:bCs/>
          <w:color w:val="auto"/>
          <w:kern w:val="2"/>
          <w:sz w:val="32"/>
          <w:szCs w:val="32"/>
          <w:highlight w:val="none"/>
          <w:lang w:val="en-US" w:eastAsia="zh-CN" w:bidi="ar-SA"/>
        </w:rPr>
        <w:t>二是主体培育稳定向好。</w:t>
      </w:r>
      <w:r>
        <w:rPr>
          <w:rFonts w:hint="default" w:ascii="Times New Roman" w:hAnsi="Times New Roman" w:eastAsia="方正仿宋_GBK" w:cs="Times New Roman"/>
          <w:color w:val="auto"/>
          <w:kern w:val="2"/>
          <w:sz w:val="32"/>
          <w:szCs w:val="32"/>
          <w:highlight w:val="none"/>
          <w:lang w:val="en-US" w:eastAsia="zh-CN" w:bidi="ar-SA"/>
        </w:rPr>
        <w:t>帮助重庆众盈服装有限公司等3家企业办理对外贸易经营者备案登记，培育橙杨生态农业、东升电子、中纳科技等外贸企业61家，建成脐橙、蔬菜出口基地5个，脐橙出口包装厂1个，培育孵化国货品牌，加快发展脐橙、食品、眼镜、鞋服等外向型产业，丰富出口产品10余个。</w:t>
      </w:r>
      <w:r>
        <w:rPr>
          <w:rFonts w:hint="default" w:ascii="Times New Roman" w:hAnsi="Times New Roman" w:eastAsia="方正仿宋_GBK" w:cs="Times New Roman"/>
          <w:b/>
          <w:bCs/>
          <w:color w:val="auto"/>
          <w:kern w:val="2"/>
          <w:sz w:val="32"/>
          <w:szCs w:val="32"/>
          <w:highlight w:val="none"/>
          <w:lang w:val="en-US" w:eastAsia="zh-CN" w:bidi="ar-SA"/>
        </w:rPr>
        <w:t>三是对外贸易稳中有升。</w:t>
      </w:r>
      <w:r>
        <w:rPr>
          <w:rFonts w:hint="default" w:ascii="Times New Roman" w:hAnsi="Times New Roman" w:eastAsia="方正仿宋_GBK" w:cs="Times New Roman"/>
          <w:color w:val="auto"/>
          <w:kern w:val="2"/>
          <w:sz w:val="32"/>
          <w:szCs w:val="32"/>
          <w:highlight w:val="none"/>
          <w:lang w:val="en-US" w:eastAsia="zh-CN" w:bidi="ar-SA"/>
        </w:rPr>
        <w:t>指导贝贝南瓜成功出口新加坡，动员弘源鞋业硫化鞋改委托出口为自营出口到欧洲，成功引进香港裳裳芸服饰进出口贸易结算总部，2022年1-9月，全县外贸自营出口0.32亿元，同比增长113.83%。</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聚焦大战略，数商兴农动能强、活力足。</w:t>
      </w:r>
    </w:p>
    <w:p>
      <w:pPr>
        <w:pStyle w:val="10"/>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b/>
          <w:bCs/>
          <w:color w:val="auto"/>
          <w:kern w:val="2"/>
          <w:sz w:val="32"/>
          <w:szCs w:val="32"/>
          <w:highlight w:val="none"/>
          <w:lang w:val="en-US" w:eastAsia="zh-CN" w:bidi="ar-SA"/>
        </w:rPr>
        <w:t>一是培养人才强引擎。</w:t>
      </w:r>
      <w:r>
        <w:rPr>
          <w:rFonts w:hint="default" w:ascii="Times New Roman" w:hAnsi="Times New Roman" w:eastAsia="方正仿宋_GBK" w:cs="Times New Roman"/>
          <w:color w:val="auto"/>
          <w:kern w:val="2"/>
          <w:sz w:val="32"/>
          <w:szCs w:val="32"/>
          <w:highlight w:val="none"/>
          <w:lang w:val="en-US" w:eastAsia="zh-CN" w:bidi="ar-SA"/>
        </w:rPr>
        <w:t>京东（奉节）数字经济产业园签约落户，启动人才招聘会，聘请市内外专家、知名主播、电商带头人等免费开展网店运营、短视频制作、直播销售等技能培训22场，累计培训2100余人次，培育会种会卖“双栖”新农人10名，孵化内容创作型人才70余名，电商从业人员达60人，同比增长27%。</w:t>
      </w:r>
      <w:r>
        <w:rPr>
          <w:rFonts w:hint="default" w:ascii="Times New Roman" w:hAnsi="Times New Roman" w:eastAsia="方正仿宋_GBK" w:cs="Times New Roman"/>
          <w:b/>
          <w:bCs/>
          <w:color w:val="auto"/>
          <w:kern w:val="2"/>
          <w:sz w:val="32"/>
          <w:szCs w:val="32"/>
          <w:highlight w:val="none"/>
          <w:lang w:val="en-US" w:eastAsia="zh-CN" w:bidi="ar-SA"/>
        </w:rPr>
        <w:t>二是聚焦产品谋触网。</w:t>
      </w:r>
      <w:r>
        <w:rPr>
          <w:rFonts w:hint="default" w:ascii="Times New Roman" w:hAnsi="Times New Roman" w:eastAsia="方正仿宋_GBK" w:cs="Times New Roman"/>
          <w:color w:val="auto"/>
          <w:kern w:val="2"/>
          <w:sz w:val="32"/>
          <w:szCs w:val="32"/>
          <w:highlight w:val="none"/>
          <w:lang w:val="en-US" w:eastAsia="zh-CN" w:bidi="ar-SA"/>
        </w:rPr>
        <w:t>联动“奉节脐橙”“奉节腊肉”“奉节眼镜”等特色优势产品，打造“夔變”区域公共品牌宣传矩阵，推动传统行业、企业电商化转型，利用大数据分析推出适合网销的特色产品10余款，助力奉节脐橙线上销售7.9亿元、奉节腊肉线上销售超过4.2亿元、其他农产品线上销售超1亿元，带动5000余农户户均增收1000元以上；快递业务量超过1689万单，同比年均增长15%以上，今年1-9月份网络零售额已达16.2亿元，同比增长9.6%。</w:t>
      </w:r>
      <w:r>
        <w:rPr>
          <w:rFonts w:hint="default" w:ascii="Times New Roman" w:hAnsi="Times New Roman" w:eastAsia="方正仿宋_GBK" w:cs="Times New Roman"/>
          <w:b/>
          <w:bCs/>
          <w:color w:val="auto"/>
          <w:kern w:val="2"/>
          <w:sz w:val="32"/>
          <w:szCs w:val="32"/>
          <w:highlight w:val="none"/>
          <w:lang w:val="en-US" w:eastAsia="zh-CN" w:bidi="ar-SA"/>
        </w:rPr>
        <w:t>三是强链补链聚合力。</w:t>
      </w:r>
      <w:r>
        <w:rPr>
          <w:rFonts w:hint="default" w:ascii="Times New Roman" w:hAnsi="Times New Roman" w:eastAsia="方正仿宋_GBK" w:cs="Times New Roman"/>
          <w:color w:val="auto"/>
          <w:kern w:val="2"/>
          <w:sz w:val="32"/>
          <w:szCs w:val="32"/>
          <w:highlight w:val="none"/>
          <w:lang w:val="en-US" w:eastAsia="zh-CN" w:bidi="ar-SA"/>
        </w:rPr>
        <w:t>推动农村智慧物流网络共建共享，变“多仓多线”为“统仓共配”；打造网货供应基地12个，升级乡镇村电商综合服务站点189个，引导集约配送、代买代卖、快递收发、物流配送、农资服务、社区团购、日用百货等业务叠加，实现了一网覆盖、全域连通，全县乡镇配送率达到了100%、村级快递配送率达到了83%。</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聚焦大服务，住宿餐饮品牌靓、品质强。</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600" w:lineRule="exact"/>
        <w:ind w:firstLine="643" w:firstLineChars="200"/>
        <w:jc w:val="both"/>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b/>
          <w:bCs/>
          <w:color w:val="auto"/>
          <w:kern w:val="2"/>
          <w:sz w:val="32"/>
          <w:szCs w:val="32"/>
          <w:highlight w:val="none"/>
          <w:lang w:val="en-US" w:eastAsia="zh-CN" w:bidi="ar-SA"/>
        </w:rPr>
        <w:t>一是唱响美食品牌。</w:t>
      </w:r>
      <w:r>
        <w:rPr>
          <w:rFonts w:hint="default" w:ascii="Times New Roman" w:hAnsi="Times New Roman" w:eastAsia="方正仿宋_GBK" w:cs="Times New Roman"/>
          <w:color w:val="auto"/>
          <w:kern w:val="2"/>
          <w:sz w:val="32"/>
          <w:szCs w:val="32"/>
          <w:highlight w:val="none"/>
          <w:lang w:val="en-US" w:eastAsia="zh-CN" w:bidi="ar-SA"/>
        </w:rPr>
        <w:t>制定《“奉节好味·百碗千盘”三年行动实施方案》，成立奉节好味美食研发专家智慧库，研发“夔府宴”特色菜品40余道，落户俏巴渝大饭店、徐鼎盛民间菜等品牌餐饮店，完成培育品牌餐饮店30家，品牌火锅店10家，特色餐馆20家，新增餐位1500余个，指导诗城皇廷大酒店成功创建五叶级绿色饭店，泰悦酒店成功通过四叶级绿色饭店复评，指导夔门印像成功创建市级美食街，美食地标城市名片更加响亮。</w:t>
      </w:r>
      <w:r>
        <w:rPr>
          <w:rFonts w:hint="default" w:ascii="Times New Roman" w:hAnsi="Times New Roman" w:eastAsia="方正仿宋_GBK" w:cs="Times New Roman"/>
          <w:b/>
          <w:bCs/>
          <w:color w:val="auto"/>
          <w:kern w:val="2"/>
          <w:sz w:val="32"/>
          <w:szCs w:val="32"/>
          <w:highlight w:val="none"/>
          <w:lang w:val="en-US" w:eastAsia="zh-CN" w:bidi="ar-SA"/>
        </w:rPr>
        <w:t>二是提升住宿品质。</w:t>
      </w:r>
      <w:r>
        <w:rPr>
          <w:rFonts w:hint="default" w:ascii="Times New Roman" w:hAnsi="Times New Roman" w:eastAsia="方正仿宋_GBK" w:cs="Times New Roman"/>
          <w:color w:val="auto"/>
          <w:kern w:val="2"/>
          <w:sz w:val="32"/>
          <w:szCs w:val="32"/>
          <w:highlight w:val="none"/>
          <w:lang w:val="en-US" w:eastAsia="zh-CN" w:bidi="ar-SA"/>
        </w:rPr>
        <w:t>引进维也纳国际、锦江之星、柏曼等知名连锁酒店品牌，新增诗奉网时尚酒店、夔江酒店、江月阁酒店、执道精品酒店等本土酒店，建成连锁酒店3家，民宿客栈15家、新增床位2200余个。</w:t>
      </w:r>
      <w:r>
        <w:rPr>
          <w:rFonts w:hint="default" w:ascii="Times New Roman" w:hAnsi="Times New Roman" w:eastAsia="方正仿宋_GBK" w:cs="Times New Roman"/>
          <w:b/>
          <w:bCs/>
          <w:color w:val="auto"/>
          <w:kern w:val="2"/>
          <w:sz w:val="32"/>
          <w:szCs w:val="32"/>
          <w:highlight w:val="none"/>
          <w:lang w:val="en-US" w:eastAsia="zh-CN" w:bidi="ar-SA"/>
        </w:rPr>
        <w:t>三是增强服务能力。</w:t>
      </w:r>
      <w:r>
        <w:rPr>
          <w:rFonts w:hint="default" w:ascii="Times New Roman" w:hAnsi="Times New Roman" w:eastAsia="方正仿宋_GBK" w:cs="Times New Roman"/>
          <w:color w:val="auto"/>
          <w:kern w:val="2"/>
          <w:sz w:val="32"/>
          <w:szCs w:val="32"/>
          <w:highlight w:val="none"/>
          <w:lang w:val="en-US" w:eastAsia="zh-CN" w:bidi="ar-SA"/>
        </w:rPr>
        <w:t>制定住餐行业从业人员年度培训计划，分时段、分批次开展标准化培训，定期开展酒店食品安全、卫生专项整治行动，评选文明餐饮店15家、文明酒店10家，旅游接待能力进一步提升。</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楷体_GBK" w:cs="Times New Roman"/>
          <w:color w:val="auto"/>
          <w:sz w:val="32"/>
          <w:szCs w:val="32"/>
          <w:highlight w:val="none"/>
          <w:lang w:eastAsia="zh-CN"/>
        </w:rPr>
      </w:pPr>
      <w:r>
        <w:rPr>
          <w:rFonts w:hint="default" w:ascii="Times New Roman" w:hAnsi="Times New Roman" w:eastAsia="方正楷体_GBK" w:cs="Times New Roman"/>
          <w:color w:val="auto"/>
          <w:sz w:val="32"/>
          <w:szCs w:val="32"/>
          <w:highlight w:val="none"/>
          <w:lang w:eastAsia="zh-CN"/>
        </w:rPr>
        <w:t>聚焦大体系，行业管理举措实、效果好</w:t>
      </w:r>
    </w:p>
    <w:p>
      <w:pPr>
        <w:keepNext w:val="0"/>
        <w:keepLines w:val="0"/>
        <w:pageBreakBefore w:val="0"/>
        <w:kinsoku/>
        <w:wordWrap/>
        <w:overflowPunct/>
        <w:topLinePunct w:val="0"/>
        <w:bidi w:val="0"/>
        <w:adjustRightInd w:val="0"/>
        <w:snapToGrid w:val="0"/>
        <w:spacing w:line="600" w:lineRule="exact"/>
        <w:ind w:firstLine="643" w:firstLineChars="20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b/>
          <w:bCs/>
          <w:color w:val="auto"/>
          <w:kern w:val="2"/>
          <w:sz w:val="32"/>
          <w:szCs w:val="32"/>
          <w:highlight w:val="none"/>
          <w:lang w:val="en-US" w:eastAsia="zh-CN" w:bidi="ar-SA"/>
        </w:rPr>
        <w:t>一是筑牢新冠疫情防线。</w:t>
      </w:r>
      <w:r>
        <w:rPr>
          <w:rFonts w:hint="default" w:ascii="Times New Roman" w:hAnsi="Times New Roman" w:eastAsia="方正仿宋_GBK" w:cs="Times New Roman"/>
          <w:color w:val="auto"/>
          <w:kern w:val="2"/>
          <w:sz w:val="32"/>
          <w:szCs w:val="32"/>
          <w:highlight w:val="none"/>
          <w:lang w:val="en-US" w:eastAsia="zh-CN" w:bidi="ar-SA"/>
        </w:rPr>
        <w:t>坚持保供先行，构建3个梯队、208家保供企业、52个物资中转站的保供网络，组织下沉干部参与封控区保供25人次，开具生活物资通行证650张，调运物资12000余吨；坚持保障到位，全力做好隔离点储备保障工作，储备隔离点33个，全年启用23个，累计承担隔离保障9800人次，保障交通卡口就餐350余人次；坚持严管严控，组建县级联合督导专班，督促乡镇（街道）成立51支355人次的专职督导执法队，累计280人次，检查485家次，发现并整改问题270个，对2987名从业人员上门核酸检测服务13次15800人次。</w:t>
      </w:r>
      <w:r>
        <w:rPr>
          <w:rFonts w:hint="default" w:ascii="Times New Roman" w:hAnsi="Times New Roman" w:eastAsia="方正仿宋_GBK" w:cs="Times New Roman"/>
          <w:b/>
          <w:bCs/>
          <w:color w:val="auto"/>
          <w:kern w:val="2"/>
          <w:sz w:val="32"/>
          <w:szCs w:val="32"/>
          <w:highlight w:val="none"/>
          <w:lang w:val="en-US" w:eastAsia="zh-CN" w:bidi="ar-SA"/>
        </w:rPr>
        <w:t>二是守牢安全生产底线。</w:t>
      </w:r>
      <w:r>
        <w:rPr>
          <w:rFonts w:hint="default" w:ascii="Times New Roman" w:hAnsi="Times New Roman" w:eastAsia="方正仿宋_GBK" w:cs="Times New Roman"/>
          <w:color w:val="auto"/>
          <w:kern w:val="2"/>
          <w:sz w:val="32"/>
          <w:szCs w:val="32"/>
          <w:highlight w:val="none"/>
          <w:lang w:val="en-US" w:eastAsia="zh-CN" w:bidi="ar-SA"/>
        </w:rPr>
        <w:t>制定《奉节县商务委员会安全工作“党政同责、一岗双责”责任制实施方案》，开展“安全生产月”“512防灾减灾”等活动，发放安全知识宣传材料1000余份，全年召开安全生产专题会15次，对全县340家限额以上商贸企业、43家加油站及2座油库专项监督检查272次，查处并整改问题136起，排查并整改海城大型商业综合体消防安全问题227处，查处非法经营、无证经营柴、汽油等安全生产问题7起，增强了商贸行业安全管理能力和水平。</w:t>
      </w:r>
      <w:r>
        <w:rPr>
          <w:rFonts w:hint="default" w:ascii="Times New Roman" w:hAnsi="Times New Roman" w:eastAsia="方正仿宋_GBK" w:cs="Times New Roman"/>
          <w:b/>
          <w:bCs/>
          <w:color w:val="auto"/>
          <w:kern w:val="2"/>
          <w:sz w:val="32"/>
          <w:szCs w:val="32"/>
          <w:highlight w:val="none"/>
          <w:lang w:val="en-US" w:eastAsia="zh-CN" w:bidi="ar-SA"/>
        </w:rPr>
        <w:t>三是抓牢防贫返贫红线。</w:t>
      </w:r>
      <w:r>
        <w:rPr>
          <w:rFonts w:hint="default" w:ascii="Times New Roman" w:hAnsi="Times New Roman" w:eastAsia="方正仿宋_GBK" w:cs="Times New Roman"/>
          <w:color w:val="auto"/>
          <w:kern w:val="2"/>
          <w:sz w:val="32"/>
          <w:szCs w:val="32"/>
          <w:highlight w:val="none"/>
          <w:lang w:val="en-US" w:eastAsia="zh-CN" w:bidi="ar-SA"/>
        </w:rPr>
        <w:t>积极抓好驻村帮扶，选优配强云雾乡驻村工作队，轮换年轻队员2人，落实“集中走访日”“常态走访”200余人次；积极抓好产业扶贫，投入资金15万元，指导云雾乡举办第二届“万吨渝货进山东”中药材产销对接暨行业论坛交流活动，吸引游客1万余人，现场销售30余万元，间接销售200余万元；积极抓好消费帮扶，筹集资金270万元，常态化组织“万吨奉节脐橙进山东”宣传推介活动，筹备品牌宣传推广活动6场。</w:t>
      </w:r>
    </w:p>
    <w:p>
      <w:pPr>
        <w:pStyle w:val="10"/>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（四）绩效目标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整体支出绩效目标申报及年中追加支出绩效目标情况：年初预算下达了整体支出绩效目标，由于年中追加了预算，对整体支出绩效目标进行了调整，我单位根据调整后的整体支出绩效目标开展了自评。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（五）年度预决算情况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年初预算总收入为</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万元，年中追加收入</w:t>
      </w:r>
      <w:r>
        <w:rPr>
          <w:rFonts w:hint="default" w:ascii="Times New Roman" w:hAnsi="Times New Roman" w:eastAsia="方正仿宋_GBK" w:cs="Times New Roman"/>
          <w:sz w:val="32"/>
          <w:szCs w:val="32"/>
          <w:lang w:val="en-US" w:eastAsia="zh-CN"/>
        </w:rPr>
        <w:t>1604.51</w:t>
      </w:r>
      <w:r>
        <w:rPr>
          <w:rFonts w:hint="default" w:ascii="Times New Roman" w:hAnsi="Times New Roman" w:eastAsia="方正仿宋_GBK" w:cs="Times New Roman"/>
          <w:sz w:val="32"/>
          <w:szCs w:val="32"/>
        </w:rPr>
        <w:t>万元，全年总收入为</w:t>
      </w:r>
      <w:r>
        <w:rPr>
          <w:rFonts w:hint="default" w:ascii="Times New Roman" w:hAnsi="Times New Roman" w:eastAsia="方正仿宋_GBK" w:cs="Times New Roman"/>
          <w:sz w:val="32"/>
          <w:szCs w:val="32"/>
          <w:lang w:val="en-US" w:eastAsia="zh-CN"/>
        </w:rPr>
        <w:t>3328.10</w:t>
      </w:r>
      <w:r>
        <w:rPr>
          <w:rFonts w:hint="default" w:ascii="Times New Roman" w:hAnsi="Times New Roman" w:eastAsia="方正仿宋_GBK" w:cs="Times New Roman"/>
          <w:sz w:val="32"/>
          <w:szCs w:val="32"/>
        </w:rPr>
        <w:t>万元；全年总支出为</w:t>
      </w:r>
      <w:r>
        <w:rPr>
          <w:rFonts w:hint="default" w:ascii="Times New Roman" w:hAnsi="Times New Roman" w:eastAsia="方正仿宋_GBK" w:cs="Times New Roman"/>
          <w:sz w:val="32"/>
          <w:szCs w:val="32"/>
          <w:lang w:val="en-US" w:eastAsia="zh-CN"/>
        </w:rPr>
        <w:t>3328.10</w:t>
      </w:r>
      <w:r>
        <w:rPr>
          <w:rFonts w:hint="default" w:ascii="Times New Roman" w:hAnsi="Times New Roman" w:eastAsia="方正仿宋_GBK" w:cs="Times New Roman"/>
          <w:sz w:val="32"/>
          <w:szCs w:val="32"/>
        </w:rPr>
        <w:t>万元，其中：基本支出</w:t>
      </w:r>
      <w:r>
        <w:rPr>
          <w:rFonts w:hint="default" w:ascii="Times New Roman" w:hAnsi="Times New Roman" w:eastAsia="方正仿宋_GBK" w:cs="Times New Roman"/>
          <w:sz w:val="32"/>
          <w:szCs w:val="32"/>
          <w:lang w:val="en-US" w:eastAsia="zh-CN"/>
        </w:rPr>
        <w:t>884.89</w:t>
      </w:r>
      <w:r>
        <w:rPr>
          <w:rFonts w:hint="default" w:ascii="Times New Roman" w:hAnsi="Times New Roman" w:eastAsia="方正仿宋_GBK" w:cs="Times New Roman"/>
          <w:sz w:val="32"/>
          <w:szCs w:val="32"/>
        </w:rPr>
        <w:t>万元（工资福利支出</w:t>
      </w:r>
      <w:r>
        <w:rPr>
          <w:rFonts w:hint="default" w:ascii="Times New Roman" w:hAnsi="Times New Roman" w:eastAsia="方正仿宋_GBK" w:cs="Times New Roman"/>
          <w:sz w:val="32"/>
          <w:szCs w:val="32"/>
          <w:lang w:val="en-US" w:eastAsia="zh-CN"/>
        </w:rPr>
        <w:t>506.20</w:t>
      </w:r>
      <w:r>
        <w:rPr>
          <w:rFonts w:hint="default" w:ascii="Times New Roman" w:hAnsi="Times New Roman" w:eastAsia="方正仿宋_GBK" w:cs="Times New Roman"/>
          <w:sz w:val="32"/>
          <w:szCs w:val="32"/>
        </w:rPr>
        <w:t>万元、商品和服务支出</w:t>
      </w:r>
      <w:r>
        <w:rPr>
          <w:rFonts w:hint="default" w:ascii="Times New Roman" w:hAnsi="Times New Roman" w:eastAsia="方正仿宋_GBK" w:cs="Times New Roman"/>
          <w:sz w:val="32"/>
          <w:szCs w:val="32"/>
          <w:lang w:val="en-US" w:eastAsia="zh-CN"/>
        </w:rPr>
        <w:t>97.54</w:t>
      </w:r>
      <w:r>
        <w:rPr>
          <w:rFonts w:hint="default" w:ascii="Times New Roman" w:hAnsi="Times New Roman" w:eastAsia="方正仿宋_GBK" w:cs="Times New Roman"/>
          <w:sz w:val="32"/>
          <w:szCs w:val="32"/>
        </w:rPr>
        <w:t>万元、对个人和家庭的补助</w:t>
      </w:r>
      <w:r>
        <w:rPr>
          <w:rFonts w:hint="default" w:ascii="Times New Roman" w:hAnsi="Times New Roman" w:eastAsia="方正仿宋_GBK" w:cs="Times New Roman"/>
          <w:sz w:val="32"/>
          <w:szCs w:val="32"/>
          <w:lang w:val="en-US" w:eastAsia="zh-CN"/>
        </w:rPr>
        <w:t>281.15</w:t>
      </w:r>
      <w:r>
        <w:rPr>
          <w:rFonts w:hint="default" w:ascii="Times New Roman" w:hAnsi="Times New Roman" w:eastAsia="方正仿宋_GBK" w:cs="Times New Roman"/>
          <w:sz w:val="32"/>
          <w:szCs w:val="32"/>
        </w:rPr>
        <w:t>万元），项目支出</w:t>
      </w:r>
      <w:r>
        <w:rPr>
          <w:rFonts w:hint="default" w:ascii="Times New Roman" w:hAnsi="Times New Roman" w:eastAsia="方正仿宋_GBK" w:cs="Times New Roman"/>
          <w:sz w:val="32"/>
          <w:szCs w:val="32"/>
          <w:lang w:val="en-US" w:eastAsia="zh-CN"/>
        </w:rPr>
        <w:t>2443.21</w:t>
      </w:r>
      <w:r>
        <w:rPr>
          <w:rFonts w:hint="default" w:ascii="Times New Roman" w:hAnsi="Times New Roman" w:eastAsia="方正仿宋_GBK"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年初预算收入</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万元，其中：财政拨款收入年初预算</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万元（一般公共预算收入</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万元，政府基金预算收入0.00万元，国有资本经营收入预算0.00万元，社保基金预算收入0.00万元，其他收入0.00万元），年中追加专项资金</w:t>
      </w:r>
      <w:r>
        <w:rPr>
          <w:rFonts w:hint="default" w:ascii="Times New Roman" w:hAnsi="Times New Roman" w:eastAsia="方正仿宋_GBK" w:cs="Times New Roman"/>
          <w:sz w:val="32"/>
          <w:szCs w:val="32"/>
          <w:lang w:val="en-US" w:eastAsia="zh-CN"/>
        </w:rPr>
        <w:t>1604.51</w:t>
      </w:r>
      <w:r>
        <w:rPr>
          <w:rFonts w:hint="default" w:ascii="Times New Roman" w:hAnsi="Times New Roman" w:eastAsia="方正仿宋_GBK" w:cs="Times New Roman"/>
          <w:sz w:val="32"/>
          <w:szCs w:val="32"/>
        </w:rPr>
        <w:t>万元（一般公共预算收入</w:t>
      </w:r>
      <w:r>
        <w:rPr>
          <w:rFonts w:hint="default" w:ascii="Times New Roman" w:hAnsi="Times New Roman" w:eastAsia="方正仿宋_GBK" w:cs="Times New Roman"/>
          <w:sz w:val="32"/>
          <w:szCs w:val="32"/>
          <w:lang w:val="en-US" w:eastAsia="zh-CN"/>
        </w:rPr>
        <w:t>87.33</w:t>
      </w:r>
      <w:r>
        <w:rPr>
          <w:rFonts w:hint="default" w:ascii="Times New Roman" w:hAnsi="Times New Roman" w:eastAsia="方正仿宋_GBK" w:cs="Times New Roman"/>
          <w:sz w:val="32"/>
          <w:szCs w:val="32"/>
        </w:rPr>
        <w:t>万元，政府基金预算收入</w:t>
      </w:r>
      <w:r>
        <w:rPr>
          <w:rFonts w:hint="default" w:ascii="Times New Roman" w:hAnsi="Times New Roman" w:eastAsia="方正仿宋_GBK" w:cs="Times New Roman"/>
          <w:sz w:val="32"/>
          <w:szCs w:val="32"/>
          <w:lang w:val="en-US" w:eastAsia="zh-CN"/>
        </w:rPr>
        <w:t>0.00</w:t>
      </w:r>
      <w:r>
        <w:rPr>
          <w:rFonts w:hint="default" w:ascii="Times New Roman" w:hAnsi="Times New Roman" w:eastAsia="方正仿宋_GBK" w:cs="Times New Roman"/>
          <w:sz w:val="32"/>
          <w:szCs w:val="32"/>
        </w:rPr>
        <w:t>万元，国有资本经营收入预算0.00万元，社保基金预算收入0.00万元，其他收入</w:t>
      </w:r>
      <w:r>
        <w:rPr>
          <w:rFonts w:hint="default" w:ascii="Times New Roman" w:hAnsi="Times New Roman" w:eastAsia="方正仿宋_GBK" w:cs="Times New Roman"/>
          <w:sz w:val="32"/>
          <w:szCs w:val="32"/>
          <w:lang w:val="en-US" w:eastAsia="zh-CN"/>
        </w:rPr>
        <w:t>1517.18</w:t>
      </w:r>
      <w:r>
        <w:rPr>
          <w:rFonts w:hint="default" w:ascii="Times New Roman" w:hAnsi="Times New Roman" w:eastAsia="方正仿宋_GBK" w:cs="Times New Roman"/>
          <w:sz w:val="32"/>
          <w:szCs w:val="32"/>
        </w:rPr>
        <w:t>万元），共计收入</w:t>
      </w:r>
      <w:r>
        <w:rPr>
          <w:rFonts w:hint="default" w:ascii="Times New Roman" w:hAnsi="Times New Roman" w:eastAsia="方正仿宋_GBK" w:cs="Times New Roman"/>
          <w:sz w:val="32"/>
          <w:szCs w:val="32"/>
          <w:lang w:val="en-US" w:eastAsia="zh-CN"/>
        </w:rPr>
        <w:t>3328.10</w:t>
      </w:r>
      <w:r>
        <w:rPr>
          <w:rFonts w:hint="default" w:ascii="Times New Roman" w:hAnsi="Times New Roman" w:eastAsia="方正仿宋_GBK"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年初预算支出</w:t>
      </w:r>
      <w:r>
        <w:rPr>
          <w:rFonts w:hint="default" w:ascii="Times New Roman" w:hAnsi="Times New Roman" w:eastAsia="方正仿宋_GBK" w:cs="Times New Roman"/>
          <w:sz w:val="32"/>
          <w:szCs w:val="32"/>
          <w:lang w:val="en-US" w:eastAsia="zh-CN"/>
        </w:rPr>
        <w:t>1723.59</w:t>
      </w:r>
      <w:r>
        <w:rPr>
          <w:rFonts w:hint="default" w:ascii="Times New Roman" w:hAnsi="Times New Roman" w:eastAsia="方正仿宋_GBK" w:cs="Times New Roman"/>
          <w:sz w:val="32"/>
          <w:szCs w:val="32"/>
        </w:rPr>
        <w:t>万元，基本支出</w:t>
      </w:r>
      <w:r>
        <w:rPr>
          <w:rFonts w:hint="default" w:ascii="Times New Roman" w:hAnsi="Times New Roman" w:eastAsia="方正仿宋_GBK" w:cs="Times New Roman"/>
          <w:sz w:val="32"/>
          <w:szCs w:val="32"/>
          <w:lang w:val="en-US" w:eastAsia="zh-CN"/>
        </w:rPr>
        <w:t>797.56</w:t>
      </w:r>
      <w:r>
        <w:rPr>
          <w:rFonts w:hint="default" w:ascii="Times New Roman" w:hAnsi="Times New Roman" w:eastAsia="方正仿宋_GBK" w:cs="Times New Roman"/>
          <w:sz w:val="32"/>
          <w:szCs w:val="32"/>
        </w:rPr>
        <w:t>万元（工资福利支出</w:t>
      </w:r>
      <w:r>
        <w:rPr>
          <w:rFonts w:hint="default" w:ascii="Times New Roman" w:hAnsi="Times New Roman" w:eastAsia="方正仿宋_GBK" w:cs="Times New Roman"/>
          <w:sz w:val="32"/>
          <w:szCs w:val="32"/>
          <w:lang w:val="en-US" w:eastAsia="zh-CN"/>
        </w:rPr>
        <w:t>415.20</w:t>
      </w:r>
      <w:r>
        <w:rPr>
          <w:rFonts w:hint="default" w:ascii="Times New Roman" w:hAnsi="Times New Roman" w:eastAsia="方正仿宋_GBK" w:cs="Times New Roman"/>
          <w:sz w:val="32"/>
          <w:szCs w:val="32"/>
        </w:rPr>
        <w:t>万元、商品和服务支出</w:t>
      </w:r>
      <w:r>
        <w:rPr>
          <w:rFonts w:hint="default" w:ascii="Times New Roman" w:hAnsi="Times New Roman" w:eastAsia="方正仿宋_GBK" w:cs="Times New Roman"/>
          <w:sz w:val="32"/>
          <w:szCs w:val="32"/>
          <w:lang w:val="en-US" w:eastAsia="zh-CN"/>
        </w:rPr>
        <w:t>101.36</w:t>
      </w:r>
      <w:r>
        <w:rPr>
          <w:rFonts w:hint="default" w:ascii="Times New Roman" w:hAnsi="Times New Roman" w:eastAsia="方正仿宋_GBK" w:cs="Times New Roman"/>
          <w:sz w:val="32"/>
          <w:szCs w:val="32"/>
        </w:rPr>
        <w:t>万元、对个人和家庭的补助</w:t>
      </w:r>
      <w:r>
        <w:rPr>
          <w:rFonts w:hint="default" w:ascii="Times New Roman" w:hAnsi="Times New Roman" w:eastAsia="方正仿宋_GBK" w:cs="Times New Roman"/>
          <w:sz w:val="32"/>
          <w:szCs w:val="32"/>
          <w:lang w:val="en-US" w:eastAsia="zh-CN"/>
        </w:rPr>
        <w:t>281</w:t>
      </w:r>
      <w:r>
        <w:rPr>
          <w:rFonts w:hint="default" w:ascii="Times New Roman" w:hAnsi="Times New Roman" w:eastAsia="方正仿宋_GBK" w:cs="Times New Roman"/>
          <w:sz w:val="32"/>
          <w:szCs w:val="32"/>
        </w:rPr>
        <w:t>万元），项目支出</w:t>
      </w:r>
      <w:r>
        <w:rPr>
          <w:rFonts w:hint="default" w:ascii="Times New Roman" w:hAnsi="Times New Roman" w:eastAsia="方正仿宋_GBK" w:cs="Times New Roman"/>
          <w:sz w:val="32"/>
          <w:szCs w:val="32"/>
          <w:lang w:val="en-US" w:eastAsia="zh-CN"/>
        </w:rPr>
        <w:t>926.03</w:t>
      </w:r>
      <w:r>
        <w:rPr>
          <w:rFonts w:hint="default" w:ascii="Times New Roman" w:hAnsi="Times New Roman" w:eastAsia="方正仿宋_GBK" w:cs="Times New Roman"/>
          <w:sz w:val="32"/>
          <w:szCs w:val="32"/>
        </w:rPr>
        <w:t>万元；年中追加专项支出</w:t>
      </w:r>
      <w:r>
        <w:rPr>
          <w:rFonts w:hint="default" w:ascii="Times New Roman" w:hAnsi="Times New Roman" w:eastAsia="方正仿宋_GBK" w:cs="Times New Roman"/>
          <w:sz w:val="32"/>
          <w:szCs w:val="32"/>
          <w:lang w:val="en-US" w:eastAsia="zh-CN"/>
        </w:rPr>
        <w:t>1604.51</w:t>
      </w:r>
      <w:r>
        <w:rPr>
          <w:rFonts w:hint="default" w:ascii="Times New Roman" w:hAnsi="Times New Roman" w:eastAsia="方正仿宋_GBK" w:cs="Times New Roman"/>
          <w:sz w:val="32"/>
          <w:szCs w:val="32"/>
        </w:rPr>
        <w:t>万元，共计支出为</w:t>
      </w:r>
      <w:r>
        <w:rPr>
          <w:rFonts w:hint="default" w:ascii="Times New Roman" w:hAnsi="Times New Roman" w:eastAsia="方正仿宋_GBK" w:cs="Times New Roman"/>
          <w:sz w:val="32"/>
          <w:szCs w:val="32"/>
          <w:lang w:val="en-US" w:eastAsia="zh-CN"/>
        </w:rPr>
        <w:t>3328.10</w:t>
      </w:r>
      <w:r>
        <w:rPr>
          <w:rFonts w:hint="default" w:ascii="Times New Roman" w:hAnsi="Times New Roman" w:eastAsia="方正仿宋_GBK"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二、整体支出管理及使用情况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rPr>
        <w:t>（一）基本支出</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年度基本支出</w:t>
      </w:r>
      <w:r>
        <w:rPr>
          <w:rFonts w:hint="default" w:ascii="Times New Roman" w:hAnsi="Times New Roman" w:eastAsia="方正仿宋_GBK" w:cs="Times New Roman"/>
          <w:sz w:val="32"/>
          <w:szCs w:val="32"/>
          <w:lang w:val="en-US" w:eastAsia="zh-CN"/>
        </w:rPr>
        <w:t>884.89</w:t>
      </w:r>
      <w:r>
        <w:rPr>
          <w:rFonts w:hint="default" w:ascii="Times New Roman" w:hAnsi="Times New Roman" w:eastAsia="方正仿宋_GBK" w:cs="Times New Roman"/>
          <w:sz w:val="32"/>
          <w:szCs w:val="32"/>
        </w:rPr>
        <w:t>万元，其中：人员支出</w:t>
      </w:r>
      <w:r>
        <w:rPr>
          <w:rFonts w:hint="default" w:ascii="Times New Roman" w:hAnsi="Times New Roman" w:eastAsia="方正仿宋_GBK" w:cs="Times New Roman"/>
          <w:sz w:val="32"/>
          <w:szCs w:val="32"/>
          <w:lang w:val="en-US" w:eastAsia="zh-CN"/>
        </w:rPr>
        <w:t>787.36</w:t>
      </w:r>
      <w:r>
        <w:rPr>
          <w:rFonts w:hint="default" w:ascii="Times New Roman" w:hAnsi="Times New Roman" w:eastAsia="方正仿宋_GBK" w:cs="Times New Roman"/>
          <w:sz w:val="32"/>
          <w:szCs w:val="32"/>
        </w:rPr>
        <w:t>万元，公用支出</w:t>
      </w:r>
      <w:r>
        <w:rPr>
          <w:rFonts w:hint="default" w:ascii="Times New Roman" w:hAnsi="Times New Roman" w:eastAsia="方正仿宋_GBK" w:cs="Times New Roman"/>
          <w:sz w:val="32"/>
          <w:szCs w:val="32"/>
          <w:lang w:val="en-US" w:eastAsia="zh-CN"/>
        </w:rPr>
        <w:t>97.53</w:t>
      </w:r>
      <w:r>
        <w:rPr>
          <w:rFonts w:hint="default" w:ascii="Times New Roman" w:hAnsi="Times New Roman" w:eastAsia="方正仿宋_GBK" w:cs="Times New Roman"/>
          <w:sz w:val="32"/>
          <w:szCs w:val="32"/>
        </w:rPr>
        <w:t>万元。202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“三公”经费</w:t>
      </w:r>
      <w:r>
        <w:rPr>
          <w:rFonts w:hint="default" w:ascii="Times New Roman" w:hAnsi="Times New Roman" w:eastAsia="方正仿宋_GBK" w:cs="Times New Roman"/>
          <w:sz w:val="32"/>
          <w:szCs w:val="32"/>
        </w:rPr>
        <w:t>支出</w:t>
      </w:r>
      <w:r>
        <w:rPr>
          <w:rFonts w:hint="default" w:ascii="Times New Roman" w:hAnsi="Times New Roman" w:eastAsia="方正仿宋_GBK" w:cs="Times New Roman"/>
          <w:sz w:val="32"/>
          <w:szCs w:val="32"/>
          <w:lang w:val="en-US" w:eastAsia="zh-CN"/>
        </w:rPr>
        <w:t>3.23</w:t>
      </w:r>
      <w:r>
        <w:rPr>
          <w:rFonts w:hint="default" w:ascii="Times New Roman" w:hAnsi="Times New Roman" w:eastAsia="方正仿宋_GBK" w:cs="Times New Roman"/>
          <w:sz w:val="32"/>
          <w:szCs w:val="32"/>
        </w:rPr>
        <w:t>万元（预算为</w:t>
      </w:r>
      <w:r>
        <w:rPr>
          <w:rFonts w:hint="default"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万元）。其中：公务接待费2万元（预算为</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万元），公务用车运行维护费</w:t>
      </w:r>
      <w:r>
        <w:rPr>
          <w:rFonts w:hint="default" w:ascii="Times New Roman" w:hAnsi="Times New Roman" w:eastAsia="方正仿宋_GBK" w:cs="Times New Roman"/>
          <w:sz w:val="32"/>
          <w:szCs w:val="32"/>
          <w:lang w:val="en-US" w:eastAsia="zh-CN"/>
        </w:rPr>
        <w:t>1.23</w:t>
      </w:r>
      <w:r>
        <w:rPr>
          <w:rFonts w:hint="default" w:ascii="Times New Roman" w:hAnsi="Times New Roman" w:eastAsia="方正仿宋_GBK" w:cs="Times New Roman"/>
          <w:sz w:val="32"/>
          <w:szCs w:val="32"/>
        </w:rPr>
        <w:t>万元（预算为</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（二）项目支出</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年财政拨款项目支出</w:t>
      </w:r>
      <w:r>
        <w:rPr>
          <w:rFonts w:hint="default" w:ascii="Times New Roman" w:hAnsi="Times New Roman" w:eastAsia="方正仿宋_GBK" w:cs="Times New Roman"/>
          <w:sz w:val="32"/>
          <w:szCs w:val="32"/>
          <w:lang w:val="en-US" w:eastAsia="zh-CN"/>
        </w:rPr>
        <w:t>2443.21</w:t>
      </w:r>
      <w:r>
        <w:rPr>
          <w:rFonts w:hint="default" w:ascii="Times New Roman" w:hAnsi="Times New Roman" w:eastAsia="方正仿宋_GBK" w:cs="Times New Roman"/>
          <w:sz w:val="32"/>
          <w:szCs w:val="32"/>
        </w:rPr>
        <w:t>万元，（其中：一般公共服务支出</w:t>
      </w:r>
      <w:r>
        <w:rPr>
          <w:rFonts w:hint="default" w:ascii="Times New Roman" w:hAnsi="Times New Roman" w:eastAsia="方正仿宋_GBK" w:cs="Times New Roman"/>
          <w:sz w:val="32"/>
          <w:szCs w:val="32"/>
          <w:lang w:val="en-US" w:eastAsia="zh-CN"/>
        </w:rPr>
        <w:t>9.59</w:t>
      </w:r>
      <w:r>
        <w:rPr>
          <w:rFonts w:hint="default" w:ascii="Times New Roman" w:hAnsi="Times New Roman" w:eastAsia="方正仿宋_GBK" w:cs="Times New Roman"/>
          <w:sz w:val="32"/>
          <w:szCs w:val="32"/>
        </w:rPr>
        <w:t>万元，卫生健康支出</w:t>
      </w:r>
      <w:r>
        <w:rPr>
          <w:rFonts w:hint="default" w:ascii="Times New Roman" w:hAnsi="Times New Roman" w:eastAsia="方正仿宋_GBK" w:cs="Times New Roman"/>
          <w:sz w:val="32"/>
          <w:szCs w:val="32"/>
          <w:lang w:val="en-US" w:eastAsia="zh-CN"/>
        </w:rPr>
        <w:t>986.88</w:t>
      </w:r>
      <w:r>
        <w:rPr>
          <w:rFonts w:hint="default" w:ascii="Times New Roman" w:hAnsi="Times New Roman" w:eastAsia="方正仿宋_GBK" w:cs="Times New Roman"/>
          <w:sz w:val="32"/>
          <w:szCs w:val="32"/>
        </w:rPr>
        <w:t>万元，农林水支出</w:t>
      </w:r>
      <w:r>
        <w:rPr>
          <w:rFonts w:hint="default" w:ascii="Times New Roman" w:hAnsi="Times New Roman" w:eastAsia="方正仿宋_GBK" w:cs="Times New Roman"/>
          <w:sz w:val="32"/>
          <w:szCs w:val="32"/>
          <w:lang w:val="en-US" w:eastAsia="zh-CN"/>
        </w:rPr>
        <w:t>845.5</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商业服务业</w:t>
      </w:r>
      <w:r>
        <w:rPr>
          <w:rFonts w:hint="default" w:ascii="Times New Roman" w:hAnsi="Times New Roman" w:eastAsia="方正仿宋_GBK" w:cs="Times New Roman"/>
          <w:sz w:val="32"/>
          <w:szCs w:val="32"/>
        </w:rPr>
        <w:t>支出</w:t>
      </w:r>
      <w:r>
        <w:rPr>
          <w:rFonts w:hint="default" w:ascii="Times New Roman" w:hAnsi="Times New Roman" w:eastAsia="方正仿宋_GBK" w:cs="Times New Roman"/>
          <w:sz w:val="32"/>
          <w:szCs w:val="32"/>
          <w:lang w:val="en-US" w:eastAsia="zh-CN"/>
        </w:rPr>
        <w:t>601.24</w:t>
      </w:r>
      <w:r>
        <w:rPr>
          <w:rFonts w:hint="default" w:ascii="Times New Roman" w:hAnsi="Times New Roman" w:eastAsia="方正仿宋_GBK" w:cs="Times New Roman"/>
          <w:sz w:val="32"/>
          <w:szCs w:val="32"/>
        </w:rPr>
        <w:t>万元）。 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三、整体支出绩效情况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（一）财务管理制度建设情况</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资金拨付严格按程序申报、审批，做到无审批不支出，无预算不列支，合理合规使用资金，确保财政资金安全。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（二）资产管理</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资产管理方面，严格按照《重庆市市级行政事业单位国有资产处置管理办法》（渝财资产〔2013〕43号）规定，每年年末对资产进行清理，新购资产时向财政部门、主管部门申请，批复后再进行资产采购，并在资产管理系统中登记，按照要求及时报送资产情况报表，确保各项资产核算准确、帐实相符、管理到位；资产处置报财政部门、主管部门审批，办理资产报废手续，进行资产清理，处置收入上缴市级国库。无随意处置现象发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（三）预决算公开</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在县人民政府门户网站上按时进行了预决算公开。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（四）</w:t>
      </w:r>
      <w:r>
        <w:rPr>
          <w:rFonts w:hint="eastAsia" w:ascii="Times New Roman" w:hAnsi="Times New Roman" w:eastAsia="方正楷体_GBK" w:cs="Times New Roman"/>
          <w:sz w:val="32"/>
          <w:szCs w:val="32"/>
          <w:lang w:eastAsia="zh-CN"/>
        </w:rPr>
        <w:t>“三公”经费</w:t>
      </w:r>
      <w:r>
        <w:rPr>
          <w:rFonts w:hint="default" w:ascii="Times New Roman" w:hAnsi="Times New Roman" w:eastAsia="方正楷体_GBK" w:cs="Times New Roman"/>
          <w:sz w:val="32"/>
          <w:szCs w:val="32"/>
        </w:rPr>
        <w:t>控制情况</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严格遵守各项规章制度，严控“三公”经费支出，202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“三公”经费</w:t>
      </w:r>
      <w:r>
        <w:rPr>
          <w:rFonts w:hint="default" w:ascii="Times New Roman" w:hAnsi="Times New Roman" w:eastAsia="方正仿宋_GBK" w:cs="Times New Roman"/>
          <w:sz w:val="32"/>
          <w:szCs w:val="32"/>
        </w:rPr>
        <w:t>减少，并及时在县人民政府门户网站上对“三公”经费情况进行公示。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（五）政府采购情况</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我单位202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年政府采购发生额为0.00万元。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lang w:eastAsia="zh-CN"/>
        </w:rPr>
        <w:t>（六）</w:t>
      </w:r>
      <w:r>
        <w:rPr>
          <w:rFonts w:hint="default" w:ascii="Times New Roman" w:hAnsi="Times New Roman" w:eastAsia="方正楷体_GBK" w:cs="Times New Roman"/>
          <w:sz w:val="32"/>
          <w:szCs w:val="32"/>
        </w:rPr>
        <w:t>认真履行职责情况</w:t>
      </w:r>
      <w:r>
        <w:rPr>
          <w:rFonts w:hint="default" w:ascii="Times New Roman" w:hAnsi="Times New Roman" w:eastAsia="方正楷体_GBK" w:cs="Times New Roman"/>
          <w:sz w:val="32"/>
          <w:szCs w:val="32"/>
          <w:lang w:eastAsia="zh-CN"/>
        </w:rPr>
        <w:t>。</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年年度考核为</w:t>
      </w:r>
      <w:r>
        <w:rPr>
          <w:rFonts w:hint="default" w:ascii="Times New Roman" w:hAnsi="Times New Roman" w:eastAsia="方正仿宋_GBK" w:cs="Times New Roman"/>
          <w:sz w:val="32"/>
          <w:szCs w:val="32"/>
          <w:lang w:eastAsia="zh-CN"/>
        </w:rPr>
        <w:t>合格</w:t>
      </w:r>
      <w:r>
        <w:rPr>
          <w:rFonts w:hint="default" w:ascii="Times New Roman" w:hAnsi="Times New Roman" w:eastAsia="方正仿宋_GBK" w:cs="Times New Roman"/>
          <w:sz w:val="32"/>
          <w:szCs w:val="32"/>
        </w:rPr>
        <w:t>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lang w:eastAsia="zh-CN"/>
        </w:rPr>
        <w:t>四、</w:t>
      </w:r>
      <w:r>
        <w:rPr>
          <w:rFonts w:hint="default" w:ascii="Times New Roman" w:hAnsi="Times New Roman" w:eastAsia="方正黑体_GBK" w:cs="Times New Roman"/>
          <w:sz w:val="32"/>
          <w:szCs w:val="32"/>
        </w:rPr>
        <w:t>评价结论及分析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通过认真开展单位整体支出绩效目标自评，综合评分9</w:t>
      </w:r>
      <w:r>
        <w:rPr>
          <w:rFonts w:hint="default"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分，评价结果为优。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（一）经济性分析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执行绩效评价体系，从以下几个方面提升了我单位的绩效工作：一是要加大支出管理。严格执行公务接待、公车管理及差旅费、会议费管理，坚持厉行节约，努力降低财政运行成本</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二是严格预算约束做好增收节支，极力控制非生产性支出，降低行政运行成本，严肃财经纪律，坚决反对铺张浪费</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三是加强预算执行，建立健全财政资金使用管理办法，促进资金使用效益；四是积极化解存量债务，严控政府性债务风险。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（二）效率性分析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年，通过财政资金绩效管理，加强了对财政资金使用的过程监督和成效监管，切实提高了财政资金使用效率。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（三）效益性分析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22</w:t>
      </w:r>
      <w:r>
        <w:rPr>
          <w:rFonts w:hint="default" w:ascii="Times New Roman" w:hAnsi="Times New Roman" w:eastAsia="方正仿宋_GBK" w:cs="Times New Roman"/>
          <w:sz w:val="32"/>
          <w:szCs w:val="32"/>
        </w:rPr>
        <w:t>年，我单位的绩效评价工作在</w:t>
      </w:r>
      <w:r>
        <w:rPr>
          <w:rFonts w:hint="default" w:ascii="Times New Roman" w:hAnsi="Times New Roman" w:eastAsia="方正仿宋_GBK" w:cs="Times New Roman"/>
          <w:sz w:val="32"/>
          <w:szCs w:val="32"/>
          <w:lang w:eastAsia="zh-CN"/>
        </w:rPr>
        <w:t>领导班子</w:t>
      </w:r>
      <w:r>
        <w:rPr>
          <w:rFonts w:hint="default" w:ascii="Times New Roman" w:hAnsi="Times New Roman" w:eastAsia="方正仿宋_GBK" w:cs="Times New Roman"/>
          <w:sz w:val="32"/>
          <w:szCs w:val="32"/>
        </w:rPr>
        <w:t>的坚强领导下，在社会各界的大力支持下，深入挖掘增收潜力，坚持稳增长、调结构、促改革、惠民生、防风险，各项支出得到较好保障，为建设</w:t>
      </w:r>
      <w:r>
        <w:rPr>
          <w:rFonts w:hint="default" w:ascii="Times New Roman" w:hAnsi="Times New Roman" w:eastAsia="方正仿宋_GBK" w:cs="Times New Roman"/>
          <w:sz w:val="32"/>
          <w:szCs w:val="32"/>
          <w:lang w:eastAsia="zh-CN"/>
        </w:rPr>
        <w:t>“高铁时代”</w:t>
      </w:r>
      <w:r>
        <w:rPr>
          <w:rFonts w:hint="default" w:ascii="Times New Roman" w:hAnsi="Times New Roman" w:eastAsia="方正仿宋_GBK" w:cs="Times New Roman"/>
          <w:sz w:val="32"/>
          <w:szCs w:val="32"/>
        </w:rPr>
        <w:t>提供了坚强保障。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五、存在的问题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我单位公务卡使用率较低，主要原因：持卡人消费意识不高，单位职工报销票据需要一定期限</w:t>
      </w:r>
      <w:r>
        <w:rPr>
          <w:rFonts w:hint="default" w:ascii="Times New Roman" w:hAnsi="Times New Roman" w:eastAsia="方正仿宋_GBK" w:cs="Times New Roman"/>
          <w:sz w:val="32"/>
          <w:szCs w:val="32"/>
          <w:lang w:eastAsia="zh-CN"/>
        </w:rPr>
        <w:t>，但是财务不及时兑付影响个人信用记录</w:t>
      </w:r>
      <w:r>
        <w:rPr>
          <w:rFonts w:hint="default" w:ascii="Times New Roman" w:hAnsi="Times New Roman" w:eastAsia="方正仿宋_GBK" w:cs="Times New Roman"/>
          <w:sz w:val="32"/>
          <w:szCs w:val="32"/>
        </w:rPr>
        <w:t>心理</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六、改进措施和有关建议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（一）细化预算编制工作，进一步加强内设机构的预算管理意识，严格按照预算编制的相关制度和要求进行预算编制。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（二）加强财务管理，严格财务审核。健全单位财务管理制度体系，规范单位财务行为。在费用报账支付时，按照预算规定的费用项目和用途进行资金使用审核、财务严格核算，杜绝超支现象发生。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（三）增加业务知识培训，加强决算工作与账务处理工作衔接</w:t>
      </w:r>
      <w:r>
        <w:rPr>
          <w:rFonts w:hint="default" w:ascii="Times New Roman" w:hAnsi="Times New Roman" w:eastAsia="方正仿宋_GBK" w:cs="Times New Roman"/>
          <w:sz w:val="32"/>
          <w:szCs w:val="32"/>
          <w:lang w:eastAsia="zh-CN"/>
        </w:rPr>
        <w:t>；加大公务卡宣传力度，鼓励职工出差使用公务卡支付结算。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奉节县</w:t>
      </w:r>
      <w:r>
        <w:rPr>
          <w:rFonts w:hint="default" w:ascii="Times New Roman" w:hAnsi="Times New Roman" w:eastAsia="方正仿宋_GBK" w:cs="Times New Roman"/>
          <w:sz w:val="32"/>
          <w:szCs w:val="32"/>
          <w:lang w:eastAsia="zh-CN"/>
        </w:rPr>
        <w:t>商务委员会</w:t>
      </w: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28</w:t>
      </w:r>
      <w:r>
        <w:rPr>
          <w:rFonts w:hint="default" w:ascii="Times New Roman" w:hAnsi="Times New Roman" w:eastAsia="方正仿宋_GBK"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sectPr>
      <w:footerReference r:id="rId3" w:type="default"/>
      <w:pgSz w:w="11906" w:h="16838"/>
      <w:pgMar w:top="2098" w:right="1474" w:bottom="1984" w:left="1587" w:header="851" w:footer="147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0NGUwZjVjMzhlNTFlNzVhZWNjYWYxZTllZTQ5ZjMifQ=="/>
  </w:docVars>
  <w:rsids>
    <w:rsidRoot w:val="00E76675"/>
    <w:rsid w:val="00013B6F"/>
    <w:rsid w:val="00042239"/>
    <w:rsid w:val="00093A41"/>
    <w:rsid w:val="00106B82"/>
    <w:rsid w:val="0018371D"/>
    <w:rsid w:val="00205DF7"/>
    <w:rsid w:val="0027698B"/>
    <w:rsid w:val="00286129"/>
    <w:rsid w:val="002B5D7D"/>
    <w:rsid w:val="002E74AE"/>
    <w:rsid w:val="0033771C"/>
    <w:rsid w:val="00350769"/>
    <w:rsid w:val="00355160"/>
    <w:rsid w:val="00380897"/>
    <w:rsid w:val="003972B5"/>
    <w:rsid w:val="003D5B69"/>
    <w:rsid w:val="003E2A06"/>
    <w:rsid w:val="00420FCA"/>
    <w:rsid w:val="0042419B"/>
    <w:rsid w:val="00455DDE"/>
    <w:rsid w:val="004F6515"/>
    <w:rsid w:val="00554F08"/>
    <w:rsid w:val="00555E01"/>
    <w:rsid w:val="005627AE"/>
    <w:rsid w:val="0059196E"/>
    <w:rsid w:val="005A0A6C"/>
    <w:rsid w:val="005D69C3"/>
    <w:rsid w:val="005F4CFC"/>
    <w:rsid w:val="00602F34"/>
    <w:rsid w:val="0061340E"/>
    <w:rsid w:val="00625F75"/>
    <w:rsid w:val="00662375"/>
    <w:rsid w:val="00672C0F"/>
    <w:rsid w:val="00681E38"/>
    <w:rsid w:val="00697F47"/>
    <w:rsid w:val="006A3900"/>
    <w:rsid w:val="006D4043"/>
    <w:rsid w:val="006E3BB2"/>
    <w:rsid w:val="006F0652"/>
    <w:rsid w:val="00737046"/>
    <w:rsid w:val="0074264C"/>
    <w:rsid w:val="0079699B"/>
    <w:rsid w:val="007B407E"/>
    <w:rsid w:val="007D6753"/>
    <w:rsid w:val="0081688D"/>
    <w:rsid w:val="00820D04"/>
    <w:rsid w:val="00821515"/>
    <w:rsid w:val="00857500"/>
    <w:rsid w:val="0085789E"/>
    <w:rsid w:val="00880AF6"/>
    <w:rsid w:val="0088602F"/>
    <w:rsid w:val="008D0A27"/>
    <w:rsid w:val="00910471"/>
    <w:rsid w:val="00926B93"/>
    <w:rsid w:val="00984E79"/>
    <w:rsid w:val="009B7ADE"/>
    <w:rsid w:val="009E71C0"/>
    <w:rsid w:val="00A46455"/>
    <w:rsid w:val="00A5791D"/>
    <w:rsid w:val="00AA6B3C"/>
    <w:rsid w:val="00B850FE"/>
    <w:rsid w:val="00C02CD6"/>
    <w:rsid w:val="00C22E66"/>
    <w:rsid w:val="00C33215"/>
    <w:rsid w:val="00C617C5"/>
    <w:rsid w:val="00C62BB1"/>
    <w:rsid w:val="00C9630B"/>
    <w:rsid w:val="00CE0CF5"/>
    <w:rsid w:val="00CE456B"/>
    <w:rsid w:val="00CF475A"/>
    <w:rsid w:val="00D01D8F"/>
    <w:rsid w:val="00D17AE4"/>
    <w:rsid w:val="00D333B9"/>
    <w:rsid w:val="00D4204B"/>
    <w:rsid w:val="00D548A0"/>
    <w:rsid w:val="00D84EA7"/>
    <w:rsid w:val="00D91AB1"/>
    <w:rsid w:val="00D92EF5"/>
    <w:rsid w:val="00DA4807"/>
    <w:rsid w:val="00DD707A"/>
    <w:rsid w:val="00DE0514"/>
    <w:rsid w:val="00DE336D"/>
    <w:rsid w:val="00DF0488"/>
    <w:rsid w:val="00E06599"/>
    <w:rsid w:val="00E06675"/>
    <w:rsid w:val="00E66945"/>
    <w:rsid w:val="00E754A2"/>
    <w:rsid w:val="00E76675"/>
    <w:rsid w:val="00EE7FFB"/>
    <w:rsid w:val="00F63E2F"/>
    <w:rsid w:val="00FC2C0E"/>
    <w:rsid w:val="00FE781E"/>
    <w:rsid w:val="03C1108B"/>
    <w:rsid w:val="05774488"/>
    <w:rsid w:val="059D340B"/>
    <w:rsid w:val="0B3E79A7"/>
    <w:rsid w:val="1704268F"/>
    <w:rsid w:val="1ABB2E84"/>
    <w:rsid w:val="1F1F58DA"/>
    <w:rsid w:val="1F425358"/>
    <w:rsid w:val="1F667D7E"/>
    <w:rsid w:val="34F158B7"/>
    <w:rsid w:val="48061E82"/>
    <w:rsid w:val="489F3397"/>
    <w:rsid w:val="58BD4975"/>
    <w:rsid w:val="5A2C1932"/>
    <w:rsid w:val="62247FAE"/>
    <w:rsid w:val="6FC4033A"/>
    <w:rsid w:val="71F349A4"/>
    <w:rsid w:val="74561564"/>
    <w:rsid w:val="75D13047"/>
    <w:rsid w:val="7B050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0"/>
    <w:pPr>
      <w:jc w:val="left"/>
      <w:outlineLvl w:val="0"/>
    </w:pPr>
    <w:rPr>
      <w:rFonts w:hint="eastAsia" w:ascii="宋体" w:hAnsi="宋体" w:eastAsia="宋体" w:cs="Times New Roman"/>
      <w:b/>
      <w:bCs/>
      <w:kern w:val="44"/>
      <w:sz w:val="48"/>
      <w:szCs w:val="48"/>
    </w:rPr>
  </w:style>
  <w:style w:type="paragraph" w:styleId="3">
    <w:name w:val="heading 4"/>
    <w:basedOn w:val="1"/>
    <w:next w:val="1"/>
    <w:unhideWhenUsed/>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link w:val="14"/>
    <w:qFormat/>
    <w:uiPriority w:val="0"/>
    <w:pPr>
      <w:spacing w:after="120"/>
    </w:pPr>
    <w:rPr>
      <w:szCs w:val="24"/>
    </w:rPr>
  </w:style>
  <w:style w:type="paragraph" w:styleId="5">
    <w:name w:val="toc 5"/>
    <w:basedOn w:val="1"/>
    <w:next w:val="1"/>
    <w:semiHidden/>
    <w:unhideWhenUsed/>
    <w:qFormat/>
    <w:uiPriority w:val="39"/>
    <w:pPr>
      <w:ind w:left="1680" w:leftChars="800"/>
    </w:p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Default"/>
    <w:next w:val="1"/>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1">
    <w:name w:val="页眉 字符"/>
    <w:basedOn w:val="9"/>
    <w:link w:val="7"/>
    <w:qFormat/>
    <w:uiPriority w:val="99"/>
    <w:rPr>
      <w:sz w:val="18"/>
      <w:szCs w:val="18"/>
    </w:rPr>
  </w:style>
  <w:style w:type="character" w:customStyle="1" w:styleId="12">
    <w:name w:val="页脚 字符"/>
    <w:basedOn w:val="9"/>
    <w:link w:val="6"/>
    <w:qFormat/>
    <w:uiPriority w:val="99"/>
    <w:rPr>
      <w:sz w:val="18"/>
      <w:szCs w:val="18"/>
    </w:rPr>
  </w:style>
  <w:style w:type="character" w:customStyle="1" w:styleId="13">
    <w:name w:val="标题 1 字符"/>
    <w:basedOn w:val="9"/>
    <w:link w:val="2"/>
    <w:qFormat/>
    <w:uiPriority w:val="0"/>
    <w:rPr>
      <w:rFonts w:ascii="宋体" w:hAnsi="宋体" w:eastAsia="宋体" w:cs="Times New Roman"/>
      <w:b/>
      <w:bCs/>
      <w:kern w:val="44"/>
      <w:sz w:val="48"/>
      <w:szCs w:val="48"/>
    </w:rPr>
  </w:style>
  <w:style w:type="character" w:customStyle="1" w:styleId="14">
    <w:name w:val="正文文本 字符"/>
    <w:basedOn w:val="9"/>
    <w:link w:val="4"/>
    <w:qFormat/>
    <w:uiPriority w:val="0"/>
    <w:rPr>
      <w:szCs w:val="24"/>
    </w:rPr>
  </w:style>
  <w:style w:type="paragraph" w:styleId="15">
    <w:name w:val="List Paragraph"/>
    <w:basedOn w:val="1"/>
    <w:qFormat/>
    <w:uiPriority w:val="34"/>
    <w:pPr>
      <w:ind w:firstLine="420" w:firstLineChars="200"/>
    </w:pPr>
  </w:style>
  <w:style w:type="character" w:customStyle="1" w:styleId="16">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7218</Words>
  <Characters>7740</Characters>
  <Lines>38</Lines>
  <Paragraphs>10</Paragraphs>
  <TotalTime>82</TotalTime>
  <ScaleCrop>false</ScaleCrop>
  <LinksUpToDate>false</LinksUpToDate>
  <CharactersWithSpaces>7744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2022-04-04T04:43:00Z</dcterms:created>
  <dc:creator>Administrator</dc:creator>
  <cp:lastModifiedBy>Administrator</cp:lastModifiedBy>
  <cp:lastPrinted>2022-07-13T07:03:00Z</cp:lastPrinted>
  <dcterms:modified xsi:type="dcterms:W3CDTF">2024-12-23T03:36:29Z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116B3F49C86944CFA34B6A42182043BA</vt:lpwstr>
  </property>
</Properties>
</file>