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方正仿宋_GB2312" w:hAnsi="方正仿宋_GB2312" w:eastAsia="方正仿宋_GB2312" w:cs="方正仿宋_GB2312"/>
          <w:sz w:val="36"/>
          <w:szCs w:val="36"/>
        </w:rPr>
      </w:pPr>
      <w:bookmarkStart w:id="0" w:name="_Hlk57883707"/>
    </w:p>
    <w:p>
      <w:pPr>
        <w:ind w:firstLine="0" w:firstLineChars="0"/>
        <w:rPr>
          <w:rFonts w:ascii="方正仿宋_GB2312" w:hAnsi="方正仿宋_GB2312" w:eastAsia="方正仿宋_GB2312" w:cs="方正仿宋_GB2312"/>
          <w:sz w:val="36"/>
          <w:szCs w:val="36"/>
        </w:rPr>
      </w:pPr>
    </w:p>
    <w:p>
      <w:pPr>
        <w:ind w:firstLine="0" w:firstLineChars="0"/>
        <w:rPr>
          <w:rFonts w:ascii="方正仿宋_GB2312" w:hAnsi="方正仿宋_GB2312" w:eastAsia="方正仿宋_GB2312" w:cs="方正仿宋_GB2312"/>
          <w:sz w:val="36"/>
          <w:szCs w:val="36"/>
        </w:rPr>
      </w:pPr>
    </w:p>
    <w:p>
      <w:pPr>
        <w:ind w:firstLine="0" w:firstLineChars="0"/>
        <w:rPr>
          <w:rFonts w:ascii="方正仿宋_GB2312" w:hAnsi="方正仿宋_GB2312" w:eastAsia="方正仿宋_GB2312" w:cs="方正仿宋_GB2312"/>
          <w:sz w:val="36"/>
          <w:szCs w:val="36"/>
        </w:rPr>
      </w:pPr>
    </w:p>
    <w:bookmarkEnd w:id="0"/>
    <w:p>
      <w:pPr>
        <w:adjustRightInd w:val="0"/>
        <w:snapToGrid w:val="0"/>
        <w:ind w:firstLine="0" w:firstLineChars="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ind w:firstLine="0" w:firstLineChars="0"/>
        <w:jc w:val="center"/>
        <w:rPr>
          <w:rFonts w:ascii="方正仿宋_GB2312" w:eastAsia="方正仿宋_GB2312"/>
          <w:bCs/>
          <w:sz w:val="48"/>
          <w:szCs w:val="48"/>
        </w:rPr>
      </w:pPr>
      <w:r>
        <w:rPr>
          <w:rFonts w:hint="eastAsia" w:ascii="方正仿宋_GB2312" w:eastAsia="方正仿宋_GB2312"/>
          <w:bCs/>
          <w:sz w:val="48"/>
          <w:szCs w:val="48"/>
        </w:rPr>
        <w:t>（生态影响类）</w:t>
      </w:r>
    </w:p>
    <w:p>
      <w:pPr>
        <w:adjustRightInd w:val="0"/>
        <w:snapToGrid w:val="0"/>
        <w:spacing w:line="288" w:lineRule="auto"/>
        <w:ind w:firstLine="0" w:firstLineChars="0"/>
        <w:jc w:val="center"/>
        <w:outlineLvl w:val="0"/>
        <w:rPr>
          <w:rFonts w:hint="eastAsia" w:ascii="华文仿宋" w:hAnsi="华文仿宋" w:eastAsia="华文仿宋" w:cs="华文仿宋"/>
          <w:color w:val="000000"/>
          <w:kern w:val="44"/>
          <w:sz w:val="44"/>
          <w:szCs w:val="44"/>
          <w:lang w:eastAsia="zh-CN"/>
        </w:rPr>
      </w:pPr>
      <w:bookmarkStart w:id="1" w:name="_Hlk57883728"/>
      <w:r>
        <w:rPr>
          <w:rFonts w:hint="eastAsia" w:ascii="华文仿宋" w:hAnsi="华文仿宋" w:eastAsia="华文仿宋" w:cs="华文仿宋"/>
          <w:color w:val="000000"/>
          <w:kern w:val="44"/>
          <w:sz w:val="44"/>
          <w:szCs w:val="44"/>
          <w:lang w:eastAsia="zh-CN"/>
        </w:rPr>
        <w:t>（</w:t>
      </w:r>
      <w:r>
        <w:rPr>
          <w:rFonts w:hint="eastAsia" w:ascii="华文仿宋" w:hAnsi="华文仿宋" w:eastAsia="华文仿宋" w:cs="华文仿宋"/>
          <w:color w:val="000000"/>
          <w:kern w:val="44"/>
          <w:sz w:val="44"/>
          <w:szCs w:val="44"/>
          <w:lang w:val="en-US" w:eastAsia="zh-CN"/>
        </w:rPr>
        <w:t>公示版</w:t>
      </w:r>
      <w:r>
        <w:rPr>
          <w:rFonts w:hint="eastAsia" w:ascii="华文仿宋" w:hAnsi="华文仿宋" w:eastAsia="华文仿宋" w:cs="华文仿宋"/>
          <w:color w:val="000000"/>
          <w:kern w:val="44"/>
          <w:sz w:val="44"/>
          <w:szCs w:val="44"/>
          <w:lang w:eastAsia="zh-CN"/>
        </w:rPr>
        <w:t>）</w:t>
      </w:r>
    </w:p>
    <w:p>
      <w:pPr>
        <w:ind w:firstLine="0" w:firstLineChars="0"/>
        <w:jc w:val="center"/>
        <w:rPr>
          <w:rFonts w:eastAsia="仿宋"/>
          <w:sz w:val="52"/>
          <w:szCs w:val="52"/>
        </w:rPr>
      </w:pPr>
    </w:p>
    <w:p>
      <w:pPr>
        <w:ind w:firstLine="0" w:firstLineChars="0"/>
        <w:rPr>
          <w:rFonts w:eastAsia="仿宋"/>
          <w:sz w:val="44"/>
          <w:szCs w:val="44"/>
        </w:rPr>
      </w:pPr>
    </w:p>
    <w:p>
      <w:pPr>
        <w:ind w:firstLine="0" w:firstLineChars="0"/>
        <w:rPr>
          <w:rFonts w:eastAsia="仿宋"/>
          <w:sz w:val="44"/>
          <w:szCs w:val="44"/>
        </w:rPr>
      </w:pPr>
    </w:p>
    <w:bookmarkEnd w:id="1"/>
    <w:p>
      <w:pPr>
        <w:adjustRightInd w:val="0"/>
        <w:snapToGrid w:val="0"/>
        <w:spacing w:line="288" w:lineRule="auto"/>
        <w:ind w:firstLine="0" w:firstLineChars="0"/>
        <w:rPr>
          <w:rFonts w:ascii="方正仿宋_GB2312" w:hAnsi="方正仿宋_GB2312" w:eastAsia="方正仿宋_GB2312" w:cs="方正仿宋_GB2312"/>
          <w:sz w:val="36"/>
          <w:szCs w:val="36"/>
          <w:u w:val="single"/>
        </w:rPr>
      </w:pPr>
      <w:r>
        <w:rPr>
          <w:rFonts w:hint="eastAsia" w:ascii="方正仿宋_GB2312" w:hAnsi="方正仿宋_GB2312" w:eastAsia="方正仿宋_GB2312" w:cs="方正仿宋_GB2312"/>
          <w:sz w:val="36"/>
          <w:szCs w:val="36"/>
        </w:rPr>
        <w:t>项目名称：</w:t>
      </w:r>
      <w:r>
        <w:rPr>
          <w:rFonts w:hint="eastAsia" w:ascii="方正仿宋_GB2312" w:hAnsi="方正仿宋_GB2312" w:eastAsia="方正仿宋_GB2312" w:cs="方正仿宋_GB2312"/>
          <w:sz w:val="36"/>
          <w:szCs w:val="36"/>
          <w:u w:val="single"/>
        </w:rPr>
        <w:t xml:space="preserve">          奉节新民永乐光伏发电项目 </w:t>
      </w:r>
      <w:r>
        <w:rPr>
          <w:rFonts w:hint="eastAsia" w:ascii="方正仿宋_GB2312" w:hAnsi="方正仿宋_GB2312" w:eastAsia="方正仿宋_GB2312" w:cs="方正仿宋_GB2312"/>
          <w:sz w:val="36"/>
          <w:szCs w:val="36"/>
          <w:u w:val="single"/>
          <w:lang w:val="en-US" w:eastAsia="zh-CN"/>
        </w:rPr>
        <w:t xml:space="preserve"> </w:t>
      </w:r>
      <w:r>
        <w:rPr>
          <w:rFonts w:hint="eastAsia" w:ascii="方正仿宋_GB2312" w:hAnsi="方正仿宋_GB2312" w:eastAsia="方正仿宋_GB2312" w:cs="方正仿宋_GB2312"/>
          <w:sz w:val="36"/>
          <w:szCs w:val="36"/>
          <w:u w:val="single"/>
        </w:rPr>
        <w:t xml:space="preserve">  </w:t>
      </w:r>
    </w:p>
    <w:p>
      <w:pPr>
        <w:adjustRightInd w:val="0"/>
        <w:snapToGrid w:val="0"/>
        <w:spacing w:line="288" w:lineRule="auto"/>
        <w:ind w:firstLine="0" w:firstLineChars="0"/>
        <w:rPr>
          <w:rFonts w:ascii="方正仿宋_GB2312" w:hAnsi="方正仿宋_GB2312" w:eastAsia="方正仿宋_GB2312" w:cs="方正仿宋_GB2312"/>
          <w:sz w:val="36"/>
          <w:szCs w:val="36"/>
          <w:u w:val="single"/>
        </w:rPr>
      </w:pPr>
      <w:r>
        <w:rPr>
          <w:rFonts w:hint="eastAsia" w:ascii="方正仿宋_GB2312" w:hAnsi="方正仿宋_GB2312" w:eastAsia="方正仿宋_GB2312" w:cs="方正仿宋_GB2312"/>
          <w:sz w:val="36"/>
          <w:szCs w:val="36"/>
        </w:rPr>
        <w:t>建设单位（盖章）：</w:t>
      </w:r>
      <w:r>
        <w:rPr>
          <w:rFonts w:hint="eastAsia" w:ascii="方正仿宋_GB2312" w:hAnsi="方正仿宋_GB2312" w:eastAsia="方正仿宋_GB2312" w:cs="方正仿宋_GB2312"/>
          <w:sz w:val="36"/>
          <w:szCs w:val="36"/>
          <w:u w:val="single"/>
        </w:rPr>
        <w:t xml:space="preserve">  </w:t>
      </w:r>
      <w:r>
        <w:rPr>
          <w:rFonts w:hint="eastAsia" w:ascii="方正仿宋_GB2312" w:hAnsi="方正仿宋_GB2312" w:eastAsia="方正仿宋_GB2312" w:cs="方正仿宋_GB2312"/>
          <w:sz w:val="36"/>
          <w:szCs w:val="36"/>
          <w:u w:val="single"/>
          <w:lang w:eastAsia="zh-CN"/>
        </w:rPr>
        <w:t>重庆绿动智慧能源有限公司</w:t>
      </w:r>
      <w:r>
        <w:rPr>
          <w:rFonts w:hint="eastAsia" w:ascii="方正仿宋_GB2312" w:hAnsi="方正仿宋_GB2312" w:eastAsia="方正仿宋_GB2312" w:cs="方正仿宋_GB2312"/>
          <w:sz w:val="36"/>
          <w:szCs w:val="36"/>
          <w:u w:val="single"/>
          <w:lang w:val="en-US" w:eastAsia="zh-CN"/>
        </w:rPr>
        <w:t xml:space="preserve">  </w:t>
      </w:r>
      <w:r>
        <w:rPr>
          <w:rFonts w:hint="eastAsia" w:ascii="方正仿宋_GB2312" w:hAnsi="方正仿宋_GB2312" w:eastAsia="方正仿宋_GB2312" w:cs="方正仿宋_GB2312"/>
          <w:sz w:val="36"/>
          <w:szCs w:val="36"/>
          <w:u w:val="single"/>
        </w:rPr>
        <w:t xml:space="preserve">  </w:t>
      </w:r>
    </w:p>
    <w:p>
      <w:pPr>
        <w:adjustRightInd w:val="0"/>
        <w:snapToGrid w:val="0"/>
        <w:spacing w:line="288" w:lineRule="auto"/>
        <w:ind w:firstLine="0" w:firstLineChars="0"/>
        <w:rPr>
          <w:rFonts w:ascii="方正仿宋_GB2312" w:eastAsia="方正仿宋_GB2312"/>
          <w:sz w:val="36"/>
          <w:szCs w:val="36"/>
          <w:u w:val="single"/>
        </w:rPr>
      </w:pPr>
      <w:r>
        <w:rPr>
          <w:rFonts w:hint="eastAsia" w:ascii="方正仿宋_GB2312" w:hAnsi="方正仿宋_GB2312" w:eastAsia="方正仿宋_GB2312" w:cs="方正仿宋_GB2312"/>
          <w:sz w:val="36"/>
          <w:szCs w:val="36"/>
        </w:rPr>
        <w:t>编制日期：</w:t>
      </w:r>
      <w:r>
        <w:rPr>
          <w:rFonts w:hint="eastAsia" w:ascii="方正仿宋_GB2312" w:hAnsi="方正仿宋_GB2312" w:eastAsia="方正仿宋_GB2312" w:cs="方正仿宋_GB2312"/>
          <w:sz w:val="36"/>
          <w:szCs w:val="36"/>
          <w:u w:val="single"/>
        </w:rPr>
        <w:t xml:space="preserve">               二〇二四年六月         </w:t>
      </w:r>
    </w:p>
    <w:p>
      <w:pPr>
        <w:adjustRightInd w:val="0"/>
        <w:snapToGrid w:val="0"/>
        <w:spacing w:line="288" w:lineRule="auto"/>
        <w:ind w:firstLine="0" w:firstLineChars="0"/>
        <w:rPr>
          <w:rFonts w:ascii="方正仿宋_GB2312" w:eastAsia="方正仿宋_GB2312"/>
          <w:sz w:val="36"/>
          <w:szCs w:val="36"/>
        </w:rPr>
      </w:pPr>
    </w:p>
    <w:p>
      <w:pPr>
        <w:adjustRightInd w:val="0"/>
        <w:snapToGrid w:val="0"/>
        <w:spacing w:line="288" w:lineRule="auto"/>
        <w:ind w:firstLine="0" w:firstLineChars="0"/>
        <w:rPr>
          <w:rFonts w:ascii="方正仿宋_GB2312" w:eastAsia="方正仿宋_GB2312"/>
          <w:sz w:val="36"/>
          <w:szCs w:val="36"/>
        </w:rPr>
      </w:pPr>
    </w:p>
    <w:p>
      <w:pPr>
        <w:adjustRightInd w:val="0"/>
        <w:snapToGrid w:val="0"/>
        <w:spacing w:line="288" w:lineRule="auto"/>
        <w:ind w:firstLine="0" w:firstLineChars="0"/>
        <w:rPr>
          <w:rFonts w:ascii="方正仿宋_GB2312" w:eastAsia="方正仿宋_GB2312"/>
          <w:sz w:val="36"/>
          <w:szCs w:val="36"/>
        </w:rPr>
      </w:pPr>
    </w:p>
    <w:p>
      <w:pPr>
        <w:adjustRightInd w:val="0"/>
        <w:snapToGrid w:val="0"/>
        <w:spacing w:line="288" w:lineRule="auto"/>
        <w:ind w:firstLine="0" w:firstLineChars="0"/>
        <w:jc w:val="center"/>
        <w:rPr>
          <w:rFonts w:ascii="方正仿宋_GB2312" w:eastAsia="方正仿宋_GB2312"/>
          <w:sz w:val="36"/>
          <w:szCs w:val="36"/>
        </w:rPr>
      </w:pPr>
      <w:r>
        <w:rPr>
          <w:rFonts w:hint="eastAsia" w:ascii="方正仿宋_GB2312" w:eastAsia="方正仿宋_GB2312"/>
          <w:sz w:val="36"/>
          <w:szCs w:val="36"/>
        </w:rPr>
        <w:t>中华人民共和国生态环境部制</w:t>
      </w:r>
    </w:p>
    <w:p>
      <w:pPr>
        <w:adjustRightInd w:val="0"/>
        <w:snapToGrid w:val="0"/>
        <w:spacing w:line="288" w:lineRule="auto"/>
        <w:ind w:firstLine="0" w:firstLineChars="0"/>
        <w:rPr>
          <w:rFonts w:ascii="方正仿宋_GB2312" w:eastAsia="方正仿宋_GB2312"/>
          <w:sz w:val="36"/>
          <w:szCs w:val="36"/>
        </w:rPr>
        <w:sectPr>
          <w:footerReference r:id="rId5" w:type="default"/>
          <w:footerReference r:id="rId6" w:type="even"/>
          <w:pgSz w:w="11906" w:h="16838"/>
          <w:pgMar w:top="1417" w:right="1417" w:bottom="1417" w:left="1417" w:header="851" w:footer="1077" w:gutter="0"/>
          <w:pgNumType w:start="21"/>
          <w:cols w:space="720" w:num="1"/>
          <w:docGrid w:linePitch="312" w:charSpace="0"/>
        </w:sectPr>
      </w:pPr>
    </w:p>
    <w:p>
      <w:pPr>
        <w:pStyle w:val="12"/>
        <w:ind w:firstLine="600"/>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62"/>
        <w:gridCol w:w="1685"/>
        <w:gridCol w:w="2334"/>
        <w:gridCol w:w="477"/>
        <w:gridCol w:w="1301"/>
        <w:gridCol w:w="707"/>
        <w:gridCol w:w="22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建设项目名称</w:t>
            </w:r>
          </w:p>
        </w:tc>
        <w:tc>
          <w:tcPr>
            <w:tcW w:w="7001" w:type="dxa"/>
            <w:gridSpan w:val="5"/>
            <w:vAlign w:val="center"/>
          </w:tcPr>
          <w:p>
            <w:pPr>
              <w:adjustRightInd w:val="0"/>
              <w:snapToGrid w:val="0"/>
              <w:spacing w:line="240" w:lineRule="auto"/>
              <w:ind w:firstLine="0" w:firstLineChars="0"/>
              <w:jc w:val="center"/>
              <w:rPr>
                <w:szCs w:val="21"/>
              </w:rPr>
            </w:pPr>
            <w:r>
              <w:rPr>
                <w:rFonts w:hint="eastAsia"/>
                <w:szCs w:val="21"/>
              </w:rPr>
              <w:t>奉节新民永乐光伏发电项目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项目代码</w:t>
            </w:r>
          </w:p>
        </w:tc>
        <w:tc>
          <w:tcPr>
            <w:tcW w:w="7001" w:type="dxa"/>
            <w:gridSpan w:val="5"/>
            <w:vAlign w:val="center"/>
          </w:tcPr>
          <w:p>
            <w:pPr>
              <w:adjustRightInd w:val="0"/>
              <w:snapToGrid w:val="0"/>
              <w:spacing w:line="240" w:lineRule="auto"/>
              <w:ind w:firstLine="0" w:firstLineChars="0"/>
              <w:jc w:val="center"/>
              <w:rPr>
                <w:szCs w:val="21"/>
              </w:rPr>
            </w:pPr>
            <w:r>
              <w:rPr>
                <w:rFonts w:hint="eastAsia"/>
                <w:szCs w:val="21"/>
              </w:rPr>
              <w:t>2310-500236-04-05-718601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建设单位联系人</w:t>
            </w:r>
          </w:p>
        </w:tc>
        <w:tc>
          <w:tcPr>
            <w:tcW w:w="2791" w:type="dxa"/>
            <w:gridSpan w:val="2"/>
            <w:vAlign w:val="center"/>
          </w:tcPr>
          <w:p>
            <w:pPr>
              <w:adjustRightInd w:val="0"/>
              <w:snapToGrid w:val="0"/>
              <w:spacing w:line="240" w:lineRule="auto"/>
              <w:ind w:firstLine="0" w:firstLineChars="0"/>
              <w:jc w:val="center"/>
              <w:rPr>
                <w:rFonts w:hint="default" w:eastAsia="宋体"/>
                <w:szCs w:val="21"/>
                <w:lang w:val="en-US" w:eastAsia="zh-CN"/>
              </w:rPr>
            </w:pPr>
            <w:r>
              <w:rPr>
                <w:rFonts w:hint="eastAsia"/>
                <w:szCs w:val="21"/>
              </w:rPr>
              <w:t>任</w:t>
            </w:r>
            <w:r>
              <w:rPr>
                <w:rFonts w:hint="eastAsia"/>
                <w:szCs w:val="21"/>
                <w:lang w:val="en-US" w:eastAsia="zh-CN"/>
              </w:rPr>
              <w:t>**</w:t>
            </w:r>
          </w:p>
        </w:tc>
        <w:tc>
          <w:tcPr>
            <w:tcW w:w="1994" w:type="dxa"/>
            <w:gridSpan w:val="2"/>
            <w:vAlign w:val="center"/>
          </w:tcPr>
          <w:p>
            <w:pPr>
              <w:adjustRightInd w:val="0"/>
              <w:snapToGrid w:val="0"/>
              <w:spacing w:line="240" w:lineRule="auto"/>
              <w:ind w:firstLine="0" w:firstLineChars="0"/>
              <w:jc w:val="center"/>
              <w:rPr>
                <w:szCs w:val="21"/>
              </w:rPr>
            </w:pPr>
            <w:r>
              <w:rPr>
                <w:rFonts w:hint="eastAsia"/>
                <w:szCs w:val="21"/>
              </w:rPr>
              <w:t>联系方式</w:t>
            </w:r>
          </w:p>
        </w:tc>
        <w:tc>
          <w:tcPr>
            <w:tcW w:w="2216" w:type="dxa"/>
            <w:vAlign w:val="center"/>
          </w:tcPr>
          <w:p>
            <w:pPr>
              <w:adjustRightInd w:val="0"/>
              <w:snapToGrid w:val="0"/>
              <w:spacing w:line="240" w:lineRule="auto"/>
              <w:ind w:firstLine="0" w:firstLineChars="0"/>
              <w:jc w:val="center"/>
              <w:rPr>
                <w:rFonts w:hint="default" w:eastAsia="宋体"/>
                <w:szCs w:val="21"/>
                <w:lang w:val="en-US" w:eastAsia="zh-CN"/>
              </w:rPr>
            </w:pPr>
            <w:r>
              <w:rPr>
                <w:rFonts w:hint="eastAsia"/>
                <w:szCs w:val="21"/>
                <w:lang w:val="en-US" w:eastAsia="zh-CN"/>
              </w:rPr>
              <w:t>**********</w:t>
            </w:r>
            <w:bookmarkStart w:id="27" w:name="_GoBack"/>
            <w:bookmarkEnd w:id="2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建设地点</w:t>
            </w:r>
          </w:p>
        </w:tc>
        <w:tc>
          <w:tcPr>
            <w:tcW w:w="7001" w:type="dxa"/>
            <w:gridSpan w:val="5"/>
            <w:vAlign w:val="center"/>
          </w:tcPr>
          <w:p>
            <w:pPr>
              <w:adjustRightInd w:val="0"/>
              <w:snapToGrid w:val="0"/>
              <w:spacing w:line="240" w:lineRule="auto"/>
              <w:ind w:firstLine="0" w:firstLineChars="0"/>
              <w:jc w:val="center"/>
              <w:rPr>
                <w:szCs w:val="21"/>
              </w:rPr>
            </w:pPr>
            <w:r>
              <w:rPr>
                <w:szCs w:val="21"/>
                <w:u w:val="single"/>
              </w:rPr>
              <w:t xml:space="preserve"> </w:t>
            </w:r>
            <w:r>
              <w:rPr>
                <w:rFonts w:hint="eastAsia"/>
                <w:szCs w:val="21"/>
                <w:u w:val="single"/>
              </w:rPr>
              <w:t>重庆</w:t>
            </w:r>
            <w:r>
              <w:rPr>
                <w:szCs w:val="21"/>
                <w:u w:val="single"/>
              </w:rPr>
              <w:t xml:space="preserve"> </w:t>
            </w:r>
            <w:r>
              <w:rPr>
                <w:rFonts w:hint="eastAsia"/>
                <w:szCs w:val="21"/>
              </w:rPr>
              <w:t>市</w:t>
            </w:r>
            <w:r>
              <w:rPr>
                <w:szCs w:val="21"/>
                <w:u w:val="single"/>
              </w:rPr>
              <w:t xml:space="preserve"> </w:t>
            </w:r>
            <w:r>
              <w:rPr>
                <w:rFonts w:hint="eastAsia"/>
                <w:szCs w:val="21"/>
                <w:u w:val="single"/>
              </w:rPr>
              <w:t>奉节</w:t>
            </w:r>
            <w:r>
              <w:rPr>
                <w:szCs w:val="21"/>
                <w:u w:val="single"/>
              </w:rPr>
              <w:t xml:space="preserve"> </w:t>
            </w:r>
            <w:r>
              <w:rPr>
                <w:rFonts w:hint="eastAsia"/>
                <w:szCs w:val="21"/>
              </w:rPr>
              <w:t>县（区）</w:t>
            </w:r>
            <w:r>
              <w:rPr>
                <w:szCs w:val="21"/>
                <w:u w:val="single"/>
              </w:rPr>
              <w:t xml:space="preserve"> </w:t>
            </w:r>
            <w:r>
              <w:rPr>
                <w:rFonts w:hint="eastAsia"/>
                <w:szCs w:val="21"/>
                <w:u w:val="single"/>
              </w:rPr>
              <w:t>新民镇</w:t>
            </w:r>
            <w:r>
              <w:rPr>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地理坐标</w:t>
            </w:r>
          </w:p>
        </w:tc>
        <w:tc>
          <w:tcPr>
            <w:tcW w:w="7001" w:type="dxa"/>
            <w:gridSpan w:val="5"/>
            <w:vAlign w:val="center"/>
          </w:tcPr>
          <w:p>
            <w:pPr>
              <w:adjustRightInd w:val="0"/>
              <w:snapToGrid w:val="0"/>
              <w:spacing w:line="240" w:lineRule="auto"/>
              <w:ind w:firstLine="0" w:firstLineChars="0"/>
              <w:jc w:val="center"/>
              <w:rPr>
                <w:szCs w:val="21"/>
              </w:rPr>
            </w:pPr>
            <w:r>
              <w:rPr>
                <w:rFonts w:hint="eastAsia"/>
                <w:szCs w:val="21"/>
              </w:rPr>
              <w:t>场址中心：</w:t>
            </w:r>
            <w:r>
              <w:rPr>
                <w:rFonts w:hint="eastAsia"/>
                <w:szCs w:val="21"/>
                <w:u w:val="single"/>
              </w:rPr>
              <w:t>109</w:t>
            </w:r>
            <w:r>
              <w:rPr>
                <w:rFonts w:hint="eastAsia"/>
                <w:szCs w:val="21"/>
              </w:rPr>
              <w:t>度</w:t>
            </w:r>
            <w:r>
              <w:rPr>
                <w:rFonts w:hint="eastAsia"/>
                <w:szCs w:val="21"/>
                <w:u w:val="single"/>
              </w:rPr>
              <w:t>27</w:t>
            </w:r>
            <w:r>
              <w:rPr>
                <w:rFonts w:hint="eastAsia"/>
                <w:szCs w:val="21"/>
              </w:rPr>
              <w:t>分</w:t>
            </w:r>
            <w:r>
              <w:rPr>
                <w:rFonts w:hint="eastAsia"/>
                <w:szCs w:val="21"/>
                <w:u w:val="single"/>
              </w:rPr>
              <w:t>18.857</w:t>
            </w:r>
            <w:r>
              <w:rPr>
                <w:rFonts w:hint="eastAsia"/>
                <w:szCs w:val="21"/>
              </w:rPr>
              <w:t>秒，</w:t>
            </w:r>
            <w:r>
              <w:rPr>
                <w:rFonts w:hint="eastAsia"/>
                <w:szCs w:val="21"/>
                <w:u w:val="single"/>
              </w:rPr>
              <w:t>30</w:t>
            </w:r>
            <w:r>
              <w:rPr>
                <w:rFonts w:hint="eastAsia"/>
                <w:szCs w:val="21"/>
              </w:rPr>
              <w:t>度</w:t>
            </w:r>
            <w:r>
              <w:rPr>
                <w:rFonts w:hint="eastAsia"/>
                <w:szCs w:val="21"/>
                <w:u w:val="single"/>
              </w:rPr>
              <w:t>56</w:t>
            </w:r>
            <w:r>
              <w:rPr>
                <w:rFonts w:hint="eastAsia"/>
                <w:szCs w:val="21"/>
              </w:rPr>
              <w:t>分</w:t>
            </w:r>
            <w:r>
              <w:rPr>
                <w:rFonts w:hint="eastAsia"/>
                <w:szCs w:val="21"/>
                <w:u w:val="single"/>
              </w:rPr>
              <w:t>3.892</w:t>
            </w:r>
            <w:r>
              <w:rPr>
                <w:rFonts w:hint="eastAsia"/>
                <w:szCs w:val="21"/>
              </w:rPr>
              <w:t>秒</w:t>
            </w:r>
          </w:p>
          <w:p>
            <w:pPr>
              <w:adjustRightInd w:val="0"/>
              <w:snapToGrid w:val="0"/>
              <w:spacing w:line="240" w:lineRule="auto"/>
              <w:ind w:firstLine="0" w:firstLineChars="0"/>
              <w:jc w:val="center"/>
              <w:rPr>
                <w:rFonts w:hint="eastAsia"/>
                <w:szCs w:val="21"/>
              </w:rPr>
            </w:pPr>
            <w:r>
              <w:rPr>
                <w:rFonts w:hint="eastAsia"/>
                <w:szCs w:val="21"/>
                <w:lang w:val="en-US" w:eastAsia="zh-CN"/>
              </w:rPr>
              <w:t>升压站</w:t>
            </w:r>
            <w:r>
              <w:rPr>
                <w:rFonts w:hint="eastAsia"/>
                <w:szCs w:val="21"/>
              </w:rPr>
              <w:t>中心：</w:t>
            </w:r>
            <w:r>
              <w:rPr>
                <w:rFonts w:hint="eastAsia"/>
                <w:szCs w:val="21"/>
                <w:u w:val="single"/>
              </w:rPr>
              <w:t>109</w:t>
            </w:r>
            <w:r>
              <w:rPr>
                <w:rFonts w:hint="eastAsia"/>
                <w:szCs w:val="21"/>
              </w:rPr>
              <w:t>度</w:t>
            </w:r>
            <w:r>
              <w:rPr>
                <w:rFonts w:hint="eastAsia"/>
                <w:szCs w:val="21"/>
                <w:u w:val="single"/>
              </w:rPr>
              <w:t>2</w:t>
            </w:r>
            <w:r>
              <w:rPr>
                <w:rFonts w:hint="eastAsia"/>
                <w:szCs w:val="21"/>
                <w:u w:val="single"/>
                <w:lang w:val="en-US" w:eastAsia="zh-CN"/>
              </w:rPr>
              <w:t>9</w:t>
            </w:r>
            <w:r>
              <w:rPr>
                <w:rFonts w:hint="eastAsia"/>
                <w:szCs w:val="21"/>
              </w:rPr>
              <w:t>分</w:t>
            </w:r>
            <w:r>
              <w:rPr>
                <w:rFonts w:hint="eastAsia"/>
                <w:szCs w:val="21"/>
                <w:u w:val="single"/>
                <w:lang w:val="en-US" w:eastAsia="zh-CN"/>
              </w:rPr>
              <w:t>38.487</w:t>
            </w:r>
            <w:r>
              <w:rPr>
                <w:rFonts w:hint="eastAsia"/>
                <w:szCs w:val="21"/>
              </w:rPr>
              <w:t>秒，</w:t>
            </w:r>
            <w:r>
              <w:rPr>
                <w:rFonts w:hint="eastAsia"/>
                <w:szCs w:val="21"/>
                <w:u w:val="single"/>
              </w:rPr>
              <w:t>30</w:t>
            </w:r>
            <w:r>
              <w:rPr>
                <w:rFonts w:hint="eastAsia"/>
                <w:szCs w:val="21"/>
              </w:rPr>
              <w:t>度</w:t>
            </w:r>
            <w:r>
              <w:rPr>
                <w:rFonts w:hint="eastAsia"/>
                <w:szCs w:val="21"/>
                <w:u w:val="single"/>
              </w:rPr>
              <w:t>5</w:t>
            </w:r>
            <w:r>
              <w:rPr>
                <w:rFonts w:hint="eastAsia"/>
                <w:szCs w:val="21"/>
                <w:u w:val="single"/>
                <w:lang w:val="en-US" w:eastAsia="zh-CN"/>
              </w:rPr>
              <w:t>5</w:t>
            </w:r>
            <w:r>
              <w:rPr>
                <w:rFonts w:hint="eastAsia"/>
                <w:szCs w:val="21"/>
              </w:rPr>
              <w:t>分</w:t>
            </w:r>
            <w:r>
              <w:rPr>
                <w:rFonts w:hint="eastAsia"/>
                <w:szCs w:val="21"/>
                <w:u w:val="single"/>
                <w:lang w:val="en-US" w:eastAsia="zh-CN"/>
              </w:rPr>
              <w:t>38.364</w:t>
            </w:r>
            <w:r>
              <w:rPr>
                <w:rFonts w:hint="eastAsia"/>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建设项目行业类别</w:t>
            </w:r>
          </w:p>
        </w:tc>
        <w:tc>
          <w:tcPr>
            <w:tcW w:w="2791" w:type="dxa"/>
            <w:gridSpan w:val="2"/>
            <w:vAlign w:val="center"/>
          </w:tcPr>
          <w:p>
            <w:pPr>
              <w:adjustRightInd w:val="0"/>
              <w:snapToGrid w:val="0"/>
              <w:spacing w:line="240" w:lineRule="auto"/>
              <w:ind w:firstLine="0" w:firstLineChars="0"/>
              <w:jc w:val="center"/>
              <w:rPr>
                <w:szCs w:val="21"/>
              </w:rPr>
            </w:pPr>
            <w:r>
              <w:rPr>
                <w:rFonts w:hint="eastAsia"/>
                <w:szCs w:val="21"/>
              </w:rPr>
              <w:t>四十一、电力、热力生产和供应业 4416太阳能发电</w:t>
            </w:r>
          </w:p>
        </w:tc>
        <w:tc>
          <w:tcPr>
            <w:tcW w:w="1994" w:type="dxa"/>
            <w:gridSpan w:val="2"/>
            <w:vAlign w:val="center"/>
          </w:tcPr>
          <w:p>
            <w:pPr>
              <w:adjustRightInd w:val="0"/>
              <w:snapToGrid w:val="0"/>
              <w:spacing w:line="240" w:lineRule="auto"/>
              <w:ind w:firstLine="0" w:firstLineChars="0"/>
              <w:jc w:val="center"/>
              <w:rPr>
                <w:szCs w:val="21"/>
              </w:rPr>
            </w:pPr>
            <w:r>
              <w:rPr>
                <w:rFonts w:hint="eastAsia"/>
                <w:szCs w:val="21"/>
              </w:rPr>
              <w:t>用地（用海）面积（</w:t>
            </w:r>
            <w:r>
              <w:rPr>
                <w:szCs w:val="21"/>
              </w:rPr>
              <w:t>m</w:t>
            </w:r>
            <w:r>
              <w:rPr>
                <w:szCs w:val="21"/>
                <w:vertAlign w:val="superscript"/>
              </w:rPr>
              <w:t>2</w:t>
            </w:r>
            <w:r>
              <w:rPr>
                <w:rFonts w:hint="eastAsia"/>
                <w:szCs w:val="21"/>
              </w:rPr>
              <w:t>）</w:t>
            </w:r>
            <w:r>
              <w:rPr>
                <w:szCs w:val="21"/>
              </w:rPr>
              <w:t>/</w:t>
            </w:r>
            <w:r>
              <w:rPr>
                <w:rFonts w:hint="eastAsia"/>
                <w:szCs w:val="21"/>
              </w:rPr>
              <w:t>长度（</w:t>
            </w:r>
            <w:r>
              <w:rPr>
                <w:szCs w:val="21"/>
              </w:rPr>
              <w:t>km</w:t>
            </w:r>
            <w:r>
              <w:rPr>
                <w:rFonts w:hint="eastAsia"/>
                <w:szCs w:val="21"/>
              </w:rPr>
              <w:t>）</w:t>
            </w:r>
          </w:p>
        </w:tc>
        <w:tc>
          <w:tcPr>
            <w:tcW w:w="2216" w:type="dxa"/>
            <w:vAlign w:val="center"/>
          </w:tcPr>
          <w:p>
            <w:pPr>
              <w:adjustRightInd w:val="0"/>
              <w:snapToGrid w:val="0"/>
              <w:spacing w:line="240" w:lineRule="auto"/>
              <w:ind w:firstLine="0" w:firstLineChars="0"/>
              <w:jc w:val="center"/>
              <w:rPr>
                <w:szCs w:val="21"/>
              </w:rPr>
            </w:pPr>
            <w:r>
              <w:rPr>
                <w:rFonts w:hint="eastAsia"/>
                <w:lang w:val="en-US" w:eastAsia="zh-CN"/>
              </w:rPr>
              <w:t>1652494.48m</w:t>
            </w:r>
            <w:r>
              <w:rPr>
                <w:rFonts w:hint="eastAsia"/>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建设性质</w:t>
            </w:r>
          </w:p>
        </w:tc>
        <w:tc>
          <w:tcPr>
            <w:tcW w:w="2317" w:type="dxa"/>
            <w:vAlign w:val="center"/>
          </w:tcPr>
          <w:p>
            <w:pPr>
              <w:adjustRightInd w:val="0"/>
              <w:snapToGrid w:val="0"/>
              <w:spacing w:line="240" w:lineRule="auto"/>
              <w:ind w:firstLine="0" w:firstLineChars="0"/>
              <w:jc w:val="left"/>
              <w:rPr>
                <w:szCs w:val="21"/>
              </w:rPr>
            </w:pPr>
            <w:r>
              <w:rPr>
                <w:rFonts w:hint="eastAsia"/>
                <w:szCs w:val="21"/>
              </w:rPr>
              <w:sym w:font="Wingdings 2" w:char="0052"/>
            </w:r>
            <w:r>
              <w:rPr>
                <w:rFonts w:hint="eastAsia"/>
                <w:szCs w:val="21"/>
              </w:rPr>
              <w:t>新建（迁建）</w:t>
            </w:r>
          </w:p>
          <w:p>
            <w:pPr>
              <w:adjustRightInd w:val="0"/>
              <w:snapToGrid w:val="0"/>
              <w:spacing w:line="240" w:lineRule="auto"/>
              <w:ind w:firstLine="0" w:firstLineChars="0"/>
              <w:jc w:val="left"/>
              <w:rPr>
                <w:szCs w:val="21"/>
              </w:rPr>
            </w:pPr>
            <w:r>
              <w:rPr>
                <w:rFonts w:hint="eastAsia"/>
                <w:szCs w:val="21"/>
              </w:rPr>
              <w:sym w:font="Wingdings 2" w:char="00A3"/>
            </w:r>
            <w:r>
              <w:rPr>
                <w:rFonts w:hint="eastAsia"/>
                <w:szCs w:val="21"/>
              </w:rPr>
              <w:t>改建</w:t>
            </w:r>
          </w:p>
          <w:p>
            <w:pPr>
              <w:adjustRightInd w:val="0"/>
              <w:snapToGrid w:val="0"/>
              <w:spacing w:line="240" w:lineRule="auto"/>
              <w:ind w:firstLine="0" w:firstLineChars="0"/>
              <w:jc w:val="left"/>
              <w:rPr>
                <w:szCs w:val="21"/>
              </w:rPr>
            </w:pPr>
            <w:r>
              <w:rPr>
                <w:rFonts w:hint="eastAsia"/>
                <w:szCs w:val="21"/>
              </w:rPr>
              <w:sym w:font="Wingdings 2" w:char="00A3"/>
            </w:r>
            <w:r>
              <w:rPr>
                <w:rFonts w:hint="eastAsia"/>
                <w:szCs w:val="21"/>
              </w:rPr>
              <w:t>扩建</w:t>
            </w:r>
          </w:p>
          <w:p>
            <w:pPr>
              <w:adjustRightInd w:val="0"/>
              <w:snapToGrid w:val="0"/>
              <w:spacing w:line="240" w:lineRule="auto"/>
              <w:ind w:firstLine="0" w:firstLineChars="0"/>
              <w:jc w:val="left"/>
              <w:rPr>
                <w:szCs w:val="21"/>
              </w:rPr>
            </w:pPr>
            <w:r>
              <w:rPr>
                <w:rFonts w:hint="eastAsia"/>
                <w:szCs w:val="21"/>
              </w:rPr>
              <w:sym w:font="Wingdings 2" w:char="00A3"/>
            </w:r>
            <w:r>
              <w:rPr>
                <w:rFonts w:hint="eastAsia"/>
                <w:szCs w:val="21"/>
              </w:rPr>
              <w:t>技术改造</w:t>
            </w:r>
          </w:p>
        </w:tc>
        <w:tc>
          <w:tcPr>
            <w:tcW w:w="1766" w:type="dxa"/>
            <w:gridSpan w:val="2"/>
            <w:vAlign w:val="center"/>
          </w:tcPr>
          <w:p>
            <w:pPr>
              <w:adjustRightInd w:val="0"/>
              <w:snapToGrid w:val="0"/>
              <w:spacing w:line="240" w:lineRule="auto"/>
              <w:ind w:firstLine="0" w:firstLineChars="0"/>
              <w:jc w:val="center"/>
              <w:rPr>
                <w:szCs w:val="21"/>
              </w:rPr>
            </w:pPr>
            <w:r>
              <w:rPr>
                <w:rFonts w:hint="eastAsia"/>
                <w:szCs w:val="21"/>
              </w:rPr>
              <w:t>建设项目申报情形</w:t>
            </w:r>
          </w:p>
        </w:tc>
        <w:tc>
          <w:tcPr>
            <w:tcW w:w="2918" w:type="dxa"/>
            <w:gridSpan w:val="2"/>
            <w:vAlign w:val="center"/>
          </w:tcPr>
          <w:p>
            <w:pPr>
              <w:adjustRightInd w:val="0"/>
              <w:snapToGrid w:val="0"/>
              <w:spacing w:line="240" w:lineRule="auto"/>
              <w:ind w:firstLine="0" w:firstLineChars="0"/>
              <w:jc w:val="left"/>
              <w:rPr>
                <w:szCs w:val="21"/>
              </w:rPr>
            </w:pPr>
            <w:r>
              <w:rPr>
                <w:rFonts w:hint="eastAsia"/>
                <w:szCs w:val="21"/>
              </w:rPr>
              <w:sym w:font="Wingdings 2" w:char="0052"/>
            </w:r>
            <w:r>
              <w:rPr>
                <w:rFonts w:hint="eastAsia"/>
                <w:szCs w:val="21"/>
              </w:rPr>
              <w:t>首次申报项目</w:t>
            </w:r>
          </w:p>
          <w:p>
            <w:pPr>
              <w:adjustRightInd w:val="0"/>
              <w:snapToGrid w:val="0"/>
              <w:spacing w:line="240" w:lineRule="auto"/>
              <w:ind w:firstLine="0" w:firstLineChars="0"/>
              <w:jc w:val="left"/>
              <w:rPr>
                <w:szCs w:val="21"/>
              </w:rPr>
            </w:pPr>
            <w:r>
              <w:rPr>
                <w:rFonts w:hint="eastAsia"/>
                <w:szCs w:val="21"/>
              </w:rPr>
              <w:sym w:font="Wingdings 2" w:char="00A3"/>
            </w:r>
            <w:r>
              <w:rPr>
                <w:rFonts w:hint="eastAsia"/>
                <w:szCs w:val="21"/>
              </w:rPr>
              <w:t>不予批准后再次申报项目</w:t>
            </w:r>
          </w:p>
          <w:p>
            <w:pPr>
              <w:adjustRightInd w:val="0"/>
              <w:snapToGrid w:val="0"/>
              <w:spacing w:line="240" w:lineRule="auto"/>
              <w:ind w:firstLine="0" w:firstLineChars="0"/>
              <w:jc w:val="left"/>
              <w:rPr>
                <w:rFonts w:hint="eastAsia"/>
                <w:szCs w:val="21"/>
              </w:rPr>
            </w:pPr>
            <w:r>
              <w:rPr>
                <w:rFonts w:hint="eastAsia"/>
                <w:szCs w:val="21"/>
              </w:rPr>
              <w:sym w:font="Wingdings 2" w:char="00A3"/>
            </w:r>
            <w:r>
              <w:rPr>
                <w:rFonts w:hint="eastAsia"/>
                <w:szCs w:val="21"/>
              </w:rPr>
              <w:t>超五年重新审核项目</w:t>
            </w:r>
          </w:p>
          <w:p>
            <w:pPr>
              <w:adjustRightInd w:val="0"/>
              <w:snapToGrid w:val="0"/>
              <w:spacing w:line="240" w:lineRule="auto"/>
              <w:ind w:firstLine="0" w:firstLineChars="0"/>
              <w:jc w:val="left"/>
              <w:rPr>
                <w:szCs w:val="21"/>
              </w:rPr>
            </w:pPr>
            <w:r>
              <w:rPr>
                <w:rFonts w:hint="eastAsia"/>
                <w:szCs w:val="21"/>
              </w:rPr>
              <w:sym w:font="Wingdings 2" w:char="00A3"/>
            </w:r>
            <w:r>
              <w:rPr>
                <w:rFonts w:hint="eastAsia"/>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项目审批部门</w:t>
            </w:r>
          </w:p>
        </w:tc>
        <w:tc>
          <w:tcPr>
            <w:tcW w:w="2317" w:type="dxa"/>
            <w:vAlign w:val="center"/>
          </w:tcPr>
          <w:p>
            <w:pPr>
              <w:adjustRightInd w:val="0"/>
              <w:snapToGrid w:val="0"/>
              <w:spacing w:line="240" w:lineRule="auto"/>
              <w:ind w:firstLine="0" w:firstLineChars="0"/>
              <w:jc w:val="center"/>
              <w:rPr>
                <w:szCs w:val="21"/>
              </w:rPr>
            </w:pPr>
            <w:r>
              <w:rPr>
                <w:rFonts w:hint="eastAsia"/>
                <w:szCs w:val="21"/>
              </w:rPr>
              <w:t>重庆市奉节县发展和改革委员会</w:t>
            </w:r>
          </w:p>
        </w:tc>
        <w:tc>
          <w:tcPr>
            <w:tcW w:w="1766" w:type="dxa"/>
            <w:gridSpan w:val="2"/>
            <w:vAlign w:val="center"/>
          </w:tcPr>
          <w:p>
            <w:pPr>
              <w:adjustRightInd w:val="0"/>
              <w:snapToGrid w:val="0"/>
              <w:spacing w:line="240" w:lineRule="auto"/>
              <w:ind w:firstLine="0" w:firstLineChars="0"/>
              <w:jc w:val="center"/>
              <w:rPr>
                <w:szCs w:val="21"/>
              </w:rPr>
            </w:pPr>
            <w:r>
              <w:rPr>
                <w:rFonts w:hint="eastAsia"/>
                <w:szCs w:val="21"/>
              </w:rPr>
              <w:t>项目审批（核准</w:t>
            </w:r>
            <w:r>
              <w:rPr>
                <w:szCs w:val="21"/>
              </w:rPr>
              <w:t>/</w:t>
            </w:r>
            <w:r>
              <w:rPr>
                <w:rFonts w:hint="eastAsia"/>
                <w:szCs w:val="21"/>
              </w:rPr>
              <w:t>备案）文号</w:t>
            </w:r>
          </w:p>
        </w:tc>
        <w:tc>
          <w:tcPr>
            <w:tcW w:w="2918" w:type="dxa"/>
            <w:gridSpan w:val="2"/>
            <w:vAlign w:val="center"/>
          </w:tcPr>
          <w:p>
            <w:pPr>
              <w:adjustRightInd w:val="0"/>
              <w:snapToGrid w:val="0"/>
              <w:spacing w:line="240" w:lineRule="auto"/>
              <w:ind w:firstLine="0" w:firstLineChars="0"/>
              <w:jc w:val="center"/>
              <w:rPr>
                <w:szCs w:val="21"/>
              </w:rPr>
            </w:pPr>
            <w:r>
              <w:rPr>
                <w:rFonts w:hint="eastAsia"/>
                <w:szCs w:val="21"/>
              </w:rPr>
              <w:t>2310-500236-04-05-718601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总投资（万元）</w:t>
            </w:r>
          </w:p>
        </w:tc>
        <w:tc>
          <w:tcPr>
            <w:tcW w:w="2317" w:type="dxa"/>
            <w:vAlign w:val="center"/>
          </w:tcPr>
          <w:p>
            <w:pPr>
              <w:adjustRightInd w:val="0"/>
              <w:snapToGrid w:val="0"/>
              <w:spacing w:line="240" w:lineRule="auto"/>
              <w:ind w:firstLine="0" w:firstLineChars="0"/>
              <w:jc w:val="center"/>
              <w:rPr>
                <w:rFonts w:hint="eastAsia" w:eastAsia="宋体"/>
                <w:szCs w:val="21"/>
                <w:lang w:eastAsia="zh-CN"/>
              </w:rPr>
            </w:pPr>
            <w:r>
              <w:rPr>
                <w:rFonts w:hint="eastAsia"/>
                <w:szCs w:val="21"/>
                <w:lang w:eastAsia="zh-CN"/>
              </w:rPr>
              <w:t>25000</w:t>
            </w:r>
          </w:p>
        </w:tc>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环保投资（万元）</w:t>
            </w:r>
          </w:p>
        </w:tc>
        <w:tc>
          <w:tcPr>
            <w:tcW w:w="2918" w:type="dxa"/>
            <w:gridSpan w:val="2"/>
            <w:vAlign w:val="center"/>
          </w:tcPr>
          <w:p>
            <w:pPr>
              <w:adjustRightInd w:val="0"/>
              <w:snapToGrid w:val="0"/>
              <w:spacing w:line="240" w:lineRule="auto"/>
              <w:ind w:firstLine="0" w:firstLineChars="0"/>
              <w:jc w:val="center"/>
              <w:rPr>
                <w:szCs w:val="21"/>
              </w:rPr>
            </w:pPr>
            <w:r>
              <w:rPr>
                <w:rFonts w:hint="eastAsia"/>
                <w:szCs w:val="21"/>
              </w:rPr>
              <w:t>155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环保投资占比（</w:t>
            </w:r>
            <w:r>
              <w:rPr>
                <w:szCs w:val="21"/>
              </w:rPr>
              <w:t>%</w:t>
            </w:r>
            <w:r>
              <w:rPr>
                <w:rFonts w:hint="eastAsia"/>
                <w:szCs w:val="21"/>
              </w:rPr>
              <w:t>）</w:t>
            </w:r>
          </w:p>
        </w:tc>
        <w:tc>
          <w:tcPr>
            <w:tcW w:w="2317" w:type="dxa"/>
            <w:vAlign w:val="center"/>
          </w:tcPr>
          <w:p>
            <w:pPr>
              <w:adjustRightInd w:val="0"/>
              <w:snapToGrid w:val="0"/>
              <w:spacing w:line="240" w:lineRule="auto"/>
              <w:ind w:firstLine="0" w:firstLineChars="0"/>
              <w:jc w:val="center"/>
              <w:rPr>
                <w:rFonts w:hint="default" w:eastAsia="宋体"/>
                <w:szCs w:val="21"/>
                <w:lang w:val="en-US" w:eastAsia="zh-CN"/>
              </w:rPr>
            </w:pPr>
            <w:r>
              <w:rPr>
                <w:rFonts w:hint="eastAsia"/>
                <w:szCs w:val="21"/>
                <w:lang w:val="en-US" w:eastAsia="zh-CN"/>
              </w:rPr>
              <w:t>0.62</w:t>
            </w:r>
          </w:p>
        </w:tc>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施工工期</w:t>
            </w:r>
          </w:p>
        </w:tc>
        <w:tc>
          <w:tcPr>
            <w:tcW w:w="2918" w:type="dxa"/>
            <w:gridSpan w:val="2"/>
            <w:vAlign w:val="center"/>
          </w:tcPr>
          <w:p>
            <w:pPr>
              <w:adjustRightInd w:val="0"/>
              <w:snapToGrid w:val="0"/>
              <w:spacing w:line="240" w:lineRule="auto"/>
              <w:ind w:firstLine="0" w:firstLineChars="0"/>
              <w:jc w:val="center"/>
              <w:rPr>
                <w:szCs w:val="21"/>
              </w:rPr>
            </w:pPr>
            <w:r>
              <w:rPr>
                <w:rFonts w:hint="eastAsia"/>
                <w:szCs w:val="21"/>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gridSpan w:val="2"/>
            <w:tcMar>
              <w:top w:w="16" w:type="dxa"/>
              <w:left w:w="16" w:type="dxa"/>
              <w:right w:w="16" w:type="dxa"/>
            </w:tcMar>
            <w:vAlign w:val="center"/>
          </w:tcPr>
          <w:p>
            <w:pPr>
              <w:adjustRightInd w:val="0"/>
              <w:snapToGrid w:val="0"/>
              <w:spacing w:line="240" w:lineRule="auto"/>
              <w:ind w:firstLine="0" w:firstLineChars="0"/>
              <w:jc w:val="center"/>
              <w:rPr>
                <w:szCs w:val="21"/>
              </w:rPr>
            </w:pPr>
            <w:r>
              <w:rPr>
                <w:rFonts w:hint="eastAsia"/>
                <w:szCs w:val="21"/>
              </w:rPr>
              <w:t>是否开工建设</w:t>
            </w:r>
          </w:p>
        </w:tc>
        <w:tc>
          <w:tcPr>
            <w:tcW w:w="7001" w:type="dxa"/>
            <w:gridSpan w:val="5"/>
            <w:vAlign w:val="center"/>
          </w:tcPr>
          <w:p>
            <w:pPr>
              <w:adjustRightInd w:val="0"/>
              <w:snapToGrid w:val="0"/>
              <w:spacing w:line="240" w:lineRule="auto"/>
              <w:ind w:firstLine="0" w:firstLineChars="0"/>
              <w:jc w:val="left"/>
              <w:rPr>
                <w:szCs w:val="21"/>
              </w:rPr>
            </w:pPr>
            <w:r>
              <w:rPr>
                <w:rFonts w:hint="eastAsia"/>
                <w:szCs w:val="21"/>
              </w:rPr>
              <w:sym w:font="Wingdings 2" w:char="0052"/>
            </w:r>
            <w:r>
              <w:rPr>
                <w:rFonts w:hint="eastAsia"/>
                <w:szCs w:val="21"/>
              </w:rPr>
              <w:t>否</w:t>
            </w:r>
          </w:p>
          <w:p>
            <w:pPr>
              <w:adjustRightInd w:val="0"/>
              <w:snapToGrid w:val="0"/>
              <w:spacing w:line="240" w:lineRule="auto"/>
              <w:ind w:firstLine="0" w:firstLineChars="0"/>
              <w:jc w:val="left"/>
              <w:rPr>
                <w:szCs w:val="21"/>
              </w:rPr>
            </w:pPr>
            <w:r>
              <w:rPr>
                <w:rFonts w:hint="eastAsia"/>
                <w:szCs w:val="21"/>
              </w:rPr>
              <w:sym w:font="Wingdings 2" w:char="00A3"/>
            </w:r>
            <w:r>
              <w:rPr>
                <w:rFonts w:hint="eastAsia"/>
                <w:szCs w:val="21"/>
              </w:rPr>
              <w:t>是：</w:t>
            </w:r>
            <w:r>
              <w:rPr>
                <w:szCs w:val="21"/>
                <w:u w:val="single"/>
              </w:rPr>
              <w:t xml:space="preserve"> </w:t>
            </w:r>
            <w:r>
              <w:rPr>
                <w:rFonts w:hint="eastAsia"/>
                <w:szCs w:val="21"/>
                <w:u w:val="single"/>
              </w:rPr>
              <w:t xml:space="preserve">                                   </w:t>
            </w:r>
            <w:r>
              <w:rPr>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9"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kern w:val="0"/>
                <w:szCs w:val="21"/>
              </w:rPr>
            </w:pPr>
            <w:r>
              <w:rPr>
                <w:rFonts w:hint="eastAsia"/>
                <w:kern w:val="0"/>
                <w:szCs w:val="21"/>
              </w:rPr>
              <w:t>专项评价设置情况</w:t>
            </w:r>
          </w:p>
        </w:tc>
        <w:tc>
          <w:tcPr>
            <w:tcW w:w="8674" w:type="dxa"/>
            <w:gridSpan w:val="6"/>
            <w:tcMar>
              <w:top w:w="16" w:type="dxa"/>
              <w:left w:w="16" w:type="dxa"/>
              <w:right w:w="16" w:type="dxa"/>
            </w:tcMar>
            <w:vAlign w:val="center"/>
          </w:tcPr>
          <w:p>
            <w:pPr>
              <w:ind w:firstLine="480"/>
            </w:pPr>
            <w:r>
              <w:rPr>
                <w:rFonts w:hint="eastAsia"/>
              </w:rPr>
              <w:t>根据生态环境部发布的《建设项目环境影响评价分类管理名录》（2021年版）和《建设项目环境影响报告编制技术指南（生态影响类）（试行）》（环办环评[2020]33号）（以下简称编制指南），本项目是</w:t>
            </w:r>
            <w:r>
              <w:rPr>
                <w:rFonts w:hint="eastAsia"/>
                <w:lang w:eastAsia="zh-CN"/>
              </w:rPr>
              <w:t>光伏发电项目</w:t>
            </w:r>
            <w:r>
              <w:rPr>
                <w:rFonts w:hint="eastAsia"/>
              </w:rPr>
              <w:t>，属于以生态影响为主要特征的建设项目，不涉及环境敏感区，按照编制指南要求，本项目不需设置地表水、地下水、生态、大气、噪声、环境风险等专项评价，详见下表1-1。</w:t>
            </w:r>
          </w:p>
          <w:p>
            <w:pPr>
              <w:ind w:firstLine="0" w:firstLineChars="0"/>
              <w:jc w:val="center"/>
            </w:pPr>
            <w:r>
              <w:rPr>
                <w:rFonts w:hint="eastAsia"/>
              </w:rPr>
              <w:t>表1-1 项目地表水、生态等专项评价设置要求分析一览表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738"/>
              <w:gridCol w:w="3184"/>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9" w:type="dxa"/>
                  <w:gridSpan w:val="2"/>
                  <w:vAlign w:val="center"/>
                </w:tcPr>
                <w:p>
                  <w:pPr>
                    <w:pStyle w:val="28"/>
                  </w:pPr>
                  <w:r>
                    <w:rPr>
                      <w:rFonts w:hint="eastAsia"/>
                    </w:rPr>
                    <w:t>编制指南要求</w:t>
                  </w:r>
                </w:p>
              </w:tc>
              <w:tc>
                <w:tcPr>
                  <w:tcW w:w="3186" w:type="dxa"/>
                  <w:vMerge w:val="restart"/>
                  <w:vAlign w:val="center"/>
                </w:tcPr>
                <w:p>
                  <w:pPr>
                    <w:pStyle w:val="28"/>
                  </w:pPr>
                  <w:r>
                    <w:rPr>
                      <w:rFonts w:hint="eastAsia"/>
                    </w:rPr>
                    <w:t>本项目符合性</w:t>
                  </w:r>
                </w:p>
              </w:tc>
              <w:tc>
                <w:tcPr>
                  <w:tcW w:w="905" w:type="dxa"/>
                  <w:vMerge w:val="restart"/>
                  <w:vAlign w:val="center"/>
                </w:tcPr>
                <w:p>
                  <w:pPr>
                    <w:pStyle w:val="28"/>
                  </w:pPr>
                  <w:r>
                    <w:rPr>
                      <w:rFonts w:hint="eastAsia"/>
                    </w:rPr>
                    <w:t>是否设置该专项类别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pStyle w:val="28"/>
                  </w:pPr>
                  <w:r>
                    <w:rPr>
                      <w:rFonts w:hint="eastAsia"/>
                    </w:rPr>
                    <w:t>专项评价类型</w:t>
                  </w:r>
                </w:p>
              </w:tc>
              <w:tc>
                <w:tcPr>
                  <w:tcW w:w="3741" w:type="dxa"/>
                  <w:vAlign w:val="center"/>
                </w:tcPr>
                <w:p>
                  <w:pPr>
                    <w:pStyle w:val="28"/>
                  </w:pPr>
                  <w:r>
                    <w:rPr>
                      <w:rFonts w:hint="eastAsia"/>
                    </w:rPr>
                    <w:t>涉及项目类别</w:t>
                  </w:r>
                </w:p>
              </w:tc>
              <w:tc>
                <w:tcPr>
                  <w:tcW w:w="3186" w:type="dxa"/>
                  <w:vMerge w:val="continue"/>
                  <w:vAlign w:val="center"/>
                </w:tcPr>
                <w:p>
                  <w:pPr>
                    <w:pStyle w:val="28"/>
                  </w:pPr>
                </w:p>
              </w:tc>
              <w:tc>
                <w:tcPr>
                  <w:tcW w:w="905"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pStyle w:val="28"/>
                  </w:pPr>
                  <w:r>
                    <w:rPr>
                      <w:rFonts w:hint="eastAsia"/>
                    </w:rPr>
                    <w:t>地表水</w:t>
                  </w:r>
                </w:p>
              </w:tc>
              <w:tc>
                <w:tcPr>
                  <w:tcW w:w="3741" w:type="dxa"/>
                  <w:vAlign w:val="center"/>
                </w:tcPr>
                <w:p>
                  <w:pPr>
                    <w:pStyle w:val="28"/>
                  </w:pPr>
                  <w:r>
                    <w:rPr>
                      <w:rFonts w:hint="eastAsia"/>
                    </w:rPr>
                    <w:t>①水力发电：引水式发电、涉及调峰发电的项目；②人工湖、人工湿地；全部；③水库：全部；④引水工程：全部（配套的管线工程等除外）；⑤防洪除涝工程：包含水库的项目；⑥河湖整治：涉及清淤且底泥存在重金属污染的项目。</w:t>
                  </w:r>
                </w:p>
              </w:tc>
              <w:tc>
                <w:tcPr>
                  <w:tcW w:w="3186" w:type="dxa"/>
                  <w:vAlign w:val="center"/>
                </w:tcPr>
                <w:p>
                  <w:pPr>
                    <w:pStyle w:val="28"/>
                  </w:pPr>
                  <w:r>
                    <w:t>本项目为</w:t>
                  </w:r>
                  <w:r>
                    <w:rPr>
                      <w:rFonts w:hint="eastAsia"/>
                      <w:lang w:eastAsia="zh-CN"/>
                    </w:rPr>
                    <w:t>光伏发电项目</w:t>
                  </w:r>
                  <w:r>
                    <w:t>，场址区域无大型地表水体分布，不涉及水力发电、人工湖、人工湿地、引水工程、防洪除涝工程、河湖整治等建设内容，因此</w:t>
                  </w:r>
                  <w:r>
                    <w:rPr>
                      <w:rFonts w:hint="eastAsia"/>
                    </w:rPr>
                    <w:t>无须设置</w:t>
                  </w:r>
                  <w:r>
                    <w:t>地表水专项评价。</w:t>
                  </w:r>
                </w:p>
              </w:tc>
              <w:tc>
                <w:tcPr>
                  <w:tcW w:w="905" w:type="dxa"/>
                  <w:vAlign w:val="center"/>
                </w:tcPr>
                <w:p>
                  <w:pPr>
                    <w:pStyle w:val="28"/>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pStyle w:val="28"/>
                  </w:pPr>
                  <w:r>
                    <w:rPr>
                      <w:rFonts w:hint="eastAsia"/>
                    </w:rPr>
                    <w:t>地下水</w:t>
                  </w:r>
                </w:p>
              </w:tc>
              <w:tc>
                <w:tcPr>
                  <w:tcW w:w="3741" w:type="dxa"/>
                  <w:vAlign w:val="center"/>
                </w:tcPr>
                <w:p>
                  <w:pPr>
                    <w:pStyle w:val="28"/>
                  </w:pPr>
                  <w:r>
                    <w:t>①陆地石油和天然气开采：全部；②地下水（含矿泉水）开采：全部；③水利、水电、交通等：含穿越可溶岩地层隧道的项目。</w:t>
                  </w:r>
                </w:p>
              </w:tc>
              <w:tc>
                <w:tcPr>
                  <w:tcW w:w="3186" w:type="dxa"/>
                  <w:vAlign w:val="center"/>
                </w:tcPr>
                <w:p>
                  <w:pPr>
                    <w:pStyle w:val="28"/>
                  </w:pPr>
                  <w:r>
                    <w:t>本项目为</w:t>
                  </w:r>
                  <w:r>
                    <w:rPr>
                      <w:rFonts w:hint="eastAsia"/>
                      <w:lang w:val="en-US" w:eastAsia="zh-CN"/>
                    </w:rPr>
                    <w:t>光伏</w:t>
                  </w:r>
                  <w:r>
                    <w:t>发电项目，属于清洁能源范畴，不属于编制指南中规定的涉及地下水的项目类别，因此</w:t>
                  </w:r>
                  <w:r>
                    <w:rPr>
                      <w:rFonts w:hint="eastAsia"/>
                    </w:rPr>
                    <w:t>无须设置</w:t>
                  </w:r>
                  <w:r>
                    <w:t>地下水专项评价。</w:t>
                  </w:r>
                </w:p>
              </w:tc>
              <w:tc>
                <w:tcPr>
                  <w:tcW w:w="905" w:type="dxa"/>
                  <w:vAlign w:val="center"/>
                </w:tcPr>
                <w:p>
                  <w:pPr>
                    <w:pStyle w:val="28"/>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pStyle w:val="28"/>
                  </w:pPr>
                  <w:r>
                    <w:t>生态</w:t>
                  </w:r>
                </w:p>
              </w:tc>
              <w:tc>
                <w:tcPr>
                  <w:tcW w:w="3741" w:type="dxa"/>
                  <w:vAlign w:val="center"/>
                </w:tcPr>
                <w:p>
                  <w:pPr>
                    <w:pStyle w:val="28"/>
                  </w:pPr>
                  <w:r>
                    <w:t>涉及环境敏感区（不包括饮用水水源保护区，以居住、医疗卫生、文化教育、科研、行政办公为主要功能的区域，以及文物保护单位）的项目。</w:t>
                  </w:r>
                </w:p>
              </w:tc>
              <w:tc>
                <w:tcPr>
                  <w:tcW w:w="3186" w:type="dxa"/>
                  <w:vAlign w:val="center"/>
                </w:tcPr>
                <w:p>
                  <w:pPr>
                    <w:pStyle w:val="28"/>
                  </w:pPr>
                  <w:r>
                    <w:t>根据现场调查和向当地主管部门核实，本项目不涉及国家公园、自然保护区、风景名胜区、生态保护红线等环境敏感区，因此本项目</w:t>
                  </w:r>
                  <w:r>
                    <w:rPr>
                      <w:rFonts w:hint="eastAsia"/>
                    </w:rPr>
                    <w:t>无须设置</w:t>
                  </w:r>
                  <w:r>
                    <w:t>生态专项。</w:t>
                  </w:r>
                </w:p>
              </w:tc>
              <w:tc>
                <w:tcPr>
                  <w:tcW w:w="905" w:type="dxa"/>
                  <w:vAlign w:val="center"/>
                </w:tcPr>
                <w:p>
                  <w:pPr>
                    <w:pStyle w:val="28"/>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pStyle w:val="28"/>
                  </w:pPr>
                  <w:r>
                    <w:t>大气</w:t>
                  </w:r>
                </w:p>
              </w:tc>
              <w:tc>
                <w:tcPr>
                  <w:tcW w:w="3741" w:type="dxa"/>
                  <w:vAlign w:val="center"/>
                </w:tcPr>
                <w:p>
                  <w:pPr>
                    <w:pStyle w:val="28"/>
                  </w:pPr>
                  <w:r>
                    <w:t>①油气、液体化工码头：全部；②干散货（含煤炭矿石）、件杂、多用途、通用码头：涉及粉尘、挥发性有机物排放的项目。</w:t>
                  </w:r>
                </w:p>
              </w:tc>
              <w:tc>
                <w:tcPr>
                  <w:tcW w:w="3186" w:type="dxa"/>
                  <w:vAlign w:val="center"/>
                </w:tcPr>
                <w:p>
                  <w:pPr>
                    <w:pStyle w:val="28"/>
                  </w:pPr>
                  <w:r>
                    <w:t>本项目为光伏发电工程，运行期不涉及粉尘、挥发性有机物排放，不属于编制指南中规定的涉及大气污染的项目，因此本项目无需设置大气专项评价。</w:t>
                  </w:r>
                </w:p>
              </w:tc>
              <w:tc>
                <w:tcPr>
                  <w:tcW w:w="905" w:type="dxa"/>
                  <w:vAlign w:val="center"/>
                </w:tcPr>
                <w:p>
                  <w:pPr>
                    <w:pStyle w:val="28"/>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pStyle w:val="28"/>
                  </w:pPr>
                  <w:r>
                    <w:t>噪声</w:t>
                  </w:r>
                </w:p>
              </w:tc>
              <w:tc>
                <w:tcPr>
                  <w:tcW w:w="3741" w:type="dxa"/>
                  <w:vAlign w:val="center"/>
                </w:tcPr>
                <w:p>
                  <w:pPr>
                    <w:pStyle w:val="28"/>
                  </w:pPr>
                  <w:r>
                    <w:t>①公路、铁路、机场等交通运输业涉及环境敏感区（以居住、医疗卫生、文化教育、科研、行政办公为主要功能的区域）的项目；②城市道路（不含维护，不含支路、人行天桥、人行地道）：全部</w:t>
                  </w:r>
                </w:p>
              </w:tc>
              <w:tc>
                <w:tcPr>
                  <w:tcW w:w="3186" w:type="dxa"/>
                  <w:vAlign w:val="center"/>
                </w:tcPr>
                <w:p>
                  <w:pPr>
                    <w:pStyle w:val="28"/>
                  </w:pPr>
                  <w:r>
                    <w:t>本项目场内道路不涉及编制指南中规定的环境敏感区，本项目不属于公路、铁路、机场等交通运输业，也不属于城市道路，因此本项目</w:t>
                  </w:r>
                  <w:r>
                    <w:rPr>
                      <w:rFonts w:hint="eastAsia"/>
                    </w:rPr>
                    <w:t>无须设置</w:t>
                  </w:r>
                  <w:r>
                    <w:t>噪声专项评价。</w:t>
                  </w:r>
                </w:p>
              </w:tc>
              <w:tc>
                <w:tcPr>
                  <w:tcW w:w="905" w:type="dxa"/>
                  <w:vAlign w:val="center"/>
                </w:tcPr>
                <w:p>
                  <w:pPr>
                    <w:pStyle w:val="28"/>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pStyle w:val="28"/>
                  </w:pPr>
                  <w:r>
                    <w:t>环境风险</w:t>
                  </w:r>
                </w:p>
              </w:tc>
              <w:tc>
                <w:tcPr>
                  <w:tcW w:w="3741" w:type="dxa"/>
                  <w:vAlign w:val="center"/>
                </w:tcPr>
                <w:p>
                  <w:pPr>
                    <w:pStyle w:val="28"/>
                  </w:pPr>
                  <w:r>
                    <w:t>①石油和天然气开采：全部；②油气、液体化工码头：全部；③原油、成品油、天然气管线（不含城镇天然气管线、企业厂区内管线），危险化学品输送管线（不含企业厂区内管线）：全部</w:t>
                  </w:r>
                </w:p>
              </w:tc>
              <w:tc>
                <w:tcPr>
                  <w:tcW w:w="3186" w:type="dxa"/>
                  <w:vAlign w:val="center"/>
                </w:tcPr>
                <w:p>
                  <w:pPr>
                    <w:pStyle w:val="28"/>
                  </w:pPr>
                  <w:r>
                    <w:t>本项目为光伏发电工程，不属于编制指南中规定的涉及石油和天然气开采等环境风险的项目类别，因此</w:t>
                  </w:r>
                  <w:r>
                    <w:rPr>
                      <w:rFonts w:hint="eastAsia"/>
                    </w:rPr>
                    <w:t>无须设置</w:t>
                  </w:r>
                  <w:r>
                    <w:t>环境风险专项评价。</w:t>
                  </w:r>
                </w:p>
              </w:tc>
              <w:tc>
                <w:tcPr>
                  <w:tcW w:w="905" w:type="dxa"/>
                  <w:vAlign w:val="center"/>
                </w:tcPr>
                <w:p>
                  <w:pPr>
                    <w:pStyle w:val="28"/>
                  </w:pPr>
                  <w:r>
                    <w:t>否</w:t>
                  </w:r>
                </w:p>
              </w:tc>
            </w:tr>
          </w:tbl>
          <w:p>
            <w:pPr>
              <w:pStyle w:val="29"/>
              <w:ind w:firstLine="480"/>
            </w:pPr>
            <w:r>
              <w:t>鉴于本项目建设内容包含</w:t>
            </w:r>
            <w:r>
              <w:rPr>
                <w:rFonts w:hint="eastAsia"/>
              </w:rPr>
              <w:t>11</w:t>
            </w:r>
            <w:r>
              <w:t>0kV升压站工程，存在电磁环境影响，依据《环境影响评价技术</w:t>
            </w:r>
            <w:r>
              <w:rPr>
                <w:rFonts w:hint="eastAsia"/>
              </w:rPr>
              <w:t xml:space="preserve">导则 </w:t>
            </w:r>
            <w:r>
              <w:t>输变电》（HJ24-2020）“B2.1”设置</w:t>
            </w:r>
            <w:r>
              <w:rPr>
                <w:rFonts w:hint="eastAsia"/>
                <w:lang w:eastAsia="zh-CN"/>
              </w:rPr>
              <w:t>专题评价</w:t>
            </w:r>
            <w:r>
              <w:t>，需设置电磁环境影响</w:t>
            </w:r>
            <w:r>
              <w:rPr>
                <w:rFonts w:hint="eastAsia"/>
                <w:lang w:eastAsia="zh-CN"/>
              </w:rPr>
              <w:t>专题评价</w:t>
            </w:r>
            <w:r>
              <w:t>。</w:t>
            </w:r>
            <w:r>
              <w:rPr>
                <w:rFonts w:hint="eastAsia"/>
              </w:rPr>
              <w:t>因此，本项目设置《</w:t>
            </w:r>
            <w:r>
              <w:rPr>
                <w:rFonts w:hint="eastAsia"/>
                <w:szCs w:val="21"/>
              </w:rPr>
              <w:t>奉节新民永乐光伏发电项目电磁环境影响</w:t>
            </w:r>
            <w:r>
              <w:rPr>
                <w:rFonts w:hint="eastAsia"/>
                <w:szCs w:val="21"/>
                <w:lang w:eastAsia="zh-CN"/>
              </w:rPr>
              <w:t>专题评价</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9"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kern w:val="0"/>
                <w:szCs w:val="21"/>
              </w:rPr>
            </w:pPr>
            <w:r>
              <w:rPr>
                <w:rFonts w:hint="eastAsia"/>
                <w:szCs w:val="21"/>
              </w:rPr>
              <w:t>规划情况</w:t>
            </w:r>
          </w:p>
        </w:tc>
        <w:tc>
          <w:tcPr>
            <w:tcW w:w="8674" w:type="dxa"/>
            <w:gridSpan w:val="6"/>
            <w:tcMar>
              <w:top w:w="16" w:type="dxa"/>
              <w:left w:w="16" w:type="dxa"/>
              <w:right w:w="16" w:type="dxa"/>
            </w:tcMar>
            <w:vAlign w:val="center"/>
          </w:tcPr>
          <w:p>
            <w:pPr>
              <w:pStyle w:val="29"/>
              <w:ind w:firstLine="0" w:firstLineChars="0"/>
            </w:pPr>
            <w:r>
              <w:rPr>
                <w:rFonts w:hint="eastAsia"/>
              </w:rPr>
              <w:t>规划名称：《重庆市“十四五”电力发展规划》；</w:t>
            </w:r>
          </w:p>
          <w:p>
            <w:pPr>
              <w:pStyle w:val="29"/>
              <w:ind w:firstLine="0" w:firstLineChars="0"/>
            </w:pPr>
            <w:r>
              <w:rPr>
                <w:rFonts w:hint="eastAsia"/>
              </w:rPr>
              <w:t>审批机关：重庆市发展和改革委员会、重庆市能源局；</w:t>
            </w:r>
          </w:p>
          <w:p>
            <w:pPr>
              <w:pStyle w:val="29"/>
              <w:ind w:firstLine="0" w:firstLineChars="0"/>
            </w:pPr>
            <w:r>
              <w:rPr>
                <w:rFonts w:hint="eastAsia"/>
              </w:rPr>
              <w:t>审批文件名称及文号：《重庆市发展和改革委员会、重庆市能源局关于印发重庆市“十四五”电力发展规划（2021～2025年）的通知》（渝发改能源[2022]674号）。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9"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kern w:val="0"/>
                <w:szCs w:val="21"/>
              </w:rPr>
            </w:pPr>
            <w:r>
              <w:rPr>
                <w:rFonts w:hint="eastAsia"/>
                <w:szCs w:val="21"/>
              </w:rPr>
              <w:t>规划环境影响评价情况</w:t>
            </w:r>
          </w:p>
        </w:tc>
        <w:tc>
          <w:tcPr>
            <w:tcW w:w="8674" w:type="dxa"/>
            <w:gridSpan w:val="6"/>
            <w:tcMar>
              <w:top w:w="16" w:type="dxa"/>
              <w:left w:w="16" w:type="dxa"/>
              <w:right w:w="16" w:type="dxa"/>
            </w:tcMar>
            <w:vAlign w:val="center"/>
          </w:tcPr>
          <w:p>
            <w:pPr>
              <w:pStyle w:val="29"/>
              <w:ind w:firstLine="480"/>
            </w:pPr>
            <w:r>
              <w:rPr>
                <w:rFonts w:hint="eastAsia"/>
              </w:rPr>
              <w:t>规划环评名称：《重庆市“十四五”电力发展规划（2021～2025年）环境影响报告书》；</w:t>
            </w:r>
          </w:p>
          <w:p>
            <w:pPr>
              <w:pStyle w:val="29"/>
              <w:ind w:firstLine="480"/>
            </w:pPr>
            <w:r>
              <w:rPr>
                <w:rFonts w:hint="eastAsia"/>
              </w:rPr>
              <w:t>审批机关：重庆市生态环境局；</w:t>
            </w:r>
          </w:p>
          <w:p>
            <w:pPr>
              <w:pStyle w:val="29"/>
              <w:ind w:firstLine="480"/>
            </w:pPr>
            <w:r>
              <w:rPr>
                <w:rFonts w:hint="eastAsia"/>
              </w:rPr>
              <w:t>审查文件名称及文号：《重庆市生态环境局关于重庆市“十四五”电力发展规划（2021～2025年）环境影响报告书审查意见的函》（渝环函[2023]365号）。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9"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kern w:val="0"/>
                <w:szCs w:val="21"/>
              </w:rPr>
            </w:pPr>
            <w:r>
              <w:rPr>
                <w:rFonts w:hint="eastAsia"/>
                <w:kern w:val="0"/>
                <w:szCs w:val="21"/>
              </w:rPr>
              <w:t>规划及</w:t>
            </w:r>
            <w:r>
              <w:rPr>
                <w:rFonts w:hint="eastAsia"/>
                <w:szCs w:val="21"/>
              </w:rPr>
              <w:t>规划环境影响评价</w:t>
            </w:r>
            <w:r>
              <w:rPr>
                <w:rFonts w:hint="eastAsia"/>
                <w:kern w:val="0"/>
                <w:szCs w:val="21"/>
              </w:rPr>
              <w:t>符合性分析</w:t>
            </w:r>
          </w:p>
        </w:tc>
        <w:tc>
          <w:tcPr>
            <w:tcW w:w="8674" w:type="dxa"/>
            <w:gridSpan w:val="6"/>
            <w:tcMar>
              <w:top w:w="16" w:type="dxa"/>
              <w:left w:w="16" w:type="dxa"/>
              <w:right w:w="16" w:type="dxa"/>
            </w:tcMar>
            <w:vAlign w:val="center"/>
          </w:tcPr>
          <w:p>
            <w:pPr>
              <w:pStyle w:val="29"/>
              <w:ind w:firstLine="482"/>
              <w:rPr>
                <w:b/>
                <w:bCs/>
              </w:rPr>
            </w:pPr>
            <w:r>
              <w:rPr>
                <w:b/>
                <w:bCs/>
              </w:rPr>
              <w:t>1.1</w:t>
            </w:r>
            <w:r>
              <w:rPr>
                <w:rFonts w:hint="eastAsia"/>
                <w:b/>
                <w:bCs/>
              </w:rPr>
              <w:t xml:space="preserve"> 与《重庆市</w:t>
            </w:r>
            <w:r>
              <w:rPr>
                <w:b/>
                <w:bCs/>
              </w:rPr>
              <w:t>“</w:t>
            </w:r>
            <w:r>
              <w:rPr>
                <w:rFonts w:hint="eastAsia"/>
                <w:b/>
                <w:bCs/>
              </w:rPr>
              <w:t>十四五</w:t>
            </w:r>
            <w:r>
              <w:rPr>
                <w:b/>
                <w:bCs/>
              </w:rPr>
              <w:t>”</w:t>
            </w:r>
            <w:r>
              <w:rPr>
                <w:rFonts w:hint="eastAsia"/>
                <w:b/>
                <w:bCs/>
              </w:rPr>
              <w:t>电力发展规划》符合性分析</w:t>
            </w:r>
          </w:p>
          <w:p>
            <w:pPr>
              <w:pStyle w:val="29"/>
              <w:ind w:firstLine="480"/>
            </w:pPr>
            <w:r>
              <w:rPr>
                <w:rFonts w:hint="eastAsia"/>
              </w:rPr>
              <w:t>《重庆市</w:t>
            </w:r>
            <w:r>
              <w:t>“</w:t>
            </w:r>
            <w:r>
              <w:rPr>
                <w:rFonts w:hint="eastAsia"/>
              </w:rPr>
              <w:t>十四五</w:t>
            </w:r>
            <w:r>
              <w:t>”</w:t>
            </w:r>
            <w:r>
              <w:rPr>
                <w:rFonts w:hint="eastAsia"/>
              </w:rPr>
              <w:t>电力发展规划》规划期限为</w:t>
            </w:r>
            <w:r>
              <w:t>2021</w:t>
            </w:r>
            <w:r>
              <w:rPr>
                <w:rFonts w:hint="eastAsia"/>
              </w:rPr>
              <w:t>～</w:t>
            </w:r>
            <w:r>
              <w:t>2025</w:t>
            </w:r>
            <w:r>
              <w:rPr>
                <w:rFonts w:hint="eastAsia"/>
              </w:rPr>
              <w:t>年，根据该规划：三、构建多元安全的电力供给体系，（一）保障电源供给可靠稳定：挖掘可再生能源发展潜力。坚持集中式与分布式并举，科学发展风光发电，有序推进黔江、南川、武隆、开州、城口、丰都、云阳、奉节、巫山、巫溪、石柱、秀山、酉阳、彭水等地风电、光伏项目建设。</w:t>
            </w:r>
          </w:p>
          <w:p>
            <w:pPr>
              <w:pStyle w:val="29"/>
              <w:ind w:firstLine="480"/>
            </w:pPr>
            <w:r>
              <w:rPr>
                <w:rFonts w:hint="eastAsia"/>
              </w:rPr>
              <w:t>本项目为光伏发电项目建设，位于重庆市奉节县新民镇，故项目的建设符合《重庆市</w:t>
            </w:r>
            <w:r>
              <w:t>“</w:t>
            </w:r>
            <w:r>
              <w:rPr>
                <w:rFonts w:hint="eastAsia"/>
              </w:rPr>
              <w:t>十四五</w:t>
            </w:r>
            <w:r>
              <w:t>”</w:t>
            </w:r>
            <w:r>
              <w:rPr>
                <w:rFonts w:hint="eastAsia"/>
              </w:rPr>
              <w:t>电力发展规划》要求。</w:t>
            </w:r>
          </w:p>
          <w:p>
            <w:pPr>
              <w:pStyle w:val="29"/>
              <w:ind w:firstLine="482"/>
            </w:pPr>
            <w:r>
              <w:rPr>
                <w:b/>
                <w:bCs/>
              </w:rPr>
              <w:t>1.2</w:t>
            </w:r>
            <w:r>
              <w:rPr>
                <w:rFonts w:hint="eastAsia"/>
                <w:b/>
                <w:bCs/>
              </w:rPr>
              <w:t xml:space="preserve"> 与《重庆市</w:t>
            </w:r>
            <w:r>
              <w:rPr>
                <w:b/>
                <w:bCs/>
              </w:rPr>
              <w:t>“</w:t>
            </w:r>
            <w:r>
              <w:rPr>
                <w:rFonts w:hint="eastAsia"/>
                <w:b/>
                <w:bCs/>
              </w:rPr>
              <w:t>十四五</w:t>
            </w:r>
            <w:r>
              <w:rPr>
                <w:b/>
                <w:bCs/>
              </w:rPr>
              <w:t>”</w:t>
            </w:r>
            <w:r>
              <w:rPr>
                <w:rFonts w:hint="eastAsia"/>
                <w:b/>
                <w:bCs/>
              </w:rPr>
              <w:t>可再生能源发展规划（</w:t>
            </w:r>
            <w:r>
              <w:rPr>
                <w:b/>
                <w:bCs/>
              </w:rPr>
              <w:t>2021</w:t>
            </w:r>
            <w:r>
              <w:rPr>
                <w:rFonts w:hint="eastAsia"/>
                <w:b/>
                <w:bCs/>
              </w:rPr>
              <w:t>—</w:t>
            </w:r>
            <w:r>
              <w:rPr>
                <w:b/>
                <w:bCs/>
              </w:rPr>
              <w:t>2025</w:t>
            </w:r>
            <w:r>
              <w:rPr>
                <w:rFonts w:hint="eastAsia"/>
                <w:b/>
                <w:bCs/>
              </w:rPr>
              <w:t>年）》符合性</w:t>
            </w:r>
          </w:p>
          <w:p>
            <w:pPr>
              <w:pStyle w:val="29"/>
              <w:ind w:firstLine="480"/>
            </w:pPr>
            <w:r>
              <w:rPr>
                <w:rFonts w:hint="eastAsia"/>
              </w:rPr>
              <w:t>该规划提出的目标之一：全面推进分布式光伏开发，重点推进工业园区、公共建筑等屋顶光伏开发利用，积极推进整县（区）屋顶分布式光伏开发，开展光伏新村试点。加快推进集中式光伏电站建设，鼓励农（牧）光互补等复合开发模式，集约化用林用地，最大程度减少对生态环境影响。积极服务乡村振兴，鼓励</w:t>
            </w:r>
            <w:r>
              <w:t>“</w:t>
            </w:r>
            <w:r>
              <w:rPr>
                <w:rFonts w:hint="eastAsia"/>
              </w:rPr>
              <w:t>光伏</w:t>
            </w:r>
            <w:r>
              <w:t>+”</w:t>
            </w:r>
            <w:r>
              <w:rPr>
                <w:rFonts w:hint="eastAsia"/>
              </w:rPr>
              <w:t>等开发模式</w:t>
            </w:r>
            <w:r>
              <w:t>……</w:t>
            </w:r>
          </w:p>
          <w:p>
            <w:pPr>
              <w:pStyle w:val="29"/>
              <w:ind w:firstLine="480"/>
            </w:pPr>
            <w:r>
              <w:rPr>
                <w:rFonts w:hint="eastAsia"/>
              </w:rPr>
              <w:t>本项目属于奉节县境内布局的集中式光伏项目，符合《重庆市</w:t>
            </w:r>
            <w:r>
              <w:t>“</w:t>
            </w:r>
            <w:r>
              <w:rPr>
                <w:rFonts w:hint="eastAsia"/>
              </w:rPr>
              <w:t>十四五</w:t>
            </w:r>
            <w:r>
              <w:t>”</w:t>
            </w:r>
            <w:r>
              <w:rPr>
                <w:rFonts w:hint="eastAsia"/>
              </w:rPr>
              <w:t>可再生能源发展规划（</w:t>
            </w:r>
            <w:r>
              <w:t>2021</w:t>
            </w:r>
            <w:r>
              <w:rPr>
                <w:rFonts w:hint="eastAsia"/>
              </w:rPr>
              <w:t>—</w:t>
            </w:r>
            <w:r>
              <w:t>2025</w:t>
            </w:r>
            <w:r>
              <w:rPr>
                <w:rFonts w:hint="eastAsia"/>
              </w:rPr>
              <w:t>年）》的相关发展目标。</w:t>
            </w:r>
          </w:p>
          <w:p>
            <w:pPr>
              <w:pStyle w:val="29"/>
              <w:ind w:firstLine="482"/>
              <w:rPr>
                <w:b/>
                <w:bCs/>
              </w:rPr>
            </w:pPr>
            <w:r>
              <w:rPr>
                <w:b/>
                <w:bCs/>
              </w:rPr>
              <w:t>1.3</w:t>
            </w:r>
            <w:r>
              <w:rPr>
                <w:rFonts w:hint="eastAsia"/>
                <w:b/>
                <w:bCs/>
              </w:rPr>
              <w:t xml:space="preserve"> 与《重庆市</w:t>
            </w:r>
            <w:r>
              <w:rPr>
                <w:b/>
                <w:bCs/>
              </w:rPr>
              <w:t>“</w:t>
            </w:r>
            <w:r>
              <w:rPr>
                <w:rFonts w:hint="eastAsia"/>
                <w:b/>
                <w:bCs/>
              </w:rPr>
              <w:t>十四五</w:t>
            </w:r>
            <w:r>
              <w:rPr>
                <w:b/>
                <w:bCs/>
              </w:rPr>
              <w:t>”</w:t>
            </w:r>
            <w:r>
              <w:rPr>
                <w:rFonts w:hint="eastAsia"/>
                <w:b/>
                <w:bCs/>
              </w:rPr>
              <w:t>电力发展规划（</w:t>
            </w:r>
            <w:r>
              <w:rPr>
                <w:b/>
                <w:bCs/>
              </w:rPr>
              <w:t>2021</w:t>
            </w:r>
            <w:r>
              <w:rPr>
                <w:rFonts w:hint="eastAsia"/>
                <w:b/>
                <w:bCs/>
              </w:rPr>
              <w:t>—</w:t>
            </w:r>
            <w:r>
              <w:rPr>
                <w:b/>
                <w:bCs/>
              </w:rPr>
              <w:t>2025</w:t>
            </w:r>
            <w:r>
              <w:rPr>
                <w:rFonts w:hint="eastAsia"/>
                <w:b/>
                <w:bCs/>
              </w:rPr>
              <w:t>年）环境影响报告书》符合性分析</w:t>
            </w:r>
          </w:p>
          <w:p>
            <w:pPr>
              <w:pStyle w:val="29"/>
              <w:ind w:firstLine="480"/>
            </w:pPr>
            <w:r>
              <w:rPr>
                <w:rFonts w:hint="eastAsia"/>
              </w:rPr>
              <w:t>《重庆市</w:t>
            </w:r>
            <w:r>
              <w:t>“</w:t>
            </w:r>
            <w:r>
              <w:rPr>
                <w:rFonts w:hint="eastAsia"/>
              </w:rPr>
              <w:t>十四五</w:t>
            </w:r>
            <w:r>
              <w:t>”</w:t>
            </w:r>
            <w:r>
              <w:rPr>
                <w:rFonts w:hint="eastAsia"/>
              </w:rPr>
              <w:t>电力发展规划（</w:t>
            </w:r>
            <w:r>
              <w:t>2021</w:t>
            </w:r>
            <w:r>
              <w:rPr>
                <w:rFonts w:hint="eastAsia"/>
              </w:rPr>
              <w:t>—</w:t>
            </w:r>
            <w:r>
              <w:t>2025</w:t>
            </w:r>
            <w:r>
              <w:rPr>
                <w:rFonts w:hint="eastAsia"/>
              </w:rPr>
              <w:t>年）环境影响报告书》中：针对太阳能发电对生态环境影响提出的减缓对策和措施如下：太阳能选址、选线，避让生态保护红线、世界自然遗产地、自然保护区、风景名胜区、森林公园等生态环境敏感区。太阳能施工道路尽量利用已有道路，减少永久占地面积，最大限度地减少对地表植被的生态破坏；工程用地应当尽量选在荒地、未利用地，尽量避免占用或从成片林地中穿过，禁止穿越自然保护区及法律法规规定的其他禁止建设区。</w:t>
            </w:r>
          </w:p>
          <w:p>
            <w:pPr>
              <w:pStyle w:val="29"/>
              <w:ind w:firstLine="480"/>
            </w:pPr>
            <w:r>
              <w:rPr>
                <w:rFonts w:hint="eastAsia"/>
              </w:rPr>
              <w:t>本项目在设计、选址阶段已避开了各类生态敏感区，并在环评报告中提出了针对性的生态环境保护措施以减缓生态影响。且本项目拟建地周边交通便利，施工道路可利用已有道路。</w:t>
            </w:r>
          </w:p>
          <w:p>
            <w:pPr>
              <w:pStyle w:val="29"/>
              <w:ind w:firstLine="480"/>
            </w:pPr>
            <w:r>
              <w:rPr>
                <w:rFonts w:hint="eastAsia"/>
              </w:rPr>
              <w:t>故本项目的建设符合《重庆市“十四五”电力发展规划（2021—2025年）环境影响报告书》的要求。</w:t>
            </w:r>
          </w:p>
          <w:p>
            <w:pPr>
              <w:pStyle w:val="29"/>
              <w:ind w:firstLine="482"/>
              <w:rPr>
                <w:b/>
                <w:bCs/>
              </w:rPr>
            </w:pPr>
            <w:r>
              <w:rPr>
                <w:rFonts w:hint="eastAsia"/>
                <w:b/>
                <w:bCs/>
              </w:rPr>
              <w:t>1.4 与《重庆市生态环境局关于重庆市“十四五”电力发展规划（2021—2025年）环境影响报告书审查意见的函》（渝环函[2023]365号）符合性分析</w:t>
            </w:r>
          </w:p>
          <w:p>
            <w:pPr>
              <w:pStyle w:val="29"/>
              <w:ind w:firstLine="480"/>
            </w:pPr>
            <w:r>
              <w:rPr>
                <w:rFonts w:hint="eastAsia"/>
              </w:rPr>
              <w:t>本项目与渝环函[2023]365号文件的符合性分析如下：</w:t>
            </w:r>
          </w:p>
          <w:p>
            <w:pPr>
              <w:pStyle w:val="29"/>
              <w:ind w:firstLine="0" w:firstLineChars="0"/>
              <w:jc w:val="center"/>
            </w:pPr>
            <w:r>
              <w:rPr>
                <w:rFonts w:hint="eastAsia"/>
              </w:rPr>
              <w:t>表1-2  项目与渝环函[2023]365号文件符合性分析表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3880"/>
              <w:gridCol w:w="2592"/>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vAlign w:val="center"/>
                </w:tcPr>
                <w:p>
                  <w:pPr>
                    <w:pStyle w:val="28"/>
                  </w:pPr>
                  <w:r>
                    <w:rPr>
                      <w:rFonts w:hint="eastAsia"/>
                    </w:rPr>
                    <w:t>方向</w:t>
                  </w:r>
                </w:p>
              </w:tc>
              <w:tc>
                <w:tcPr>
                  <w:tcW w:w="3882" w:type="dxa"/>
                  <w:vAlign w:val="center"/>
                </w:tcPr>
                <w:p>
                  <w:pPr>
                    <w:pStyle w:val="28"/>
                  </w:pPr>
                  <w:r>
                    <w:rPr>
                      <w:rFonts w:hint="eastAsia"/>
                    </w:rPr>
                    <w:t>相关要求</w:t>
                  </w:r>
                </w:p>
              </w:tc>
              <w:tc>
                <w:tcPr>
                  <w:tcW w:w="2594" w:type="dxa"/>
                  <w:vAlign w:val="center"/>
                </w:tcPr>
                <w:p>
                  <w:pPr>
                    <w:pStyle w:val="28"/>
                  </w:pPr>
                  <w:r>
                    <w:rPr>
                      <w:rFonts w:hint="eastAsia"/>
                    </w:rPr>
                    <w:t>项目情况</w:t>
                  </w:r>
                </w:p>
              </w:tc>
              <w:tc>
                <w:tcPr>
                  <w:tcW w:w="893" w:type="dxa"/>
                  <w:vAlign w:val="center"/>
                </w:tcPr>
                <w:p>
                  <w:pPr>
                    <w:pStyle w:val="28"/>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vAlign w:val="center"/>
                </w:tcPr>
                <w:p>
                  <w:pPr>
                    <w:pStyle w:val="28"/>
                  </w:pPr>
                  <w:r>
                    <w:rPr>
                      <w:rFonts w:hint="eastAsia"/>
                    </w:rPr>
                    <w:t>严格保护生态空间，优化规划空间布局</w:t>
                  </w:r>
                </w:p>
              </w:tc>
              <w:tc>
                <w:tcPr>
                  <w:tcW w:w="3882" w:type="dxa"/>
                  <w:vAlign w:val="center"/>
                </w:tcPr>
                <w:p>
                  <w:pPr>
                    <w:pStyle w:val="28"/>
                  </w:pPr>
                  <w:r>
                    <w:t>优化项目布局选址，避让生态保护红线、自然保护区、风景名胜区、森林公园等生态敏感区；涉及一般生态空间的项目应严格控制占地范围，采取相应的环境保护和生态修复措施，保证生态系统结构功能不受破坏</w:t>
                  </w:r>
                </w:p>
              </w:tc>
              <w:tc>
                <w:tcPr>
                  <w:tcW w:w="2594" w:type="dxa"/>
                  <w:vAlign w:val="center"/>
                </w:tcPr>
                <w:p>
                  <w:pPr>
                    <w:pStyle w:val="28"/>
                  </w:pPr>
                  <w:r>
                    <w:t>项目选址不涉及生态保护红线、自然保护区等生态敏感区。</w:t>
                  </w:r>
                </w:p>
              </w:tc>
              <w:tc>
                <w:tcPr>
                  <w:tcW w:w="893" w:type="dxa"/>
                  <w:vAlign w:val="center"/>
                </w:tcPr>
                <w:p>
                  <w:pPr>
                    <w:pStyle w:val="28"/>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vAlign w:val="center"/>
                </w:tcPr>
                <w:p>
                  <w:pPr>
                    <w:pStyle w:val="28"/>
                  </w:pPr>
                  <w:r>
                    <w:rPr>
                      <w:rFonts w:hint="eastAsia"/>
                    </w:rPr>
                    <w:t>完善生态影响减缓措施，落实生态补偿机制</w:t>
                  </w:r>
                </w:p>
              </w:tc>
              <w:tc>
                <w:tcPr>
                  <w:tcW w:w="3882" w:type="dxa"/>
                  <w:vAlign w:val="center"/>
                </w:tcPr>
                <w:p>
                  <w:pPr>
                    <w:pStyle w:val="28"/>
                  </w:pPr>
                  <w:r>
                    <w:t>严格控制占地面积和施工范围，合理规划临时施工设施布置，减少生态环境破坏和扰动范围；尽量利用现有或结合规划森林防火通道、现有道路进行施工运输；强化施工管理，合理安排施工时序；严格落实边坡防护等水土保持措施，及时开展临时用地表土回覆、植被恢复并确保恢复效果良好</w:t>
                  </w:r>
                </w:p>
              </w:tc>
              <w:tc>
                <w:tcPr>
                  <w:tcW w:w="2594" w:type="dxa"/>
                  <w:vAlign w:val="center"/>
                </w:tcPr>
                <w:p>
                  <w:pPr>
                    <w:pStyle w:val="28"/>
                  </w:pPr>
                  <w:r>
                    <w:t>本项目施工范围均控制在租地范围内，临时施工营地租用周边控空置民房，不新增用地；本项目拟建地周边交通便利，施工道路利用已有道路；合理安排施工时序；施工完成后及时回覆表土并恢复植被，减少对生态的破坏</w:t>
                  </w:r>
                </w:p>
              </w:tc>
              <w:tc>
                <w:tcPr>
                  <w:tcW w:w="893" w:type="dxa"/>
                  <w:vAlign w:val="center"/>
                </w:tcPr>
                <w:p>
                  <w:pPr>
                    <w:pStyle w:val="28"/>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vAlign w:val="center"/>
                </w:tcPr>
                <w:p>
                  <w:pPr>
                    <w:pStyle w:val="28"/>
                  </w:pPr>
                  <w:r>
                    <w:rPr>
                      <w:rFonts w:hint="eastAsia"/>
                    </w:rPr>
                    <w:t>碳排放管理</w:t>
                  </w:r>
                </w:p>
              </w:tc>
              <w:tc>
                <w:tcPr>
                  <w:tcW w:w="3882" w:type="dxa"/>
                  <w:vAlign w:val="center"/>
                </w:tcPr>
                <w:p>
                  <w:pPr>
                    <w:pStyle w:val="28"/>
                  </w:pPr>
                  <w:r>
                    <w:rPr>
                      <w:rFonts w:hint="eastAsia"/>
                    </w:rPr>
                    <w:t>优化能源结构，积极发展风电、光伏等新能源</w:t>
                  </w:r>
                </w:p>
              </w:tc>
              <w:tc>
                <w:tcPr>
                  <w:tcW w:w="2594" w:type="dxa"/>
                  <w:vAlign w:val="center"/>
                </w:tcPr>
                <w:p>
                  <w:pPr>
                    <w:pStyle w:val="28"/>
                  </w:pPr>
                  <w:r>
                    <w:t>本项目属于光伏发电项目建设。</w:t>
                  </w:r>
                </w:p>
              </w:tc>
              <w:tc>
                <w:tcPr>
                  <w:tcW w:w="893" w:type="dxa"/>
                  <w:vAlign w:val="center"/>
                </w:tcPr>
                <w:p>
                  <w:pPr>
                    <w:pStyle w:val="28"/>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vAlign w:val="center"/>
                </w:tcPr>
                <w:p>
                  <w:pPr>
                    <w:pStyle w:val="28"/>
                  </w:pPr>
                  <w:r>
                    <w:rPr>
                      <w:rFonts w:hint="eastAsia"/>
                    </w:rPr>
                    <w:t>规范环境管理</w:t>
                  </w:r>
                </w:p>
              </w:tc>
              <w:tc>
                <w:tcPr>
                  <w:tcW w:w="3882" w:type="dxa"/>
                  <w:vAlign w:val="center"/>
                </w:tcPr>
                <w:p>
                  <w:pPr>
                    <w:pStyle w:val="28"/>
                  </w:pPr>
                  <w:r>
                    <w:rPr>
                      <w:rFonts w:hint="eastAsia"/>
                    </w:rPr>
                    <w:t>进一步与自然保护地、国土空间“三区三线”划定成果衔接，严格落实自然保护地、国土空间用途管制等要求；加强规划环评与项目环评的联动，应结合规划环评提出的指导意见和管控要求做好项目环境影响评价工作</w:t>
                  </w:r>
                </w:p>
              </w:tc>
              <w:tc>
                <w:tcPr>
                  <w:tcW w:w="2594" w:type="dxa"/>
                  <w:vAlign w:val="center"/>
                </w:tcPr>
                <w:p>
                  <w:pPr>
                    <w:pStyle w:val="28"/>
                  </w:pPr>
                  <w:r>
                    <w:t>项目不涉及自然保护地、生态保护红线等。</w:t>
                  </w:r>
                </w:p>
              </w:tc>
              <w:tc>
                <w:tcPr>
                  <w:tcW w:w="893" w:type="dxa"/>
                  <w:vAlign w:val="center"/>
                </w:tcPr>
                <w:p>
                  <w:pPr>
                    <w:pStyle w:val="28"/>
                  </w:pPr>
                  <w:r>
                    <w:rPr>
                      <w:rFonts w:hint="eastAsia"/>
                    </w:rPr>
                    <w:t>符合</w:t>
                  </w:r>
                </w:p>
              </w:tc>
            </w:tr>
          </w:tbl>
          <w:p>
            <w:pPr>
              <w:pStyle w:val="29"/>
              <w:ind w:firstLine="480"/>
            </w:pPr>
            <w:r>
              <w:rPr>
                <w:rFonts w:hint="eastAsia"/>
              </w:rPr>
              <w:t>综上，本项目的建设符合渝环函[2023]365号文的要求。</w:t>
            </w:r>
          </w:p>
          <w:p>
            <w:pPr>
              <w:pStyle w:val="29"/>
              <w:ind w:firstLine="482"/>
              <w:rPr>
                <w:b/>
                <w:bCs/>
              </w:rPr>
            </w:pPr>
            <w:r>
              <w:rPr>
                <w:rFonts w:hint="eastAsia"/>
                <w:b/>
                <w:bCs/>
              </w:rPr>
              <w:t>1.5 《重庆市“十四五”可再生能源发展规划（2021～2025年）环境影响评价报告书》及其审查意见符合性分析</w:t>
            </w:r>
          </w:p>
          <w:p>
            <w:pPr>
              <w:pStyle w:val="29"/>
              <w:ind w:firstLine="480"/>
            </w:pPr>
            <w:r>
              <w:rPr>
                <w:rFonts w:hint="eastAsia"/>
              </w:rPr>
              <w:t>根据《重庆市“十四五”可再生能源发展规划（2021～2025年）环境影响评价报告书》提出的风电/风光一体项目的生态环境管控要求，本项目与规划环境的符合性详见下表。</w:t>
            </w:r>
          </w:p>
          <w:p>
            <w:pPr>
              <w:pStyle w:val="29"/>
              <w:ind w:firstLine="0" w:firstLineChars="0"/>
              <w:jc w:val="center"/>
            </w:pPr>
            <w:r>
              <w:rPr>
                <w:rFonts w:hint="eastAsia"/>
              </w:rPr>
              <w:t>表1-3  与“十四五”可再生能源规划环评审查意见函符合性分析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5445"/>
              <w:gridCol w:w="2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vAlign w:val="center"/>
                </w:tcPr>
                <w:p>
                  <w:pPr>
                    <w:pStyle w:val="28"/>
                  </w:pPr>
                  <w:r>
                    <w:rPr>
                      <w:rFonts w:hint="eastAsia"/>
                    </w:rPr>
                    <w:t>序号</w:t>
                  </w:r>
                </w:p>
              </w:tc>
              <w:tc>
                <w:tcPr>
                  <w:tcW w:w="5403" w:type="dxa"/>
                  <w:vAlign w:val="center"/>
                </w:tcPr>
                <w:p>
                  <w:pPr>
                    <w:pStyle w:val="28"/>
                  </w:pPr>
                  <w:r>
                    <w:rPr>
                      <w:rFonts w:hint="eastAsia"/>
                    </w:rPr>
                    <w:t>规划环评环境生态环境管控要求</w:t>
                  </w:r>
                </w:p>
              </w:tc>
              <w:tc>
                <w:tcPr>
                  <w:tcW w:w="2568" w:type="dxa"/>
                  <w:vAlign w:val="center"/>
                </w:tcPr>
                <w:p>
                  <w:pPr>
                    <w:pStyle w:val="28"/>
                  </w:pPr>
                  <w:r>
                    <w:rPr>
                      <w:rFonts w:hint="eastAsia"/>
                    </w:rPr>
                    <w:t>本项目符合性分析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vAlign w:val="center"/>
                </w:tcPr>
                <w:p>
                  <w:pPr>
                    <w:pStyle w:val="28"/>
                  </w:pPr>
                  <w:r>
                    <w:rPr>
                      <w:rFonts w:hint="eastAsia"/>
                    </w:rPr>
                    <w:t>1</w:t>
                  </w:r>
                </w:p>
              </w:tc>
              <w:tc>
                <w:tcPr>
                  <w:tcW w:w="5403" w:type="dxa"/>
                  <w:vAlign w:val="center"/>
                </w:tcPr>
                <w:p>
                  <w:pPr>
                    <w:pStyle w:val="28"/>
                    <w:ind w:firstLine="422" w:firstLineChars="200"/>
                    <w:jc w:val="both"/>
                    <w:rPr>
                      <w:b/>
                      <w:bCs/>
                    </w:rPr>
                  </w:pPr>
                  <w:r>
                    <w:rPr>
                      <w:b/>
                      <w:bCs/>
                    </w:rPr>
                    <w:t>坚持生态优先，绿色发展</w:t>
                  </w:r>
                </w:p>
                <w:p>
                  <w:pPr>
                    <w:pStyle w:val="28"/>
                    <w:ind w:firstLine="420" w:firstLineChars="200"/>
                    <w:jc w:val="both"/>
                  </w:pPr>
                  <w:r>
                    <w:t>按照“共抓大保护、不搞大开发”的要求，立足于生态系统稳定和生态环境质量改善，处理好生态环境保护与可再生能源发展的关系，合理控制可再生能源尤其是风电和光伏的开发规模与强度，不得占用依法应当禁止开发的区域，优先避让生态环境敏感区域。进一步强化《规划》的生态环境保护总体要求，推动生态环境保护与可再生能源开发目标同步实现。</w:t>
                  </w:r>
                </w:p>
              </w:tc>
              <w:tc>
                <w:tcPr>
                  <w:tcW w:w="2568" w:type="dxa"/>
                  <w:vMerge w:val="restart"/>
                  <w:vAlign w:val="center"/>
                </w:tcPr>
                <w:p>
                  <w:pPr>
                    <w:pStyle w:val="28"/>
                  </w:pPr>
                  <w:r>
                    <w:t>本项目占地不涉及法律法规禁止开发的区域，项目占地已避让自然保护区、森林公园、地质公园等生态环境敏感区；根据重庆市规划和自然资源局国土空间用途管制红线智检系统查询结果，本项目建设用地不涉及现行法定有效生态保护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vAlign w:val="center"/>
                </w:tcPr>
                <w:p>
                  <w:pPr>
                    <w:pStyle w:val="28"/>
                  </w:pPr>
                  <w:r>
                    <w:rPr>
                      <w:rFonts w:hint="eastAsia"/>
                    </w:rPr>
                    <w:t>2</w:t>
                  </w:r>
                </w:p>
              </w:tc>
              <w:tc>
                <w:tcPr>
                  <w:tcW w:w="5403" w:type="dxa"/>
                  <w:vAlign w:val="center"/>
                </w:tcPr>
                <w:p>
                  <w:pPr>
                    <w:pStyle w:val="28"/>
                    <w:ind w:firstLine="422" w:firstLineChars="200"/>
                    <w:jc w:val="both"/>
                    <w:rPr>
                      <w:b/>
                      <w:bCs/>
                    </w:rPr>
                  </w:pPr>
                  <w:r>
                    <w:rPr>
                      <w:b/>
                      <w:bCs/>
                    </w:rPr>
                    <w:t>严格保护生态空间，维护区域生态功能</w:t>
                  </w:r>
                </w:p>
                <w:p>
                  <w:pPr>
                    <w:pStyle w:val="28"/>
                    <w:ind w:firstLine="420" w:firstLineChars="200"/>
                    <w:jc w:val="both"/>
                  </w:pPr>
                  <w:r>
                    <w:t>《规划》应按照重庆市“三线一单”生态环境分区管控、生态环境保护规划等要求，进一步优化规划重点项目空间布局，依法依规对生态空间实施严格保护……涉及一般生态空间的项目严格控制占地范围，并采取严格有针对性的环境保护、生态修复措施，保证生态空间的结构和功能不受破坏。</w:t>
                  </w:r>
                </w:p>
              </w:tc>
              <w:tc>
                <w:tcPr>
                  <w:tcW w:w="2568"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vAlign w:val="center"/>
                </w:tcPr>
                <w:p>
                  <w:pPr>
                    <w:pStyle w:val="28"/>
                  </w:pPr>
                  <w:r>
                    <w:rPr>
                      <w:rFonts w:hint="eastAsia"/>
                    </w:rPr>
                    <w:t>3</w:t>
                  </w:r>
                </w:p>
              </w:tc>
              <w:tc>
                <w:tcPr>
                  <w:tcW w:w="5403" w:type="dxa"/>
                  <w:vAlign w:val="center"/>
                </w:tcPr>
                <w:p>
                  <w:pPr>
                    <w:pStyle w:val="28"/>
                    <w:ind w:firstLine="422" w:firstLineChars="200"/>
                    <w:jc w:val="both"/>
                    <w:rPr>
                      <w:b/>
                      <w:bCs/>
                    </w:rPr>
                  </w:pPr>
                  <w:r>
                    <w:rPr>
                      <w:b/>
                      <w:bCs/>
                    </w:rPr>
                    <w:t>合理控制开发强度和建设时序，加强生态保护修复</w:t>
                  </w:r>
                </w:p>
                <w:p>
                  <w:pPr>
                    <w:pStyle w:val="28"/>
                    <w:ind w:firstLine="420" w:firstLineChars="200"/>
                    <w:jc w:val="both"/>
                  </w:pPr>
                  <w:r>
                    <w:t>合理规划临时施工设施布置，减少生态环境破坏和扰动范围；风电、光伏项目尽量利用现有或结合规划森林防火通道、农村四好公路进行施工运输；35千伏集电线路采用直理方式敷设的尽量沿现有或规划森林防火通道、新建场内道路进行敷设；强化施工管理，合理安排施工时序；严格落实边坡防护等水土保持措施，弃土及时清运严禁边坡倾倒；及时开展临时用地区的表土回覆、植被恢复并确保恢复效果良好。风机叶片采取鸟类防撞措施。</w:t>
                  </w:r>
                </w:p>
              </w:tc>
              <w:tc>
                <w:tcPr>
                  <w:tcW w:w="2568" w:type="dxa"/>
                  <w:vAlign w:val="center"/>
                </w:tcPr>
                <w:p>
                  <w:pPr>
                    <w:pStyle w:val="28"/>
                  </w:pPr>
                  <w:r>
                    <w:t>本项目施工范围均控制在</w:t>
                  </w:r>
                  <w:r>
                    <w:rPr>
                      <w:rFonts w:hint="eastAsia"/>
                      <w:lang w:val="en-US" w:eastAsia="zh-CN"/>
                    </w:rPr>
                    <w:t>规划用地</w:t>
                  </w:r>
                  <w:r>
                    <w:t>范围内，临时施工营地租用周边空置民房，不新增用地。本项目建设依托现有道路进行。本项目在施工过程中将严格控制施工范围强化施工管理；项目施工过程将严格按照水保方案设计做好边坡防护等措施。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vAlign w:val="center"/>
                </w:tcPr>
                <w:p>
                  <w:pPr>
                    <w:pStyle w:val="28"/>
                  </w:pPr>
                  <w:r>
                    <w:rPr>
                      <w:rFonts w:hint="eastAsia"/>
                    </w:rPr>
                    <w:t>4</w:t>
                  </w:r>
                </w:p>
              </w:tc>
              <w:tc>
                <w:tcPr>
                  <w:tcW w:w="5403" w:type="dxa"/>
                  <w:vAlign w:val="center"/>
                </w:tcPr>
                <w:p>
                  <w:pPr>
                    <w:pStyle w:val="28"/>
                    <w:ind w:firstLine="422" w:firstLineChars="200"/>
                    <w:jc w:val="both"/>
                  </w:pPr>
                  <w:r>
                    <w:rPr>
                      <w:b/>
                      <w:bCs/>
                    </w:rPr>
                    <w:t>严守环境质量底线，加强环境污染防治</w:t>
                  </w:r>
                </w:p>
                <w:p>
                  <w:pPr>
                    <w:pStyle w:val="28"/>
                    <w:ind w:firstLine="420" w:firstLineChars="200"/>
                    <w:jc w:val="both"/>
                  </w:pPr>
                  <w:r>
                    <w:t>合理确定升压站选址、输变电线路路径和导线对地高度，确保站界和线路下方电场强度和磁感应强度符合电磁环境相关标准；升压站危险废物分类收集后交由危险废物资质单位处置。</w:t>
                  </w:r>
                </w:p>
              </w:tc>
              <w:tc>
                <w:tcPr>
                  <w:tcW w:w="2568" w:type="dxa"/>
                  <w:vAlign w:val="center"/>
                </w:tcPr>
                <w:p>
                  <w:pPr>
                    <w:pStyle w:val="28"/>
                  </w:pPr>
                  <w:r>
                    <w:t>经分析，本项目升压站设在项目占地范围内，升压站内各危险废物分类收集后交危废单位处置</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vAlign w:val="center"/>
                </w:tcPr>
                <w:p>
                  <w:pPr>
                    <w:pStyle w:val="28"/>
                  </w:pPr>
                  <w:r>
                    <w:rPr>
                      <w:rFonts w:hint="eastAsia"/>
                    </w:rPr>
                    <w:t>5</w:t>
                  </w:r>
                </w:p>
              </w:tc>
              <w:tc>
                <w:tcPr>
                  <w:tcW w:w="5403" w:type="dxa"/>
                  <w:vAlign w:val="center"/>
                </w:tcPr>
                <w:p>
                  <w:pPr>
                    <w:pStyle w:val="28"/>
                    <w:ind w:firstLine="422" w:firstLineChars="200"/>
                    <w:jc w:val="both"/>
                    <w:rPr>
                      <w:b/>
                      <w:bCs/>
                    </w:rPr>
                  </w:pPr>
                  <w:r>
                    <w:rPr>
                      <w:rFonts w:hint="eastAsia"/>
                      <w:b/>
                      <w:bCs/>
                    </w:rPr>
                    <w:t>强化环境风险防控</w:t>
                  </w:r>
                </w:p>
                <w:p>
                  <w:pPr>
                    <w:pStyle w:val="28"/>
                    <w:ind w:firstLine="420" w:firstLineChars="200"/>
                    <w:jc w:val="both"/>
                  </w:pPr>
                  <w:r>
                    <w:t>严格落实各项环境风险防范措施……配套送出输变电项目的升压站主变下方设置集油坑，配套建设的事故油池有效容积不小于主变绝缘油量并具备油水分离功能，池底池壁防腐防渗处理。</w:t>
                  </w:r>
                </w:p>
              </w:tc>
              <w:tc>
                <w:tcPr>
                  <w:tcW w:w="2568" w:type="dxa"/>
                  <w:vAlign w:val="center"/>
                </w:tcPr>
                <w:p>
                  <w:pPr>
                    <w:pStyle w:val="28"/>
                  </w:pPr>
                  <w:r>
                    <w:t>本评价已针对项目的环境风险提出相关的风险防范措施。升压站下方设置有</w:t>
                  </w:r>
                  <w:r>
                    <w:rPr>
                      <w:rFonts w:hint="eastAsia"/>
                    </w:rPr>
                    <w:t>事故油池</w:t>
                  </w:r>
                  <w:r>
                    <w:t>，</w:t>
                  </w:r>
                  <w:r>
                    <w:rPr>
                      <w:rFonts w:hint="eastAsia"/>
                    </w:rPr>
                    <w:t>事故油池池</w:t>
                  </w:r>
                  <w:r>
                    <w:t>壁防腐防渗处理。</w:t>
                  </w:r>
                </w:p>
              </w:tc>
            </w:tr>
          </w:tbl>
          <w:p>
            <w:pPr>
              <w:pStyle w:val="29"/>
              <w:ind w:firstLine="0" w:firstLineChars="0"/>
              <w:jc w:val="center"/>
            </w:pPr>
            <w:r>
              <w:rPr>
                <w:rFonts w:hint="eastAsia"/>
              </w:rPr>
              <w:t>表1-4  与“十四五”可再生能源规划环评光伏项目生态环境管控要求符合性分析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076"/>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28"/>
                  </w:pPr>
                  <w:r>
                    <w:rPr>
                      <w:rFonts w:hint="eastAsia"/>
                    </w:rPr>
                    <w:t>类别</w:t>
                  </w:r>
                </w:p>
              </w:tc>
              <w:tc>
                <w:tcPr>
                  <w:tcW w:w="5078" w:type="dxa"/>
                  <w:vAlign w:val="center"/>
                </w:tcPr>
                <w:p>
                  <w:pPr>
                    <w:pStyle w:val="28"/>
                  </w:pPr>
                  <w:r>
                    <w:rPr>
                      <w:rFonts w:hint="eastAsia"/>
                    </w:rPr>
                    <w:t>规划环评环境生态环境管控要求</w:t>
                  </w:r>
                </w:p>
              </w:tc>
              <w:tc>
                <w:tcPr>
                  <w:tcW w:w="2900" w:type="dxa"/>
                  <w:vAlign w:val="center"/>
                </w:tcPr>
                <w:p>
                  <w:pPr>
                    <w:pStyle w:val="28"/>
                  </w:pPr>
                  <w:r>
                    <w:rPr>
                      <w:rFonts w:hint="eastAsia"/>
                    </w:rPr>
                    <w:t>本项目符合性分析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28"/>
                  </w:pPr>
                  <w:r>
                    <w:rPr>
                      <w:rFonts w:hint="eastAsia"/>
                    </w:rPr>
                    <w:t>空间布局约束</w:t>
                  </w:r>
                </w:p>
              </w:tc>
              <w:tc>
                <w:tcPr>
                  <w:tcW w:w="5078" w:type="dxa"/>
                  <w:vAlign w:val="center"/>
                </w:tcPr>
                <w:p>
                  <w:pPr>
                    <w:pStyle w:val="28"/>
                  </w:pPr>
                  <w:r>
                    <w:rPr>
                      <w:rFonts w:hint="eastAsia"/>
                    </w:rPr>
                    <w:t>（1）规划项目需与最新法定有效的自然保护地、国土空间“三区三线”划定成果衔接，严格落实自然保护地、国土空间用途管制等要求，避让生态环境敏感区</w:t>
                  </w:r>
                </w:p>
                <w:p>
                  <w:pPr>
                    <w:pStyle w:val="28"/>
                  </w:pPr>
                  <w:r>
                    <w:rPr>
                      <w:rFonts w:hint="eastAsia"/>
                    </w:rPr>
                    <w:t>（2）尽量利用现有或结合规划森林防火通道、农村四好公路进行施工运输，35kV集电线路采用直埋方式敷设的尽量沿现有或规划森林防火通道、新建场内道路进行敷设，减少施工临时占地</w:t>
                  </w:r>
                </w:p>
              </w:tc>
              <w:tc>
                <w:tcPr>
                  <w:tcW w:w="2900" w:type="dxa"/>
                  <w:vAlign w:val="center"/>
                </w:tcPr>
                <w:p>
                  <w:pPr>
                    <w:pStyle w:val="28"/>
                  </w:pPr>
                  <w:r>
                    <w:rPr>
                      <w:rFonts w:hint="eastAsia"/>
                    </w:rPr>
                    <w:t>（1）本项目占地已严格避让各类自然保护地和生态环境敏感区；（2）本项目施工运输道路利用村道进行运输，光伏布板区域内35kV集电线路采用直埋方式沿区域道路进行敷设。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28"/>
                  </w:pPr>
                  <w:r>
                    <w:rPr>
                      <w:rFonts w:hint="eastAsia"/>
                    </w:rPr>
                    <w:t>资源开发利用</w:t>
                  </w:r>
                </w:p>
              </w:tc>
              <w:tc>
                <w:tcPr>
                  <w:tcW w:w="5078" w:type="dxa"/>
                  <w:vAlign w:val="center"/>
                </w:tcPr>
                <w:p>
                  <w:pPr>
                    <w:pStyle w:val="28"/>
                  </w:pPr>
                  <w:r>
                    <w:rPr>
                      <w:rFonts w:hint="eastAsia"/>
                    </w:rPr>
                    <w:t>新增建设用地逐步纳入所在区县国土空间规划中，鼓励利用符合条件的旧矿区、采空区用地实施光伏发电项目建设，优先使用荒山、荒地、荒滩等不能利用以及不适宜农业、生态、工业开发的土地</w:t>
                  </w:r>
                </w:p>
              </w:tc>
              <w:tc>
                <w:tcPr>
                  <w:tcW w:w="2900" w:type="dxa"/>
                  <w:vAlign w:val="center"/>
                </w:tcPr>
                <w:p>
                  <w:pPr>
                    <w:pStyle w:val="28"/>
                  </w:pPr>
                  <w:r>
                    <w:rPr>
                      <w:rFonts w:hint="eastAsia"/>
                    </w:rPr>
                    <w:t>根据现场调查，项目占地范围内现状主要为园地、草地等，不适宜农业开发。</w:t>
                  </w:r>
                </w:p>
              </w:tc>
            </w:tr>
          </w:tbl>
          <w:p>
            <w:pPr>
              <w:pStyle w:val="29"/>
              <w:ind w:firstLine="480"/>
            </w:pPr>
            <w:r>
              <w:rPr>
                <w:rFonts w:hint="eastAsia"/>
              </w:rPr>
              <w:t>综上，本项目的建设符合《重庆市“十四五”可再生能源发展规划（2021～2025年）环境影响评价报告书》及其审查意见的要求。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9"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kern w:val="0"/>
                <w:szCs w:val="21"/>
              </w:rPr>
            </w:pPr>
            <w:bookmarkStart w:id="2" w:name="_Hlk56690880"/>
            <w:r>
              <w:rPr>
                <w:rFonts w:hint="eastAsia"/>
                <w:kern w:val="0"/>
                <w:szCs w:val="21"/>
              </w:rPr>
              <w:t>其他符合性分析</w:t>
            </w:r>
            <w:bookmarkEnd w:id="2"/>
          </w:p>
        </w:tc>
        <w:tc>
          <w:tcPr>
            <w:tcW w:w="8674" w:type="dxa"/>
            <w:gridSpan w:val="6"/>
            <w:tcMar>
              <w:top w:w="16" w:type="dxa"/>
              <w:left w:w="16" w:type="dxa"/>
              <w:right w:w="16" w:type="dxa"/>
            </w:tcMar>
            <w:vAlign w:val="center"/>
          </w:tcPr>
          <w:p>
            <w:pPr>
              <w:pStyle w:val="29"/>
              <w:ind w:firstLine="482"/>
              <w:rPr>
                <w:b/>
                <w:bCs/>
              </w:rPr>
            </w:pPr>
            <w:r>
              <w:rPr>
                <w:b/>
                <w:bCs/>
              </w:rPr>
              <w:t>1.7</w:t>
            </w:r>
            <w:r>
              <w:rPr>
                <w:rFonts w:hint="eastAsia"/>
                <w:b/>
                <w:bCs/>
              </w:rPr>
              <w:t xml:space="preserve"> 与国家与地方产业政策符合性分析</w:t>
            </w:r>
          </w:p>
          <w:p>
            <w:pPr>
              <w:pStyle w:val="29"/>
              <w:ind w:firstLine="482"/>
              <w:rPr>
                <w:b/>
                <w:bCs/>
              </w:rPr>
            </w:pPr>
            <w:r>
              <w:rPr>
                <w:b/>
                <w:bCs/>
              </w:rPr>
              <w:t>1.7.1</w:t>
            </w:r>
            <w:r>
              <w:rPr>
                <w:rFonts w:hint="eastAsia"/>
                <w:b/>
                <w:bCs/>
              </w:rPr>
              <w:t xml:space="preserve"> 与国家与地方产业政策符合性分析</w:t>
            </w:r>
          </w:p>
          <w:p>
            <w:pPr>
              <w:pStyle w:val="29"/>
              <w:ind w:firstLine="480"/>
            </w:pPr>
            <w:r>
              <w:rPr>
                <w:rFonts w:hint="eastAsia"/>
              </w:rPr>
              <w:t>本项目为光伏发电项目的建设，属于《产业结构调整指导目录（</w:t>
            </w:r>
            <w:r>
              <w:t>2024</w:t>
            </w:r>
            <w:r>
              <w:rPr>
                <w:rFonts w:hint="eastAsia"/>
              </w:rPr>
              <w:t>年本）》中的第一项</w:t>
            </w:r>
            <w:r>
              <w:t>“</w:t>
            </w:r>
            <w:r>
              <w:rPr>
                <w:rFonts w:hint="eastAsia"/>
              </w:rPr>
              <w:t>鼓励类</w:t>
            </w:r>
            <w:r>
              <w:t>”</w:t>
            </w:r>
            <w:r>
              <w:rPr>
                <w:rFonts w:hint="eastAsia"/>
              </w:rPr>
              <w:t>项目第五条</w:t>
            </w:r>
            <w:r>
              <w:t>“</w:t>
            </w:r>
            <w:r>
              <w:rPr>
                <w:rFonts w:hint="eastAsia"/>
              </w:rPr>
              <w:t>新能源</w:t>
            </w:r>
            <w:r>
              <w:t>”</w:t>
            </w:r>
            <w:r>
              <w:rPr>
                <w:rFonts w:hint="eastAsia"/>
              </w:rPr>
              <w:t>中</w:t>
            </w:r>
            <w:r>
              <w:t>“</w:t>
            </w:r>
            <w:r>
              <w:rPr>
                <w:rFonts w:hint="eastAsia"/>
              </w:rPr>
              <w:t>第</w:t>
            </w:r>
            <w:r>
              <w:t>2</w:t>
            </w:r>
            <w:r>
              <w:rPr>
                <w:rFonts w:hint="eastAsia"/>
              </w:rPr>
              <w:t>条可再生能源利用技术与应用：太阳能热发电集热系统、高效率低成本太阳能光伏发电技术研发与产业化、系统集成技术开发应用，逆变控制系统开发制造，太阳能建筑一体化组件设计与制造，高效太阳能热水器及热水工程，太阳能中高温利用技术开发与设备制造，海洋能、地热能利用技术开发与设备制造，可再生能源供暖技术的开发与应用</w:t>
            </w:r>
            <w:r>
              <w:t>”</w:t>
            </w:r>
            <w:r>
              <w:rPr>
                <w:rFonts w:hint="eastAsia"/>
              </w:rPr>
              <w:t>。且本项目已经取得了重庆市奉节县发展和改革委员会下发的《重庆市企业投资项目备案证》（2310-500236-04-05-718601）。</w:t>
            </w:r>
          </w:p>
          <w:p>
            <w:pPr>
              <w:pStyle w:val="29"/>
              <w:ind w:firstLine="480"/>
            </w:pPr>
            <w:r>
              <w:rPr>
                <w:rFonts w:hint="eastAsia"/>
              </w:rPr>
              <w:t>因此，本项目符合国家及地方现行产业政策。</w:t>
            </w:r>
          </w:p>
          <w:p>
            <w:pPr>
              <w:pStyle w:val="29"/>
              <w:ind w:firstLine="482"/>
            </w:pPr>
            <w:r>
              <w:rPr>
                <w:b/>
                <w:bCs/>
              </w:rPr>
              <w:t>1.7.2</w:t>
            </w:r>
            <w:r>
              <w:rPr>
                <w:rFonts w:hint="eastAsia"/>
                <w:b/>
                <w:bCs/>
              </w:rPr>
              <w:t xml:space="preserve"> 与《国务院关于加快建立健全绿色低碳循环发展经济体系的指导意见》（国发〔</w:t>
            </w:r>
            <w:r>
              <w:rPr>
                <w:b/>
                <w:bCs/>
              </w:rPr>
              <w:t>2021</w:t>
            </w:r>
            <w:r>
              <w:rPr>
                <w:rFonts w:hint="eastAsia"/>
                <w:b/>
                <w:bCs/>
              </w:rPr>
              <w:t>〕</w:t>
            </w:r>
            <w:r>
              <w:rPr>
                <w:b/>
                <w:bCs/>
              </w:rPr>
              <w:t>4</w:t>
            </w:r>
            <w:r>
              <w:rPr>
                <w:rFonts w:hint="eastAsia"/>
                <w:b/>
                <w:bCs/>
              </w:rPr>
              <w:t>号）相符性</w:t>
            </w:r>
          </w:p>
          <w:p>
            <w:pPr>
              <w:pStyle w:val="29"/>
              <w:ind w:firstLine="480"/>
            </w:pPr>
            <w:r>
              <w:rPr>
                <w:rFonts w:hint="eastAsia"/>
              </w:rPr>
              <w:t>《国务院关于加快建立健全绿色低碳循环发展经济体系的指导意见》（国发〔</w:t>
            </w:r>
            <w:r>
              <w:t>2021</w:t>
            </w:r>
            <w:r>
              <w:rPr>
                <w:rFonts w:hint="eastAsia"/>
              </w:rPr>
              <w:t>〕</w:t>
            </w:r>
            <w:r>
              <w:t>4</w:t>
            </w:r>
            <w:r>
              <w:rPr>
                <w:rFonts w:hint="eastAsia"/>
              </w:rPr>
              <w:t>号）提出，</w:t>
            </w:r>
            <w:r>
              <w:t>“</w:t>
            </w:r>
            <w:r>
              <w:rPr>
                <w:rFonts w:hint="eastAsia"/>
              </w:rPr>
              <w:t>推动能源体系绿色低碳转型。坚持节能优先，完善能源消费总量和强度双控制度。提升可再生能源利用比例，大力推动风电、光伏发电发展，因地制宜发展水能、地热能、海洋能、氢能、生物质能、光热发电</w:t>
            </w:r>
            <w:r>
              <w:t>”</w:t>
            </w:r>
            <w:r>
              <w:rPr>
                <w:rFonts w:hint="eastAsia"/>
              </w:rPr>
              <w:t>。</w:t>
            </w:r>
          </w:p>
          <w:p>
            <w:pPr>
              <w:pStyle w:val="29"/>
              <w:ind w:firstLine="480"/>
            </w:pPr>
            <w:r>
              <w:rPr>
                <w:rFonts w:hint="eastAsia"/>
              </w:rPr>
              <w:t>本项目为光伏发电项目，利用光能发电，有利于改善地区能源结构，提高清洁低碳能源占比，符合国发〔</w:t>
            </w:r>
            <w:r>
              <w:t>2021</w:t>
            </w:r>
            <w:r>
              <w:rPr>
                <w:rFonts w:hint="eastAsia"/>
              </w:rPr>
              <w:t>〕</w:t>
            </w:r>
            <w:r>
              <w:t>4</w:t>
            </w:r>
            <w:r>
              <w:rPr>
                <w:rFonts w:hint="eastAsia"/>
              </w:rPr>
              <w:t>号有关要求。</w:t>
            </w:r>
          </w:p>
          <w:p>
            <w:pPr>
              <w:pStyle w:val="29"/>
              <w:ind w:firstLine="482"/>
              <w:rPr>
                <w:b/>
                <w:bCs/>
              </w:rPr>
            </w:pPr>
            <w:r>
              <w:rPr>
                <w:b/>
                <w:bCs/>
              </w:rPr>
              <w:t>1.7.3</w:t>
            </w:r>
            <w:r>
              <w:rPr>
                <w:rFonts w:hint="eastAsia"/>
                <w:b/>
                <w:bCs/>
              </w:rPr>
              <w:t xml:space="preserve"> 与《国家能源局关于</w:t>
            </w:r>
            <w:r>
              <w:rPr>
                <w:b/>
                <w:bCs/>
              </w:rPr>
              <w:t>2021</w:t>
            </w:r>
            <w:r>
              <w:rPr>
                <w:rFonts w:hint="eastAsia"/>
                <w:b/>
                <w:bCs/>
              </w:rPr>
              <w:t>年风电、光伏发电开发建设有关事项的通知》（国能发新能〔</w:t>
            </w:r>
            <w:r>
              <w:rPr>
                <w:b/>
                <w:bCs/>
              </w:rPr>
              <w:t>2021</w:t>
            </w:r>
            <w:r>
              <w:rPr>
                <w:rFonts w:hint="eastAsia"/>
                <w:b/>
                <w:bCs/>
              </w:rPr>
              <w:t>〕</w:t>
            </w:r>
            <w:r>
              <w:rPr>
                <w:b/>
                <w:bCs/>
              </w:rPr>
              <w:t>25</w:t>
            </w:r>
            <w:r>
              <w:rPr>
                <w:rFonts w:hint="eastAsia"/>
                <w:b/>
                <w:bCs/>
              </w:rPr>
              <w:t>号）符合性</w:t>
            </w:r>
          </w:p>
          <w:p>
            <w:pPr>
              <w:pStyle w:val="29"/>
              <w:ind w:firstLine="480"/>
            </w:pPr>
            <w:r>
              <w:rPr>
                <w:rFonts w:hint="eastAsia"/>
              </w:rPr>
              <w:t>《国家能源局关于</w:t>
            </w:r>
            <w:r>
              <w:t>2021</w:t>
            </w:r>
            <w:r>
              <w:rPr>
                <w:rFonts w:hint="eastAsia"/>
              </w:rPr>
              <w:t>年风电、光伏发电开发建设有关事项的通知》（国能发新能〔</w:t>
            </w:r>
            <w:r>
              <w:t>2021</w:t>
            </w:r>
            <w:r>
              <w:rPr>
                <w:rFonts w:hint="eastAsia"/>
              </w:rPr>
              <w:t>〕</w:t>
            </w:r>
            <w:r>
              <w:t>25</w:t>
            </w:r>
            <w:r>
              <w:rPr>
                <w:rFonts w:hint="eastAsia"/>
              </w:rPr>
              <w:t>号）提出，</w:t>
            </w:r>
            <w:r>
              <w:t>“</w:t>
            </w:r>
            <w:r>
              <w:rPr>
                <w:rFonts w:hint="eastAsia"/>
              </w:rPr>
              <w:t>落实碳达峰、碳中和目标，以及</w:t>
            </w:r>
            <w:r>
              <w:t>2030</w:t>
            </w:r>
            <w:r>
              <w:rPr>
                <w:rFonts w:hint="eastAsia"/>
              </w:rPr>
              <w:t>年非化石能源占一次能源消费比重达到</w:t>
            </w:r>
            <w:r>
              <w:t>25%</w:t>
            </w:r>
            <w:r>
              <w:rPr>
                <w:rFonts w:hint="eastAsia"/>
              </w:rPr>
              <w:t>左右、风电太阳能发电总装机容量达到</w:t>
            </w:r>
            <w:r>
              <w:t>12</w:t>
            </w:r>
            <w:r>
              <w:rPr>
                <w:rFonts w:hint="eastAsia"/>
              </w:rPr>
              <w:t>亿千瓦以上等任务，坚持目标导向，完善发展机制，释放消纳空间，优化发展环境，发挥地方主导作用，调动投资主体积极性，推动风电、光伏发电高质量跃升发展</w:t>
            </w:r>
            <w:r>
              <w:t>”</w:t>
            </w:r>
            <w:r>
              <w:rPr>
                <w:rFonts w:hint="eastAsia"/>
              </w:rPr>
              <w:t>。</w:t>
            </w:r>
          </w:p>
          <w:p>
            <w:pPr>
              <w:pStyle w:val="29"/>
              <w:ind w:firstLine="480"/>
            </w:pPr>
            <w:r>
              <w:rPr>
                <w:rFonts w:hint="eastAsia"/>
              </w:rPr>
              <w:t>本项目为光伏发电项目，利用光能发电，有利于改善地区能源结构，落实碳达峰碳中和要求，符合国能发新能〔</w:t>
            </w:r>
            <w:r>
              <w:t>2021</w:t>
            </w:r>
            <w:r>
              <w:rPr>
                <w:rFonts w:hint="eastAsia"/>
              </w:rPr>
              <w:t>〕</w:t>
            </w:r>
            <w:r>
              <w:t>25</w:t>
            </w:r>
            <w:r>
              <w:rPr>
                <w:rFonts w:hint="eastAsia"/>
              </w:rPr>
              <w:t>号有关要求。</w:t>
            </w:r>
          </w:p>
          <w:p>
            <w:pPr>
              <w:pStyle w:val="29"/>
              <w:ind w:firstLine="482"/>
              <w:rPr>
                <w:b/>
                <w:bCs/>
              </w:rPr>
            </w:pPr>
            <w:r>
              <w:rPr>
                <w:b/>
                <w:bCs/>
              </w:rPr>
              <w:t>1.7.4</w:t>
            </w:r>
            <w:r>
              <w:rPr>
                <w:rFonts w:hint="eastAsia"/>
                <w:b/>
                <w:bCs/>
              </w:rPr>
              <w:t xml:space="preserve"> 与自然资源部办公厅国家林业和草原局办公室国家能源局综合司《关于支持光伏发电产业发展规范用地管理有关工作的通知》（自然资办发</w:t>
            </w:r>
            <w:r>
              <w:rPr>
                <w:b/>
                <w:bCs/>
              </w:rPr>
              <w:t>[2023]12</w:t>
            </w:r>
            <w:r>
              <w:rPr>
                <w:rFonts w:hint="eastAsia"/>
                <w:b/>
                <w:bCs/>
              </w:rPr>
              <w:t>号）符合性分析</w:t>
            </w:r>
          </w:p>
          <w:p>
            <w:pPr>
              <w:pStyle w:val="29"/>
              <w:ind w:firstLine="0" w:firstLineChars="0"/>
              <w:jc w:val="center"/>
            </w:pPr>
            <w:r>
              <w:rPr>
                <w:rFonts w:hint="eastAsia"/>
              </w:rPr>
              <w:t>表1-5  本项目与自然资办发</w:t>
            </w:r>
            <w:r>
              <w:t>[2023]12</w:t>
            </w:r>
            <w:r>
              <w:rPr>
                <w:rFonts w:hint="eastAsia"/>
              </w:rPr>
              <w:t>号符合性分析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5938"/>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pPr>
                    <w:pStyle w:val="28"/>
                  </w:pPr>
                  <w:r>
                    <w:rPr>
                      <w:rFonts w:hint="eastAsia"/>
                    </w:rPr>
                    <w:t>序号</w:t>
                  </w:r>
                </w:p>
              </w:tc>
              <w:tc>
                <w:tcPr>
                  <w:tcW w:w="5932" w:type="dxa"/>
                  <w:vAlign w:val="center"/>
                </w:tcPr>
                <w:p>
                  <w:pPr>
                    <w:pStyle w:val="28"/>
                  </w:pPr>
                  <w:r>
                    <w:rPr>
                      <w:rFonts w:hint="eastAsia"/>
                    </w:rPr>
                    <w:t>文件要求</w:t>
                  </w:r>
                </w:p>
              </w:tc>
              <w:tc>
                <w:tcPr>
                  <w:tcW w:w="2113" w:type="dxa"/>
                  <w:vAlign w:val="center"/>
                </w:tcPr>
                <w:p>
                  <w:pPr>
                    <w:pStyle w:val="28"/>
                  </w:pPr>
                  <w:r>
                    <w:rPr>
                      <w:rFonts w:hint="eastAsia"/>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pPr>
                    <w:pStyle w:val="28"/>
                  </w:pPr>
                  <w:r>
                    <w:rPr>
                      <w:rFonts w:hint="eastAsia"/>
                    </w:rPr>
                    <w:t>1</w:t>
                  </w:r>
                </w:p>
              </w:tc>
              <w:tc>
                <w:tcPr>
                  <w:tcW w:w="5932" w:type="dxa"/>
                  <w:vAlign w:val="center"/>
                </w:tcPr>
                <w:p>
                  <w:pPr>
                    <w:pStyle w:val="28"/>
                  </w:pPr>
                  <w:r>
                    <w:t>一：引导项目合理布局（二）鼓励利用未利用地和存量建设用地发展光伏发电产业。在严格保护生态前提下，鼓励在沙漠、戈壁、荒漠等区域选址建设大型光伏基地；对于油田、气田以及难以复垦或修复的采煤沉陷区，推进其中的非耕地区域规划建设光伏基地。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和东北内蒙古重点国有林区。</w:t>
                  </w:r>
                </w:p>
              </w:tc>
              <w:tc>
                <w:tcPr>
                  <w:tcW w:w="2113" w:type="dxa"/>
                  <w:vAlign w:val="center"/>
                </w:tcPr>
                <w:p>
                  <w:pPr>
                    <w:pStyle w:val="28"/>
                  </w:pPr>
                  <w:r>
                    <w:t>本项目选址已避开耕地、生态保护红线、历史文化保护线、特殊自然景观价值和文化标识区域、天然林地、国家沙化土地封禁保护区。用地不涉及永久基本农田、基本草原、Ⅰ级保护林地和东北内蒙古重点国有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pPr>
                    <w:pStyle w:val="28"/>
                  </w:pPr>
                  <w:r>
                    <w:rPr>
                      <w:rFonts w:hint="eastAsia"/>
                    </w:rPr>
                    <w:t>2</w:t>
                  </w:r>
                </w:p>
              </w:tc>
              <w:tc>
                <w:tcPr>
                  <w:tcW w:w="5932" w:type="dxa"/>
                  <w:vAlign w:val="center"/>
                </w:tcPr>
                <w:p>
                  <w:pPr>
                    <w:pStyle w:val="28"/>
                  </w:pPr>
                  <w:r>
                    <w:t>二、光伏发电项目用地实行分类管理：（一）光伏方阵用地。光伏方阵用地不得占用耕地，占用其他农用地的，应根据实际合理控制，节约集约用地，尽量避免对生态和农业生产造成影响。光伏方阵用地涉及使用林地的，须采用林光互补模式，可使用年降水量400毫米以下区域的灌木林地以及其他区域覆盖度低于50%的灌木林地，不得采伐林木、割灌及破坏原有植被，不得将乔木林地、竹林地等采伐改造为灌木林地后架设光伏板；光伏支架最低点应高于灌木高度1米以上，每列光伏板南北方向应合理设置净间距，具体由各地结合实地确定，并采取有效水土保持措施，确保灌木覆盖度等生长状态不低于林光互补前水平。光伏方阵按规定使用灌木林地的，施工期间应办理临时使用林地手续，运营期间相关方签订协议，项目服务期满后应当恢复林地原状。光伏方阵用地涉及占用基本草原外草原的，地方林草主管部门应科学评估本地区草原资源与生态状况，合理确定项目的适建区域、建设模式与建设要求。鼓励采用“草光互补”模式。光伏方阵用地不得改变地表形态，以第三次全国国土调查及后续开展的年度国土变更调查成果为底版，依法依规进行管理。实行用地备案，不需按非农建设用地审批。（二）配套设施用地管理。光伏发电项目配套设施用地，按建设用地进行管理，依法依规办理建设用地审批手续。其中，涉及占用耕地的，按规定落实占补平衡。符合光伏用地标准，位于方阵内部和四周，直接配套光伏方阵的道路，可按农村道路用地管理，涉及占用耕地的，按规定落实进出平衡。其他道路按建设用地管理。</w:t>
                  </w:r>
                </w:p>
              </w:tc>
              <w:tc>
                <w:tcPr>
                  <w:tcW w:w="2113" w:type="dxa"/>
                  <w:vAlign w:val="center"/>
                </w:tcPr>
                <w:p>
                  <w:pPr>
                    <w:pStyle w:val="28"/>
                  </w:pPr>
                  <w:r>
                    <w:t>根据现场调查项目建设区主要为</w:t>
                  </w:r>
                  <w:r>
                    <w:rPr>
                      <w:rFonts w:hint="eastAsia"/>
                    </w:rPr>
                    <w:t>园地、草地等</w:t>
                  </w:r>
                  <w:r>
                    <w:t>。根据现场实际调查，本项目光伏电站的电池组件阵列区</w:t>
                  </w:r>
                  <w:r>
                    <w:rPr>
                      <w:rFonts w:hint="eastAsia"/>
                      <w:lang w:val="en-US" w:eastAsia="zh-CN"/>
                    </w:rPr>
                    <w:t>不涉及灌木林地</w:t>
                  </w:r>
                  <w:r>
                    <w:t>。光伏支架最低点高于</w:t>
                  </w:r>
                  <w:r>
                    <w:rPr>
                      <w:rFonts w:hint="eastAsia"/>
                      <w:lang w:val="en-US" w:eastAsia="zh-CN"/>
                    </w:rPr>
                    <w:t>地面3</w:t>
                  </w:r>
                  <w:r>
                    <w:t>米以上，阵列南北向最小间距为</w:t>
                  </w:r>
                  <w:r>
                    <w:rPr>
                      <w:rFonts w:hint="eastAsia"/>
                      <w:lang w:val="en-US" w:eastAsia="zh-CN"/>
                    </w:rPr>
                    <w:t>7.5</w:t>
                  </w:r>
                  <w:r>
                    <w:t>m，建设单位在开工前将按要求办理相关的林地手续。在其项目服务期满后将恢复林地原状。本项目主要依托现有国道、村村通道路进行运输，不建设临时用地。</w:t>
                  </w:r>
                </w:p>
              </w:tc>
            </w:tr>
          </w:tbl>
          <w:p>
            <w:pPr>
              <w:pStyle w:val="29"/>
              <w:ind w:firstLine="480"/>
            </w:pPr>
            <w:r>
              <w:t>故本项目的建设符合自然资源部办公厅国家林业和草原局办公室国家能源局综合司《关于支持光伏发电产业发展规范用地管理有关工作的通知》（自然资办发[2023]12号）要求。</w:t>
            </w:r>
          </w:p>
          <w:p>
            <w:pPr>
              <w:pStyle w:val="29"/>
              <w:ind w:firstLine="482"/>
              <w:rPr>
                <w:b/>
                <w:bCs/>
              </w:rPr>
            </w:pPr>
            <w:r>
              <w:rPr>
                <w:b/>
                <w:bCs/>
              </w:rPr>
              <w:t>1.7.5</w:t>
            </w:r>
            <w:r>
              <w:rPr>
                <w:rFonts w:hint="eastAsia"/>
                <w:b/>
                <w:bCs/>
              </w:rPr>
              <w:t xml:space="preserve"> </w:t>
            </w:r>
            <w:r>
              <w:rPr>
                <w:b/>
                <w:bCs/>
              </w:rPr>
              <w:t>与《全国“十四五”现代能源体系规划》的符合性</w:t>
            </w:r>
          </w:p>
          <w:p>
            <w:pPr>
              <w:pStyle w:val="29"/>
              <w:ind w:firstLine="480"/>
            </w:pPr>
            <w:r>
              <w:t>该规划提出的发展目标之一为加快发展风电、太阳能发电。全面推进风电和太阳能发电大规模开发和高质量发展，优先就地就近开发利用，加快负荷中心及周边地区分散式风电和分布式光伏建设，推广应用低风速风电技术。在风能和太阳能资源禀赋较好、建设条件优越、具备持续整装开发条件、符合区域生态环境保护等要求的地区，有序推进风电和光伏发电集中式开发；推动西南地区水电与风电、太阳能发电协同互补。</w:t>
            </w:r>
          </w:p>
          <w:p>
            <w:pPr>
              <w:pStyle w:val="29"/>
              <w:ind w:firstLine="480"/>
            </w:pPr>
            <w:r>
              <w:t>本项目为新建集中式光伏项目，因此本项目建设符合《全国“十四五”现代能源体系规划》相关发展目标要求。</w:t>
            </w:r>
          </w:p>
          <w:p>
            <w:pPr>
              <w:pStyle w:val="29"/>
              <w:ind w:firstLine="482"/>
              <w:rPr>
                <w:b/>
                <w:bCs/>
              </w:rPr>
            </w:pPr>
            <w:r>
              <w:rPr>
                <w:b/>
                <w:bCs/>
              </w:rPr>
              <w:t>1.7.6</w:t>
            </w:r>
            <w:r>
              <w:rPr>
                <w:rFonts w:hint="eastAsia"/>
                <w:b/>
                <w:bCs/>
              </w:rPr>
              <w:t xml:space="preserve"> </w:t>
            </w:r>
            <w:r>
              <w:rPr>
                <w:b/>
                <w:bCs/>
              </w:rPr>
              <w:t>与《重庆市能源发展“十四五”规划（2021</w:t>
            </w:r>
            <w:r>
              <w:rPr>
                <w:rFonts w:hint="eastAsia"/>
                <w:b/>
                <w:bCs/>
              </w:rPr>
              <w:t>—</w:t>
            </w:r>
            <w:r>
              <w:rPr>
                <w:b/>
                <w:bCs/>
              </w:rPr>
              <w:t>2025年）》的符合性</w:t>
            </w:r>
          </w:p>
          <w:p>
            <w:pPr>
              <w:pStyle w:val="29"/>
              <w:ind w:firstLine="480"/>
            </w:pPr>
            <w:r>
              <w:t>该规划提出的发展目标之一为能源绿色转型成效显著：到2025年，可再生能源电力消纳总量责任权重达到国家下达计划指标，非化石能源消费比重提高到25％。该规划发展任务之一包括推动能源结构绿色低碳转型：持续提高清洁能源供给占比。开展风电场技改扩能“退旧换新”大容量高效率机组，提高风电发电效率……到2025年，全市清洁能源装机占比达到50％。</w:t>
            </w:r>
          </w:p>
          <w:p>
            <w:pPr>
              <w:pStyle w:val="29"/>
              <w:ind w:firstLine="480"/>
            </w:pPr>
            <w:r>
              <w:t>本项目为新建集中式光伏项目，项目建成后有助于提高重庆市全市的清洁能源装机量，因此本项目建设符合《重庆市能源发展“十四五”规划（2021</w:t>
            </w:r>
            <w:r>
              <w:rPr>
                <w:rFonts w:hint="eastAsia"/>
              </w:rPr>
              <w:t>—</w:t>
            </w:r>
            <w:r>
              <w:t>2025年）》的发展目标和任务。</w:t>
            </w:r>
          </w:p>
          <w:p>
            <w:pPr>
              <w:pStyle w:val="29"/>
              <w:ind w:firstLine="482"/>
              <w:rPr>
                <w:b/>
                <w:bCs/>
              </w:rPr>
            </w:pPr>
            <w:r>
              <w:rPr>
                <w:b/>
                <w:bCs/>
              </w:rPr>
              <w:t>1.7.7</w:t>
            </w:r>
            <w:r>
              <w:rPr>
                <w:rFonts w:hint="eastAsia"/>
                <w:b/>
                <w:bCs/>
              </w:rPr>
              <w:t xml:space="preserve"> </w:t>
            </w:r>
            <w:r>
              <w:rPr>
                <w:b/>
                <w:bCs/>
              </w:rPr>
              <w:t>与《重庆市能源局关于引导全市光伏发电产业有序发展的通知》（渝能源电〔2017〕51号）符合性分析</w:t>
            </w:r>
          </w:p>
          <w:p>
            <w:pPr>
              <w:pStyle w:val="29"/>
              <w:ind w:firstLine="480"/>
            </w:pPr>
            <w:r>
              <w:t>本次评价对渝能源电〔2017〕51号符合性分析如下表：</w:t>
            </w:r>
          </w:p>
          <w:p>
            <w:pPr>
              <w:pStyle w:val="29"/>
              <w:ind w:firstLine="0" w:firstLineChars="0"/>
              <w:jc w:val="center"/>
            </w:pPr>
            <w:r>
              <w:t>表</w:t>
            </w:r>
            <w:r>
              <w:rPr>
                <w:rFonts w:hint="eastAsia"/>
              </w:rPr>
              <w:t xml:space="preserve">1-6  </w:t>
            </w:r>
            <w:r>
              <w:t>本项目与渝能源电〔2017〕51号符合性分析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433"/>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pStyle w:val="28"/>
                  </w:pPr>
                  <w:r>
                    <w:rPr>
                      <w:rFonts w:hint="eastAsia"/>
                    </w:rPr>
                    <w:t>序号</w:t>
                  </w:r>
                </w:p>
              </w:tc>
              <w:tc>
                <w:tcPr>
                  <w:tcW w:w="5435" w:type="dxa"/>
                  <w:vAlign w:val="center"/>
                </w:tcPr>
                <w:p>
                  <w:pPr>
                    <w:pStyle w:val="28"/>
                  </w:pPr>
                  <w:r>
                    <w:rPr>
                      <w:rFonts w:hint="eastAsia"/>
                    </w:rPr>
                    <w:t>内容</w:t>
                  </w:r>
                </w:p>
              </w:tc>
              <w:tc>
                <w:tcPr>
                  <w:tcW w:w="2586" w:type="dxa"/>
                  <w:vAlign w:val="center"/>
                </w:tcPr>
                <w:p>
                  <w:pPr>
                    <w:pStyle w:val="28"/>
                  </w:pPr>
                  <w:r>
                    <w:rPr>
                      <w:rFonts w:hint="eastAsi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pStyle w:val="28"/>
                  </w:pPr>
                  <w:r>
                    <w:rPr>
                      <w:rFonts w:hint="eastAsia"/>
                    </w:rPr>
                    <w:t>1</w:t>
                  </w:r>
                </w:p>
              </w:tc>
              <w:tc>
                <w:tcPr>
                  <w:tcW w:w="5435" w:type="dxa"/>
                  <w:vAlign w:val="center"/>
                </w:tcPr>
                <w:p>
                  <w:pPr>
                    <w:pStyle w:val="28"/>
                  </w:pPr>
                  <w:r>
                    <w:rPr>
                      <w:rFonts w:hint="eastAsia"/>
                    </w:rPr>
                    <w:t>全市光伏发电项目均实行备案管理，按照属地化原则在项目所在区县（自治区）投资（能源）主管部门备案</w:t>
                  </w:r>
                </w:p>
              </w:tc>
              <w:tc>
                <w:tcPr>
                  <w:tcW w:w="2586" w:type="dxa"/>
                  <w:vAlign w:val="center"/>
                </w:tcPr>
                <w:p>
                  <w:pPr>
                    <w:pStyle w:val="28"/>
                  </w:pPr>
                  <w:r>
                    <w:rPr>
                      <w:rFonts w:hint="eastAsia"/>
                    </w:rPr>
                    <w:t>符合，本项目已取得奉节县发改委备案证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pStyle w:val="28"/>
                  </w:pPr>
                  <w:r>
                    <w:rPr>
                      <w:rFonts w:hint="eastAsia"/>
                    </w:rPr>
                    <w:t>2</w:t>
                  </w:r>
                </w:p>
              </w:tc>
              <w:tc>
                <w:tcPr>
                  <w:tcW w:w="5435" w:type="dxa"/>
                  <w:vAlign w:val="center"/>
                </w:tcPr>
                <w:p>
                  <w:pPr>
                    <w:pStyle w:val="28"/>
                  </w:pPr>
                  <w:r>
                    <w:rPr>
                      <w:rFonts w:hint="eastAsia"/>
                    </w:rPr>
                    <w:t>光伏电站项目备案建设应符合所在地的光伏发电站发展规划，并按照有关技术标准和规程规范，编制光伏电站建设方案（达到可研深度），落实项目太阳能资源测评、建设规模、规划选址、土地利用、电网接入条件等。</w:t>
                  </w:r>
                </w:p>
              </w:tc>
              <w:tc>
                <w:tcPr>
                  <w:tcW w:w="2586" w:type="dxa"/>
                  <w:vAlign w:val="center"/>
                </w:tcPr>
                <w:p>
                  <w:pPr>
                    <w:pStyle w:val="28"/>
                  </w:pPr>
                  <w:r>
                    <w:rPr>
                      <w:rFonts w:hint="eastAsia"/>
                    </w:rPr>
                    <w:t>符合，本项目符合“十四五电力发展规划”，本项目已编制可研。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pStyle w:val="28"/>
                  </w:pPr>
                  <w:r>
                    <w:rPr>
                      <w:rFonts w:hint="eastAsia"/>
                    </w:rPr>
                    <w:t>3</w:t>
                  </w:r>
                </w:p>
              </w:tc>
              <w:tc>
                <w:tcPr>
                  <w:tcW w:w="5435" w:type="dxa"/>
                  <w:vAlign w:val="center"/>
                </w:tcPr>
                <w:p>
                  <w:pPr>
                    <w:pStyle w:val="28"/>
                  </w:pPr>
                  <w:r>
                    <w:rPr>
                      <w:rFonts w:hint="eastAsia"/>
                    </w:rPr>
                    <w:t>光伏发电项目新采购的光伏组件应满足工业和信息化部《光伏制造行业规范条件》（2015年本）相关产品技术指标要求。其中，多晶硅电池组件和单晶硅电池组件的光电转换效率分别不低于15.5%和16%；高倍聚光光伏组件光电转换效率不低于28%；硅基、铜铟镓硒、碲化镉及其他薄膜电池组件的光电转换效率分别不低于8%、11%、11%和10%；多晶硅、单晶硅和薄膜电池组件自项目投产运行之日起，一年内衰减率分别不高于2.5%、3%和5%，之后每年衰减率不高于0.7%，项目全生命周期内衰减率不高于20%。高倍聚光光伏组件自项目投产运行之日起，一年内衰减率不高于2%，之后每年衰减率不高于0.5%，项目全生命周期内衰减率不高于10%。上述指标将根据产业发展情况适时调整。</w:t>
                  </w:r>
                </w:p>
              </w:tc>
              <w:tc>
                <w:tcPr>
                  <w:tcW w:w="2586" w:type="dxa"/>
                  <w:vAlign w:val="center"/>
                </w:tcPr>
                <w:p>
                  <w:pPr>
                    <w:pStyle w:val="28"/>
                  </w:pPr>
                  <w:r>
                    <w:t>符合，根据可研，本项目采用晶体硅太阳能电池，转换效率为20%</w:t>
                  </w:r>
                  <w:r>
                    <w:rPr>
                      <w:rFonts w:hint="eastAsia"/>
                    </w:rPr>
                    <w:t>～</w:t>
                  </w:r>
                  <w:r>
                    <w:t>22%（满足不低于16%的要求）；首年衰减率2%（满足不高于3%的要求），之后每年衰减率0.45%（满足不高于0.7%的要求），全生命周期（25年）衰减率12.8%，（满足不高于20%的要求）。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pStyle w:val="28"/>
                  </w:pPr>
                  <w:r>
                    <w:rPr>
                      <w:rFonts w:hint="eastAsia"/>
                    </w:rPr>
                    <w:t>4</w:t>
                  </w:r>
                </w:p>
              </w:tc>
              <w:tc>
                <w:tcPr>
                  <w:tcW w:w="5435" w:type="dxa"/>
                  <w:vAlign w:val="center"/>
                </w:tcPr>
                <w:p>
                  <w:pPr>
                    <w:pStyle w:val="28"/>
                  </w:pPr>
                  <w:r>
                    <w:t>按照《国家林业局关于光伏电站建设使用林地有关问题的通知》（林资发〔2015〕153号）要求，各类自然保护区、森林公园（含同类型国家公园）、濒危物种栖息地、天然林保护工程区为禁止建设区域。光伏电站的电池组件阵列禁止使用有林地、疏林地、未成林造林地、采伐迹地、火烧迹地，以及覆盖率高于50%的灌木林地。对于森林资源调查确定为宜林地，而第二次全国土地调查确定为未利用地的土地，应采用“林光互补”用地模式，“林光互补”模式光伏电站要确保使用的宜林地不改变林地性质。光伏电站建设必须依法办理使用林地审核审批手续。</w:t>
                  </w:r>
                </w:p>
              </w:tc>
              <w:tc>
                <w:tcPr>
                  <w:tcW w:w="2586" w:type="dxa"/>
                  <w:vAlign w:val="center"/>
                </w:tcPr>
                <w:p>
                  <w:pPr>
                    <w:pStyle w:val="28"/>
                  </w:pPr>
                  <w:r>
                    <w:rPr>
                      <w:rFonts w:hint="eastAsia"/>
                    </w:rPr>
                    <w:t>符合，本项目用地范围不涉及自然保护区、森林公园、濒危物种栖息地、天然林保护工程区等，不涉及林业限制性区域。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pStyle w:val="28"/>
                  </w:pPr>
                  <w:r>
                    <w:rPr>
                      <w:rFonts w:hint="eastAsia"/>
                    </w:rPr>
                    <w:t>5</w:t>
                  </w:r>
                </w:p>
              </w:tc>
              <w:tc>
                <w:tcPr>
                  <w:tcW w:w="5435" w:type="dxa"/>
                  <w:vAlign w:val="center"/>
                </w:tcPr>
                <w:p>
                  <w:pPr>
                    <w:pStyle w:val="28"/>
                  </w:pPr>
                  <w:r>
                    <w:rPr>
                      <w:rFonts w:hint="eastAsia"/>
                    </w:rPr>
                    <w:t>分布式光伏发电项目按规定到所在区县环保部门进行环评备案，光伏电站项目按环评标准履行相应环评手续。在项目建设施工中，应加强生态环境保护，做到最大限度地保护、最小程度地破坏、最大限度地恢复。</w:t>
                  </w:r>
                </w:p>
              </w:tc>
              <w:tc>
                <w:tcPr>
                  <w:tcW w:w="2586" w:type="dxa"/>
                  <w:vAlign w:val="center"/>
                </w:tcPr>
                <w:p>
                  <w:pPr>
                    <w:pStyle w:val="28"/>
                  </w:pPr>
                  <w:r>
                    <w:rPr>
                      <w:rFonts w:hint="eastAsia"/>
                    </w:rPr>
                    <w:t>符合，本项目属于光伏电站项目，正在履行环评手续，在评价中要求项目施工加强生态环境保护。</w:t>
                  </w:r>
                </w:p>
              </w:tc>
            </w:tr>
          </w:tbl>
          <w:p>
            <w:pPr>
              <w:pStyle w:val="29"/>
              <w:ind w:firstLine="480"/>
            </w:pPr>
            <w:r>
              <w:t>根据上述分析，本项目符合《重庆市能源局关于引导全市光伏发电产业有序发展的通知》（渝能源电〔2017〕51号）相关要求。</w:t>
            </w:r>
          </w:p>
          <w:p>
            <w:pPr>
              <w:pStyle w:val="29"/>
              <w:ind w:firstLine="482"/>
              <w:rPr>
                <w:b/>
                <w:bCs/>
              </w:rPr>
            </w:pPr>
            <w:r>
              <w:rPr>
                <w:b/>
                <w:bCs/>
              </w:rPr>
              <w:t>1.7.8</w:t>
            </w:r>
            <w:r>
              <w:rPr>
                <w:rFonts w:hint="eastAsia"/>
                <w:b/>
                <w:bCs/>
              </w:rPr>
              <w:t xml:space="preserve"> </w:t>
            </w:r>
            <w:r>
              <w:rPr>
                <w:b/>
                <w:bCs/>
              </w:rPr>
              <w:t>与《重庆市发展和改革委员会关于印发重庆市产业投资准入工作手册的通知》（渝发改投资〔2022〕1436号）的符合性分析</w:t>
            </w:r>
          </w:p>
          <w:p>
            <w:pPr>
              <w:pStyle w:val="29"/>
              <w:ind w:firstLine="480"/>
            </w:pPr>
            <w:r>
              <w:t>本项目属于光伏发电项目建设，经核实，本项目不属于《重庆市发展和改革委员会关于印发重庆市产业投资准入工作手册的通知》（渝发改投资〔2022〕1436号）不予准入和限制准入类建设项目，符合投资准入政策。</w:t>
            </w:r>
          </w:p>
          <w:p>
            <w:pPr>
              <w:pStyle w:val="29"/>
              <w:ind w:firstLine="480"/>
              <w:rPr>
                <w:b/>
                <w:bCs/>
              </w:rPr>
            </w:pPr>
            <w:r>
              <w:rPr>
                <w:b/>
                <w:bCs/>
              </w:rPr>
              <w:t>1.7.9</w:t>
            </w:r>
            <w:r>
              <w:rPr>
                <w:rFonts w:hint="eastAsia"/>
                <w:b/>
                <w:bCs/>
              </w:rPr>
              <w:t xml:space="preserve"> </w:t>
            </w:r>
            <w:r>
              <w:rPr>
                <w:b/>
                <w:bCs/>
              </w:rPr>
              <w:t>与《四川省、重庆市长江经济带发展负面清单实施细则（试行，2022年版）》（川长江办〔2022〕第17号）符合性分析</w:t>
            </w:r>
          </w:p>
          <w:p>
            <w:pPr>
              <w:pStyle w:val="29"/>
              <w:ind w:firstLine="480"/>
            </w:pPr>
            <w:r>
              <w:t>项目与《四川省、重庆市长江经济带发展负面清单实施细则（试行，2022年版）》（川长江办〔2022〕第17号）符合性分析见下表</w:t>
            </w:r>
            <w:r>
              <w:rPr>
                <w:rFonts w:hint="eastAsia"/>
              </w:rPr>
              <w:t>：</w:t>
            </w:r>
          </w:p>
          <w:p>
            <w:pPr>
              <w:pStyle w:val="29"/>
              <w:ind w:firstLine="0" w:firstLineChars="0"/>
              <w:jc w:val="center"/>
            </w:pPr>
            <w:r>
              <w:rPr>
                <w:rFonts w:hint="eastAsia"/>
              </w:rPr>
              <w:t>表1-</w:t>
            </w:r>
            <w:r>
              <w:rPr>
                <w:rFonts w:hint="eastAsia"/>
                <w:lang w:val="en-US" w:eastAsia="zh-CN"/>
              </w:rPr>
              <w:t>7</w:t>
            </w:r>
            <w:r>
              <w:rPr>
                <w:rFonts w:hint="eastAsia"/>
              </w:rPr>
              <w:t xml:space="preserve"> </w:t>
            </w:r>
            <w:r>
              <w:t>与《四川省、重庆市长江经济带发展负面清单实施细则</w:t>
            </w:r>
            <w:r>
              <w:rPr>
                <w:rFonts w:hint="eastAsia"/>
              </w:rPr>
              <w:t>》符合性分析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6"/>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管控要求</w:t>
                  </w:r>
                </w:p>
              </w:tc>
              <w:tc>
                <w:tcPr>
                  <w:tcW w:w="2548" w:type="dxa"/>
                  <w:vAlign w:val="center"/>
                </w:tcPr>
                <w:p>
                  <w:pPr>
                    <w:pStyle w:val="28"/>
                  </w:pPr>
                  <w:r>
                    <w:rPr>
                      <w:rFonts w:hint="eastAsia"/>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t>禁止新建、改建和扩建不符合全国港口布局规划，以及《四川省内河水运发展规划》《泸州一宜宾一乐山港口群布局规划》《重庆港总体规划（2035年）》等省级港口布局规划及市级港口总体规划的码头项目</w:t>
                  </w:r>
                  <w:r>
                    <w:rPr>
                      <w:rFonts w:hint="eastAsia"/>
                    </w:rPr>
                    <w:t>。</w:t>
                  </w:r>
                </w:p>
              </w:tc>
              <w:tc>
                <w:tcPr>
                  <w:tcW w:w="2548" w:type="dxa"/>
                  <w:vAlign w:val="center"/>
                </w:tcPr>
                <w:p>
                  <w:pPr>
                    <w:pStyle w:val="28"/>
                  </w:pPr>
                  <w:r>
                    <w:t>本项目不属于码头项目，符合。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t>禁止新建、改建和扩建不符合《长江干线过江通道布局规划（2020</w:t>
                  </w:r>
                  <w:r>
                    <w:rPr>
                      <w:rFonts w:hint="eastAsia"/>
                    </w:rPr>
                    <w:t>—</w:t>
                  </w:r>
                  <w:r>
                    <w:t>2035年）》的过长江通道项目（含桥梁、隧道），国家发展改革委同意过长江通道线位调整的除外。</w:t>
                  </w:r>
                </w:p>
              </w:tc>
              <w:tc>
                <w:tcPr>
                  <w:tcW w:w="2548" w:type="dxa"/>
                  <w:vAlign w:val="center"/>
                </w:tcPr>
                <w:p>
                  <w:pPr>
                    <w:pStyle w:val="28"/>
                  </w:pPr>
                  <w:r>
                    <w:t>本项目不属于长江通道项目，符合。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禁止在自然保护区核心区、缓冲区的岸线和河段范围内投资建设旅游和生产经营项目。</w:t>
                  </w:r>
                </w:p>
              </w:tc>
              <w:tc>
                <w:tcPr>
                  <w:tcW w:w="2548" w:type="dxa"/>
                  <w:vAlign w:val="center"/>
                </w:tcPr>
                <w:p>
                  <w:pPr>
                    <w:pStyle w:val="28"/>
                  </w:pPr>
                  <w:r>
                    <w:rPr>
                      <w:rFonts w:hint="eastAsia"/>
                    </w:rPr>
                    <w:t>本项目不涉及自然保护区核心区、缓冲区的岸线和河段范围，符合。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t>禁止违反风景名胜区规划，在风景名胜区内设立各类开发区。禁止在风景名胜区核心景区的岸线和河段范围内建设宾馆、招待所、培训中心、疗养院以及与风景名胜区资源保护无关的项目。</w:t>
                  </w:r>
                </w:p>
              </w:tc>
              <w:tc>
                <w:tcPr>
                  <w:tcW w:w="2548" w:type="dxa"/>
                  <w:vAlign w:val="center"/>
                </w:tcPr>
                <w:p>
                  <w:pPr>
                    <w:pStyle w:val="28"/>
                  </w:pPr>
                  <w:r>
                    <w:t>本项目不涉及风景名胜区，符合。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禁止在饮用水水源准保护区的岸线和河段范围内新建、扩建对水体污染严重的建设项目，禁止改建增加排污量的建设项目。</w:t>
                  </w:r>
                </w:p>
              </w:tc>
              <w:tc>
                <w:tcPr>
                  <w:tcW w:w="2548" w:type="dxa"/>
                  <w:vAlign w:val="center"/>
                </w:tcPr>
                <w:p>
                  <w:pPr>
                    <w:pStyle w:val="28"/>
                  </w:pPr>
                  <w:r>
                    <w:rPr>
                      <w:rFonts w:hint="eastAsia"/>
                    </w:rPr>
                    <w:t>本项目不属于对水体污染严重的建设项目，符合。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饮用水水源二级保护区的岸线和河段范围内，除遵守准保护区规定外，禁止新建、改建、扩建排放污染物的投资建设项目；禁止从事对水体有污染的水产养殖等活动。</w:t>
                  </w:r>
                </w:p>
              </w:tc>
              <w:tc>
                <w:tcPr>
                  <w:tcW w:w="2548" w:type="dxa"/>
                  <w:vAlign w:val="center"/>
                </w:tcPr>
                <w:p>
                  <w:pPr>
                    <w:pStyle w:val="28"/>
                  </w:pPr>
                  <w:r>
                    <w:rPr>
                      <w:rFonts w:hint="eastAsia"/>
                    </w:rPr>
                    <w:t>本项目不涉及饮用水源地，且项目运营期无污染物排放，符合。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548" w:type="dxa"/>
                  <w:vAlign w:val="center"/>
                </w:tcPr>
                <w:p>
                  <w:pPr>
                    <w:pStyle w:val="28"/>
                  </w:pPr>
                  <w:r>
                    <w:rPr>
                      <w:rFonts w:hint="eastAsia"/>
                    </w:rPr>
                    <w:t>本项目不涉及饮用水水源保护区的岸线和河段，符合。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禁止在水产种质资源保护区岸线和河段范围内新建围湖造田、围湖造地或挖沙采石等投资建设项目。</w:t>
                  </w:r>
                </w:p>
              </w:tc>
              <w:tc>
                <w:tcPr>
                  <w:tcW w:w="2548" w:type="dxa"/>
                  <w:vAlign w:val="center"/>
                </w:tcPr>
                <w:p>
                  <w:pPr>
                    <w:pStyle w:val="28"/>
                  </w:pPr>
                  <w:r>
                    <w:rPr>
                      <w:rFonts w:hint="eastAsia"/>
                    </w:rPr>
                    <w:t>本项目不属于新建围湖造田、围湖造地或挖沙采石等投资建设项目，符合。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548" w:type="dxa"/>
                  <w:vAlign w:val="center"/>
                </w:tcPr>
                <w:p>
                  <w:pPr>
                    <w:pStyle w:val="28"/>
                  </w:pPr>
                  <w:r>
                    <w:rPr>
                      <w:rFonts w:hint="eastAsia"/>
                    </w:rPr>
                    <w:t>本项目不涉及长江流域河湖岸线，符合。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t>禁止在《全国重要江河湖泊水功能区划》划定的河段及湖泊保护区、保留区内投资建设不利于水资源及自然生态保护的项目。</w:t>
                  </w:r>
                </w:p>
              </w:tc>
              <w:tc>
                <w:tcPr>
                  <w:tcW w:w="2548" w:type="dxa"/>
                  <w:vAlign w:val="center"/>
                </w:tcPr>
                <w:p>
                  <w:pPr>
                    <w:pStyle w:val="28"/>
                  </w:pPr>
                  <w:r>
                    <w:t>本项目不涉及《全国重要江河湖泊水功能区划》划定的河段及湖泊保护区、保留区，符合。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禁止在长江流域江河、湖泊新设、改设或者扩大排污口，经有管辖权的生态环境主管部门或者长江流域生态环境监督管理机构同意的除外。</w:t>
                  </w:r>
                </w:p>
              </w:tc>
              <w:tc>
                <w:tcPr>
                  <w:tcW w:w="2548" w:type="dxa"/>
                  <w:vAlign w:val="center"/>
                </w:tcPr>
                <w:p>
                  <w:pPr>
                    <w:pStyle w:val="28"/>
                  </w:pPr>
                  <w:r>
                    <w:rPr>
                      <w:rFonts w:hint="eastAsia"/>
                    </w:rPr>
                    <w:t>本项目不涉及在长江流域扩大排污口，符合。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禁止在长江干流岸线三公里范围内和重要支流岸线一公里范围内新建、改建、扩建尾矿库、冶炼渣库、磷石膏库，以提升安全、生态环境保护水平为目的的改建除外。</w:t>
                  </w:r>
                </w:p>
              </w:tc>
              <w:tc>
                <w:tcPr>
                  <w:tcW w:w="2548" w:type="dxa"/>
                  <w:vAlign w:val="center"/>
                </w:tcPr>
                <w:p>
                  <w:pPr>
                    <w:pStyle w:val="28"/>
                  </w:pPr>
                  <w:r>
                    <w:rPr>
                      <w:rFonts w:hint="eastAsia"/>
                    </w:rPr>
                    <w:t>本项目不属于尾矿库、冶炼渣库、磷石膏库项目，符合。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禁止在合规园区外新建、扩建钢铁、石化、化工、焦化、建材、有色、制浆造纸等高污染项目。</w:t>
                  </w:r>
                </w:p>
              </w:tc>
              <w:tc>
                <w:tcPr>
                  <w:tcW w:w="2548" w:type="dxa"/>
                  <w:vAlign w:val="center"/>
                </w:tcPr>
                <w:p>
                  <w:pPr>
                    <w:pStyle w:val="28"/>
                  </w:pPr>
                  <w:r>
                    <w:rPr>
                      <w:rFonts w:hint="eastAsia"/>
                    </w:rPr>
                    <w:t>本项目不属于钢铁、石化、化工、焦化、建材、有色、制浆造纸等高污染项目，符合。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9" w:type="dxa"/>
                  <w:vAlign w:val="center"/>
                </w:tcPr>
                <w:p>
                  <w:pPr>
                    <w:pStyle w:val="28"/>
                  </w:pPr>
                  <w:r>
                    <w:rPr>
                      <w:rFonts w:hint="eastAsia"/>
                    </w:rPr>
                    <w:t>禁止新建、扩建不符合要求的高耗能、高排放、低水平项目。</w:t>
                  </w:r>
                </w:p>
              </w:tc>
              <w:tc>
                <w:tcPr>
                  <w:tcW w:w="2548" w:type="dxa"/>
                  <w:vAlign w:val="center"/>
                </w:tcPr>
                <w:p>
                  <w:pPr>
                    <w:pStyle w:val="28"/>
                  </w:pPr>
                  <w:r>
                    <w:rPr>
                      <w:rFonts w:hint="eastAsia"/>
                    </w:rPr>
                    <w:t>本项目不属于高耗能、高排放、低水平项目，符合。</w:t>
                  </w:r>
                </w:p>
              </w:tc>
            </w:tr>
          </w:tbl>
          <w:p>
            <w:pPr>
              <w:pStyle w:val="29"/>
              <w:ind w:firstLine="480"/>
            </w:pPr>
            <w:r>
              <w:t>经分析，本项目与《四川省、重庆市长江经济带发展负面清单实施细则（试行，2022年版）》相符。</w:t>
            </w:r>
          </w:p>
          <w:p>
            <w:pPr>
              <w:pStyle w:val="29"/>
              <w:ind w:firstLine="482"/>
              <w:rPr>
                <w:b/>
                <w:bCs/>
              </w:rPr>
            </w:pPr>
            <w:r>
              <w:rPr>
                <w:b/>
                <w:bCs/>
              </w:rPr>
              <w:t>1.7.1</w:t>
            </w:r>
            <w:r>
              <w:rPr>
                <w:rFonts w:hint="eastAsia"/>
                <w:b/>
                <w:bCs/>
                <w:lang w:val="en-US" w:eastAsia="zh-CN"/>
              </w:rPr>
              <w:t>0</w:t>
            </w:r>
            <w:r>
              <w:rPr>
                <w:rFonts w:hint="eastAsia"/>
                <w:b/>
                <w:bCs/>
              </w:rPr>
              <w:t xml:space="preserve"> 与《中华人民共和国长江保护法》（</w:t>
            </w:r>
            <w:r>
              <w:rPr>
                <w:b/>
                <w:bCs/>
              </w:rPr>
              <w:t>2021</w:t>
            </w:r>
            <w:r>
              <w:rPr>
                <w:rFonts w:hint="eastAsia"/>
                <w:b/>
                <w:bCs/>
              </w:rPr>
              <w:t>年</w:t>
            </w:r>
            <w:r>
              <w:rPr>
                <w:b/>
                <w:bCs/>
              </w:rPr>
              <w:t>3</w:t>
            </w:r>
            <w:r>
              <w:rPr>
                <w:rFonts w:hint="eastAsia"/>
                <w:b/>
                <w:bCs/>
              </w:rPr>
              <w:t>月</w:t>
            </w:r>
            <w:r>
              <w:rPr>
                <w:b/>
                <w:bCs/>
              </w:rPr>
              <w:t>1</w:t>
            </w:r>
            <w:r>
              <w:rPr>
                <w:rFonts w:hint="eastAsia"/>
                <w:b/>
                <w:bCs/>
              </w:rPr>
              <w:t>日施行）的符合性分析</w:t>
            </w:r>
          </w:p>
          <w:p>
            <w:pPr>
              <w:pStyle w:val="29"/>
              <w:ind w:firstLine="480"/>
            </w:pPr>
            <w:r>
              <w:rPr>
                <w:rFonts w:hint="eastAsia"/>
              </w:rPr>
              <w:t>《中华人民共和国长江保护法》：</w:t>
            </w:r>
            <w:r>
              <w:t>“</w:t>
            </w:r>
            <w:r>
              <w:rPr>
                <w:rFonts w:hint="eastAsia"/>
              </w:rPr>
              <w:t>禁止在长江干支流岸线一公里范围内新建、扩建化工园区和化工项目。禁止在长江干流岸线三公里范围内和重要支流岸线一公里范围内新建、改建、扩建尾矿库；但是以提升安全、生态环境保护水平为目的的改建除外。……本法所称长江支流，是指直接或者间接流入长江干流的河流，支流可以分为一级支流、二级支流等；</w:t>
            </w:r>
            <w:r>
              <w:t>”</w:t>
            </w:r>
          </w:p>
          <w:p>
            <w:pPr>
              <w:pStyle w:val="29"/>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本项目不属于化工项目，不涉及尾矿库，符合其要求。</w:t>
            </w:r>
          </w:p>
          <w:p>
            <w:pPr>
              <w:autoSpaceDN w:val="0"/>
              <w:snapToGrid w:val="0"/>
              <w:spacing w:line="360" w:lineRule="auto"/>
              <w:ind w:firstLine="482" w:firstLineChars="200"/>
              <w:rPr>
                <w:rFonts w:hint="default"/>
                <w:b/>
                <w:bCs/>
                <w:color w:val="auto"/>
                <w:sz w:val="24"/>
                <w:highlight w:val="none"/>
                <w:lang w:val="en-US" w:eastAsia="zh-CN"/>
              </w:rPr>
            </w:pPr>
            <w:r>
              <w:rPr>
                <w:b/>
                <w:bCs/>
                <w:color w:val="auto"/>
                <w:sz w:val="24"/>
                <w:highlight w:val="none"/>
              </w:rPr>
              <w:t>1.</w:t>
            </w:r>
            <w:r>
              <w:rPr>
                <w:rFonts w:hint="eastAsia"/>
                <w:b/>
                <w:bCs/>
                <w:color w:val="auto"/>
                <w:sz w:val="24"/>
                <w:highlight w:val="none"/>
                <w:lang w:val="en-US" w:eastAsia="zh-CN"/>
              </w:rPr>
              <w:t>8 与国土规划符合性分析</w:t>
            </w:r>
          </w:p>
          <w:p>
            <w:pPr>
              <w:autoSpaceDN w:val="0"/>
              <w:snapToGrid w:val="0"/>
              <w:spacing w:line="360" w:lineRule="auto"/>
              <w:ind w:firstLine="482" w:firstLineChars="200"/>
              <w:rPr>
                <w:b/>
                <w:bCs/>
                <w:color w:val="auto"/>
                <w:sz w:val="24"/>
                <w:highlight w:val="none"/>
              </w:rPr>
            </w:pPr>
            <w:r>
              <w:rPr>
                <w:rFonts w:hint="eastAsia"/>
                <w:b/>
                <w:bCs/>
                <w:color w:val="auto"/>
                <w:sz w:val="24"/>
                <w:highlight w:val="none"/>
                <w:lang w:val="en-US" w:eastAsia="zh-CN"/>
              </w:rPr>
              <w:t xml:space="preserve">1.8.1 </w:t>
            </w:r>
            <w:r>
              <w:rPr>
                <w:b/>
                <w:bCs/>
                <w:color w:val="auto"/>
                <w:sz w:val="24"/>
                <w:highlight w:val="none"/>
              </w:rPr>
              <w:t>与国土空间规划划定的“三区三线”符合性分析</w:t>
            </w:r>
          </w:p>
          <w:p>
            <w:pPr>
              <w:pStyle w:val="35"/>
              <w:spacing w:line="360" w:lineRule="auto"/>
              <w:ind w:firstLine="496" w:firstLineChars="200"/>
              <w:rPr>
                <w:rFonts w:hint="default" w:eastAsia="宋体"/>
                <w:color w:val="auto"/>
                <w:spacing w:val="4"/>
                <w:sz w:val="24"/>
                <w:szCs w:val="24"/>
                <w:highlight w:val="none"/>
                <w:lang w:val="en-US" w:eastAsia="zh-CN"/>
              </w:rPr>
            </w:pPr>
            <w:r>
              <w:rPr>
                <w:rFonts w:hint="eastAsia" w:eastAsia="宋体"/>
                <w:color w:val="auto"/>
                <w:spacing w:val="4"/>
                <w:sz w:val="24"/>
                <w:szCs w:val="24"/>
                <w:highlight w:val="none"/>
                <w:lang w:eastAsia="zh-CN"/>
              </w:rPr>
              <w:t>（</w:t>
            </w:r>
            <w:r>
              <w:rPr>
                <w:rFonts w:hint="eastAsia" w:eastAsia="宋体"/>
                <w:color w:val="auto"/>
                <w:spacing w:val="4"/>
                <w:sz w:val="24"/>
                <w:szCs w:val="24"/>
                <w:highlight w:val="none"/>
                <w:lang w:val="en-US" w:eastAsia="zh-CN"/>
              </w:rPr>
              <w:t>1</w:t>
            </w:r>
            <w:r>
              <w:rPr>
                <w:rFonts w:hint="eastAsia" w:eastAsia="宋体"/>
                <w:color w:val="auto"/>
                <w:spacing w:val="4"/>
                <w:sz w:val="24"/>
                <w:szCs w:val="24"/>
                <w:highlight w:val="none"/>
                <w:lang w:eastAsia="zh-CN"/>
              </w:rPr>
              <w:t>）</w:t>
            </w:r>
            <w:r>
              <w:rPr>
                <w:rFonts w:hint="eastAsia" w:eastAsia="宋体"/>
                <w:color w:val="auto"/>
                <w:spacing w:val="4"/>
                <w:sz w:val="24"/>
                <w:szCs w:val="24"/>
                <w:highlight w:val="none"/>
                <w:lang w:val="en-US" w:eastAsia="zh-CN"/>
              </w:rPr>
              <w:t>与“三区三线”符合性分析</w:t>
            </w:r>
          </w:p>
          <w:p>
            <w:pPr>
              <w:pStyle w:val="35"/>
              <w:spacing w:line="360" w:lineRule="auto"/>
              <w:ind w:firstLine="496" w:firstLineChars="200"/>
              <w:rPr>
                <w:rFonts w:eastAsia="宋体"/>
                <w:color w:val="auto"/>
                <w:sz w:val="24"/>
                <w:szCs w:val="24"/>
                <w:highlight w:val="none"/>
                <w:lang w:eastAsia="zh-CN"/>
              </w:rPr>
            </w:pPr>
            <w:r>
              <w:rPr>
                <w:rFonts w:eastAsia="宋体"/>
                <w:color w:val="auto"/>
                <w:spacing w:val="4"/>
                <w:sz w:val="24"/>
                <w:szCs w:val="24"/>
                <w:highlight w:val="none"/>
                <w:lang w:eastAsia="zh-CN"/>
              </w:rPr>
              <w:t>国土空间规划划定的“三区三线”是指城镇空间、农业空间、生态空间以及</w:t>
            </w:r>
            <w:r>
              <w:rPr>
                <w:rFonts w:eastAsia="宋体"/>
                <w:color w:val="auto"/>
                <w:spacing w:val="6"/>
                <w:sz w:val="24"/>
                <w:szCs w:val="24"/>
                <w:highlight w:val="none"/>
                <w:lang w:eastAsia="zh-CN"/>
              </w:rPr>
              <w:t>城镇开发边界红线、永久基本农田红线、生态保护红线。生态空间的划定要落实最大程度保护生态安全、构建生态屏障的要求；生态保护红线圈定生态空间范围内具有特殊或重要生态功能、必须强制性严格保护的区域，是保障和维护国家生态安全的底线和生命线。农业空间包含耕地、基本农田、园地、畜牧与渔业养殖等农业空间，以及农村居民点等生活空间。永久基本农田是农业生产空间中高产优质的耕地，是维护国家粮食安全的基本用地空间。城镇开发边界根据城镇规划用地规模和国土开发强度控制要求，兼顾城镇布局和功能优化的弹性需要从严划</w:t>
            </w:r>
            <w:r>
              <w:rPr>
                <w:rFonts w:eastAsia="宋体"/>
                <w:color w:val="auto"/>
                <w:spacing w:val="2"/>
                <w:sz w:val="24"/>
                <w:szCs w:val="24"/>
                <w:highlight w:val="none"/>
                <w:lang w:eastAsia="zh-CN"/>
              </w:rPr>
              <w:t>定。开发边界内，城乡建设用地总量以土地利用总体规划指标为准，开发边界外，</w:t>
            </w:r>
            <w:r>
              <w:rPr>
                <w:rFonts w:eastAsia="宋体"/>
                <w:color w:val="auto"/>
                <w:spacing w:val="7"/>
                <w:sz w:val="24"/>
                <w:szCs w:val="24"/>
                <w:highlight w:val="none"/>
                <w:lang w:eastAsia="zh-CN"/>
              </w:rPr>
              <w:t>原则上不再安排城市用地征转和城市建设用地指标。</w:t>
            </w:r>
          </w:p>
          <w:p>
            <w:pPr>
              <w:pStyle w:val="35"/>
              <w:spacing w:line="360" w:lineRule="auto"/>
              <w:ind w:firstLine="528" w:firstLineChars="200"/>
              <w:rPr>
                <w:rFonts w:eastAsia="宋体"/>
                <w:color w:val="auto"/>
                <w:spacing w:val="8"/>
                <w:sz w:val="24"/>
                <w:szCs w:val="24"/>
                <w:highlight w:val="none"/>
                <w:lang w:eastAsia="zh-CN"/>
              </w:rPr>
            </w:pPr>
            <w:r>
              <w:rPr>
                <w:rFonts w:eastAsia="宋体"/>
                <w:color w:val="auto"/>
                <w:spacing w:val="12"/>
                <w:sz w:val="24"/>
                <w:szCs w:val="24"/>
                <w:highlight w:val="none"/>
                <w:lang w:eastAsia="zh-CN"/>
              </w:rPr>
              <w:t>根据《</w:t>
            </w:r>
            <w:r>
              <w:rPr>
                <w:rFonts w:hint="eastAsia" w:eastAsia="宋体"/>
                <w:color w:val="auto"/>
                <w:spacing w:val="12"/>
                <w:sz w:val="24"/>
                <w:szCs w:val="24"/>
                <w:highlight w:val="none"/>
                <w:lang w:val="en-US" w:eastAsia="zh-CN"/>
              </w:rPr>
              <w:t>奉节县规划和自然资源局关于奉节县新民永乐光伏发电项目拟用地核实情况的补充复函</w:t>
            </w:r>
            <w:r>
              <w:rPr>
                <w:rFonts w:eastAsia="宋体"/>
                <w:color w:val="auto"/>
                <w:spacing w:val="12"/>
                <w:sz w:val="24"/>
                <w:szCs w:val="24"/>
                <w:highlight w:val="none"/>
                <w:lang w:eastAsia="zh-CN"/>
              </w:rPr>
              <w:t>》（2023年</w:t>
            </w:r>
            <w:r>
              <w:rPr>
                <w:rFonts w:hint="eastAsia" w:eastAsia="宋体"/>
                <w:color w:val="auto"/>
                <w:spacing w:val="12"/>
                <w:sz w:val="24"/>
                <w:szCs w:val="24"/>
                <w:highlight w:val="none"/>
                <w:lang w:val="en-US" w:eastAsia="zh-CN"/>
              </w:rPr>
              <w:t>10</w:t>
            </w:r>
            <w:r>
              <w:rPr>
                <w:rFonts w:eastAsia="宋体"/>
                <w:color w:val="auto"/>
                <w:spacing w:val="12"/>
                <w:sz w:val="24"/>
                <w:szCs w:val="24"/>
                <w:highlight w:val="none"/>
                <w:lang w:eastAsia="zh-CN"/>
              </w:rPr>
              <w:t>月</w:t>
            </w:r>
            <w:r>
              <w:rPr>
                <w:rFonts w:hint="eastAsia" w:eastAsia="宋体"/>
                <w:color w:val="auto"/>
                <w:spacing w:val="12"/>
                <w:sz w:val="24"/>
                <w:szCs w:val="24"/>
                <w:highlight w:val="none"/>
                <w:lang w:val="en-US" w:eastAsia="zh-CN"/>
              </w:rPr>
              <w:t>31</w:t>
            </w:r>
            <w:r>
              <w:rPr>
                <w:rFonts w:eastAsia="宋体"/>
                <w:color w:val="auto"/>
                <w:spacing w:val="12"/>
                <w:sz w:val="24"/>
                <w:szCs w:val="24"/>
                <w:highlight w:val="none"/>
                <w:lang w:eastAsia="zh-CN"/>
              </w:rPr>
              <w:t>日），</w:t>
            </w:r>
            <w:r>
              <w:rPr>
                <w:rFonts w:hint="eastAsia" w:eastAsia="宋体"/>
                <w:color w:val="auto"/>
                <w:spacing w:val="10"/>
                <w:sz w:val="24"/>
                <w:szCs w:val="24"/>
                <w:highlight w:val="none"/>
                <w:lang w:val="en-US" w:eastAsia="zh-CN"/>
              </w:rPr>
              <w:t>本</w:t>
            </w:r>
            <w:r>
              <w:rPr>
                <w:rFonts w:eastAsia="宋体"/>
                <w:color w:val="auto"/>
                <w:spacing w:val="10"/>
                <w:sz w:val="24"/>
                <w:szCs w:val="24"/>
                <w:highlight w:val="none"/>
                <w:lang w:eastAsia="zh-CN"/>
              </w:rPr>
              <w:t>项目</w:t>
            </w:r>
            <w:r>
              <w:rPr>
                <w:rFonts w:hint="eastAsia" w:eastAsia="宋体"/>
                <w:color w:val="auto"/>
                <w:spacing w:val="10"/>
                <w:sz w:val="24"/>
                <w:szCs w:val="24"/>
                <w:highlight w:val="none"/>
                <w:lang w:val="en-US" w:eastAsia="zh-CN"/>
              </w:rPr>
              <w:t>选址范围内</w:t>
            </w:r>
            <w:r>
              <w:rPr>
                <w:rFonts w:eastAsia="宋体"/>
                <w:color w:val="auto"/>
                <w:spacing w:val="10"/>
                <w:sz w:val="24"/>
                <w:szCs w:val="24"/>
                <w:highlight w:val="none"/>
                <w:lang w:eastAsia="zh-CN"/>
              </w:rPr>
              <w:t>不涉及占用生态保护红线和自然保护地等环境敏感区，不涉及永久基本农田。明确</w:t>
            </w:r>
            <w:r>
              <w:rPr>
                <w:rFonts w:eastAsia="宋体"/>
                <w:color w:val="auto"/>
                <w:spacing w:val="7"/>
                <w:sz w:val="24"/>
                <w:szCs w:val="24"/>
                <w:highlight w:val="none"/>
                <w:lang w:eastAsia="zh-CN"/>
              </w:rPr>
              <w:t>本项目升压站选址区域不涉及市级国土空间规划“三区三</w:t>
            </w:r>
            <w:r>
              <w:rPr>
                <w:rFonts w:eastAsia="宋体"/>
                <w:color w:val="auto"/>
                <w:spacing w:val="6"/>
                <w:sz w:val="24"/>
                <w:szCs w:val="24"/>
                <w:highlight w:val="none"/>
                <w:lang w:eastAsia="zh-CN"/>
              </w:rPr>
              <w:t>线”划定的生态保护红线、永</w:t>
            </w:r>
            <w:r>
              <w:rPr>
                <w:rFonts w:eastAsia="宋体"/>
                <w:color w:val="auto"/>
                <w:spacing w:val="8"/>
                <w:sz w:val="24"/>
                <w:szCs w:val="24"/>
                <w:highlight w:val="none"/>
                <w:lang w:eastAsia="zh-CN"/>
              </w:rPr>
              <w:t>久基本农田，</w:t>
            </w:r>
            <w:r>
              <w:rPr>
                <w:rFonts w:hint="eastAsia" w:eastAsia="宋体"/>
                <w:color w:val="auto"/>
                <w:spacing w:val="8"/>
                <w:sz w:val="24"/>
                <w:szCs w:val="24"/>
                <w:highlight w:val="none"/>
                <w:lang w:val="en-US" w:eastAsia="zh-CN"/>
              </w:rPr>
              <w:t>与奉节县国土空间总体规划重大项目无冲突，项目升压站、光伏场区及集电线路选址选线均位于农村地区，不涉及集中居住区、场镇规划区</w:t>
            </w:r>
            <w:r>
              <w:rPr>
                <w:rFonts w:eastAsia="宋体"/>
                <w:color w:val="auto"/>
                <w:spacing w:val="8"/>
                <w:sz w:val="24"/>
                <w:szCs w:val="24"/>
                <w:highlight w:val="none"/>
                <w:lang w:eastAsia="zh-CN"/>
              </w:rPr>
              <w:t>。</w:t>
            </w:r>
          </w:p>
          <w:p>
            <w:pPr>
              <w:pStyle w:val="35"/>
              <w:numPr>
                <w:ilvl w:val="0"/>
                <w:numId w:val="1"/>
              </w:numPr>
              <w:spacing w:line="360" w:lineRule="auto"/>
              <w:ind w:firstLine="512" w:firstLineChars="200"/>
              <w:rPr>
                <w:rFonts w:hint="eastAsia" w:eastAsia="宋体"/>
                <w:color w:val="auto"/>
                <w:spacing w:val="8"/>
                <w:sz w:val="24"/>
                <w:szCs w:val="24"/>
                <w:highlight w:val="none"/>
                <w:lang w:val="en-US" w:eastAsia="zh-CN"/>
              </w:rPr>
            </w:pPr>
            <w:r>
              <w:rPr>
                <w:rFonts w:hint="eastAsia" w:eastAsia="宋体"/>
                <w:color w:val="auto"/>
                <w:spacing w:val="8"/>
                <w:sz w:val="24"/>
                <w:szCs w:val="24"/>
                <w:highlight w:val="none"/>
                <w:lang w:val="en-US" w:eastAsia="zh-CN"/>
              </w:rPr>
              <w:t>与城镇规划符合性分析</w:t>
            </w:r>
          </w:p>
          <w:p>
            <w:pPr>
              <w:pStyle w:val="35"/>
              <w:spacing w:line="360" w:lineRule="auto"/>
              <w:ind w:firstLine="480" w:firstLineChars="200"/>
              <w:rPr>
                <w:rFonts w:eastAsia="宋体"/>
                <w:color w:val="auto"/>
                <w:spacing w:val="8"/>
                <w:sz w:val="24"/>
                <w:szCs w:val="24"/>
                <w:highlight w:val="none"/>
                <w:lang w:eastAsia="zh-CN"/>
              </w:rPr>
            </w:pPr>
            <w:r>
              <w:rPr>
                <w:rFonts w:hint="eastAsia"/>
                <w:color w:val="auto"/>
                <w:kern w:val="0"/>
                <w:sz w:val="24"/>
                <w:szCs w:val="24"/>
                <w:highlight w:val="none"/>
                <w:lang w:eastAsia="zh-CN"/>
              </w:rPr>
              <w:t>本项目</w:t>
            </w:r>
            <w:r>
              <w:rPr>
                <w:rFonts w:hint="eastAsia"/>
                <w:color w:val="auto"/>
                <w:kern w:val="0"/>
                <w:sz w:val="24"/>
                <w:szCs w:val="24"/>
                <w:highlight w:val="none"/>
                <w:lang w:val="en-US" w:eastAsia="zh-CN"/>
              </w:rPr>
              <w:t>为光伏发电建设工程，包括</w:t>
            </w:r>
            <w:r>
              <w:rPr>
                <w:color w:val="auto"/>
                <w:sz w:val="24"/>
                <w:highlight w:val="none"/>
              </w:rPr>
              <w:t>光伏</w:t>
            </w:r>
            <w:r>
              <w:rPr>
                <w:rFonts w:hint="eastAsia" w:eastAsia="宋体"/>
                <w:color w:val="auto"/>
                <w:sz w:val="24"/>
                <w:highlight w:val="none"/>
                <w:lang w:val="en-US" w:eastAsia="zh-CN"/>
              </w:rPr>
              <w:t>阵列</w:t>
            </w:r>
            <w:r>
              <w:rPr>
                <w:color w:val="auto"/>
                <w:sz w:val="24"/>
                <w:highlight w:val="none"/>
              </w:rPr>
              <w:t>建设工程、110kV升压站建设工程两个部分。其中，光伏</w:t>
            </w:r>
            <w:r>
              <w:rPr>
                <w:rFonts w:hint="eastAsia" w:eastAsia="宋体"/>
                <w:color w:val="auto"/>
                <w:sz w:val="24"/>
                <w:highlight w:val="none"/>
                <w:lang w:val="en-US" w:eastAsia="zh-CN"/>
              </w:rPr>
              <w:t>阵列</w:t>
            </w:r>
            <w:r>
              <w:rPr>
                <w:color w:val="auto"/>
                <w:sz w:val="24"/>
                <w:highlight w:val="none"/>
              </w:rPr>
              <w:t>建设工程分为</w:t>
            </w:r>
            <w:r>
              <w:rPr>
                <w:rFonts w:hint="eastAsia" w:eastAsia="宋体"/>
                <w:color w:val="auto"/>
                <w:sz w:val="24"/>
                <w:highlight w:val="none"/>
                <w:lang w:val="en-US" w:eastAsia="zh-CN"/>
              </w:rPr>
              <w:t>17</w:t>
            </w:r>
            <w:r>
              <w:rPr>
                <w:color w:val="auto"/>
                <w:sz w:val="24"/>
                <w:highlight w:val="none"/>
              </w:rPr>
              <w:t>个光伏发电</w:t>
            </w:r>
            <w:r>
              <w:rPr>
                <w:rFonts w:hint="eastAsia" w:eastAsia="宋体"/>
                <w:color w:val="auto"/>
                <w:sz w:val="24"/>
                <w:highlight w:val="none"/>
                <w:lang w:val="en-US" w:eastAsia="zh-CN"/>
              </w:rPr>
              <w:t>单元</w:t>
            </w:r>
            <w:r>
              <w:rPr>
                <w:color w:val="auto"/>
                <w:sz w:val="24"/>
                <w:highlight w:val="none"/>
              </w:rPr>
              <w:t>，各光伏场区分散于</w:t>
            </w:r>
            <w:r>
              <w:rPr>
                <w:rFonts w:hint="eastAsia" w:eastAsia="宋体"/>
                <w:color w:val="auto"/>
                <w:sz w:val="24"/>
                <w:highlight w:val="none"/>
                <w:lang w:val="en-US" w:eastAsia="zh-CN"/>
              </w:rPr>
              <w:t>奉节县新民镇</w:t>
            </w:r>
            <w:r>
              <w:rPr>
                <w:color w:val="auto"/>
                <w:sz w:val="24"/>
                <w:highlight w:val="none"/>
              </w:rPr>
              <w:t>，</w:t>
            </w:r>
            <w:r>
              <w:rPr>
                <w:rStyle w:val="18"/>
                <w:color w:val="auto"/>
                <w:sz w:val="24"/>
                <w:highlight w:val="none"/>
              </w:rPr>
              <w:t>110kV升压站位于</w:t>
            </w:r>
            <w:r>
              <w:rPr>
                <w:rStyle w:val="18"/>
                <w:rFonts w:hint="eastAsia" w:eastAsia="宋体"/>
                <w:color w:val="auto"/>
                <w:sz w:val="24"/>
                <w:highlight w:val="none"/>
                <w:lang w:val="en-US" w:eastAsia="zh-CN"/>
              </w:rPr>
              <w:t>新民镇长柏村</w:t>
            </w:r>
            <w:r>
              <w:rPr>
                <w:rStyle w:val="18"/>
                <w:rFonts w:hint="eastAsia"/>
                <w:color w:val="auto"/>
                <w:sz w:val="24"/>
                <w:highlight w:val="none"/>
                <w:lang w:eastAsia="zh-CN"/>
              </w:rPr>
              <w:t>。</w:t>
            </w:r>
            <w:r>
              <w:rPr>
                <w:rFonts w:eastAsia="宋体"/>
                <w:color w:val="auto"/>
                <w:spacing w:val="12"/>
                <w:sz w:val="24"/>
                <w:szCs w:val="24"/>
                <w:highlight w:val="none"/>
                <w:lang w:eastAsia="zh-CN"/>
              </w:rPr>
              <w:t>根据《</w:t>
            </w:r>
            <w:r>
              <w:rPr>
                <w:rFonts w:hint="eastAsia" w:eastAsia="宋体"/>
                <w:color w:val="auto"/>
                <w:spacing w:val="12"/>
                <w:sz w:val="24"/>
                <w:szCs w:val="24"/>
                <w:highlight w:val="none"/>
                <w:lang w:val="en-US" w:eastAsia="zh-CN"/>
              </w:rPr>
              <w:t>奉节县规划和自然资源局关于奉节县新民永乐光伏发电项目拟用地核实情况的补充复函</w:t>
            </w:r>
            <w:r>
              <w:rPr>
                <w:rFonts w:eastAsia="宋体"/>
                <w:color w:val="auto"/>
                <w:spacing w:val="12"/>
                <w:sz w:val="24"/>
                <w:szCs w:val="24"/>
                <w:highlight w:val="none"/>
                <w:lang w:eastAsia="zh-CN"/>
              </w:rPr>
              <w:t>》（2023年</w:t>
            </w:r>
            <w:r>
              <w:rPr>
                <w:rFonts w:hint="eastAsia" w:eastAsia="宋体"/>
                <w:color w:val="auto"/>
                <w:spacing w:val="12"/>
                <w:sz w:val="24"/>
                <w:szCs w:val="24"/>
                <w:highlight w:val="none"/>
                <w:lang w:val="en-US" w:eastAsia="zh-CN"/>
              </w:rPr>
              <w:t>10</w:t>
            </w:r>
            <w:r>
              <w:rPr>
                <w:rFonts w:eastAsia="宋体"/>
                <w:color w:val="auto"/>
                <w:spacing w:val="12"/>
                <w:sz w:val="24"/>
                <w:szCs w:val="24"/>
                <w:highlight w:val="none"/>
                <w:lang w:eastAsia="zh-CN"/>
              </w:rPr>
              <w:t>月</w:t>
            </w:r>
            <w:r>
              <w:rPr>
                <w:rFonts w:hint="eastAsia" w:eastAsia="宋体"/>
                <w:color w:val="auto"/>
                <w:spacing w:val="12"/>
                <w:sz w:val="24"/>
                <w:szCs w:val="24"/>
                <w:highlight w:val="none"/>
                <w:lang w:val="en-US" w:eastAsia="zh-CN"/>
              </w:rPr>
              <w:t>31</w:t>
            </w:r>
            <w:r>
              <w:rPr>
                <w:rFonts w:eastAsia="宋体"/>
                <w:color w:val="auto"/>
                <w:spacing w:val="12"/>
                <w:sz w:val="24"/>
                <w:szCs w:val="24"/>
                <w:highlight w:val="none"/>
                <w:lang w:eastAsia="zh-CN"/>
              </w:rPr>
              <w:t>日），</w:t>
            </w:r>
            <w:r>
              <w:rPr>
                <w:rFonts w:hint="eastAsia" w:eastAsia="宋体"/>
                <w:color w:val="auto"/>
                <w:spacing w:val="10"/>
                <w:sz w:val="24"/>
                <w:szCs w:val="24"/>
                <w:highlight w:val="none"/>
                <w:lang w:val="en-US" w:eastAsia="zh-CN"/>
              </w:rPr>
              <w:t>本</w:t>
            </w:r>
            <w:r>
              <w:rPr>
                <w:rFonts w:eastAsia="宋体"/>
                <w:color w:val="auto"/>
                <w:spacing w:val="10"/>
                <w:sz w:val="24"/>
                <w:szCs w:val="24"/>
                <w:highlight w:val="none"/>
                <w:lang w:eastAsia="zh-CN"/>
              </w:rPr>
              <w:t>项目</w:t>
            </w:r>
            <w:r>
              <w:rPr>
                <w:rFonts w:hint="eastAsia" w:eastAsia="宋体"/>
                <w:color w:val="auto"/>
                <w:spacing w:val="10"/>
                <w:sz w:val="24"/>
                <w:szCs w:val="24"/>
                <w:highlight w:val="none"/>
                <w:lang w:val="en-US" w:eastAsia="zh-CN"/>
              </w:rPr>
              <w:t>选址范围内</w:t>
            </w:r>
            <w:r>
              <w:rPr>
                <w:rFonts w:eastAsia="宋体"/>
                <w:color w:val="auto"/>
                <w:spacing w:val="10"/>
                <w:sz w:val="24"/>
                <w:szCs w:val="24"/>
                <w:highlight w:val="none"/>
                <w:lang w:eastAsia="zh-CN"/>
              </w:rPr>
              <w:t>不涉及占用生态保护红线和自然保护地等环境敏感区，不涉及永久基本农田。</w:t>
            </w:r>
            <w:r>
              <w:rPr>
                <w:rFonts w:hint="eastAsia" w:eastAsia="宋体"/>
                <w:color w:val="auto"/>
                <w:spacing w:val="10"/>
                <w:sz w:val="24"/>
                <w:szCs w:val="24"/>
                <w:highlight w:val="none"/>
                <w:lang w:val="en-US" w:eastAsia="zh-CN"/>
              </w:rPr>
              <w:t>根据附图5，奉节县城乡总体规划图，项目光伏场区及升压站区域均不在奉节县城市规划区范围内，</w:t>
            </w:r>
            <w:r>
              <w:rPr>
                <w:rFonts w:eastAsia="宋体"/>
                <w:color w:val="auto"/>
                <w:spacing w:val="7"/>
                <w:sz w:val="24"/>
                <w:szCs w:val="24"/>
                <w:highlight w:val="none"/>
                <w:lang w:eastAsia="zh-CN"/>
              </w:rPr>
              <w:t>项目升压站选址区域不涉及市级国土空间规划“三区三</w:t>
            </w:r>
            <w:r>
              <w:rPr>
                <w:rFonts w:eastAsia="宋体"/>
                <w:color w:val="auto"/>
                <w:spacing w:val="6"/>
                <w:sz w:val="24"/>
                <w:szCs w:val="24"/>
                <w:highlight w:val="none"/>
                <w:lang w:eastAsia="zh-CN"/>
              </w:rPr>
              <w:t>线”划定的生态保护红线、永</w:t>
            </w:r>
            <w:r>
              <w:rPr>
                <w:rFonts w:eastAsia="宋体"/>
                <w:color w:val="auto"/>
                <w:spacing w:val="8"/>
                <w:sz w:val="24"/>
                <w:szCs w:val="24"/>
                <w:highlight w:val="none"/>
                <w:lang w:eastAsia="zh-CN"/>
              </w:rPr>
              <w:t>久基本农田，</w:t>
            </w:r>
            <w:r>
              <w:rPr>
                <w:rFonts w:hint="eastAsia" w:eastAsia="宋体"/>
                <w:color w:val="auto"/>
                <w:spacing w:val="8"/>
                <w:sz w:val="24"/>
                <w:szCs w:val="24"/>
                <w:highlight w:val="none"/>
                <w:lang w:val="en-US" w:eastAsia="zh-CN"/>
              </w:rPr>
              <w:t>与奉节县国土空间总体规划重大项目无冲突，项目升压站、光伏场区及集电线路选址选线均位于农村地区，不涉及集中居住区、场镇规划区，</w:t>
            </w:r>
            <w:r>
              <w:rPr>
                <w:rFonts w:eastAsia="宋体"/>
                <w:color w:val="auto"/>
                <w:spacing w:val="8"/>
                <w:sz w:val="24"/>
                <w:szCs w:val="24"/>
                <w:highlight w:val="none"/>
                <w:lang w:eastAsia="zh-CN"/>
              </w:rPr>
              <w:t>位于城镇开发边界外</w:t>
            </w:r>
            <w:r>
              <w:rPr>
                <w:rFonts w:hint="eastAsia" w:eastAsia="宋体"/>
                <w:color w:val="auto"/>
                <w:spacing w:val="8"/>
                <w:sz w:val="24"/>
                <w:szCs w:val="24"/>
                <w:highlight w:val="none"/>
                <w:lang w:eastAsia="zh-CN"/>
              </w:rPr>
              <w:t>，</w:t>
            </w:r>
            <w:r>
              <w:rPr>
                <w:rFonts w:hint="eastAsia" w:eastAsia="宋体"/>
                <w:color w:val="auto"/>
                <w:spacing w:val="8"/>
                <w:sz w:val="24"/>
                <w:szCs w:val="24"/>
                <w:highlight w:val="none"/>
                <w:lang w:val="en-US" w:eastAsia="zh-CN"/>
              </w:rPr>
              <w:t>项目选址选线满足城镇规划要求</w:t>
            </w:r>
            <w:r>
              <w:rPr>
                <w:rFonts w:eastAsia="宋体"/>
                <w:color w:val="auto"/>
                <w:spacing w:val="8"/>
                <w:sz w:val="24"/>
                <w:szCs w:val="24"/>
                <w:highlight w:val="none"/>
                <w:lang w:eastAsia="zh-CN"/>
              </w:rPr>
              <w:t>。</w:t>
            </w:r>
          </w:p>
          <w:p>
            <w:pPr>
              <w:pStyle w:val="29"/>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1.8 三线一单</w:t>
            </w:r>
          </w:p>
          <w:p>
            <w:pPr>
              <w:pStyle w:val="29"/>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本项目位于奉节县</w:t>
            </w:r>
            <w:r>
              <w:rPr>
                <w:rFonts w:hint="eastAsia"/>
                <w:color w:val="000000" w:themeColor="text1"/>
                <w14:textFill>
                  <w14:solidFill>
                    <w14:schemeClr w14:val="tx1"/>
                  </w14:solidFill>
                </w14:textFill>
              </w:rPr>
              <w:t>新民镇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根据重庆市生态环境局关于印发《重庆市“三线一单”生态环境分区管控调整方案（2023年）》的通知渝环规〔2024〕2号</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通过</w:t>
            </w:r>
            <w:r>
              <w:rPr>
                <w:color w:val="000000" w:themeColor="text1"/>
                <w14:textFill>
                  <w14:solidFill>
                    <w14:schemeClr w14:val="tx1"/>
                  </w14:solidFill>
                </w14:textFill>
              </w:rPr>
              <w:t>重庆“三线一单”智检服务系统</w:t>
            </w:r>
            <w:r>
              <w:rPr>
                <w:rFonts w:hint="eastAsia"/>
                <w:color w:val="000000" w:themeColor="text1"/>
                <w14:textFill>
                  <w14:solidFill>
                    <w14:schemeClr w14:val="tx1"/>
                  </w14:solidFill>
                </w14:textFill>
              </w:rPr>
              <w:t>查询</w:t>
            </w:r>
            <w:r>
              <w:rPr>
                <w:color w:val="000000" w:themeColor="text1"/>
                <w14:textFill>
                  <w14:solidFill>
                    <w14:schemeClr w14:val="tx1"/>
                  </w14:solidFill>
                </w14:textFill>
              </w:rPr>
              <w:t>，项目占地范围内所在区域属于奉节县一般管控单元-大溪河鹤峰乡（一般管控单元，环境管控单元编码</w:t>
            </w:r>
            <w:r>
              <w:rPr>
                <w:rFonts w:hint="eastAsia"/>
              </w:rPr>
              <w:t>ZH50023630003</w:t>
            </w:r>
            <w:r>
              <w:rPr>
                <w:color w:val="000000" w:themeColor="text1"/>
                <w14:textFill>
                  <w14:solidFill>
                    <w14:schemeClr w14:val="tx1"/>
                  </w14:solidFill>
                </w14:textFill>
              </w:rPr>
              <w:t>），详见附件5。具体管控要求符合性见表1</w:t>
            </w:r>
            <w:r>
              <w:rPr>
                <w:rFonts w:hint="eastAsia"/>
                <w:color w:val="000000" w:themeColor="text1"/>
                <w14:textFill>
                  <w14:solidFill>
                    <w14:schemeClr w14:val="tx1"/>
                  </w14:solidFill>
                </w14:textFill>
              </w:rPr>
              <w:t>-9。</w:t>
            </w:r>
          </w:p>
          <w:p>
            <w:pPr>
              <w:pStyle w:val="29"/>
              <w:ind w:firstLine="0" w:firstLineChars="0"/>
              <w:jc w:val="center"/>
            </w:pPr>
            <w:r>
              <w:rPr>
                <w:rFonts w:hint="eastAsia"/>
              </w:rPr>
              <w:t>表1-</w:t>
            </w:r>
            <w:r>
              <w:rPr>
                <w:rFonts w:hint="eastAsia"/>
                <w:lang w:val="en-US" w:eastAsia="zh-CN"/>
              </w:rPr>
              <w:t>8</w:t>
            </w:r>
            <w:r>
              <w:rPr>
                <w:rFonts w:hint="eastAsia"/>
              </w:rPr>
              <w:t xml:space="preserve">  本项目与管控单元管控要求符合性分析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720"/>
              <w:gridCol w:w="589"/>
              <w:gridCol w:w="4310"/>
              <w:gridCol w:w="1445"/>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19" w:type="dxa"/>
                  <w:gridSpan w:val="3"/>
                  <w:vAlign w:val="center"/>
                </w:tcPr>
                <w:p>
                  <w:pPr>
                    <w:pStyle w:val="28"/>
                  </w:pPr>
                  <w:r>
                    <w:t>环境管控单元编码</w:t>
                  </w:r>
                </w:p>
              </w:tc>
              <w:tc>
                <w:tcPr>
                  <w:tcW w:w="4277" w:type="dxa"/>
                  <w:vAlign w:val="center"/>
                </w:tcPr>
                <w:p>
                  <w:pPr>
                    <w:pStyle w:val="28"/>
                  </w:pPr>
                  <w:r>
                    <w:t>环境管控单元名称</w:t>
                  </w:r>
                </w:p>
              </w:tc>
              <w:tc>
                <w:tcPr>
                  <w:tcW w:w="2332" w:type="dxa"/>
                  <w:gridSpan w:val="2"/>
                  <w:vAlign w:val="center"/>
                </w:tcPr>
                <w:p>
                  <w:pPr>
                    <w:pStyle w:val="28"/>
                  </w:pPr>
                  <w: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19" w:type="dxa"/>
                  <w:gridSpan w:val="3"/>
                  <w:vAlign w:val="center"/>
                </w:tcPr>
                <w:p>
                  <w:pPr>
                    <w:pStyle w:val="28"/>
                  </w:pPr>
                  <w:r>
                    <w:rPr>
                      <w:rFonts w:hint="eastAsia"/>
                    </w:rPr>
                    <w:t>ZH50023630003</w:t>
                  </w:r>
                </w:p>
              </w:tc>
              <w:tc>
                <w:tcPr>
                  <w:tcW w:w="4277" w:type="dxa"/>
                  <w:vAlign w:val="center"/>
                </w:tcPr>
                <w:p>
                  <w:pPr>
                    <w:pStyle w:val="28"/>
                  </w:pPr>
                  <w:r>
                    <w:rPr>
                      <w:rFonts w:hint="eastAsia"/>
                    </w:rPr>
                    <w:t>奉节县一般管控单元-大溪河鹤峰乡</w:t>
                  </w:r>
                </w:p>
              </w:tc>
              <w:tc>
                <w:tcPr>
                  <w:tcW w:w="2332" w:type="dxa"/>
                  <w:gridSpan w:val="2"/>
                  <w:vAlign w:val="center"/>
                </w:tcPr>
                <w:p>
                  <w:pPr>
                    <w:pStyle w:val="28"/>
                  </w:pPr>
                  <w:r>
                    <w:rPr>
                      <w:rFonts w:hint="eastAsia"/>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28"/>
                  </w:pPr>
                  <w:r>
                    <w:t>管控要求层级</w:t>
                  </w:r>
                </w:p>
              </w:tc>
              <w:tc>
                <w:tcPr>
                  <w:tcW w:w="715" w:type="dxa"/>
                  <w:vAlign w:val="center"/>
                </w:tcPr>
                <w:p>
                  <w:pPr>
                    <w:pStyle w:val="28"/>
                  </w:pPr>
                  <w:r>
                    <w:t>管控类型</w:t>
                  </w:r>
                </w:p>
              </w:tc>
              <w:tc>
                <w:tcPr>
                  <w:tcW w:w="4862" w:type="dxa"/>
                  <w:gridSpan w:val="2"/>
                  <w:vAlign w:val="center"/>
                </w:tcPr>
                <w:p>
                  <w:pPr>
                    <w:pStyle w:val="28"/>
                  </w:pPr>
                  <w:r>
                    <w:t>管控要求</w:t>
                  </w:r>
                </w:p>
              </w:tc>
              <w:tc>
                <w:tcPr>
                  <w:tcW w:w="1434" w:type="dxa"/>
                  <w:vAlign w:val="center"/>
                </w:tcPr>
                <w:p>
                  <w:pPr>
                    <w:pStyle w:val="28"/>
                  </w:pPr>
                  <w:r>
                    <w:t>建设项目</w:t>
                  </w:r>
                  <w:r>
                    <w:rPr>
                      <w:rFonts w:hint="eastAsia"/>
                    </w:rPr>
                    <w:t>相关情况</w:t>
                  </w:r>
                </w:p>
              </w:tc>
              <w:tc>
                <w:tcPr>
                  <w:tcW w:w="898" w:type="dxa"/>
                  <w:vAlign w:val="center"/>
                </w:tcPr>
                <w:p>
                  <w:pPr>
                    <w:pStyle w:val="28"/>
                  </w:pPr>
                  <w:r>
                    <w:t>符合性分析结论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restart"/>
                  <w:vAlign w:val="center"/>
                </w:tcPr>
                <w:p>
                  <w:pPr>
                    <w:pStyle w:val="28"/>
                  </w:pPr>
                  <w:r>
                    <w:t>全市总体管控要求</w:t>
                  </w:r>
                </w:p>
              </w:tc>
              <w:tc>
                <w:tcPr>
                  <w:tcW w:w="715" w:type="dxa"/>
                  <w:vAlign w:val="center"/>
                </w:tcPr>
                <w:p>
                  <w:pPr>
                    <w:pStyle w:val="28"/>
                  </w:pPr>
                  <w:r>
                    <w:t>空间布局约束</w:t>
                  </w:r>
                </w:p>
              </w:tc>
              <w:tc>
                <w:tcPr>
                  <w:tcW w:w="4862" w:type="dxa"/>
                  <w:gridSpan w:val="2"/>
                  <w:vAlign w:val="center"/>
                </w:tcPr>
                <w:p>
                  <w:pPr>
                    <w:pStyle w:val="28"/>
                  </w:pPr>
                  <w:r>
                    <w:t>第一条</w:t>
                  </w:r>
                  <w:r>
                    <w:rPr>
                      <w:rFonts w:hint="eastAsia"/>
                      <w:lang w:eastAsia="zh-CN"/>
                    </w:rPr>
                    <w:t>、</w:t>
                  </w:r>
                  <w:r>
                    <w:rPr>
                      <w:rFonts w:hint="default"/>
                    </w:rPr>
                    <w:t>深入实施农村“厕所革命”，推进农村生活垃圾治理和农村生活污水治理，基本消除较大面积农村黑臭水体，整治提升农村人居环境。</w:t>
                  </w:r>
                </w:p>
              </w:tc>
              <w:tc>
                <w:tcPr>
                  <w:tcW w:w="1434" w:type="dxa"/>
                  <w:vAlign w:val="center"/>
                </w:tcPr>
                <w:p>
                  <w:pPr>
                    <w:pStyle w:val="28"/>
                    <w:rPr>
                      <w:rFonts w:hint="default" w:eastAsia="宋体"/>
                      <w:lang w:val="en-US" w:eastAsia="zh-CN"/>
                    </w:rPr>
                  </w:pPr>
                  <w:r>
                    <w:rPr>
                      <w:rFonts w:hint="eastAsia"/>
                      <w:lang w:val="en-US" w:eastAsia="zh-CN"/>
                    </w:rPr>
                    <w:t>本项目废水不外排</w:t>
                  </w:r>
                </w:p>
              </w:tc>
              <w:tc>
                <w:tcPr>
                  <w:tcW w:w="898" w:type="dxa"/>
                  <w:vAlign w:val="center"/>
                </w:tcPr>
                <w:p>
                  <w:pPr>
                    <w:pStyle w:val="28"/>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pStyle w:val="28"/>
                  </w:pPr>
                </w:p>
              </w:tc>
              <w:tc>
                <w:tcPr>
                  <w:tcW w:w="715" w:type="dxa"/>
                  <w:vAlign w:val="center"/>
                </w:tcPr>
                <w:p>
                  <w:pPr>
                    <w:pStyle w:val="28"/>
                  </w:pPr>
                  <w:r>
                    <w:t>污染物排放管控</w:t>
                  </w:r>
                </w:p>
              </w:tc>
              <w:tc>
                <w:tcPr>
                  <w:tcW w:w="4862" w:type="dxa"/>
                  <w:gridSpan w:val="2"/>
                  <w:vAlign w:val="center"/>
                </w:tcPr>
                <w:p>
                  <w:pPr>
                    <w:pStyle w:val="28"/>
                  </w:pPr>
                  <w:r>
                    <w:rPr>
                      <w:rFonts w:hint="default"/>
                    </w:rPr>
                    <w:t>第二条</w:t>
                  </w:r>
                  <w:r>
                    <w:rPr>
                      <w:rFonts w:hint="eastAsia"/>
                      <w:lang w:eastAsia="zh-CN"/>
                    </w:rPr>
                    <w:t>、</w:t>
                  </w:r>
                  <w:r>
                    <w:rPr>
                      <w:rFonts w:hint="default"/>
                    </w:rPr>
                    <w:t>加强畜禽粪污资源化利用，加快推动长江沿线畜禽规模化养殖场粪污处理配套设施装备提档升级，推进畜禽养殖户粪污处理设施装备配套，推行畜禽粪肥低成本、机械化、就地就近还田，推进水产养殖尾水治理，强化水产养殖投入品使用管理</w:t>
                  </w:r>
                </w:p>
              </w:tc>
              <w:tc>
                <w:tcPr>
                  <w:tcW w:w="1434" w:type="dxa"/>
                  <w:vAlign w:val="center"/>
                </w:tcPr>
                <w:p>
                  <w:pPr>
                    <w:pStyle w:val="28"/>
                    <w:rPr>
                      <w:rFonts w:hint="default" w:eastAsia="宋体"/>
                      <w:lang w:val="en-US" w:eastAsia="zh-CN"/>
                    </w:rPr>
                  </w:pPr>
                  <w:r>
                    <w:rPr>
                      <w:rFonts w:hint="eastAsia"/>
                      <w:lang w:val="en-US" w:eastAsia="zh-CN"/>
                    </w:rPr>
                    <w:t>本项目不涉及畜禽养殖</w:t>
                  </w:r>
                </w:p>
              </w:tc>
              <w:tc>
                <w:tcPr>
                  <w:tcW w:w="898" w:type="dxa"/>
                  <w:vAlign w:val="center"/>
                </w:tcPr>
                <w:p>
                  <w:pPr>
                    <w:pStyle w:val="28"/>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pStyle w:val="28"/>
                  </w:pPr>
                </w:p>
              </w:tc>
              <w:tc>
                <w:tcPr>
                  <w:tcW w:w="715" w:type="dxa"/>
                  <w:vAlign w:val="center"/>
                </w:tcPr>
                <w:p>
                  <w:pPr>
                    <w:pStyle w:val="28"/>
                  </w:pPr>
                  <w:r>
                    <w:t>环境风险防控</w:t>
                  </w:r>
                </w:p>
              </w:tc>
              <w:tc>
                <w:tcPr>
                  <w:tcW w:w="4862" w:type="dxa"/>
                  <w:gridSpan w:val="2"/>
                  <w:vAlign w:val="center"/>
                </w:tcPr>
                <w:p>
                  <w:pPr>
                    <w:pStyle w:val="28"/>
                    <w:rPr>
                      <w:rFonts w:hint="eastAsia" w:eastAsia="宋体"/>
                      <w:lang w:val="en-US" w:eastAsia="zh-CN"/>
                    </w:rPr>
                  </w:pPr>
                  <w:r>
                    <w:rPr>
                      <w:rFonts w:hint="eastAsia"/>
                      <w:lang w:val="en-US" w:eastAsia="zh-CN"/>
                    </w:rPr>
                    <w:t>/</w:t>
                  </w:r>
                </w:p>
              </w:tc>
              <w:tc>
                <w:tcPr>
                  <w:tcW w:w="1434" w:type="dxa"/>
                  <w:vAlign w:val="center"/>
                </w:tcPr>
                <w:p>
                  <w:pPr>
                    <w:pStyle w:val="28"/>
                    <w:rPr>
                      <w:rFonts w:hint="default" w:eastAsia="宋体"/>
                      <w:lang w:val="en-US" w:eastAsia="zh-CN"/>
                    </w:rPr>
                  </w:pPr>
                  <w:r>
                    <w:rPr>
                      <w:rFonts w:hint="eastAsia"/>
                      <w:lang w:val="en-US" w:eastAsia="zh-CN"/>
                    </w:rPr>
                    <w:t>/</w:t>
                  </w:r>
                </w:p>
              </w:tc>
              <w:tc>
                <w:tcPr>
                  <w:tcW w:w="898" w:type="dxa"/>
                  <w:vAlign w:val="center"/>
                </w:tcPr>
                <w:p>
                  <w:pPr>
                    <w:pStyle w:val="28"/>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pStyle w:val="28"/>
                  </w:pPr>
                </w:p>
              </w:tc>
              <w:tc>
                <w:tcPr>
                  <w:tcW w:w="715" w:type="dxa"/>
                  <w:vAlign w:val="center"/>
                </w:tcPr>
                <w:p>
                  <w:pPr>
                    <w:pStyle w:val="28"/>
                  </w:pPr>
                  <w:r>
                    <w:t>资源开发利用效率</w:t>
                  </w:r>
                </w:p>
              </w:tc>
              <w:tc>
                <w:tcPr>
                  <w:tcW w:w="4862" w:type="dxa"/>
                  <w:gridSpan w:val="2"/>
                  <w:vAlign w:val="center"/>
                </w:tcPr>
                <w:p>
                  <w:pPr>
                    <w:pStyle w:val="28"/>
                    <w:rPr>
                      <w:rFonts w:hint="eastAsia" w:eastAsia="宋体"/>
                      <w:lang w:val="en-US" w:eastAsia="zh-CN"/>
                    </w:rPr>
                  </w:pPr>
                  <w:r>
                    <w:rPr>
                      <w:rFonts w:hint="eastAsia"/>
                      <w:lang w:val="en-US" w:eastAsia="zh-CN"/>
                    </w:rPr>
                    <w:t>/</w:t>
                  </w:r>
                </w:p>
              </w:tc>
              <w:tc>
                <w:tcPr>
                  <w:tcW w:w="1434" w:type="dxa"/>
                  <w:vAlign w:val="center"/>
                </w:tcPr>
                <w:p>
                  <w:pPr>
                    <w:pStyle w:val="28"/>
                  </w:pPr>
                  <w:r>
                    <w:rPr>
                      <w:rFonts w:hint="eastAsia"/>
                      <w:lang w:val="en-US" w:eastAsia="zh-CN"/>
                    </w:rPr>
                    <w:t>/</w:t>
                  </w:r>
                </w:p>
              </w:tc>
              <w:tc>
                <w:tcPr>
                  <w:tcW w:w="898" w:type="dxa"/>
                  <w:vAlign w:val="center"/>
                </w:tcPr>
                <w:p>
                  <w:pPr>
                    <w:pStyle w:val="28"/>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restart"/>
                  <w:vAlign w:val="center"/>
                </w:tcPr>
                <w:p>
                  <w:pPr>
                    <w:pStyle w:val="28"/>
                  </w:pPr>
                  <w:r>
                    <w:rPr>
                      <w:rFonts w:hint="eastAsia"/>
                    </w:rPr>
                    <w:t>奉节县</w:t>
                  </w:r>
                  <w:r>
                    <w:t>管控要求</w:t>
                  </w:r>
                </w:p>
              </w:tc>
              <w:tc>
                <w:tcPr>
                  <w:tcW w:w="715" w:type="dxa"/>
                  <w:vAlign w:val="center"/>
                </w:tcPr>
                <w:p>
                  <w:pPr>
                    <w:pStyle w:val="28"/>
                  </w:pPr>
                  <w:r>
                    <w:t>空间布局约束</w:t>
                  </w:r>
                </w:p>
              </w:tc>
              <w:tc>
                <w:tcPr>
                  <w:tcW w:w="4862" w:type="dxa"/>
                  <w:gridSpan w:val="2"/>
                  <w:vAlign w:val="center"/>
                </w:tcPr>
                <w:p>
                  <w:pPr>
                    <w:pStyle w:val="28"/>
                  </w:pPr>
                  <w:r>
                    <w:t>第一条 一江四河（长江干流以及朱衣河、梅溪河、草堂河、大溪河等支流）消落带内禁止从事畜禽养殖经营活动。一江四河沿岸1公里范围内不再新增污染企业。新布局企业应优先布局进入草堂组团或康乐组团内。</w:t>
                  </w:r>
                </w:p>
                <w:p>
                  <w:pPr>
                    <w:pStyle w:val="28"/>
                  </w:pPr>
                  <w:r>
                    <w:t>第二条 新布局清洁能源产业（如水电、风电等）应避开生态保护红线。自然保护区、森林公园、风景名胜区等区域为风电项目禁止建设区域。</w:t>
                  </w:r>
                </w:p>
                <w:p>
                  <w:pPr>
                    <w:pStyle w:val="28"/>
                  </w:pPr>
                  <w:r>
                    <w:t>第三条 旅游产业布局应满足自然保护区、森林公园、地质公园、风景名胜区等对于旅游产业的选址布局及管理要求。</w:t>
                  </w:r>
                </w:p>
                <w:p>
                  <w:pPr>
                    <w:pStyle w:val="28"/>
                  </w:pPr>
                  <w:r>
                    <w:t>第四条对工业用地上“零土地”（不涉及新征建设用地）技术改造升级且“两不增”（不增加污染物排放总量、不增大环境风险）的建设项目，对原老工业企业集聚区（地）在城乡规划未改变其工业用地性质的前提和期限内，且列入所在区县工业发展等规划并依法开展了规划环评的项目，依法依规加快推进环评文件审批。</w:t>
                  </w:r>
                </w:p>
                <w:p>
                  <w:pPr>
                    <w:pStyle w:val="28"/>
                  </w:pPr>
                  <w:r>
                    <w:t>第五条 一江四河流域水土流失严重的区域限制或者禁止可能造成水土流失的生产建设活动，坡耕地优先布局坡耕地改经果林或水土保持林，缓解坡耕地造成的水土流失。</w:t>
                  </w:r>
                </w:p>
              </w:tc>
              <w:tc>
                <w:tcPr>
                  <w:tcW w:w="1434" w:type="dxa"/>
                  <w:vAlign w:val="center"/>
                </w:tcPr>
                <w:p>
                  <w:pPr>
                    <w:pStyle w:val="28"/>
                  </w:pPr>
                  <w:r>
                    <w:t>符合，本项目不涉及畜禽养殖经营活动，不属于污染企业。</w:t>
                  </w:r>
                  <w:r>
                    <w:rPr>
                      <w:rFonts w:hint="eastAsia"/>
                    </w:rPr>
                    <w:t>本项目不涉及生态保护红线、自然保护区、森林公园、风景名胜区等区域。</w:t>
                  </w:r>
                  <w:r>
                    <w:t>本项目不属于旅游产业</w:t>
                  </w:r>
                  <w:r>
                    <w:rPr>
                      <w:rFonts w:hint="eastAsia"/>
                    </w:rPr>
                    <w:t>。</w:t>
                  </w:r>
                  <w:r>
                    <w:t>本项目不属于工业项目</w:t>
                  </w:r>
                  <w:r>
                    <w:rPr>
                      <w:rFonts w:hint="eastAsia"/>
                    </w:rPr>
                    <w:t>。</w:t>
                  </w:r>
                  <w:r>
                    <w:t>本项目不属于上述产业和区域。</w:t>
                  </w:r>
                </w:p>
              </w:tc>
              <w:tc>
                <w:tcPr>
                  <w:tcW w:w="898" w:type="dxa"/>
                  <w:vAlign w:val="center"/>
                </w:tcPr>
                <w:p>
                  <w:pPr>
                    <w:pStyle w:val="28"/>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pStyle w:val="28"/>
                  </w:pPr>
                </w:p>
              </w:tc>
              <w:tc>
                <w:tcPr>
                  <w:tcW w:w="715" w:type="dxa"/>
                  <w:vAlign w:val="center"/>
                </w:tcPr>
                <w:p>
                  <w:pPr>
                    <w:pStyle w:val="28"/>
                  </w:pPr>
                  <w:r>
                    <w:t>污染物排放管控</w:t>
                  </w:r>
                </w:p>
              </w:tc>
              <w:tc>
                <w:tcPr>
                  <w:tcW w:w="4862" w:type="dxa"/>
                  <w:gridSpan w:val="2"/>
                  <w:vAlign w:val="center"/>
                </w:tcPr>
                <w:p>
                  <w:pPr>
                    <w:pStyle w:val="28"/>
                  </w:pPr>
                  <w:r>
                    <w:t>第六条 完善城镇生活污水处理厂建设及配套管网建设，加强生活面源及农业面源整治，严格控制总磷、总氮排放，杜绝水体富营养化。</w:t>
                  </w:r>
                </w:p>
                <w:p>
                  <w:pPr>
                    <w:pStyle w:val="28"/>
                  </w:pPr>
                  <w:r>
                    <w:t>第七条 严格控制化肥农药使用量，加强畜禽养殖行业污染治理。</w:t>
                  </w:r>
                </w:p>
              </w:tc>
              <w:tc>
                <w:tcPr>
                  <w:tcW w:w="1434" w:type="dxa"/>
                  <w:vAlign w:val="center"/>
                </w:tcPr>
                <w:p>
                  <w:pPr>
                    <w:pStyle w:val="28"/>
                  </w:pPr>
                  <w:r>
                    <w:t>项目运营期</w:t>
                  </w:r>
                  <w:r>
                    <w:rPr>
                      <w:rFonts w:hint="eastAsia"/>
                    </w:rPr>
                    <w:t>升压站</w:t>
                  </w:r>
                  <w:r>
                    <w:t>废水</w:t>
                  </w:r>
                  <w:r>
                    <w:rPr>
                      <w:rFonts w:hint="eastAsia"/>
                    </w:rPr>
                    <w:t>经处理后用作周边农肥</w:t>
                  </w:r>
                  <w:r>
                    <w:rPr>
                      <w:rFonts w:hint="eastAsia"/>
                      <w:lang w:eastAsia="zh-CN"/>
                    </w:rPr>
                    <w:t>，</w:t>
                  </w:r>
                  <w:r>
                    <w:t>不外排。</w:t>
                  </w:r>
                  <w:r>
                    <w:rPr>
                      <w:rFonts w:hint="eastAsia"/>
                    </w:rPr>
                    <w:t>本项目不使用农药。</w:t>
                  </w:r>
                </w:p>
              </w:tc>
              <w:tc>
                <w:tcPr>
                  <w:tcW w:w="898" w:type="dxa"/>
                  <w:vAlign w:val="center"/>
                </w:tcPr>
                <w:p>
                  <w:pPr>
                    <w:pStyle w:val="28"/>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pStyle w:val="28"/>
                  </w:pPr>
                </w:p>
              </w:tc>
              <w:tc>
                <w:tcPr>
                  <w:tcW w:w="715" w:type="dxa"/>
                  <w:vAlign w:val="center"/>
                </w:tcPr>
                <w:p>
                  <w:pPr>
                    <w:pStyle w:val="28"/>
                  </w:pPr>
                  <w:r>
                    <w:t>环境风险防控</w:t>
                  </w:r>
                </w:p>
              </w:tc>
              <w:tc>
                <w:tcPr>
                  <w:tcW w:w="4862" w:type="dxa"/>
                  <w:gridSpan w:val="2"/>
                  <w:vAlign w:val="center"/>
                </w:tcPr>
                <w:p>
                  <w:pPr>
                    <w:pStyle w:val="28"/>
                  </w:pPr>
                  <w:r>
                    <w:t>第八条 草堂组团以及规划的康乐组团应建立环境风险三级防控体系，进一步优化完善风险防范措施和应急预案体系，严控环境风险事故发生，严防事故废水进入水体。</w:t>
                  </w:r>
                </w:p>
              </w:tc>
              <w:tc>
                <w:tcPr>
                  <w:tcW w:w="1434" w:type="dxa"/>
                  <w:vAlign w:val="center"/>
                </w:tcPr>
                <w:p>
                  <w:pPr>
                    <w:pStyle w:val="28"/>
                  </w:pPr>
                  <w:r>
                    <w:t>本项目无污染物排放。</w:t>
                  </w:r>
                </w:p>
              </w:tc>
              <w:tc>
                <w:tcPr>
                  <w:tcW w:w="898" w:type="dxa"/>
                  <w:vAlign w:val="center"/>
                </w:tcPr>
                <w:p>
                  <w:pPr>
                    <w:pStyle w:val="28"/>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9" w:type="dxa"/>
                  <w:vMerge w:val="continue"/>
                  <w:vAlign w:val="center"/>
                </w:tcPr>
                <w:p>
                  <w:pPr>
                    <w:pStyle w:val="28"/>
                  </w:pPr>
                </w:p>
              </w:tc>
              <w:tc>
                <w:tcPr>
                  <w:tcW w:w="715" w:type="dxa"/>
                  <w:vAlign w:val="center"/>
                </w:tcPr>
                <w:p>
                  <w:pPr>
                    <w:pStyle w:val="28"/>
                  </w:pPr>
                  <w:r>
                    <w:t>资源开发利用效率</w:t>
                  </w:r>
                </w:p>
              </w:tc>
              <w:tc>
                <w:tcPr>
                  <w:tcW w:w="4862" w:type="dxa"/>
                  <w:gridSpan w:val="2"/>
                  <w:vAlign w:val="center"/>
                </w:tcPr>
                <w:p>
                  <w:pPr>
                    <w:pStyle w:val="28"/>
                  </w:pPr>
                  <w:r>
                    <w:t>第九条 提高草堂组团及康乐组团企业清洁生产水平；提高眼镜制造产业、环保建材产业以及机械制造等产业生产用水重复利用率，减少废水排放。</w:t>
                  </w:r>
                </w:p>
                <w:p>
                  <w:pPr>
                    <w:pStyle w:val="28"/>
                  </w:pPr>
                  <w:r>
                    <w:t>第十条 组织开展存在减水河段的小水电站生态流量确定、泄放设施改造、生态调度运行、监测监控等工作，切实加强长江经济带小水电站生态流量监督管理。</w:t>
                  </w:r>
                </w:p>
              </w:tc>
              <w:tc>
                <w:tcPr>
                  <w:tcW w:w="1434" w:type="dxa"/>
                  <w:vAlign w:val="center"/>
                </w:tcPr>
                <w:p>
                  <w:pPr>
                    <w:pStyle w:val="28"/>
                  </w:pPr>
                  <w:r>
                    <w:t>本项目无污染物排放。本项目不涉及。</w:t>
                  </w:r>
                </w:p>
              </w:tc>
              <w:tc>
                <w:tcPr>
                  <w:tcW w:w="898" w:type="dxa"/>
                  <w:vAlign w:val="center"/>
                </w:tcPr>
                <w:p>
                  <w:pPr>
                    <w:pStyle w:val="28"/>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restart"/>
                  <w:vAlign w:val="center"/>
                </w:tcPr>
                <w:p>
                  <w:pPr>
                    <w:pStyle w:val="28"/>
                  </w:pPr>
                  <w:r>
                    <w:rPr>
                      <w:rFonts w:hint="eastAsia"/>
                    </w:rPr>
                    <w:t>单元管控要求</w:t>
                  </w:r>
                </w:p>
              </w:tc>
              <w:tc>
                <w:tcPr>
                  <w:tcW w:w="715" w:type="dxa"/>
                  <w:vAlign w:val="center"/>
                </w:tcPr>
                <w:p>
                  <w:pPr>
                    <w:pStyle w:val="28"/>
                  </w:pPr>
                  <w:r>
                    <w:rPr>
                      <w:rFonts w:hint="eastAsia"/>
                    </w:rPr>
                    <w:t>空间布局约束</w:t>
                  </w:r>
                </w:p>
              </w:tc>
              <w:tc>
                <w:tcPr>
                  <w:tcW w:w="4862" w:type="dxa"/>
                  <w:gridSpan w:val="2"/>
                  <w:vAlign w:val="center"/>
                </w:tcPr>
                <w:p>
                  <w:pPr>
                    <w:pStyle w:val="28"/>
                  </w:pPr>
                  <w:r>
                    <w:rPr>
                      <w:rFonts w:hint="eastAsia"/>
                    </w:rPr>
                    <w:t>1、执行一般管控单元市级总体管控要求第一条。2、严格落实《奉节县畜禽规模养殖污染治理实施方案》，不得在禁养区内布局畜禽养殖类项目；限养区不再新增畜禽养殖规模。3、禁止河道围网养殖、水库肥水养殖和投饵网箱养殖，鼓励发展生态养殖</w:t>
                  </w:r>
                </w:p>
              </w:tc>
              <w:tc>
                <w:tcPr>
                  <w:tcW w:w="1434" w:type="dxa"/>
                  <w:vAlign w:val="center"/>
                </w:tcPr>
                <w:p>
                  <w:pPr>
                    <w:pStyle w:val="28"/>
                  </w:pPr>
                  <w:r>
                    <w:rPr>
                      <w:rFonts w:hint="eastAsia"/>
                    </w:rPr>
                    <w:t>本项目为光伏发电项目，不属于畜禽养殖类项目</w:t>
                  </w:r>
                </w:p>
              </w:tc>
              <w:tc>
                <w:tcPr>
                  <w:tcW w:w="898" w:type="dxa"/>
                  <w:vAlign w:val="center"/>
                </w:tcPr>
                <w:p>
                  <w:pPr>
                    <w:pStyle w:val="28"/>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pStyle w:val="28"/>
                  </w:pPr>
                </w:p>
              </w:tc>
              <w:tc>
                <w:tcPr>
                  <w:tcW w:w="715" w:type="dxa"/>
                  <w:vAlign w:val="center"/>
                </w:tcPr>
                <w:p>
                  <w:pPr>
                    <w:pStyle w:val="28"/>
                  </w:pPr>
                  <w:r>
                    <w:rPr>
                      <w:rFonts w:hint="eastAsia"/>
                    </w:rPr>
                    <w:t>污染物排放管控</w:t>
                  </w:r>
                </w:p>
              </w:tc>
              <w:tc>
                <w:tcPr>
                  <w:tcW w:w="4862" w:type="dxa"/>
                  <w:gridSpan w:val="2"/>
                  <w:vAlign w:val="center"/>
                </w:tcPr>
                <w:p>
                  <w:pPr>
                    <w:pStyle w:val="28"/>
                  </w:pPr>
                  <w:r>
                    <w:rPr>
                      <w:rFonts w:hint="eastAsia"/>
                    </w:rPr>
                    <w:t>1、旅游接待设施应同步配套建设污水处理设施以及污水管网。2、九盘河市级水产种质资源保护区禁止新建排污口。3、执行一般管控单元市级总体管控要求第二条。4、畜禽养殖规划限养区内实行畜禽养殖存栏总量控制。同时加强畜禽养殖粪污处理，继续推进资源化利用。5、经果林等农产品种植推广科学使用化肥农药，从源头减少农业面源产生量。</w:t>
                  </w:r>
                </w:p>
              </w:tc>
              <w:tc>
                <w:tcPr>
                  <w:tcW w:w="1434" w:type="dxa"/>
                  <w:vAlign w:val="center"/>
                </w:tcPr>
                <w:p>
                  <w:pPr>
                    <w:pStyle w:val="28"/>
                  </w:pPr>
                  <w:r>
                    <w:rPr>
                      <w:rFonts w:hint="eastAsia"/>
                    </w:rPr>
                    <w:t>本项目废水不外排，且不涉及畜禽养殖</w:t>
                  </w:r>
                </w:p>
              </w:tc>
              <w:tc>
                <w:tcPr>
                  <w:tcW w:w="898" w:type="dxa"/>
                  <w:vAlign w:val="center"/>
                </w:tcPr>
                <w:p>
                  <w:pPr>
                    <w:pStyle w:val="28"/>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vAlign w:val="center"/>
                </w:tcPr>
                <w:p>
                  <w:pPr>
                    <w:pStyle w:val="28"/>
                  </w:pPr>
                </w:p>
              </w:tc>
              <w:tc>
                <w:tcPr>
                  <w:tcW w:w="715" w:type="dxa"/>
                  <w:vAlign w:val="center"/>
                </w:tcPr>
                <w:p>
                  <w:pPr>
                    <w:pStyle w:val="28"/>
                  </w:pPr>
                  <w:r>
                    <w:rPr>
                      <w:rFonts w:hint="eastAsia"/>
                    </w:rPr>
                    <w:t>环境风险防控</w:t>
                  </w:r>
                </w:p>
              </w:tc>
              <w:tc>
                <w:tcPr>
                  <w:tcW w:w="4862" w:type="dxa"/>
                  <w:gridSpan w:val="2"/>
                  <w:vAlign w:val="center"/>
                </w:tcPr>
                <w:p>
                  <w:pPr>
                    <w:pStyle w:val="28"/>
                  </w:pPr>
                  <w:r>
                    <w:rPr>
                      <w:rFonts w:hint="eastAsia"/>
                    </w:rPr>
                    <w:t>/</w:t>
                  </w:r>
                </w:p>
              </w:tc>
              <w:tc>
                <w:tcPr>
                  <w:tcW w:w="1434" w:type="dxa"/>
                  <w:vAlign w:val="center"/>
                </w:tcPr>
                <w:p>
                  <w:pPr>
                    <w:pStyle w:val="28"/>
                  </w:pPr>
                  <w:r>
                    <w:rPr>
                      <w:rFonts w:hint="eastAsia"/>
                    </w:rPr>
                    <w:t>/</w:t>
                  </w:r>
                </w:p>
              </w:tc>
              <w:tc>
                <w:tcPr>
                  <w:tcW w:w="898" w:type="dxa"/>
                  <w:vAlign w:val="center"/>
                </w:tcPr>
                <w:p>
                  <w:pPr>
                    <w:pStyle w:val="28"/>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Merge w:val="continue"/>
                </w:tcPr>
                <w:p>
                  <w:pPr>
                    <w:pStyle w:val="28"/>
                  </w:pPr>
                </w:p>
              </w:tc>
              <w:tc>
                <w:tcPr>
                  <w:tcW w:w="715" w:type="dxa"/>
                </w:tcPr>
                <w:p>
                  <w:pPr>
                    <w:pStyle w:val="28"/>
                  </w:pPr>
                  <w:r>
                    <w:rPr>
                      <w:rFonts w:hint="eastAsia"/>
                    </w:rPr>
                    <w:t>资源开发利用效率</w:t>
                  </w:r>
                </w:p>
              </w:tc>
              <w:tc>
                <w:tcPr>
                  <w:tcW w:w="4862" w:type="dxa"/>
                  <w:gridSpan w:val="2"/>
                  <w:vAlign w:val="center"/>
                </w:tcPr>
                <w:p>
                  <w:pPr>
                    <w:pStyle w:val="28"/>
                  </w:pPr>
                  <w:r>
                    <w:rPr>
                      <w:rFonts w:hint="eastAsia"/>
                    </w:rPr>
                    <w:t>/</w:t>
                  </w:r>
                </w:p>
              </w:tc>
              <w:tc>
                <w:tcPr>
                  <w:tcW w:w="1434" w:type="dxa"/>
                  <w:vAlign w:val="center"/>
                </w:tcPr>
                <w:p>
                  <w:pPr>
                    <w:pStyle w:val="28"/>
                  </w:pPr>
                  <w:r>
                    <w:rPr>
                      <w:rFonts w:hint="eastAsia"/>
                    </w:rPr>
                    <w:t>/</w:t>
                  </w:r>
                </w:p>
              </w:tc>
              <w:tc>
                <w:tcPr>
                  <w:tcW w:w="898" w:type="dxa"/>
                  <w:vAlign w:val="center"/>
                </w:tcPr>
                <w:p>
                  <w:pPr>
                    <w:pStyle w:val="28"/>
                  </w:pPr>
                  <w:r>
                    <w:rPr>
                      <w:rFonts w:hint="eastAsia"/>
                      <w:lang w:val="en-US" w:eastAsia="zh-CN"/>
                    </w:rPr>
                    <w:t>/</w:t>
                  </w:r>
                </w:p>
              </w:tc>
            </w:tr>
          </w:tbl>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left="0" w:leftChars="0" w:firstLine="0" w:firstLineChars="0"/>
            </w:pPr>
          </w:p>
        </w:tc>
      </w:tr>
    </w:tbl>
    <w:p>
      <w:pPr>
        <w:ind w:firstLine="600"/>
        <w:outlineLvl w:val="0"/>
        <w:rPr>
          <w:rFonts w:eastAsia="黑体"/>
          <w:sz w:val="30"/>
        </w:rPr>
        <w:sectPr>
          <w:footerReference r:id="rId7" w:type="default"/>
          <w:pgSz w:w="11906" w:h="16838"/>
          <w:pgMar w:top="1417" w:right="1417" w:bottom="1417" w:left="1417" w:header="851" w:footer="1077" w:gutter="0"/>
          <w:pgNumType w:start="1"/>
          <w:cols w:space="720" w:num="1"/>
          <w:docGrid w:linePitch="312" w:charSpace="0"/>
        </w:sectPr>
      </w:pPr>
    </w:p>
    <w:p>
      <w:pPr>
        <w:pStyle w:val="12"/>
        <w:ind w:firstLine="600"/>
        <w:jc w:val="center"/>
        <w:outlineLvl w:val="0"/>
        <w:rPr>
          <w:rFonts w:ascii="黑体" w:hAnsi="黑体" w:eastAsia="黑体"/>
          <w:snapToGrid w:val="0"/>
          <w:sz w:val="30"/>
          <w:szCs w:val="30"/>
        </w:rPr>
      </w:pPr>
      <w:r>
        <w:rPr>
          <w:rFonts w:hint="eastAsia" w:ascii="黑体" w:hAnsi="黑体" w:eastAsia="黑体"/>
          <w:snapToGrid w:val="0"/>
          <w:sz w:val="30"/>
          <w:szCs w:val="30"/>
        </w:rPr>
        <w:t>二、建设内容</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0"/>
        <w:gridCol w:w="88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地理位置</w:t>
            </w:r>
          </w:p>
        </w:tc>
        <w:tc>
          <w:tcPr>
            <w:tcW w:w="8828" w:type="dxa"/>
            <w:vAlign w:val="center"/>
          </w:tcPr>
          <w:p>
            <w:pPr>
              <w:pStyle w:val="29"/>
              <w:ind w:firstLine="480"/>
            </w:pPr>
            <w:r>
              <w:rPr>
                <w:rFonts w:hint="eastAsia"/>
              </w:rPr>
              <w:t>奉节新民永乐光伏发电项目建设地点位于奉节县南部新民镇。场址中心坐标为109</w:t>
            </w:r>
            <w:r>
              <w:t>°</w:t>
            </w:r>
            <w:r>
              <w:rPr>
                <w:rFonts w:hint="eastAsia"/>
              </w:rPr>
              <w:t>27</w:t>
            </w:r>
            <w:r>
              <w:t>′</w:t>
            </w:r>
            <w:r>
              <w:rPr>
                <w:rFonts w:hint="eastAsia"/>
              </w:rPr>
              <w:t>18.857</w:t>
            </w:r>
            <w:r>
              <w:t>″</w:t>
            </w:r>
            <w:r>
              <w:rPr>
                <w:rFonts w:hint="eastAsia"/>
              </w:rPr>
              <w:t>E，30</w:t>
            </w:r>
            <w:r>
              <w:t>°</w:t>
            </w:r>
            <w:r>
              <w:rPr>
                <w:rFonts w:hint="eastAsia"/>
              </w:rPr>
              <w:t>56</w:t>
            </w:r>
            <w:r>
              <w:t>′</w:t>
            </w:r>
            <w:r>
              <w:rPr>
                <w:rFonts w:hint="eastAsia"/>
              </w:rPr>
              <w:t>3.892</w:t>
            </w:r>
            <w:r>
              <w:t>″</w:t>
            </w:r>
            <w:r>
              <w:rPr>
                <w:rFonts w:hint="eastAsia"/>
              </w:rPr>
              <w:t>N，升压站中心坐标109</w:t>
            </w:r>
            <w:r>
              <w:t>°</w:t>
            </w:r>
            <w:r>
              <w:rPr>
                <w:rFonts w:hint="eastAsia"/>
              </w:rPr>
              <w:t>29</w:t>
            </w:r>
            <w:r>
              <w:t>′</w:t>
            </w:r>
            <w:r>
              <w:rPr>
                <w:rFonts w:hint="eastAsia"/>
              </w:rPr>
              <w:t>38.487</w:t>
            </w:r>
            <w:r>
              <w:t>″</w:t>
            </w:r>
            <w:r>
              <w:rPr>
                <w:rFonts w:hint="eastAsia"/>
              </w:rPr>
              <w:t>E，30</w:t>
            </w:r>
            <w:r>
              <w:t>°</w:t>
            </w:r>
            <w:r>
              <w:rPr>
                <w:rFonts w:hint="eastAsia"/>
              </w:rPr>
              <w:t>56</w:t>
            </w:r>
            <w:r>
              <w:t>′</w:t>
            </w:r>
            <w:r>
              <w:rPr>
                <w:rFonts w:hint="eastAsia"/>
              </w:rPr>
              <w:t>38.364</w:t>
            </w:r>
            <w:r>
              <w:t>″</w:t>
            </w:r>
            <w:r>
              <w:rPr>
                <w:rFonts w:hint="eastAsia"/>
              </w:rPr>
              <w:t>N。根据初步提资及实地踏勘，光伏电站规划地块面积约</w:t>
            </w:r>
            <w:r>
              <w:rPr>
                <w:rFonts w:hint="eastAsia"/>
                <w:lang w:val="en-US" w:eastAsia="zh-CN"/>
              </w:rPr>
              <w:t>1652494.48m</w:t>
            </w:r>
            <w:r>
              <w:rPr>
                <w:rFonts w:hint="eastAsia"/>
                <w:vertAlign w:val="superscript"/>
                <w:lang w:val="en-US" w:eastAsia="zh-CN"/>
              </w:rPr>
              <w:t>2</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项目组成及规模</w:t>
            </w:r>
          </w:p>
        </w:tc>
        <w:tc>
          <w:tcPr>
            <w:tcW w:w="8828" w:type="dxa"/>
            <w:vAlign w:val="center"/>
          </w:tcPr>
          <w:p>
            <w:pPr>
              <w:pStyle w:val="29"/>
              <w:ind w:firstLine="482"/>
              <w:rPr>
                <w:b/>
                <w:bCs/>
              </w:rPr>
            </w:pPr>
            <w:r>
              <w:rPr>
                <w:rFonts w:hint="eastAsia"/>
                <w:b/>
                <w:bCs/>
              </w:rPr>
              <w:t>2.1 项目概括</w:t>
            </w:r>
          </w:p>
          <w:p>
            <w:pPr>
              <w:pStyle w:val="29"/>
              <w:ind w:firstLine="482"/>
              <w:rPr>
                <w:b/>
                <w:bCs/>
              </w:rPr>
            </w:pPr>
            <w:r>
              <w:rPr>
                <w:rFonts w:hint="eastAsia"/>
                <w:b/>
                <w:bCs/>
              </w:rPr>
              <w:t>2.1.1 项目背景</w:t>
            </w:r>
          </w:p>
          <w:p>
            <w:pPr>
              <w:pStyle w:val="29"/>
              <w:ind w:firstLine="480"/>
            </w:pPr>
            <w:r>
              <w:rPr>
                <w:rFonts w:hint="eastAsia"/>
                <w:lang w:val="en-US" w:eastAsia="zh-CN"/>
              </w:rPr>
              <w:t>本项目建设交流侧装机容量为50MW，并新建一座110kV升压站，光伏阵列运行方式拟采用固定式光伏支架形式。</w:t>
            </w:r>
            <w:r>
              <w:rPr>
                <w:rFonts w:hint="eastAsia"/>
              </w:rPr>
              <w:t>本项目直流侧装机容量为67.34208MWp，交流侧装机容量为50MW，建成后首年光伏电站年上网电量约为</w:t>
            </w:r>
            <w:r>
              <w:t>6765.2</w:t>
            </w:r>
            <w:r>
              <w:rPr>
                <w:rFonts w:hint="eastAsia"/>
              </w:rPr>
              <w:t>万</w:t>
            </w:r>
            <w:r>
              <w:t>kWh</w:t>
            </w:r>
            <w:r>
              <w:rPr>
                <w:rFonts w:hint="eastAsia"/>
              </w:rPr>
              <w:t>，首年年等效满负荷运行小时数约为</w:t>
            </w:r>
            <w:r>
              <w:t>1004.6h</w:t>
            </w:r>
            <w:r>
              <w:rPr>
                <w:rFonts w:hint="eastAsia"/>
              </w:rPr>
              <w:t>。在运行期二十五年内的光伏电站年平均上网电量约为</w:t>
            </w:r>
            <w:r>
              <w:t>6392.4</w:t>
            </w:r>
            <w:r>
              <w:rPr>
                <w:rFonts w:hint="eastAsia"/>
              </w:rPr>
              <w:t>万</w:t>
            </w:r>
            <w:r>
              <w:t>kWh</w:t>
            </w:r>
            <w:r>
              <w:rPr>
                <w:rFonts w:hint="eastAsia"/>
              </w:rPr>
              <w:t>，二十五年平均综合年等效满负荷运行小时数约为</w:t>
            </w:r>
            <w:r>
              <w:t>949.24h</w:t>
            </w:r>
            <w:r>
              <w:rPr>
                <w:rFonts w:hint="eastAsia"/>
              </w:rPr>
              <w:t>。</w:t>
            </w:r>
          </w:p>
          <w:p>
            <w:pPr>
              <w:pStyle w:val="29"/>
              <w:ind w:firstLine="480"/>
              <w:rPr>
                <w:rFonts w:hint="eastAsia"/>
              </w:rPr>
            </w:pPr>
            <w:r>
              <w:rPr>
                <w:rFonts w:hint="eastAsia"/>
              </w:rPr>
              <w:t>本</w:t>
            </w:r>
            <w:r>
              <w:rPr>
                <w:rFonts w:hint="eastAsia"/>
                <w:lang w:val="en-US" w:eastAsia="zh-CN"/>
              </w:rPr>
              <w:t>项目</w:t>
            </w:r>
            <w:r>
              <w:rPr>
                <w:rFonts w:hint="eastAsia"/>
              </w:rPr>
              <w:t>共设17个光伏发电单元，分别为13个4.288MWp光伏发电单元、2个3.4304MWp光伏发电单元、1个2.5728MWp光伏发电单元、1个2.144MWp光伏发电单元，每个光伏发电单元配置5/6/8/10台320kW组串式逆变器，每台组串式逆变器接入19/20个光伏组串，共安装118144块570Wp光伏组件，全部为固定运行方式</w:t>
            </w:r>
            <w:r>
              <w:rPr>
                <w:rFonts w:hint="eastAsia"/>
                <w:lang w:eastAsia="zh-CN"/>
              </w:rPr>
              <w:t>，</w:t>
            </w:r>
            <w:r>
              <w:rPr>
                <w:rFonts w:hint="eastAsia"/>
              </w:rPr>
              <w:t>光伏发电单元主要由光伏阵列、组串式逆变器、35kV箱式变压器等组成。</w:t>
            </w:r>
          </w:p>
          <w:p>
            <w:pPr>
              <w:pStyle w:val="29"/>
              <w:ind w:firstLine="480"/>
            </w:pPr>
            <w:r>
              <w:rPr>
                <w:rFonts w:hint="eastAsia"/>
                <w:lang w:val="en-US" w:eastAsia="zh-CN"/>
              </w:rPr>
              <w:t>本项目</w:t>
            </w:r>
            <w:r>
              <w:rPr>
                <w:rFonts w:hint="eastAsia"/>
              </w:rPr>
              <w:t>以</w:t>
            </w:r>
            <w:r>
              <w:t>3</w:t>
            </w:r>
            <w:r>
              <w:rPr>
                <w:rFonts w:hint="eastAsia"/>
              </w:rPr>
              <w:t>回</w:t>
            </w:r>
            <w:r>
              <w:t>35kV</w:t>
            </w:r>
            <w:r>
              <w:rPr>
                <w:rFonts w:hint="eastAsia"/>
              </w:rPr>
              <w:t>集电线路接入新建的</w:t>
            </w:r>
            <w:r>
              <w:t>110kV</w:t>
            </w:r>
            <w:r>
              <w:rPr>
                <w:rFonts w:hint="eastAsia"/>
              </w:rPr>
              <w:t>升压站，再以1回110kV线路接入铁甲变电站，最终接入系统方案以当地电网的批复意见为准</w:t>
            </w:r>
            <w:r>
              <w:rPr>
                <w:rFonts w:hint="eastAsia"/>
                <w:lang w:eastAsia="zh-CN"/>
              </w:rPr>
              <w:t>，</w:t>
            </w:r>
            <w:r>
              <w:rPr>
                <w:rFonts w:hint="eastAsia" w:ascii="Times New Roman" w:hAnsi="Times New Roman"/>
                <w:sz w:val="24"/>
              </w:rPr>
              <w:t>项目3</w:t>
            </w:r>
            <w:r>
              <w:rPr>
                <w:rFonts w:ascii="Times New Roman" w:hAnsi="Times New Roman"/>
                <w:sz w:val="24"/>
              </w:rPr>
              <w:t>5kV</w:t>
            </w:r>
            <w:r>
              <w:rPr>
                <w:rFonts w:hint="eastAsia" w:ascii="Times New Roman" w:hAnsi="Times New Roman"/>
                <w:sz w:val="24"/>
              </w:rPr>
              <w:t>集电线路及</w:t>
            </w:r>
            <w:r>
              <w:rPr>
                <w:rFonts w:hint="eastAsia"/>
                <w:sz w:val="24"/>
                <w:lang w:val="en-US" w:eastAsia="zh-CN"/>
              </w:rPr>
              <w:t>11</w:t>
            </w:r>
            <w:r>
              <w:rPr>
                <w:rFonts w:ascii="Times New Roman" w:hAnsi="Times New Roman"/>
                <w:sz w:val="24"/>
              </w:rPr>
              <w:t>0</w:t>
            </w:r>
            <w:r>
              <w:rPr>
                <w:rFonts w:hint="eastAsia" w:ascii="Times New Roman" w:hAnsi="Times New Roman"/>
                <w:sz w:val="24"/>
              </w:rPr>
              <w:t>kV输电线路尚在设计中</w:t>
            </w:r>
            <w:r>
              <w:rPr>
                <w:rFonts w:ascii="Times New Roman" w:hAnsi="Times New Roman"/>
                <w:sz w:val="24"/>
              </w:rPr>
              <w:t>，</w:t>
            </w:r>
            <w:r>
              <w:rPr>
                <w:rFonts w:hint="eastAsia" w:ascii="Times New Roman" w:hAnsi="Times New Roman"/>
                <w:sz w:val="24"/>
              </w:rPr>
              <w:t>故本次仅评价</w:t>
            </w:r>
            <w:r>
              <w:rPr>
                <w:rFonts w:hint="eastAsia" w:ascii="Times New Roman" w:hAnsi="Times New Roman"/>
                <w:kern w:val="0"/>
                <w:sz w:val="24"/>
              </w:rPr>
              <w:t>光伏场区及升压站部分，</w:t>
            </w:r>
            <w:r>
              <w:rPr>
                <w:rFonts w:hint="eastAsia" w:ascii="Times New Roman" w:hAnsi="Times New Roman"/>
                <w:sz w:val="24"/>
              </w:rPr>
              <w:t>3</w:t>
            </w:r>
            <w:r>
              <w:rPr>
                <w:rFonts w:ascii="Times New Roman" w:hAnsi="Times New Roman"/>
                <w:sz w:val="24"/>
              </w:rPr>
              <w:t>5kV</w:t>
            </w:r>
            <w:r>
              <w:rPr>
                <w:rFonts w:hint="eastAsia" w:ascii="Times New Roman" w:hAnsi="Times New Roman"/>
                <w:sz w:val="24"/>
              </w:rPr>
              <w:t>集电线路及</w:t>
            </w:r>
            <w:r>
              <w:rPr>
                <w:rFonts w:hint="eastAsia"/>
                <w:sz w:val="24"/>
                <w:lang w:val="en-US" w:eastAsia="zh-CN"/>
              </w:rPr>
              <w:t>11</w:t>
            </w:r>
            <w:r>
              <w:rPr>
                <w:rFonts w:ascii="Times New Roman" w:hAnsi="Times New Roman"/>
                <w:sz w:val="24"/>
              </w:rPr>
              <w:t>0</w:t>
            </w:r>
            <w:r>
              <w:rPr>
                <w:rFonts w:hint="eastAsia" w:ascii="Times New Roman" w:hAnsi="Times New Roman"/>
                <w:sz w:val="24"/>
              </w:rPr>
              <w:t>kV输电线路</w:t>
            </w:r>
            <w:r>
              <w:rPr>
                <w:rFonts w:ascii="Times New Roman" w:hAnsi="Times New Roman"/>
                <w:sz w:val="24"/>
              </w:rPr>
              <w:t>不纳入本次评价范围内</w:t>
            </w:r>
            <w:r>
              <w:rPr>
                <w:rFonts w:hint="eastAsia" w:ascii="Times New Roman" w:hAnsi="Times New Roman"/>
                <w:sz w:val="24"/>
              </w:rPr>
              <w:t>，后期另行评价</w:t>
            </w:r>
            <w:r>
              <w:rPr>
                <w:rFonts w:hint="eastAsia"/>
              </w:rPr>
              <w:t>。</w:t>
            </w:r>
          </w:p>
          <w:p>
            <w:pPr>
              <w:pStyle w:val="29"/>
              <w:ind w:firstLine="482"/>
              <w:rPr>
                <w:b/>
                <w:bCs/>
              </w:rPr>
            </w:pPr>
            <w:r>
              <w:rPr>
                <w:rFonts w:hint="eastAsia"/>
                <w:b/>
                <w:bCs/>
              </w:rPr>
              <w:t>2.1.2 项目基本情况</w:t>
            </w:r>
          </w:p>
          <w:p>
            <w:pPr>
              <w:pStyle w:val="29"/>
              <w:ind w:firstLine="480"/>
            </w:pPr>
            <w:r>
              <w:rPr>
                <w:rFonts w:hint="eastAsia"/>
              </w:rPr>
              <w:t>项目名称：奉节新民永乐光伏发电项目</w:t>
            </w:r>
          </w:p>
          <w:p>
            <w:pPr>
              <w:pStyle w:val="29"/>
              <w:ind w:firstLine="480"/>
              <w:rPr>
                <w:rFonts w:hint="eastAsia" w:eastAsia="宋体"/>
                <w:lang w:eastAsia="zh-CN"/>
              </w:rPr>
            </w:pPr>
            <w:r>
              <w:rPr>
                <w:rFonts w:hint="eastAsia"/>
              </w:rPr>
              <w:t>建设单位：</w:t>
            </w:r>
            <w:r>
              <w:rPr>
                <w:rFonts w:hint="eastAsia"/>
                <w:lang w:eastAsia="zh-CN"/>
              </w:rPr>
              <w:t>重庆绿动智慧能源有限公司</w:t>
            </w:r>
          </w:p>
          <w:p>
            <w:pPr>
              <w:pStyle w:val="29"/>
              <w:ind w:firstLine="480"/>
              <w:rPr>
                <w:rFonts w:hint="default" w:eastAsia="宋体"/>
                <w:lang w:val="en-US" w:eastAsia="zh-CN"/>
              </w:rPr>
            </w:pPr>
            <w:r>
              <w:rPr>
                <w:rFonts w:hint="eastAsia"/>
              </w:rPr>
              <w:t>建设地点：奉节县新民镇，场址中心坐标109</w:t>
            </w:r>
            <w:r>
              <w:t>°</w:t>
            </w:r>
            <w:r>
              <w:rPr>
                <w:rFonts w:hint="eastAsia"/>
              </w:rPr>
              <w:t>27</w:t>
            </w:r>
            <w:r>
              <w:t>′</w:t>
            </w:r>
            <w:r>
              <w:rPr>
                <w:rFonts w:hint="eastAsia"/>
              </w:rPr>
              <w:t>18.857</w:t>
            </w:r>
            <w:r>
              <w:t>″</w:t>
            </w:r>
            <w:r>
              <w:rPr>
                <w:rFonts w:hint="eastAsia"/>
              </w:rPr>
              <w:t>E，30</w:t>
            </w:r>
            <w:r>
              <w:t>°</w:t>
            </w:r>
            <w:r>
              <w:rPr>
                <w:rFonts w:hint="eastAsia"/>
              </w:rPr>
              <w:t>56</w:t>
            </w:r>
            <w:r>
              <w:t>′</w:t>
            </w:r>
            <w:r>
              <w:rPr>
                <w:rFonts w:hint="eastAsia"/>
              </w:rPr>
              <w:t>3.892</w:t>
            </w:r>
            <w:r>
              <w:t>″</w:t>
            </w:r>
            <w:r>
              <w:rPr>
                <w:rFonts w:hint="eastAsia"/>
              </w:rPr>
              <w:t>N</w:t>
            </w:r>
            <w:r>
              <w:rPr>
                <w:rFonts w:hint="eastAsia"/>
                <w:lang w:eastAsia="zh-CN"/>
              </w:rPr>
              <w:t>，</w:t>
            </w:r>
            <w:r>
              <w:rPr>
                <w:rFonts w:hint="eastAsia"/>
                <w:lang w:val="en-US" w:eastAsia="zh-CN"/>
              </w:rPr>
              <w:t>升压站中心坐标</w:t>
            </w:r>
            <w:r>
              <w:rPr>
                <w:rFonts w:hint="eastAsia"/>
              </w:rPr>
              <w:t>109</w:t>
            </w:r>
            <w:r>
              <w:t>°</w:t>
            </w:r>
            <w:r>
              <w:rPr>
                <w:rFonts w:hint="eastAsia"/>
              </w:rPr>
              <w:t>2</w:t>
            </w:r>
            <w:r>
              <w:rPr>
                <w:rFonts w:hint="eastAsia"/>
                <w:lang w:val="en-US" w:eastAsia="zh-CN"/>
              </w:rPr>
              <w:t>9</w:t>
            </w:r>
            <w:r>
              <w:t>′</w:t>
            </w:r>
            <w:r>
              <w:rPr>
                <w:rFonts w:hint="eastAsia"/>
                <w:lang w:val="en-US" w:eastAsia="zh-CN"/>
              </w:rPr>
              <w:t>38.487</w:t>
            </w:r>
            <w:r>
              <w:t>″</w:t>
            </w:r>
            <w:r>
              <w:rPr>
                <w:rFonts w:hint="eastAsia"/>
              </w:rPr>
              <w:t>E，30</w:t>
            </w:r>
            <w:r>
              <w:t>°</w:t>
            </w:r>
            <w:r>
              <w:rPr>
                <w:rFonts w:hint="eastAsia"/>
              </w:rPr>
              <w:t>5</w:t>
            </w:r>
            <w:r>
              <w:rPr>
                <w:rFonts w:hint="eastAsia"/>
                <w:lang w:val="en-US" w:eastAsia="zh-CN"/>
              </w:rPr>
              <w:t>5</w:t>
            </w:r>
            <w:r>
              <w:t>′</w:t>
            </w:r>
            <w:r>
              <w:rPr>
                <w:rFonts w:hint="eastAsia"/>
                <w:lang w:val="en-US" w:eastAsia="zh-CN"/>
              </w:rPr>
              <w:t>38.364</w:t>
            </w:r>
            <w:r>
              <w:t>″</w:t>
            </w:r>
            <w:r>
              <w:rPr>
                <w:rFonts w:hint="eastAsia"/>
              </w:rPr>
              <w:t>N</w:t>
            </w:r>
          </w:p>
          <w:p>
            <w:pPr>
              <w:pStyle w:val="29"/>
              <w:ind w:firstLine="480"/>
            </w:pPr>
            <w:r>
              <w:rPr>
                <w:rFonts w:hint="eastAsia"/>
              </w:rPr>
              <w:t>建设性质：新建</w:t>
            </w:r>
          </w:p>
          <w:p>
            <w:pPr>
              <w:pStyle w:val="29"/>
              <w:ind w:firstLine="480"/>
            </w:pPr>
            <w:r>
              <w:rPr>
                <w:rFonts w:hint="eastAsia"/>
              </w:rPr>
              <w:t>工程投资：总投资</w:t>
            </w:r>
            <w:r>
              <w:rPr>
                <w:rFonts w:hint="eastAsia"/>
                <w:lang w:eastAsia="zh-CN"/>
              </w:rPr>
              <w:t>25000万元</w:t>
            </w:r>
            <w:r>
              <w:rPr>
                <w:rFonts w:hint="eastAsia"/>
              </w:rPr>
              <w:t>，</w:t>
            </w:r>
            <w:r>
              <w:rPr>
                <w:rFonts w:hint="eastAsia"/>
                <w:color w:val="000000" w:themeColor="text1"/>
                <w14:textFill>
                  <w14:solidFill>
                    <w14:schemeClr w14:val="tx1"/>
                  </w14:solidFill>
                </w14:textFill>
              </w:rPr>
              <w:t>其中环保投资155万元，占工程总投资的</w:t>
            </w:r>
            <w:r>
              <w:rPr>
                <w:rFonts w:hint="eastAsia"/>
                <w:color w:val="000000" w:themeColor="text1"/>
                <w:lang w:eastAsia="zh-CN"/>
                <w14:textFill>
                  <w14:solidFill>
                    <w14:schemeClr w14:val="tx1"/>
                  </w14:solidFill>
                </w14:textFill>
              </w:rPr>
              <w:t>0.62%</w:t>
            </w:r>
          </w:p>
          <w:p>
            <w:pPr>
              <w:pStyle w:val="29"/>
              <w:bidi w:val="0"/>
              <w:rPr>
                <w:rFonts w:hint="eastAsia"/>
              </w:rPr>
            </w:pPr>
            <w:r>
              <w:rPr>
                <w:rFonts w:hint="eastAsia"/>
              </w:rPr>
              <w:t>建设内容：项目本期直流侧总安装容量67.34208MWp，交流侧并网容量为50MWp，本工程共设17个光伏发电单元，工程拟选用570Wp的单面单晶硅太阳能电池组件</w:t>
            </w:r>
            <w:r>
              <w:rPr>
                <w:rFonts w:hint="eastAsia"/>
                <w:lang w:val="en-US" w:eastAsia="zh-CN"/>
              </w:rPr>
              <w:t>共118144块</w:t>
            </w:r>
            <w:r>
              <w:rPr>
                <w:rFonts w:hint="eastAsia"/>
              </w:rPr>
              <w:t>，新建一座</w:t>
            </w:r>
            <w:r>
              <w:rPr>
                <w:rFonts w:hint="eastAsia"/>
                <w:lang w:val="en-US" w:eastAsia="zh-CN"/>
              </w:rPr>
              <w:t>户外式</w:t>
            </w:r>
            <w:r>
              <w:rPr>
                <w:rFonts w:hint="eastAsia"/>
              </w:rPr>
              <w:t>110KV升压站，包括光伏发电及相关配套设施建设。</w:t>
            </w:r>
          </w:p>
          <w:p>
            <w:pPr>
              <w:pStyle w:val="29"/>
              <w:bidi w:val="0"/>
              <w:rPr>
                <w:rFonts w:hint="eastAsia"/>
              </w:rPr>
            </w:pPr>
            <w:r>
              <w:rPr>
                <w:rFonts w:hint="eastAsia"/>
              </w:rPr>
              <w:t>劳动定员及生产制度</w:t>
            </w:r>
            <w:r>
              <w:rPr>
                <w:rFonts w:hint="eastAsia"/>
                <w:lang w:eastAsia="zh-CN"/>
              </w:rPr>
              <w:t>：</w:t>
            </w:r>
            <w:r>
              <w:rPr>
                <w:rFonts w:hint="eastAsia"/>
                <w:lang w:val="en-US" w:eastAsia="zh-CN"/>
              </w:rPr>
              <w:t>项目</w:t>
            </w:r>
            <w:r>
              <w:rPr>
                <w:rFonts w:hint="eastAsia"/>
              </w:rPr>
              <w:t>运营期定员共6人，主要负责光伏区及</w:t>
            </w:r>
            <w:r>
              <w:rPr>
                <w:rFonts w:hint="eastAsia"/>
                <w:lang w:val="en-US" w:eastAsia="zh-CN"/>
              </w:rPr>
              <w:t>升压站</w:t>
            </w:r>
            <w:r>
              <w:rPr>
                <w:rFonts w:hint="eastAsia"/>
              </w:rPr>
              <w:t>的运行监控、日常保养和事故报告等，年工作365天</w:t>
            </w:r>
            <w:r>
              <w:rPr>
                <w:rFonts w:hint="eastAsia"/>
                <w:lang w:eastAsia="zh-CN"/>
              </w:rPr>
              <w:t>；</w:t>
            </w:r>
            <w:r>
              <w:rPr>
                <w:rFonts w:hint="eastAsia"/>
                <w:lang w:val="en-US" w:eastAsia="zh-CN"/>
              </w:rPr>
              <w:t>升压站全年不间断运行</w:t>
            </w:r>
            <w:r>
              <w:rPr>
                <w:rFonts w:hint="eastAsia"/>
              </w:rPr>
              <w:t>。</w:t>
            </w:r>
          </w:p>
          <w:p>
            <w:pPr>
              <w:pStyle w:val="29"/>
              <w:ind w:firstLine="482"/>
              <w:rPr>
                <w:b/>
                <w:bCs/>
              </w:rPr>
            </w:pPr>
            <w:r>
              <w:rPr>
                <w:rFonts w:hint="eastAsia"/>
                <w:b/>
                <w:bCs/>
              </w:rPr>
              <w:t>2.1.3 项目组成情况</w:t>
            </w:r>
          </w:p>
          <w:p>
            <w:pPr>
              <w:pStyle w:val="29"/>
              <w:ind w:firstLine="480"/>
            </w:pPr>
            <w:r>
              <w:rPr>
                <w:rFonts w:hint="eastAsia"/>
              </w:rPr>
              <w:t>根据工程设计资料，本项目工程建设内容主要包括：光伏发电单元以及一座</w:t>
            </w:r>
            <w:r>
              <w:rPr>
                <w:rFonts w:hint="eastAsia"/>
                <w:lang w:val="en-US" w:eastAsia="zh-CN"/>
              </w:rPr>
              <w:t>户外式</w:t>
            </w:r>
            <w:r>
              <w:rPr>
                <w:rFonts w:hint="eastAsia"/>
              </w:rPr>
              <w:t>升压站等。本项目包括主体工程、辅助工程、公用工程、环保工程，此外有施工临时工程，具体建设内容见下表：</w:t>
            </w:r>
          </w:p>
          <w:p>
            <w:pPr>
              <w:pStyle w:val="29"/>
              <w:ind w:firstLine="0" w:firstLineChars="0"/>
              <w:jc w:val="center"/>
            </w:pPr>
            <w:r>
              <w:rPr>
                <w:rFonts w:hint="eastAsia"/>
              </w:rPr>
              <w:t>表2-1  项目组成一览表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853"/>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dxa"/>
                  <w:gridSpan w:val="2"/>
                  <w:vAlign w:val="center"/>
                </w:tcPr>
                <w:p>
                  <w:pPr>
                    <w:pStyle w:val="28"/>
                  </w:pPr>
                  <w:r>
                    <w:rPr>
                      <w:rFonts w:hint="eastAsia"/>
                    </w:rPr>
                    <w:t>项目组成</w:t>
                  </w:r>
                </w:p>
              </w:tc>
              <w:tc>
                <w:tcPr>
                  <w:tcW w:w="7353" w:type="dxa"/>
                  <w:vAlign w:val="center"/>
                </w:tcPr>
                <w:p>
                  <w:pPr>
                    <w:pStyle w:val="28"/>
                  </w:pPr>
                  <w:r>
                    <w:rPr>
                      <w:rFonts w:hint="eastAsia"/>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restart"/>
                  <w:vAlign w:val="center"/>
                </w:tcPr>
                <w:p>
                  <w:pPr>
                    <w:pStyle w:val="28"/>
                  </w:pPr>
                  <w:r>
                    <w:rPr>
                      <w:rFonts w:hint="eastAsia"/>
                    </w:rPr>
                    <w:t>主体工程</w:t>
                  </w:r>
                </w:p>
              </w:tc>
              <w:tc>
                <w:tcPr>
                  <w:tcW w:w="853" w:type="dxa"/>
                  <w:vAlign w:val="center"/>
                </w:tcPr>
                <w:p>
                  <w:pPr>
                    <w:pStyle w:val="28"/>
                  </w:pPr>
                  <w:r>
                    <w:rPr>
                      <w:rFonts w:hint="eastAsia"/>
                    </w:rPr>
                    <w:t>光伏发电单元</w:t>
                  </w:r>
                </w:p>
              </w:tc>
              <w:tc>
                <w:tcPr>
                  <w:tcW w:w="7353" w:type="dxa"/>
                  <w:vAlign w:val="center"/>
                </w:tcPr>
                <w:p>
                  <w:pPr>
                    <w:pStyle w:val="28"/>
                  </w:pPr>
                  <w:r>
                    <w:rPr>
                      <w:rFonts w:hint="eastAsia"/>
                    </w:rPr>
                    <w:t>光伏发电单元主要由光伏阵列、组串式逆变器、35kV箱式变压器等组成</w:t>
                  </w:r>
                  <w:r>
                    <w:rPr>
                      <w:rFonts w:hint="eastAsia"/>
                      <w:lang w:eastAsia="zh-CN"/>
                    </w:rPr>
                    <w:t>，</w:t>
                  </w:r>
                  <w:r>
                    <w:rPr>
                      <w:rFonts w:hint="eastAsia"/>
                      <w:lang w:val="en-US" w:eastAsia="zh-CN"/>
                    </w:rPr>
                    <w:t>光伏电站规划地块面积约为1652494.48m</w:t>
                  </w:r>
                  <w:r>
                    <w:rPr>
                      <w:rFonts w:hint="eastAsia"/>
                      <w:vertAlign w:val="superscript"/>
                      <w:lang w:val="en-US" w:eastAsia="zh-CN"/>
                    </w:rPr>
                    <w:t>2</w:t>
                  </w:r>
                  <w:r>
                    <w:rPr>
                      <w:rFonts w:hint="eastAsia"/>
                      <w:lang w:val="en-US" w:eastAsia="zh-CN"/>
                    </w:rPr>
                    <w:t>，</w:t>
                  </w:r>
                  <w:r>
                    <w:rPr>
                      <w:rFonts w:hint="eastAsia"/>
                    </w:rPr>
                    <w:t>本项目拟选用570Wp的单面单晶硅太阳能电池组件</w:t>
                  </w:r>
                  <w:r>
                    <w:rPr>
                      <w:rFonts w:hint="eastAsia"/>
                      <w:lang w:val="en-US" w:eastAsia="zh-CN"/>
                    </w:rPr>
                    <w:t>共118144块</w:t>
                  </w:r>
                  <w:r>
                    <w:rPr>
                      <w:rFonts w:hint="eastAsia"/>
                    </w:rPr>
                    <w:t>，</w:t>
                  </w:r>
                  <w:r>
                    <w:rPr>
                      <w:rStyle w:val="18"/>
                      <w:color w:val="auto"/>
                      <w:szCs w:val="21"/>
                      <w:highlight w:val="none"/>
                    </w:rPr>
                    <w:t>每26块组件组成1个光伏串列，每</w:t>
                  </w:r>
                  <w:r>
                    <w:rPr>
                      <w:rStyle w:val="18"/>
                      <w:rFonts w:hint="eastAsia"/>
                      <w:color w:val="auto"/>
                      <w:szCs w:val="21"/>
                      <w:highlight w:val="none"/>
                      <w:lang w:val="en-US" w:eastAsia="zh-CN"/>
                    </w:rPr>
                    <w:t>1</w:t>
                  </w:r>
                  <w:r>
                    <w:rPr>
                      <w:rStyle w:val="18"/>
                      <w:color w:val="auto"/>
                      <w:szCs w:val="21"/>
                      <w:highlight w:val="none"/>
                    </w:rPr>
                    <w:t>个光伏串列安装在1个光伏支架上</w:t>
                  </w:r>
                  <w:r>
                    <w:rPr>
                      <w:rStyle w:val="18"/>
                      <w:rFonts w:hint="eastAsia"/>
                      <w:color w:val="auto"/>
                      <w:szCs w:val="21"/>
                      <w:highlight w:val="none"/>
                      <w:lang w:eastAsia="zh-CN"/>
                    </w:rPr>
                    <w:t>，</w:t>
                  </w:r>
                  <w:r>
                    <w:rPr>
                      <w:rFonts w:hint="eastAsia"/>
                      <w:lang w:val="en-US" w:eastAsia="zh-CN"/>
                    </w:rPr>
                    <w:t>光伏支架设置4544个；</w:t>
                  </w:r>
                  <w:r>
                    <w:rPr>
                      <w:rFonts w:hint="eastAsia"/>
                    </w:rPr>
                    <w:t>本工程共设17个光伏发电单元</w:t>
                  </w:r>
                  <w:r>
                    <w:rPr>
                      <w:rFonts w:hint="eastAsia"/>
                      <w:lang w:eastAsia="zh-CN"/>
                    </w:rPr>
                    <w:t>，</w:t>
                  </w:r>
                  <w:r>
                    <w:rPr>
                      <w:rFonts w:hint="eastAsia"/>
                    </w:rPr>
                    <w:t>分别为13个4.288MWp光伏发电单元、2个3.4304MWp光伏发电单元、1个2.5728MWp光伏发电单元、1个2.144MWp光伏发电单元，每个光伏发电单元配置5/6/8/10台320kW组串式逆变器</w:t>
                  </w:r>
                  <w:r>
                    <w:rPr>
                      <w:rFonts w:hint="eastAsia"/>
                      <w:lang w:eastAsia="zh-CN"/>
                    </w:rPr>
                    <w:t>，</w:t>
                  </w:r>
                  <w:r>
                    <w:rPr>
                      <w:rFonts w:hint="eastAsia"/>
                      <w:lang w:val="en-US" w:eastAsia="zh-CN"/>
                    </w:rPr>
                    <w:t>设组串式逆变器157台</w:t>
                  </w:r>
                  <w:r>
                    <w:rPr>
                      <w:rFonts w:hint="eastAsia"/>
                    </w:rPr>
                    <w:t>，每台组串式逆变器接入19/20个光伏组串，</w:t>
                  </w:r>
                  <w:r>
                    <w:rPr>
                      <w:rFonts w:hint="eastAsia"/>
                      <w:lang w:val="en-US" w:eastAsia="zh-CN"/>
                    </w:rPr>
                    <w:t>设35kV箱式变压器17台，其中1600kVA箱变1台、2000kVA箱变1台，2600kVA箱变2台，3200kVA箱变13台，</w:t>
                  </w:r>
                  <w:r>
                    <w:rPr>
                      <w:rFonts w:hint="eastAsia"/>
                    </w:rPr>
                    <w:t>全部为固定运行方式。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升压站</w:t>
                  </w:r>
                </w:p>
              </w:tc>
              <w:tc>
                <w:tcPr>
                  <w:tcW w:w="7353" w:type="dxa"/>
                  <w:vAlign w:val="center"/>
                </w:tcPr>
                <w:p>
                  <w:pPr>
                    <w:pStyle w:val="28"/>
                  </w:pPr>
                  <w:r>
                    <w:rPr>
                      <w:rFonts w:hint="eastAsia"/>
                    </w:rPr>
                    <w:t>本项目新建1座110kV升压站，</w:t>
                  </w:r>
                  <w:r>
                    <w:rPr>
                      <w:rFonts w:hint="eastAsia"/>
                      <w:lang w:val="en-US" w:eastAsia="zh-CN"/>
                    </w:rPr>
                    <w:t>升压站规划用地面积9799m</w:t>
                  </w:r>
                  <w:r>
                    <w:rPr>
                      <w:rFonts w:hint="eastAsia"/>
                      <w:vertAlign w:val="superscript"/>
                      <w:lang w:val="en-US" w:eastAsia="zh-CN"/>
                    </w:rPr>
                    <w:t>2</w:t>
                  </w:r>
                  <w:r>
                    <w:rPr>
                      <w:rFonts w:hint="eastAsia"/>
                      <w:lang w:val="en-US" w:eastAsia="zh-CN"/>
                    </w:rPr>
                    <w:t>，</w:t>
                  </w:r>
                  <w:r>
                    <w:rPr>
                      <w:rFonts w:hint="eastAsia"/>
                    </w:rPr>
                    <w:t>总建筑面积1164.07m</w:t>
                  </w:r>
                  <w:r>
                    <w:rPr>
                      <w:rFonts w:hint="eastAsia"/>
                      <w:vertAlign w:val="superscript"/>
                    </w:rPr>
                    <w:t>2</w:t>
                  </w:r>
                  <w:r>
                    <w:rPr>
                      <w:rFonts w:hint="eastAsia"/>
                    </w:rPr>
                    <w:t>，</w:t>
                  </w:r>
                  <w:r>
                    <w:rPr>
                      <w:rFonts w:hint="eastAsia"/>
                      <w:lang w:val="en-US" w:eastAsia="zh-CN"/>
                    </w:rPr>
                    <w:t>配置1台100MVA户外主变，采用线变组接线形式，以一回110kV线路拟规划接入铁甲变电站，本期建设交流侧装机容量为50MW，终期交流侧装机容量为50MW。</w:t>
                  </w:r>
                  <w:r>
                    <w:rPr>
                      <w:rFonts w:hint="eastAsia"/>
                    </w:rPr>
                    <w:t>升压站内主要布置有综合楼、水泵房、主变、SVG无功补偿、构架避雷针、事故油池、电缆沟等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restart"/>
                  <w:vAlign w:val="center"/>
                </w:tcPr>
                <w:p>
                  <w:pPr>
                    <w:pStyle w:val="28"/>
                    <w:rPr>
                      <w:rFonts w:hint="eastAsia" w:eastAsia="宋体"/>
                      <w:lang w:val="en-US" w:eastAsia="zh-CN"/>
                    </w:rPr>
                  </w:pPr>
                  <w:r>
                    <w:rPr>
                      <w:rFonts w:hint="eastAsia"/>
                      <w:lang w:val="en-US" w:eastAsia="zh-CN"/>
                    </w:rPr>
                    <w:t>临时工程</w:t>
                  </w:r>
                </w:p>
              </w:tc>
              <w:tc>
                <w:tcPr>
                  <w:tcW w:w="853" w:type="dxa"/>
                  <w:vAlign w:val="center"/>
                </w:tcPr>
                <w:p>
                  <w:pPr>
                    <w:pStyle w:val="28"/>
                    <w:rPr>
                      <w:rFonts w:hint="default"/>
                      <w:lang w:val="en-US" w:eastAsia="zh-CN"/>
                    </w:rPr>
                  </w:pPr>
                  <w:r>
                    <w:rPr>
                      <w:rFonts w:hint="eastAsia"/>
                      <w:lang w:val="en-US" w:eastAsia="zh-CN"/>
                    </w:rPr>
                    <w:t>临时施工场地</w:t>
                  </w:r>
                </w:p>
              </w:tc>
              <w:tc>
                <w:tcPr>
                  <w:tcW w:w="7353" w:type="dxa"/>
                  <w:vAlign w:val="center"/>
                </w:tcPr>
                <w:p>
                  <w:pPr>
                    <w:pStyle w:val="28"/>
                    <w:rPr>
                      <w:rFonts w:hint="default"/>
                      <w:lang w:val="en-US"/>
                    </w:rPr>
                  </w:pPr>
                  <w:r>
                    <w:rPr>
                      <w:rFonts w:hint="eastAsia"/>
                      <w:lang w:val="en-US" w:eastAsia="zh-CN"/>
                    </w:rPr>
                    <w:t>光伏场区分散布置施工场地3个，1#施工场地位于北部片区12#发电单元处（与升压站共用），2#施工场地位于中部片区2#发电单元处，3#施工场地位于西南侧片区16#发电单元处，</w:t>
                  </w:r>
                  <w:r>
                    <w:rPr>
                      <w:lang w:val="en-US" w:eastAsia="zh-CN"/>
                    </w:rPr>
                    <w:t>项</w:t>
                  </w:r>
                  <w:r>
                    <w:rPr>
                      <w:rFonts w:hint="eastAsia"/>
                      <w:lang w:val="en-US" w:eastAsia="zh-CN"/>
                    </w:rPr>
                    <w:t>目临时用地约1642696m</w:t>
                  </w:r>
                  <w:r>
                    <w:rPr>
                      <w:rFonts w:hint="eastAsia"/>
                      <w:vertAlign w:val="superscript"/>
                      <w:lang w:val="en-US" w:eastAsia="zh-CN"/>
                    </w:rPr>
                    <w:t>2</w:t>
                  </w:r>
                  <w:r>
                    <w:rPr>
                      <w:rFonts w:hint="eastAsia"/>
                      <w:lang w:val="en-US" w:eastAsia="zh-CN"/>
                    </w:rPr>
                    <w:t>，</w:t>
                  </w:r>
                  <w:r>
                    <w:rPr>
                      <w:lang w:val="en-US" w:eastAsia="zh-CN"/>
                    </w:rPr>
                    <w:t>临时用地包括太阳能电池板</w:t>
                  </w:r>
                  <w:r>
                    <w:rPr>
                      <w:rFonts w:hint="eastAsia"/>
                      <w:lang w:val="en-US" w:eastAsia="zh-CN"/>
                    </w:rPr>
                    <w:t>单元</w:t>
                  </w:r>
                  <w:r>
                    <w:rPr>
                      <w:lang w:val="en-US" w:eastAsia="zh-CN"/>
                    </w:rPr>
                    <w:t>区、施工临时设施的临时用地、光伏阵列区外的集电线路电缆沟、光伏阵列区外的新建改建道路等</w:t>
                  </w:r>
                  <w:r>
                    <w:rPr>
                      <w:rFonts w:hint="eastAsia"/>
                      <w:lang w:val="en-US" w:eastAsia="zh-CN"/>
                    </w:rPr>
                    <w:t>，施工完成后采取生态恢复措施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rPr>
                      <w:rFonts w:hint="eastAsia"/>
                      <w:lang w:val="en-US" w:eastAsia="zh-CN"/>
                    </w:rPr>
                  </w:pPr>
                </w:p>
              </w:tc>
              <w:tc>
                <w:tcPr>
                  <w:tcW w:w="853" w:type="dxa"/>
                  <w:vAlign w:val="center"/>
                </w:tcPr>
                <w:p>
                  <w:pPr>
                    <w:pStyle w:val="28"/>
                    <w:rPr>
                      <w:rFonts w:hint="default"/>
                      <w:lang w:val="en-US" w:eastAsia="zh-CN"/>
                    </w:rPr>
                  </w:pPr>
                  <w:r>
                    <w:rPr>
                      <w:rFonts w:hint="eastAsia"/>
                      <w:lang w:val="en-US" w:eastAsia="zh-CN"/>
                    </w:rPr>
                    <w:t>施工道路</w:t>
                  </w:r>
                </w:p>
              </w:tc>
              <w:tc>
                <w:tcPr>
                  <w:tcW w:w="7353" w:type="dxa"/>
                  <w:vAlign w:val="center"/>
                </w:tcPr>
                <w:p>
                  <w:pPr>
                    <w:pStyle w:val="28"/>
                    <w:rPr>
                      <w:lang w:val="en-US" w:eastAsia="zh-CN"/>
                    </w:rPr>
                  </w:pPr>
                  <w:r>
                    <w:rPr>
                      <w:rFonts w:hint="eastAsia"/>
                    </w:rPr>
                    <w:t>光伏场区运输施工道路通过改建村村通道路和新建部分光伏区道路来满足场区施工设备、材料运输要求。根据光伏设备的布置，改建道路约为4.7km，新建约为0.6km。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restart"/>
                  <w:vAlign w:val="center"/>
                </w:tcPr>
                <w:p>
                  <w:pPr>
                    <w:pStyle w:val="28"/>
                    <w:rPr>
                      <w:rFonts w:hint="eastAsia" w:ascii="Times New Roman" w:hAnsi="Times New Roman" w:eastAsia="宋体" w:cs="Times New Roman"/>
                      <w:sz w:val="21"/>
                      <w:lang w:val="en-US" w:eastAsia="zh-CN" w:bidi="ar-SA"/>
                    </w:rPr>
                  </w:pPr>
                  <w:r>
                    <w:rPr>
                      <w:rFonts w:hint="eastAsia"/>
                    </w:rPr>
                    <w:t>辅助工程</w:t>
                  </w:r>
                </w:p>
              </w:tc>
              <w:tc>
                <w:tcPr>
                  <w:tcW w:w="853" w:type="dxa"/>
                  <w:vAlign w:val="center"/>
                </w:tcPr>
                <w:p>
                  <w:pPr>
                    <w:pStyle w:val="28"/>
                    <w:rPr>
                      <w:rFonts w:hint="eastAsia"/>
                    </w:rPr>
                  </w:pPr>
                  <w:r>
                    <w:rPr>
                      <w:rFonts w:hint="eastAsia"/>
                    </w:rPr>
                    <w:t>消防系统</w:t>
                  </w:r>
                </w:p>
              </w:tc>
              <w:tc>
                <w:tcPr>
                  <w:tcW w:w="7353" w:type="dxa"/>
                  <w:vAlign w:val="center"/>
                </w:tcPr>
                <w:p>
                  <w:pPr>
                    <w:pStyle w:val="28"/>
                    <w:rPr>
                      <w:color w:val="auto"/>
                    </w:rPr>
                  </w:pPr>
                  <w:r>
                    <w:rPr>
                      <w:color w:val="auto"/>
                    </w:rPr>
                    <w:t>本工程升压站内设置独立消防给水系统，</w:t>
                  </w:r>
                  <w:r>
                    <w:rPr>
                      <w:rFonts w:hint="eastAsia"/>
                      <w:color w:val="auto"/>
                    </w:rPr>
                    <w:t>室外配电装置、综合楼等各个建（构）筑物设置移动式干粉灭火器。</w:t>
                  </w:r>
                  <w:r>
                    <w:rPr>
                      <w:color w:val="auto"/>
                    </w:rPr>
                    <w:t>站内设置常规消火栓给</w:t>
                  </w:r>
                  <w:r>
                    <w:rPr>
                      <w:rFonts w:hint="eastAsia"/>
                      <w:color w:val="auto"/>
                    </w:rPr>
                    <w:t>水系统，同时在各单体构（建）筑物设置移动式灭火器。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监控系统</w:t>
                  </w:r>
                </w:p>
              </w:tc>
              <w:tc>
                <w:tcPr>
                  <w:tcW w:w="7353" w:type="dxa"/>
                  <w:vAlign w:val="center"/>
                </w:tcPr>
                <w:p>
                  <w:pPr>
                    <w:pStyle w:val="28"/>
                  </w:pPr>
                  <w:r>
                    <w:t>每个光伏方阵设子监控系统一套，共配置17</w:t>
                  </w:r>
                  <w:r>
                    <w:rPr>
                      <w:rFonts w:hint="eastAsia"/>
                    </w:rPr>
                    <w:t>套就地光伏通信柜，分别安装在箱变内，采集箱变、组串式逆变器信息，并通过网络交换机与</w:t>
                  </w:r>
                  <w:r>
                    <w:t>110kV</w:t>
                  </w:r>
                  <w:r>
                    <w:rPr>
                      <w:rFonts w:hint="eastAsia"/>
                    </w:rPr>
                    <w:t>升压站计算机监控系统相连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通信系统</w:t>
                  </w:r>
                </w:p>
              </w:tc>
              <w:tc>
                <w:tcPr>
                  <w:tcW w:w="7353" w:type="dxa"/>
                  <w:vAlign w:val="center"/>
                </w:tcPr>
                <w:p>
                  <w:pPr>
                    <w:pStyle w:val="28"/>
                  </w:pPr>
                  <w:r>
                    <w:t>光伏电站通信系统主要包括系统通信、场内通信以及与公网通信三个部分。系统通信是为电力系统上级主管部门对光伏电站内的生产调度和现代化管理提供电话通道；场内通信是为光伏电站生产运行、调度指挥及行政办公系统各职能部门之间业务联系和对外通信联络提供服务；公用通信是为光伏电站对外的电话、数据传输和宽带上网等通信要求，同时也为本光伏电站的自动化和远动系统预留与电力系统通信的备用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restart"/>
                  <w:vAlign w:val="center"/>
                </w:tcPr>
                <w:p>
                  <w:pPr>
                    <w:pStyle w:val="28"/>
                  </w:pPr>
                  <w:r>
                    <w:rPr>
                      <w:rFonts w:hint="eastAsia"/>
                    </w:rPr>
                    <w:t>公用工程</w:t>
                  </w:r>
                </w:p>
              </w:tc>
              <w:tc>
                <w:tcPr>
                  <w:tcW w:w="853" w:type="dxa"/>
                  <w:vAlign w:val="center"/>
                </w:tcPr>
                <w:p>
                  <w:pPr>
                    <w:pStyle w:val="28"/>
                  </w:pPr>
                  <w:r>
                    <w:rPr>
                      <w:rFonts w:hint="eastAsia"/>
                    </w:rPr>
                    <w:t>给水系统</w:t>
                  </w:r>
                </w:p>
              </w:tc>
              <w:tc>
                <w:tcPr>
                  <w:tcW w:w="7353" w:type="dxa"/>
                  <w:vAlign w:val="center"/>
                </w:tcPr>
                <w:p>
                  <w:pPr>
                    <w:pStyle w:val="28"/>
                    <w:rPr>
                      <w:rFonts w:hint="eastAsia" w:eastAsia="宋体"/>
                      <w:lang w:eastAsia="zh-CN"/>
                    </w:rPr>
                  </w:pPr>
                  <w:r>
                    <w:rPr>
                      <w:rFonts w:hint="eastAsia" w:ascii="Times New Roman" w:hAnsi="Times New Roman"/>
                      <w:szCs w:val="21"/>
                    </w:rPr>
                    <w:t>运营期升压站用水拟采用</w:t>
                  </w:r>
                  <w:r>
                    <w:rPr>
                      <w:rFonts w:hint="eastAsia"/>
                      <w:szCs w:val="21"/>
                      <w:lang w:val="en-US" w:eastAsia="zh-CN"/>
                    </w:rPr>
                    <w:t>长柏村</w:t>
                  </w:r>
                  <w:r>
                    <w:rPr>
                      <w:rFonts w:hint="eastAsia" w:ascii="Times New Roman" w:hAnsi="Times New Roman"/>
                      <w:szCs w:val="21"/>
                    </w:rPr>
                    <w:t>市政自来水管网。站外补给水管道埋地敷设，规划埋深1.5m。光伏板</w:t>
                  </w:r>
                  <w:r>
                    <w:rPr>
                      <w:rFonts w:hint="eastAsia"/>
                      <w:szCs w:val="21"/>
                      <w:lang w:val="en-US" w:eastAsia="zh-CN"/>
                    </w:rPr>
                    <w:t>清洗</w:t>
                  </w:r>
                  <w:r>
                    <w:rPr>
                      <w:rFonts w:hint="eastAsia" w:ascii="Times New Roman" w:hAnsi="Times New Roman"/>
                      <w:szCs w:val="21"/>
                    </w:rPr>
                    <w:t>用水采用罐车运输。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排水系统</w:t>
                  </w:r>
                </w:p>
              </w:tc>
              <w:tc>
                <w:tcPr>
                  <w:tcW w:w="7353" w:type="dxa"/>
                  <w:vAlign w:val="center"/>
                </w:tcPr>
                <w:p>
                  <w:pPr>
                    <w:pStyle w:val="28"/>
                  </w:pPr>
                  <w:r>
                    <w:rPr>
                      <w:rFonts w:hint="eastAsia"/>
                      <w:szCs w:val="21"/>
                    </w:rPr>
                    <w:t>在升压站内采用雨污分流制，雨水通过雨水立管引至地面雨水沟；升压站内各用水点的生活污水经化粪池和一体化污水</w:t>
                  </w:r>
                  <w:r>
                    <w:rPr>
                      <w:rFonts w:hint="eastAsia"/>
                      <w:szCs w:val="21"/>
                      <w:lang w:eastAsia="zh-CN"/>
                    </w:rPr>
                    <w:t>处理设施处理后用作周边农肥，不外排</w:t>
                  </w:r>
                  <w:r>
                    <w:rPr>
                      <w:rFonts w:hint="eastAsia"/>
                      <w:szCs w:val="21"/>
                    </w:rPr>
                    <w:t>；光伏阵列区雨水经雨水导排系统排出场地外；光伏组件清洗废水</w:t>
                  </w:r>
                  <w:r>
                    <w:rPr>
                      <w:rFonts w:hint="eastAsia"/>
                    </w:rPr>
                    <w:t>作为光伏发电单元下方种植的农作物的灌溉</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供电系统</w:t>
                  </w:r>
                </w:p>
              </w:tc>
              <w:tc>
                <w:tcPr>
                  <w:tcW w:w="7353" w:type="dxa"/>
                  <w:vAlign w:val="center"/>
                </w:tcPr>
                <w:p>
                  <w:pPr>
                    <w:pStyle w:val="28"/>
                  </w:pPr>
                  <w:r>
                    <w:t>本</w:t>
                  </w:r>
                  <w:r>
                    <w:rPr>
                      <w:rFonts w:hint="eastAsia"/>
                    </w:rPr>
                    <w:t>项目</w:t>
                  </w:r>
                  <w:r>
                    <w:t>用电设1台站用变压器。其中一回引至站内35kV母线，选用一台容量为400kVA的站用变作为站用电主供电源，降压至400V后引入站用电进线柜，并建设一台400kVA的10kV变压器作为全站备用电源。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通风系统</w:t>
                  </w:r>
                </w:p>
              </w:tc>
              <w:tc>
                <w:tcPr>
                  <w:tcW w:w="7353" w:type="dxa"/>
                  <w:vAlign w:val="center"/>
                </w:tcPr>
                <w:p>
                  <w:pPr>
                    <w:pStyle w:val="28"/>
                  </w:pPr>
                  <w:r>
                    <w:t>35kV配电室、400V</w:t>
                  </w:r>
                  <w:r>
                    <w:rPr>
                      <w:rFonts w:hint="eastAsia"/>
                    </w:rPr>
                    <w:t>盘室通风设置自然进风，机械排风的通风方式。事故通风量按不少于</w:t>
                  </w:r>
                  <w:r>
                    <w:t>12</w:t>
                  </w:r>
                  <w:r>
                    <w:rPr>
                      <w:rFonts w:hint="eastAsia"/>
                    </w:rPr>
                    <w:t>次</w:t>
                  </w:r>
                  <w:r>
                    <w:t>/h</w:t>
                  </w:r>
                  <w:r>
                    <w:rPr>
                      <w:rFonts w:hint="eastAsia"/>
                    </w:rPr>
                    <w:t>换气计算，通风系统兼作夏季降温使用，自然通风装置采用防火风口</w:t>
                  </w:r>
                  <w:r>
                    <w:t>联合泵房等房间设置机械排风，自然进风的通风方式。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restart"/>
                  <w:vAlign w:val="center"/>
                </w:tcPr>
                <w:p>
                  <w:pPr>
                    <w:pStyle w:val="28"/>
                  </w:pPr>
                  <w:r>
                    <w:rPr>
                      <w:rFonts w:hint="eastAsia"/>
                    </w:rPr>
                    <w:t>环保工程</w:t>
                  </w:r>
                </w:p>
              </w:tc>
              <w:tc>
                <w:tcPr>
                  <w:tcW w:w="853" w:type="dxa"/>
                  <w:vAlign w:val="center"/>
                </w:tcPr>
                <w:p>
                  <w:pPr>
                    <w:pStyle w:val="28"/>
                  </w:pPr>
                  <w:r>
                    <w:rPr>
                      <w:rFonts w:hint="eastAsia"/>
                    </w:rPr>
                    <w:t>废水治理设施</w:t>
                  </w:r>
                </w:p>
              </w:tc>
              <w:tc>
                <w:tcPr>
                  <w:tcW w:w="7353" w:type="dxa"/>
                  <w:vAlign w:val="center"/>
                </w:tcPr>
                <w:p>
                  <w:pPr>
                    <w:pStyle w:val="28"/>
                  </w:pPr>
                  <w:r>
                    <w:rPr>
                      <w:rFonts w:hint="eastAsia"/>
                    </w:rPr>
                    <w:t>食堂废水经隔油池处理后排入污水系统，本项目设有1套污水处理系统，采用“化粪池+一体化</w:t>
                  </w:r>
                  <w:r>
                    <w:rPr>
                      <w:rFonts w:hint="eastAsia"/>
                      <w:lang w:eastAsia="zh-CN"/>
                    </w:rPr>
                    <w:t>处理设施</w:t>
                  </w:r>
                  <w:r>
                    <w:rPr>
                      <w:rFonts w:hint="eastAsia"/>
                    </w:rPr>
                    <w:t>”工艺，处理水量为</w:t>
                  </w:r>
                  <w:r>
                    <w:rPr>
                      <w:rFonts w:hint="eastAsia"/>
                      <w:lang w:val="en-US" w:eastAsia="zh-CN"/>
                    </w:rPr>
                    <w:t>1m³</w:t>
                  </w:r>
                  <w:r>
                    <w:rPr>
                      <w:rFonts w:hint="eastAsia"/>
                    </w:rPr>
                    <w:t>/d，生活污水</w:t>
                  </w:r>
                  <w:r>
                    <w:rPr>
                      <w:rFonts w:hint="eastAsia"/>
                      <w:lang w:val="en-US" w:eastAsia="zh-CN"/>
                    </w:rPr>
                    <w:t>经</w:t>
                  </w:r>
                  <w:r>
                    <w:rPr>
                      <w:rFonts w:hint="eastAsia"/>
                    </w:rPr>
                    <w:t>处理后用作周边农肥，不外排。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废气治理设施</w:t>
                  </w:r>
                </w:p>
              </w:tc>
              <w:tc>
                <w:tcPr>
                  <w:tcW w:w="7353" w:type="dxa"/>
                  <w:vAlign w:val="center"/>
                </w:tcPr>
                <w:p>
                  <w:pPr>
                    <w:pStyle w:val="28"/>
                  </w:pPr>
                  <w:r>
                    <w:rPr>
                      <w:rFonts w:hint="eastAsia"/>
                    </w:rPr>
                    <w:t>升压站内设有食堂，食堂配套安装1套油烟净化</w:t>
                  </w:r>
                  <w:r>
                    <w:rPr>
                      <w:rFonts w:hint="eastAsia"/>
                      <w:lang w:val="en-US" w:eastAsia="zh-CN"/>
                    </w:rPr>
                    <w:t>器</w:t>
                  </w:r>
                  <w:r>
                    <w:rPr>
                      <w:rFonts w:hint="eastAsia"/>
                    </w:rPr>
                    <w:t>，油烟经油烟净化装置处理后由专用烟道引至综合楼屋顶排放；光伏发电过程及升压站运行过程中无其他废气产生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噪声防治措施</w:t>
                  </w:r>
                </w:p>
              </w:tc>
              <w:tc>
                <w:tcPr>
                  <w:tcW w:w="7353" w:type="dxa"/>
                  <w:vAlign w:val="center"/>
                </w:tcPr>
                <w:p>
                  <w:pPr>
                    <w:pStyle w:val="28"/>
                  </w:pPr>
                  <w:r>
                    <w:t>光伏</w:t>
                  </w:r>
                  <w:r>
                    <w:rPr>
                      <w:rFonts w:hint="eastAsia"/>
                    </w:rPr>
                    <w:t>列阵</w:t>
                  </w:r>
                  <w:r>
                    <w:t>本身没有机械传动机构或运动部件，运行</w:t>
                  </w:r>
                  <w:r>
                    <w:rPr>
                      <w:rFonts w:hint="eastAsia"/>
                    </w:rPr>
                    <w:t>期间</w:t>
                  </w:r>
                  <w:r>
                    <w:t>没有噪声产生</w:t>
                  </w:r>
                  <w:r>
                    <w:rPr>
                      <w:rFonts w:hint="eastAsia"/>
                    </w:rPr>
                    <w:t>；升压站选择低噪声设备，定期检修使其处于良好的运行状态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一般固体废物</w:t>
                  </w:r>
                </w:p>
              </w:tc>
              <w:tc>
                <w:tcPr>
                  <w:tcW w:w="7353" w:type="dxa"/>
                  <w:vAlign w:val="center"/>
                </w:tcPr>
                <w:p>
                  <w:pPr>
                    <w:pStyle w:val="28"/>
                  </w:pPr>
                  <w:r>
                    <w:rPr>
                      <w:rFonts w:hint="eastAsia"/>
                    </w:rPr>
                    <w:t>升压站内设1处一般固废暂存间，建筑面积约5m</w:t>
                  </w:r>
                  <w:r>
                    <w:rPr>
                      <w:rFonts w:hint="eastAsia"/>
                      <w:vertAlign w:val="superscript"/>
                    </w:rPr>
                    <w:t>2</w:t>
                  </w:r>
                  <w:r>
                    <w:rPr>
                      <w:rFonts w:hint="eastAsia"/>
                    </w:rPr>
                    <w:t>，主要用于暂存废旧光伏板等一般固体废物，</w:t>
                  </w:r>
                  <w:r>
                    <w:t>废旧光伏组件由厂家更换回收处置；</w:t>
                  </w:r>
                  <w:r>
                    <w:rPr>
                      <w:rFonts w:hint="eastAsia"/>
                    </w:rPr>
                    <w:t>生活垃圾经收集后集中堆放，统一外运；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危险废物</w:t>
                  </w:r>
                </w:p>
              </w:tc>
              <w:tc>
                <w:tcPr>
                  <w:tcW w:w="7353" w:type="dxa"/>
                  <w:vAlign w:val="center"/>
                </w:tcPr>
                <w:p>
                  <w:pPr>
                    <w:pStyle w:val="28"/>
                    <w:rPr>
                      <w:rFonts w:hint="eastAsia" w:eastAsia="宋体"/>
                      <w:lang w:eastAsia="zh-CN"/>
                    </w:rPr>
                  </w:pPr>
                  <w:r>
                    <w:rPr>
                      <w:rFonts w:hint="eastAsia"/>
                    </w:rPr>
                    <w:t>升压站内设1处</w:t>
                  </w:r>
                  <w:r>
                    <w:rPr>
                      <w:rFonts w:hint="eastAsia"/>
                      <w:lang w:eastAsia="zh-CN"/>
                    </w:rPr>
                    <w:t>危废贮存点</w:t>
                  </w:r>
                  <w:r>
                    <w:rPr>
                      <w:rFonts w:hint="eastAsia"/>
                    </w:rPr>
                    <w:t>，建筑面积约26.16m</w:t>
                  </w:r>
                  <w:r>
                    <w:rPr>
                      <w:rFonts w:hint="eastAsia"/>
                      <w:vertAlign w:val="superscript"/>
                    </w:rPr>
                    <w:t>2</w:t>
                  </w:r>
                  <w:r>
                    <w:rPr>
                      <w:rFonts w:hint="eastAsia"/>
                    </w:rPr>
                    <w:t>，主要用于暂存</w:t>
                  </w:r>
                  <w:r>
                    <w:t>升压站产生的废变压油</w:t>
                  </w:r>
                  <w:r>
                    <w:rPr>
                      <w:rFonts w:hint="eastAsia"/>
                    </w:rPr>
                    <w:t>、</w:t>
                  </w:r>
                  <w:r>
                    <w:t>变压器油滤渣</w:t>
                  </w:r>
                  <w:r>
                    <w:rPr>
                      <w:rFonts w:hint="eastAsia"/>
                    </w:rPr>
                    <w:t>、</w:t>
                  </w:r>
                  <w:r>
                    <w:t>含油棉纱、手套等</w:t>
                  </w:r>
                  <w:r>
                    <w:rPr>
                      <w:rFonts w:hint="eastAsia"/>
                    </w:rPr>
                    <w:t>，危险废物定期</w:t>
                  </w:r>
                  <w:r>
                    <w:rPr>
                      <w:rFonts w:hint="eastAsia"/>
                      <w:lang w:eastAsia="zh-CN"/>
                    </w:rPr>
                    <w:t>交由有资质单位处置，</w:t>
                  </w:r>
                  <w:r>
                    <w:t>废铅蓄电池每次更换前，预先联系蓄电池生产厂家到现场更换，马上将更换下的废蓄电池交有资质单位处置，不在站内暂存。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事故油池</w:t>
                  </w:r>
                </w:p>
              </w:tc>
              <w:tc>
                <w:tcPr>
                  <w:tcW w:w="7353" w:type="dxa"/>
                  <w:vAlign w:val="center"/>
                </w:tcPr>
                <w:p>
                  <w:pPr>
                    <w:pStyle w:val="28"/>
                  </w:pPr>
                  <w:r>
                    <w:t>本工程共</w:t>
                  </w:r>
                  <w:r>
                    <w:rPr>
                      <w:rFonts w:hint="eastAsia"/>
                      <w:lang w:eastAsia="zh-CN"/>
                    </w:rPr>
                    <w:t>17个</w:t>
                  </w:r>
                  <w:r>
                    <w:t>光伏单元，每个单元配备一台箱变，共计1</w:t>
                  </w:r>
                  <w:r>
                    <w:rPr>
                      <w:rFonts w:hint="eastAsia"/>
                      <w:lang w:val="en-US" w:eastAsia="zh-CN"/>
                    </w:rPr>
                    <w:t>7</w:t>
                  </w:r>
                  <w:r>
                    <w:t>台，变压器底部设事故油池</w:t>
                  </w:r>
                  <w:r>
                    <w:rPr>
                      <w:rFonts w:hint="eastAsia"/>
                    </w:rPr>
                    <w:t>，有效容积为1.5m³，主变压器底部设有1座</w:t>
                  </w:r>
                  <w:r>
                    <w:rPr>
                      <w:rFonts w:hint="eastAsia"/>
                      <w:lang w:val="en-US" w:eastAsia="zh-CN"/>
                    </w:rPr>
                    <w:t>事故油坑</w:t>
                  </w:r>
                  <w:r>
                    <w:rPr>
                      <w:rFonts w:hint="eastAsia"/>
                    </w:rPr>
                    <w:t>，升压站内设有1座</w:t>
                  </w:r>
                  <w:r>
                    <w:rPr>
                      <w:rFonts w:hint="eastAsia"/>
                      <w:lang w:eastAsia="zh-CN"/>
                    </w:rPr>
                    <w:t>事故油池</w:t>
                  </w:r>
                  <w:r>
                    <w:rPr>
                      <w:rFonts w:hint="eastAsia"/>
                    </w:rPr>
                    <w:t>，容积为35m³。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dxa"/>
                  <w:vMerge w:val="continue"/>
                  <w:vAlign w:val="center"/>
                </w:tcPr>
                <w:p>
                  <w:pPr>
                    <w:pStyle w:val="28"/>
                  </w:pPr>
                </w:p>
              </w:tc>
              <w:tc>
                <w:tcPr>
                  <w:tcW w:w="853" w:type="dxa"/>
                  <w:vAlign w:val="center"/>
                </w:tcPr>
                <w:p>
                  <w:pPr>
                    <w:pStyle w:val="28"/>
                  </w:pPr>
                  <w:r>
                    <w:rPr>
                      <w:rFonts w:hint="eastAsia"/>
                    </w:rPr>
                    <w:t>生态恢复</w:t>
                  </w:r>
                </w:p>
              </w:tc>
              <w:tc>
                <w:tcPr>
                  <w:tcW w:w="7353" w:type="dxa"/>
                  <w:vAlign w:val="center"/>
                </w:tcPr>
                <w:p>
                  <w:pPr>
                    <w:pStyle w:val="28"/>
                  </w:pPr>
                  <w:r>
                    <w:t>主要为临时占地，包括直埋敷设集电线路区、临时施工场地区域等的生态恢复措施，主要为表土覆盖，植树种草等。</w:t>
                  </w:r>
                </w:p>
              </w:tc>
            </w:tr>
          </w:tbl>
          <w:p>
            <w:pPr>
              <w:pStyle w:val="29"/>
              <w:ind w:firstLine="482"/>
              <w:rPr>
                <w:b/>
                <w:bCs/>
              </w:rPr>
            </w:pPr>
            <w:r>
              <w:rPr>
                <w:rFonts w:hint="eastAsia"/>
                <w:b/>
                <w:bCs/>
              </w:rPr>
              <w:t>2.1.4 工程技术经济指标</w:t>
            </w:r>
          </w:p>
          <w:p>
            <w:pPr>
              <w:pStyle w:val="29"/>
              <w:ind w:firstLine="480"/>
            </w:pPr>
            <w:r>
              <w:rPr>
                <w:rFonts w:hint="eastAsia"/>
              </w:rPr>
              <w:t>本项目主要技术经济指标见表2-2。</w:t>
            </w:r>
          </w:p>
          <w:p>
            <w:pPr>
              <w:pStyle w:val="29"/>
              <w:ind w:firstLine="0" w:firstLineChars="0"/>
              <w:jc w:val="center"/>
            </w:pPr>
            <w:r>
              <w:rPr>
                <w:rFonts w:hint="eastAsia"/>
              </w:rPr>
              <w:t>表2-2  主要技术经济指标</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881"/>
              <w:gridCol w:w="2151"/>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pStyle w:val="28"/>
                  </w:pPr>
                  <w:r>
                    <w:rPr>
                      <w:rFonts w:hint="eastAsia"/>
                    </w:rPr>
                    <w:t>序号</w:t>
                  </w:r>
                </w:p>
              </w:tc>
              <w:tc>
                <w:tcPr>
                  <w:tcW w:w="2881" w:type="dxa"/>
                  <w:vAlign w:val="center"/>
                </w:tcPr>
                <w:p>
                  <w:pPr>
                    <w:pStyle w:val="28"/>
                  </w:pPr>
                  <w:r>
                    <w:rPr>
                      <w:rFonts w:hint="eastAsia"/>
                    </w:rPr>
                    <w:t>项目</w:t>
                  </w:r>
                </w:p>
              </w:tc>
              <w:tc>
                <w:tcPr>
                  <w:tcW w:w="2151" w:type="dxa"/>
                  <w:vAlign w:val="center"/>
                </w:tcPr>
                <w:p>
                  <w:pPr>
                    <w:pStyle w:val="28"/>
                  </w:pPr>
                  <w:r>
                    <w:rPr>
                      <w:rFonts w:hint="eastAsia"/>
                    </w:rPr>
                    <w:t>单位</w:t>
                  </w:r>
                </w:p>
              </w:tc>
              <w:tc>
                <w:tcPr>
                  <w:tcW w:w="2151" w:type="dxa"/>
                  <w:vAlign w:val="center"/>
                </w:tcPr>
                <w:p>
                  <w:pPr>
                    <w:pStyle w:val="28"/>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2" w:type="dxa"/>
                  <w:gridSpan w:val="4"/>
                  <w:vAlign w:val="center"/>
                </w:tcPr>
                <w:p>
                  <w:pPr>
                    <w:pStyle w:val="28"/>
                  </w:pPr>
                  <w:r>
                    <w:rPr>
                      <w:rFonts w:hint="eastAsia"/>
                    </w:rPr>
                    <w:t>一、站址概括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pStyle w:val="28"/>
                  </w:pPr>
                  <w:r>
                    <w:rPr>
                      <w:rFonts w:hint="eastAsia"/>
                    </w:rPr>
                    <w:t>1</w:t>
                  </w:r>
                </w:p>
              </w:tc>
              <w:tc>
                <w:tcPr>
                  <w:tcW w:w="2881" w:type="dxa"/>
                  <w:vAlign w:val="center"/>
                </w:tcPr>
                <w:p>
                  <w:pPr>
                    <w:pStyle w:val="28"/>
                  </w:pPr>
                  <w:r>
                    <w:rPr>
                      <w:rFonts w:hint="eastAsia"/>
                    </w:rPr>
                    <w:t>直流侧输入总功率</w:t>
                  </w:r>
                </w:p>
              </w:tc>
              <w:tc>
                <w:tcPr>
                  <w:tcW w:w="2151" w:type="dxa"/>
                  <w:vAlign w:val="center"/>
                </w:tcPr>
                <w:p>
                  <w:pPr>
                    <w:pStyle w:val="28"/>
                  </w:pPr>
                  <w:r>
                    <w:rPr>
                      <w:rFonts w:hint="eastAsia"/>
                    </w:rPr>
                    <w:t>MWp</w:t>
                  </w:r>
                </w:p>
              </w:tc>
              <w:tc>
                <w:tcPr>
                  <w:tcW w:w="2151" w:type="dxa"/>
                  <w:vAlign w:val="center"/>
                </w:tcPr>
                <w:p>
                  <w:pPr>
                    <w:pStyle w:val="28"/>
                  </w:pPr>
                  <w:r>
                    <w:rPr>
                      <w:rFonts w:hint="eastAsia"/>
                    </w:rPr>
                    <w:t>67.34208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pStyle w:val="28"/>
                  </w:pPr>
                  <w:r>
                    <w:rPr>
                      <w:rFonts w:hint="eastAsia"/>
                    </w:rPr>
                    <w:t>2</w:t>
                  </w:r>
                </w:p>
              </w:tc>
              <w:tc>
                <w:tcPr>
                  <w:tcW w:w="2881" w:type="dxa"/>
                  <w:vAlign w:val="center"/>
                </w:tcPr>
                <w:p>
                  <w:pPr>
                    <w:pStyle w:val="28"/>
                  </w:pPr>
                  <w:r>
                    <w:rPr>
                      <w:rFonts w:hint="eastAsia"/>
                    </w:rPr>
                    <w:t>交流侧总装机容量</w:t>
                  </w:r>
                </w:p>
              </w:tc>
              <w:tc>
                <w:tcPr>
                  <w:tcW w:w="2151" w:type="dxa"/>
                  <w:vAlign w:val="center"/>
                </w:tcPr>
                <w:p>
                  <w:pPr>
                    <w:pStyle w:val="28"/>
                  </w:pPr>
                  <w:r>
                    <w:rPr>
                      <w:rFonts w:hint="eastAsia"/>
                    </w:rPr>
                    <w:t>MW</w:t>
                  </w:r>
                </w:p>
              </w:tc>
              <w:tc>
                <w:tcPr>
                  <w:tcW w:w="2151" w:type="dxa"/>
                  <w:vAlign w:val="center"/>
                </w:tcPr>
                <w:p>
                  <w:pPr>
                    <w:pStyle w:val="28"/>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pStyle w:val="28"/>
                  </w:pPr>
                  <w:r>
                    <w:rPr>
                      <w:rFonts w:hint="eastAsia"/>
                    </w:rPr>
                    <w:t>3</w:t>
                  </w:r>
                </w:p>
              </w:tc>
              <w:tc>
                <w:tcPr>
                  <w:tcW w:w="2881" w:type="dxa"/>
                  <w:vAlign w:val="center"/>
                </w:tcPr>
                <w:p>
                  <w:pPr>
                    <w:pStyle w:val="28"/>
                  </w:pPr>
                  <w:r>
                    <w:rPr>
                      <w:rFonts w:hint="eastAsia"/>
                    </w:rPr>
                    <w:t>占地面积</w:t>
                  </w:r>
                </w:p>
              </w:tc>
              <w:tc>
                <w:tcPr>
                  <w:tcW w:w="2151" w:type="dxa"/>
                  <w:vAlign w:val="center"/>
                </w:tcPr>
                <w:p>
                  <w:pPr>
                    <w:pStyle w:val="28"/>
                    <w:rPr>
                      <w:rFonts w:hint="default" w:eastAsia="宋体"/>
                      <w:lang w:val="en-US" w:eastAsia="zh-CN"/>
                    </w:rPr>
                  </w:pPr>
                  <w:r>
                    <w:rPr>
                      <w:rFonts w:hint="eastAsia"/>
                      <w:lang w:val="en-US" w:eastAsia="zh-CN"/>
                    </w:rPr>
                    <w:t>m</w:t>
                  </w:r>
                  <w:r>
                    <w:rPr>
                      <w:rFonts w:hint="eastAsia"/>
                      <w:vertAlign w:val="superscript"/>
                      <w:lang w:val="en-US" w:eastAsia="zh-CN"/>
                    </w:rPr>
                    <w:t>2</w:t>
                  </w:r>
                </w:p>
              </w:tc>
              <w:tc>
                <w:tcPr>
                  <w:tcW w:w="2151" w:type="dxa"/>
                  <w:vAlign w:val="center"/>
                </w:tcPr>
                <w:p>
                  <w:pPr>
                    <w:pStyle w:val="28"/>
                  </w:pPr>
                  <w:r>
                    <w:rPr>
                      <w:rFonts w:hint="eastAsia"/>
                      <w:lang w:val="en-US" w:eastAsia="zh-CN"/>
                    </w:rPr>
                    <w:t>1652494.48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pStyle w:val="28"/>
                  </w:pPr>
                  <w:r>
                    <w:rPr>
                      <w:rFonts w:hint="eastAsia"/>
                    </w:rPr>
                    <w:t>4</w:t>
                  </w:r>
                </w:p>
              </w:tc>
              <w:tc>
                <w:tcPr>
                  <w:tcW w:w="2881" w:type="dxa"/>
                  <w:vAlign w:val="center"/>
                </w:tcPr>
                <w:p>
                  <w:pPr>
                    <w:pStyle w:val="28"/>
                  </w:pPr>
                  <w:r>
                    <w:rPr>
                      <w:rFonts w:hint="eastAsia"/>
                    </w:rPr>
                    <w:t>年太阳总辐射量</w:t>
                  </w:r>
                </w:p>
              </w:tc>
              <w:tc>
                <w:tcPr>
                  <w:tcW w:w="2151" w:type="dxa"/>
                  <w:vAlign w:val="center"/>
                </w:tcPr>
                <w:p>
                  <w:pPr>
                    <w:pStyle w:val="28"/>
                  </w:pPr>
                  <w:r>
                    <w:rPr>
                      <w:rFonts w:hint="eastAsia"/>
                    </w:rPr>
                    <w:t>MJ/m</w:t>
                  </w:r>
                  <w:r>
                    <w:rPr>
                      <w:rFonts w:hint="eastAsia"/>
                      <w:vertAlign w:val="superscript"/>
                    </w:rPr>
                    <w:t>2</w:t>
                  </w:r>
                </w:p>
              </w:tc>
              <w:tc>
                <w:tcPr>
                  <w:tcW w:w="2151" w:type="dxa"/>
                  <w:vAlign w:val="center"/>
                </w:tcPr>
                <w:p>
                  <w:pPr>
                    <w:pStyle w:val="28"/>
                  </w:pPr>
                  <w:r>
                    <w:rPr>
                      <w:rFonts w:hint="eastAsia"/>
                    </w:rPr>
                    <w:t>4204.8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pStyle w:val="28"/>
                  </w:pPr>
                  <w:r>
                    <w:rPr>
                      <w:rFonts w:hint="eastAsia"/>
                    </w:rPr>
                    <w:t>5</w:t>
                  </w:r>
                </w:p>
              </w:tc>
              <w:tc>
                <w:tcPr>
                  <w:tcW w:w="2881" w:type="dxa"/>
                  <w:vAlign w:val="center"/>
                </w:tcPr>
                <w:p>
                  <w:pPr>
                    <w:pStyle w:val="28"/>
                  </w:pPr>
                  <w:r>
                    <w:rPr>
                      <w:rFonts w:hint="eastAsia"/>
                    </w:rPr>
                    <w:t>海拔高度</w:t>
                  </w:r>
                </w:p>
              </w:tc>
              <w:tc>
                <w:tcPr>
                  <w:tcW w:w="2151" w:type="dxa"/>
                  <w:vAlign w:val="center"/>
                </w:tcPr>
                <w:p>
                  <w:pPr>
                    <w:pStyle w:val="28"/>
                  </w:pPr>
                  <w:r>
                    <w:rPr>
                      <w:rFonts w:hint="eastAsia"/>
                    </w:rPr>
                    <w:t>m</w:t>
                  </w:r>
                </w:p>
              </w:tc>
              <w:tc>
                <w:tcPr>
                  <w:tcW w:w="2151" w:type="dxa"/>
                  <w:vAlign w:val="center"/>
                </w:tcPr>
                <w:p>
                  <w:pPr>
                    <w:pStyle w:val="28"/>
                  </w:pPr>
                  <w:r>
                    <w:rPr>
                      <w:rFonts w:hint="eastAsia"/>
                    </w:rPr>
                    <w:t>200~1080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2" w:type="dxa"/>
                  <w:gridSpan w:val="4"/>
                  <w:vAlign w:val="center"/>
                </w:tcPr>
                <w:p>
                  <w:pPr>
                    <w:pStyle w:val="28"/>
                  </w:pPr>
                  <w:r>
                    <w:rPr>
                      <w:rFonts w:hint="eastAsia"/>
                    </w:rPr>
                    <w:t>二、主要设备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vAlign w:val="center"/>
                </w:tcPr>
                <w:p>
                  <w:pPr>
                    <w:pStyle w:val="28"/>
                  </w:pPr>
                  <w:r>
                    <w:rPr>
                      <w:rFonts w:hint="eastAsia"/>
                    </w:rPr>
                    <w:t>1、光伏组件</w:t>
                  </w:r>
                </w:p>
              </w:tc>
              <w:tc>
                <w:tcPr>
                  <w:tcW w:w="2881" w:type="dxa"/>
                  <w:vAlign w:val="center"/>
                </w:tcPr>
                <w:p>
                  <w:pPr>
                    <w:pStyle w:val="28"/>
                  </w:pPr>
                  <w:r>
                    <w:rPr>
                      <w:rFonts w:hint="eastAsia"/>
                    </w:rPr>
                    <w:t>模块类型</w:t>
                  </w:r>
                </w:p>
              </w:tc>
              <w:tc>
                <w:tcPr>
                  <w:tcW w:w="2151" w:type="dxa"/>
                  <w:vAlign w:val="center"/>
                </w:tcPr>
                <w:p>
                  <w:pPr>
                    <w:pStyle w:val="28"/>
                  </w:pPr>
                  <w:r>
                    <w:rPr>
                      <w:rFonts w:hint="eastAsia"/>
                    </w:rPr>
                    <w:t>Wp</w:t>
                  </w:r>
                </w:p>
              </w:tc>
              <w:tc>
                <w:tcPr>
                  <w:tcW w:w="2151" w:type="dxa"/>
                  <w:vAlign w:val="center"/>
                </w:tcPr>
                <w:p>
                  <w:pPr>
                    <w:pStyle w:val="28"/>
                  </w:pPr>
                  <w:r>
                    <w:rPr>
                      <w:rFonts w:hint="eastAsia"/>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rPr>
                      <w:rFonts w:hint="eastAsia"/>
                    </w:rPr>
                  </w:pPr>
                </w:p>
              </w:tc>
              <w:tc>
                <w:tcPr>
                  <w:tcW w:w="2881" w:type="dxa"/>
                  <w:vAlign w:val="center"/>
                </w:tcPr>
                <w:p>
                  <w:pPr>
                    <w:pStyle w:val="28"/>
                    <w:rPr>
                      <w:rFonts w:hint="eastAsia" w:eastAsia="宋体"/>
                      <w:lang w:val="en-US" w:eastAsia="zh-CN"/>
                    </w:rPr>
                  </w:pPr>
                  <w:r>
                    <w:rPr>
                      <w:rFonts w:hint="eastAsia"/>
                      <w:lang w:val="en-US" w:eastAsia="zh-CN"/>
                    </w:rPr>
                    <w:t>数量</w:t>
                  </w:r>
                </w:p>
              </w:tc>
              <w:tc>
                <w:tcPr>
                  <w:tcW w:w="2151" w:type="dxa"/>
                  <w:vAlign w:val="center"/>
                </w:tcPr>
                <w:p>
                  <w:pPr>
                    <w:pStyle w:val="28"/>
                    <w:rPr>
                      <w:rFonts w:hint="eastAsia" w:eastAsia="宋体"/>
                      <w:lang w:val="en-US" w:eastAsia="zh-CN"/>
                    </w:rPr>
                  </w:pPr>
                  <w:r>
                    <w:rPr>
                      <w:rFonts w:hint="eastAsia"/>
                      <w:lang w:val="en-US" w:eastAsia="zh-CN"/>
                    </w:rPr>
                    <w:t>块</w:t>
                  </w:r>
                </w:p>
              </w:tc>
              <w:tc>
                <w:tcPr>
                  <w:tcW w:w="2151" w:type="dxa"/>
                  <w:vAlign w:val="center"/>
                </w:tcPr>
                <w:p>
                  <w:pPr>
                    <w:pStyle w:val="28"/>
                    <w:rPr>
                      <w:rFonts w:hint="default" w:eastAsia="宋体"/>
                      <w:lang w:val="en-US" w:eastAsia="zh-CN"/>
                    </w:rPr>
                  </w:pPr>
                  <w:r>
                    <w:rPr>
                      <w:rFonts w:hint="eastAsia"/>
                      <w:lang w:val="en-US" w:eastAsia="zh-CN"/>
                    </w:rPr>
                    <w:t>118144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标准输出功率</w:t>
                  </w:r>
                </w:p>
              </w:tc>
              <w:tc>
                <w:tcPr>
                  <w:tcW w:w="2151" w:type="dxa"/>
                  <w:vAlign w:val="center"/>
                </w:tcPr>
                <w:p>
                  <w:pPr>
                    <w:pStyle w:val="28"/>
                  </w:pPr>
                  <w:r>
                    <w:rPr>
                      <w:rFonts w:hint="eastAsia"/>
                    </w:rPr>
                    <w:t>W</w:t>
                  </w:r>
                </w:p>
              </w:tc>
              <w:tc>
                <w:tcPr>
                  <w:tcW w:w="2151" w:type="dxa"/>
                  <w:vAlign w:val="center"/>
                </w:tcPr>
                <w:p>
                  <w:pPr>
                    <w:pStyle w:val="28"/>
                  </w:pPr>
                  <w:r>
                    <w:rPr>
                      <w:rFonts w:hint="eastAsia"/>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组件效率</w:t>
                  </w:r>
                </w:p>
              </w:tc>
              <w:tc>
                <w:tcPr>
                  <w:tcW w:w="2151" w:type="dxa"/>
                  <w:vAlign w:val="center"/>
                </w:tcPr>
                <w:p>
                  <w:pPr>
                    <w:pStyle w:val="28"/>
                  </w:pPr>
                  <w:r>
                    <w:rPr>
                      <w:rFonts w:hint="eastAsia"/>
                    </w:rPr>
                    <w:t>%</w:t>
                  </w:r>
                </w:p>
              </w:tc>
              <w:tc>
                <w:tcPr>
                  <w:tcW w:w="2151" w:type="dxa"/>
                  <w:vAlign w:val="center"/>
                </w:tcPr>
                <w:p>
                  <w:pPr>
                    <w:pStyle w:val="28"/>
                  </w:pPr>
                  <w:r>
                    <w:rPr>
                      <w:rFonts w:hint="eastAsia"/>
                    </w:rPr>
                    <w:t>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峰值功率电压</w:t>
                  </w:r>
                </w:p>
              </w:tc>
              <w:tc>
                <w:tcPr>
                  <w:tcW w:w="2151" w:type="dxa"/>
                  <w:vAlign w:val="center"/>
                </w:tcPr>
                <w:p>
                  <w:pPr>
                    <w:pStyle w:val="28"/>
                  </w:pPr>
                  <w:r>
                    <w:rPr>
                      <w:rFonts w:hint="eastAsia"/>
                    </w:rPr>
                    <w:t>V</w:t>
                  </w:r>
                </w:p>
              </w:tc>
              <w:tc>
                <w:tcPr>
                  <w:tcW w:w="2151" w:type="dxa"/>
                  <w:vAlign w:val="center"/>
                </w:tcPr>
                <w:p>
                  <w:pPr>
                    <w:pStyle w:val="28"/>
                  </w:pPr>
                  <w:r>
                    <w:rPr>
                      <w:rFonts w:hint="eastAsia"/>
                    </w:rPr>
                    <w:t>42.07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峰值功率电流</w:t>
                  </w:r>
                </w:p>
              </w:tc>
              <w:tc>
                <w:tcPr>
                  <w:tcW w:w="2151" w:type="dxa"/>
                  <w:vAlign w:val="center"/>
                </w:tcPr>
                <w:p>
                  <w:pPr>
                    <w:pStyle w:val="28"/>
                  </w:pPr>
                  <w:r>
                    <w:rPr>
                      <w:rFonts w:hint="eastAsia"/>
                    </w:rPr>
                    <w:t>A</w:t>
                  </w:r>
                </w:p>
              </w:tc>
              <w:tc>
                <w:tcPr>
                  <w:tcW w:w="2151" w:type="dxa"/>
                  <w:vAlign w:val="center"/>
                </w:tcPr>
                <w:p>
                  <w:pPr>
                    <w:pStyle w:val="28"/>
                  </w:pPr>
                  <w:r>
                    <w:rPr>
                      <w:rFonts w:hint="eastAsia"/>
                    </w:rPr>
                    <w:t>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重量</w:t>
                  </w:r>
                </w:p>
              </w:tc>
              <w:tc>
                <w:tcPr>
                  <w:tcW w:w="2151" w:type="dxa"/>
                  <w:vAlign w:val="center"/>
                </w:tcPr>
                <w:p>
                  <w:pPr>
                    <w:pStyle w:val="28"/>
                  </w:pPr>
                  <w:r>
                    <w:rPr>
                      <w:rFonts w:hint="eastAsia"/>
                    </w:rPr>
                    <w:t>kg/块</w:t>
                  </w:r>
                </w:p>
              </w:tc>
              <w:tc>
                <w:tcPr>
                  <w:tcW w:w="2151" w:type="dxa"/>
                  <w:vAlign w:val="center"/>
                </w:tcPr>
                <w:p>
                  <w:pPr>
                    <w:pStyle w:val="28"/>
                  </w:pPr>
                  <w:r>
                    <w:rPr>
                      <w:rFonts w:hint="eastAsi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外形尺寸</w:t>
                  </w:r>
                </w:p>
              </w:tc>
              <w:tc>
                <w:tcPr>
                  <w:tcW w:w="2151" w:type="dxa"/>
                  <w:vAlign w:val="center"/>
                </w:tcPr>
                <w:p>
                  <w:pPr>
                    <w:pStyle w:val="28"/>
                  </w:pPr>
                  <w:r>
                    <w:rPr>
                      <w:rFonts w:hint="eastAsia"/>
                    </w:rPr>
                    <w:t>mm</w:t>
                  </w:r>
                </w:p>
              </w:tc>
              <w:tc>
                <w:tcPr>
                  <w:tcW w:w="2151" w:type="dxa"/>
                  <w:vAlign w:val="center"/>
                </w:tcPr>
                <w:p>
                  <w:pPr>
                    <w:pStyle w:val="28"/>
                  </w:pPr>
                  <w:r>
                    <w:rPr>
                      <w:rFonts w:hint="eastAsia"/>
                    </w:rPr>
                    <w:t>2258×1134×35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vAlign w:val="center"/>
                </w:tcPr>
                <w:p>
                  <w:pPr>
                    <w:pStyle w:val="28"/>
                  </w:pPr>
                  <w:r>
                    <w:rPr>
                      <w:rFonts w:hint="eastAsia"/>
                    </w:rPr>
                    <w:t>2、320kV逆变器</w:t>
                  </w:r>
                </w:p>
              </w:tc>
              <w:tc>
                <w:tcPr>
                  <w:tcW w:w="2881" w:type="dxa"/>
                  <w:vAlign w:val="center"/>
                </w:tcPr>
                <w:p>
                  <w:pPr>
                    <w:pStyle w:val="28"/>
                    <w:rPr>
                      <w:rFonts w:hint="eastAsia" w:eastAsia="宋体"/>
                      <w:lang w:val="en-US" w:eastAsia="zh-CN"/>
                    </w:rPr>
                  </w:pPr>
                  <w:r>
                    <w:rPr>
                      <w:rFonts w:hint="eastAsia"/>
                      <w:lang w:val="en-US" w:eastAsia="zh-CN"/>
                    </w:rPr>
                    <w:t>数量</w:t>
                  </w:r>
                </w:p>
              </w:tc>
              <w:tc>
                <w:tcPr>
                  <w:tcW w:w="2151" w:type="dxa"/>
                  <w:vAlign w:val="center"/>
                </w:tcPr>
                <w:p>
                  <w:pPr>
                    <w:pStyle w:val="28"/>
                    <w:rPr>
                      <w:rFonts w:hint="eastAsia" w:eastAsia="宋体"/>
                      <w:lang w:val="en-US" w:eastAsia="zh-CN"/>
                    </w:rPr>
                  </w:pPr>
                  <w:r>
                    <w:rPr>
                      <w:rFonts w:hint="eastAsia"/>
                      <w:lang w:val="en-US" w:eastAsia="zh-CN"/>
                    </w:rPr>
                    <w:t>台</w:t>
                  </w:r>
                </w:p>
              </w:tc>
              <w:tc>
                <w:tcPr>
                  <w:tcW w:w="2151" w:type="dxa"/>
                  <w:vAlign w:val="center"/>
                </w:tcPr>
                <w:p>
                  <w:pPr>
                    <w:pStyle w:val="28"/>
                    <w:rPr>
                      <w:rFonts w:hint="default" w:eastAsia="宋体"/>
                      <w:lang w:val="en-US" w:eastAsia="zh-CN"/>
                    </w:rPr>
                  </w:pPr>
                  <w:r>
                    <w:rPr>
                      <w:rFonts w:hint="eastAsia"/>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rPr>
                      <w:rFonts w:hint="eastAsia"/>
                    </w:rPr>
                  </w:pPr>
                </w:p>
              </w:tc>
              <w:tc>
                <w:tcPr>
                  <w:tcW w:w="2881" w:type="dxa"/>
                  <w:vAlign w:val="center"/>
                </w:tcPr>
                <w:p>
                  <w:pPr>
                    <w:pStyle w:val="28"/>
                    <w:rPr>
                      <w:rFonts w:hint="eastAsia" w:ascii="Times New Roman" w:hAnsi="Times New Roman" w:eastAsia="宋体" w:cs="Times New Roman"/>
                      <w:sz w:val="21"/>
                      <w:lang w:val="en-US" w:eastAsia="zh-CN" w:bidi="ar-SA"/>
                    </w:rPr>
                  </w:pPr>
                  <w:r>
                    <w:rPr>
                      <w:rFonts w:hint="eastAsia"/>
                    </w:rPr>
                    <w:t>交流输出额定功率</w:t>
                  </w:r>
                </w:p>
              </w:tc>
              <w:tc>
                <w:tcPr>
                  <w:tcW w:w="2151" w:type="dxa"/>
                  <w:vAlign w:val="center"/>
                </w:tcPr>
                <w:p>
                  <w:pPr>
                    <w:pStyle w:val="28"/>
                    <w:rPr>
                      <w:rFonts w:hint="eastAsia" w:ascii="Times New Roman" w:hAnsi="Times New Roman" w:eastAsia="宋体" w:cs="Times New Roman"/>
                      <w:sz w:val="21"/>
                      <w:lang w:val="en-US" w:eastAsia="zh-CN" w:bidi="ar-SA"/>
                    </w:rPr>
                  </w:pPr>
                  <w:r>
                    <w:rPr>
                      <w:rFonts w:hint="eastAsia"/>
                    </w:rPr>
                    <w:t>kW</w:t>
                  </w:r>
                </w:p>
              </w:tc>
              <w:tc>
                <w:tcPr>
                  <w:tcW w:w="2151" w:type="dxa"/>
                  <w:vAlign w:val="center"/>
                </w:tcPr>
                <w:p>
                  <w:pPr>
                    <w:pStyle w:val="28"/>
                    <w:rPr>
                      <w:rFonts w:hint="eastAsia" w:ascii="Times New Roman" w:hAnsi="Times New Roman" w:eastAsia="宋体" w:cs="Times New Roman"/>
                      <w:sz w:val="21"/>
                      <w:lang w:val="en-US" w:eastAsia="zh-CN" w:bidi="ar-SA"/>
                    </w:rPr>
                  </w:pPr>
                  <w:r>
                    <w:rPr>
                      <w:rFonts w:hint="eastAsia"/>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交流输出最大功率</w:t>
                  </w:r>
                </w:p>
              </w:tc>
              <w:tc>
                <w:tcPr>
                  <w:tcW w:w="2151" w:type="dxa"/>
                  <w:vAlign w:val="center"/>
                </w:tcPr>
                <w:p>
                  <w:pPr>
                    <w:pStyle w:val="28"/>
                  </w:pPr>
                  <w:r>
                    <w:rPr>
                      <w:rFonts w:hint="eastAsia"/>
                    </w:rPr>
                    <w:t>kVA</w:t>
                  </w:r>
                </w:p>
              </w:tc>
              <w:tc>
                <w:tcPr>
                  <w:tcW w:w="2151" w:type="dxa"/>
                  <w:vAlign w:val="center"/>
                </w:tcPr>
                <w:p>
                  <w:pPr>
                    <w:pStyle w:val="28"/>
                  </w:pPr>
                  <w:r>
                    <w:rPr>
                      <w:rFonts w:hint="eastAsia"/>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最高直流输入电压</w:t>
                  </w:r>
                </w:p>
              </w:tc>
              <w:tc>
                <w:tcPr>
                  <w:tcW w:w="2151" w:type="dxa"/>
                  <w:vAlign w:val="center"/>
                </w:tcPr>
                <w:p>
                  <w:pPr>
                    <w:pStyle w:val="28"/>
                  </w:pPr>
                  <w:r>
                    <w:rPr>
                      <w:rFonts w:hint="eastAsia"/>
                    </w:rPr>
                    <w:t>V</w:t>
                  </w:r>
                </w:p>
              </w:tc>
              <w:tc>
                <w:tcPr>
                  <w:tcW w:w="2151" w:type="dxa"/>
                  <w:vAlign w:val="center"/>
                </w:tcPr>
                <w:p>
                  <w:pPr>
                    <w:pStyle w:val="28"/>
                  </w:pPr>
                  <w:r>
                    <w:rPr>
                      <w:rFonts w:hint="eastAsia"/>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额定输入电压</w:t>
                  </w:r>
                </w:p>
              </w:tc>
              <w:tc>
                <w:tcPr>
                  <w:tcW w:w="2151" w:type="dxa"/>
                  <w:vAlign w:val="center"/>
                </w:tcPr>
                <w:p>
                  <w:pPr>
                    <w:pStyle w:val="28"/>
                  </w:pPr>
                  <w:r>
                    <w:rPr>
                      <w:rFonts w:hint="eastAsia"/>
                    </w:rPr>
                    <w:t>V</w:t>
                  </w:r>
                </w:p>
              </w:tc>
              <w:tc>
                <w:tcPr>
                  <w:tcW w:w="2151" w:type="dxa"/>
                  <w:vAlign w:val="center"/>
                </w:tcPr>
                <w:p>
                  <w:pPr>
                    <w:pStyle w:val="28"/>
                  </w:pPr>
                  <w:r>
                    <w:rPr>
                      <w:rFonts w:hint="eastAsia"/>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额定输出电压</w:t>
                  </w:r>
                </w:p>
              </w:tc>
              <w:tc>
                <w:tcPr>
                  <w:tcW w:w="2151" w:type="dxa"/>
                  <w:vAlign w:val="center"/>
                </w:tcPr>
                <w:p>
                  <w:pPr>
                    <w:pStyle w:val="28"/>
                  </w:pPr>
                  <w:r>
                    <w:rPr>
                      <w:rFonts w:hint="eastAsia"/>
                    </w:rPr>
                    <w:t>V</w:t>
                  </w:r>
                </w:p>
              </w:tc>
              <w:tc>
                <w:tcPr>
                  <w:tcW w:w="2151" w:type="dxa"/>
                  <w:vAlign w:val="center"/>
                </w:tcPr>
                <w:p>
                  <w:pPr>
                    <w:pStyle w:val="28"/>
                  </w:pPr>
                  <w:r>
                    <w:rPr>
                      <w:rFonts w:hint="eastAsia"/>
                    </w:rPr>
                    <w:t>800V，3W+PE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额定输出电流</w:t>
                  </w:r>
                </w:p>
              </w:tc>
              <w:tc>
                <w:tcPr>
                  <w:tcW w:w="2151" w:type="dxa"/>
                  <w:vAlign w:val="center"/>
                </w:tcPr>
                <w:p>
                  <w:pPr>
                    <w:pStyle w:val="28"/>
                  </w:pPr>
                  <w:r>
                    <w:rPr>
                      <w:rFonts w:hint="eastAsia"/>
                    </w:rPr>
                    <w:t>A</w:t>
                  </w:r>
                </w:p>
              </w:tc>
              <w:tc>
                <w:tcPr>
                  <w:tcW w:w="2151" w:type="dxa"/>
                  <w:vAlign w:val="center"/>
                </w:tcPr>
                <w:p>
                  <w:pPr>
                    <w:pStyle w:val="28"/>
                  </w:pPr>
                  <w:r>
                    <w:rPr>
                      <w:rFonts w:hint="eastAsia"/>
                    </w:rPr>
                    <w:t>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vAlign w:val="center"/>
                </w:tcPr>
                <w:p>
                  <w:pPr>
                    <w:pStyle w:val="28"/>
                  </w:pPr>
                  <w:r>
                    <w:rPr>
                      <w:rFonts w:hint="eastAsia"/>
                    </w:rPr>
                    <w:t>3、110kV升压站</w:t>
                  </w:r>
                </w:p>
              </w:tc>
              <w:tc>
                <w:tcPr>
                  <w:tcW w:w="2881" w:type="dxa"/>
                  <w:vAlign w:val="center"/>
                </w:tcPr>
                <w:p>
                  <w:pPr>
                    <w:pStyle w:val="28"/>
                  </w:pPr>
                  <w:r>
                    <w:rPr>
                      <w:rFonts w:hint="eastAsia"/>
                    </w:rPr>
                    <w:t>占地面积</w:t>
                  </w:r>
                </w:p>
              </w:tc>
              <w:tc>
                <w:tcPr>
                  <w:tcW w:w="2151" w:type="dxa"/>
                  <w:vAlign w:val="center"/>
                </w:tcPr>
                <w:p>
                  <w:pPr>
                    <w:pStyle w:val="28"/>
                  </w:pPr>
                  <w:r>
                    <w:rPr>
                      <w:rFonts w:hint="eastAsia"/>
                    </w:rPr>
                    <w:t>m</w:t>
                  </w:r>
                  <w:r>
                    <w:rPr>
                      <w:rFonts w:hint="eastAsia"/>
                      <w:vertAlign w:val="superscript"/>
                    </w:rPr>
                    <w:t>2</w:t>
                  </w:r>
                </w:p>
              </w:tc>
              <w:tc>
                <w:tcPr>
                  <w:tcW w:w="2151" w:type="dxa"/>
                  <w:vAlign w:val="center"/>
                </w:tcPr>
                <w:p>
                  <w:pPr>
                    <w:pStyle w:val="28"/>
                    <w:rPr>
                      <w:rFonts w:hint="eastAsia" w:eastAsia="宋体"/>
                      <w:lang w:eastAsia="zh-CN"/>
                    </w:rPr>
                  </w:pPr>
                  <w:r>
                    <w:rPr>
                      <w:rFonts w:hint="eastAsia"/>
                      <w:lang w:eastAsia="zh-CN"/>
                    </w:rPr>
                    <w:t>9799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建筑面积</w:t>
                  </w:r>
                </w:p>
              </w:tc>
              <w:tc>
                <w:tcPr>
                  <w:tcW w:w="2151" w:type="dxa"/>
                  <w:vAlign w:val="center"/>
                </w:tcPr>
                <w:p>
                  <w:pPr>
                    <w:pStyle w:val="28"/>
                  </w:pPr>
                  <w:r>
                    <w:rPr>
                      <w:rFonts w:hint="eastAsia"/>
                    </w:rPr>
                    <w:t>m</w:t>
                  </w:r>
                  <w:r>
                    <w:rPr>
                      <w:rFonts w:hint="eastAsia"/>
                      <w:vertAlign w:val="superscript"/>
                    </w:rPr>
                    <w:t>2</w:t>
                  </w:r>
                </w:p>
              </w:tc>
              <w:tc>
                <w:tcPr>
                  <w:tcW w:w="2151" w:type="dxa"/>
                  <w:vAlign w:val="center"/>
                </w:tcPr>
                <w:p>
                  <w:pPr>
                    <w:pStyle w:val="28"/>
                  </w:pPr>
                  <w:r>
                    <w:rPr>
                      <w:rFonts w:hint="eastAsia"/>
                    </w:rPr>
                    <w:t>1164.07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数量</w:t>
                  </w:r>
                </w:p>
              </w:tc>
              <w:tc>
                <w:tcPr>
                  <w:tcW w:w="2151" w:type="dxa"/>
                  <w:vAlign w:val="center"/>
                </w:tcPr>
                <w:p>
                  <w:pPr>
                    <w:pStyle w:val="28"/>
                  </w:pPr>
                  <w:r>
                    <w:rPr>
                      <w:rFonts w:hint="eastAsia"/>
                    </w:rPr>
                    <w:t>座</w:t>
                  </w:r>
                </w:p>
              </w:tc>
              <w:tc>
                <w:tcPr>
                  <w:tcW w:w="2151" w:type="dxa"/>
                  <w:vAlign w:val="center"/>
                </w:tcPr>
                <w:p>
                  <w:pPr>
                    <w:pStyle w:val="28"/>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pPr>
                  <w:r>
                    <w:rPr>
                      <w:rFonts w:hint="eastAsia"/>
                    </w:rPr>
                    <w:t>安装总容量</w:t>
                  </w:r>
                </w:p>
              </w:tc>
              <w:tc>
                <w:tcPr>
                  <w:tcW w:w="2151" w:type="dxa"/>
                  <w:vAlign w:val="center"/>
                </w:tcPr>
                <w:p>
                  <w:pPr>
                    <w:pStyle w:val="28"/>
                    <w:rPr>
                      <w:rFonts w:hint="default" w:eastAsia="宋体"/>
                      <w:lang w:val="en-US" w:eastAsia="zh-CN"/>
                    </w:rPr>
                  </w:pPr>
                  <w:r>
                    <w:rPr>
                      <w:rFonts w:hint="eastAsia"/>
                    </w:rPr>
                    <w:t>M</w:t>
                  </w:r>
                  <w:r>
                    <w:rPr>
                      <w:rFonts w:hint="eastAsia"/>
                      <w:lang w:val="en-US" w:eastAsia="zh-CN"/>
                    </w:rPr>
                    <w:t>VA</w:t>
                  </w:r>
                </w:p>
              </w:tc>
              <w:tc>
                <w:tcPr>
                  <w:tcW w:w="2151" w:type="dxa"/>
                  <w:vAlign w:val="center"/>
                </w:tcPr>
                <w:p>
                  <w:pPr>
                    <w:pStyle w:val="28"/>
                    <w:rPr>
                      <w:rFonts w:hint="default" w:eastAsia="宋体"/>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rPr>
                      <w:rFonts w:hint="default" w:eastAsia="宋体"/>
                      <w:lang w:val="en-US" w:eastAsia="zh-CN"/>
                    </w:rPr>
                  </w:pPr>
                  <w:r>
                    <w:rPr>
                      <w:rFonts w:hint="eastAsia"/>
                      <w:lang w:val="en-US" w:eastAsia="zh-CN"/>
                    </w:rPr>
                    <w:t>电压等级</w:t>
                  </w:r>
                </w:p>
              </w:tc>
              <w:tc>
                <w:tcPr>
                  <w:tcW w:w="2151" w:type="dxa"/>
                  <w:vAlign w:val="center"/>
                </w:tcPr>
                <w:p>
                  <w:pPr>
                    <w:pStyle w:val="28"/>
                    <w:rPr>
                      <w:rFonts w:hint="default" w:eastAsia="宋体"/>
                      <w:lang w:val="en-US" w:eastAsia="zh-CN"/>
                    </w:rPr>
                  </w:pPr>
                  <w:r>
                    <w:rPr>
                      <w:rFonts w:hint="eastAsia"/>
                      <w:lang w:val="en-US" w:eastAsia="zh-CN"/>
                    </w:rPr>
                    <w:t>kV</w:t>
                  </w:r>
                </w:p>
              </w:tc>
              <w:tc>
                <w:tcPr>
                  <w:tcW w:w="2151" w:type="dxa"/>
                  <w:vAlign w:val="center"/>
                </w:tcPr>
                <w:p>
                  <w:pPr>
                    <w:pStyle w:val="28"/>
                    <w:rPr>
                      <w:rFonts w:hint="default" w:eastAsia="宋体"/>
                      <w:lang w:val="en-US" w:eastAsia="zh-CN"/>
                    </w:rPr>
                  </w:pPr>
                  <w:r>
                    <w:rPr>
                      <w:rFonts w:hint="eastAsia"/>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pPr>
                </w:p>
              </w:tc>
              <w:tc>
                <w:tcPr>
                  <w:tcW w:w="2881" w:type="dxa"/>
                  <w:vAlign w:val="center"/>
                </w:tcPr>
                <w:p>
                  <w:pPr>
                    <w:pStyle w:val="28"/>
                    <w:rPr>
                      <w:rFonts w:hint="default" w:eastAsia="宋体"/>
                      <w:lang w:val="en-US" w:eastAsia="zh-CN"/>
                    </w:rPr>
                  </w:pPr>
                  <w:r>
                    <w:rPr>
                      <w:rFonts w:hint="eastAsia"/>
                      <w:lang w:val="en-US" w:eastAsia="zh-CN"/>
                    </w:rPr>
                    <w:t>出线间隔</w:t>
                  </w:r>
                </w:p>
              </w:tc>
              <w:tc>
                <w:tcPr>
                  <w:tcW w:w="2151" w:type="dxa"/>
                  <w:vAlign w:val="center"/>
                </w:tcPr>
                <w:p>
                  <w:pPr>
                    <w:pStyle w:val="28"/>
                    <w:rPr>
                      <w:rFonts w:hint="eastAsia" w:eastAsia="宋体"/>
                      <w:lang w:val="en-US" w:eastAsia="zh-CN"/>
                    </w:rPr>
                  </w:pPr>
                  <w:r>
                    <w:rPr>
                      <w:rFonts w:hint="eastAsia"/>
                      <w:lang w:val="en-US" w:eastAsia="zh-CN"/>
                    </w:rPr>
                    <w:t>回</w:t>
                  </w:r>
                </w:p>
              </w:tc>
              <w:tc>
                <w:tcPr>
                  <w:tcW w:w="2151" w:type="dxa"/>
                  <w:vAlign w:val="center"/>
                </w:tcPr>
                <w:p>
                  <w:pPr>
                    <w:pStyle w:val="28"/>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vAlign w:val="center"/>
                </w:tcPr>
                <w:p>
                  <w:pPr>
                    <w:pStyle w:val="28"/>
                    <w:rPr>
                      <w:rFonts w:hint="default" w:eastAsia="宋体"/>
                      <w:lang w:val="en-US" w:eastAsia="zh-CN"/>
                    </w:rPr>
                  </w:pPr>
                  <w:r>
                    <w:rPr>
                      <w:rFonts w:hint="eastAsia"/>
                      <w:lang w:val="en-US" w:eastAsia="zh-CN"/>
                    </w:rPr>
                    <w:t>4、35kV箱式变压器</w:t>
                  </w:r>
                </w:p>
              </w:tc>
              <w:tc>
                <w:tcPr>
                  <w:tcW w:w="2881" w:type="dxa"/>
                  <w:vAlign w:val="center"/>
                </w:tcPr>
                <w:p>
                  <w:pPr>
                    <w:pStyle w:val="28"/>
                    <w:rPr>
                      <w:rFonts w:hint="default"/>
                      <w:lang w:val="en-US" w:eastAsia="zh-CN"/>
                    </w:rPr>
                  </w:pPr>
                  <w:r>
                    <w:rPr>
                      <w:rFonts w:hint="eastAsia"/>
                      <w:lang w:val="en-US" w:eastAsia="zh-CN"/>
                    </w:rPr>
                    <w:t>数量</w:t>
                  </w:r>
                </w:p>
              </w:tc>
              <w:tc>
                <w:tcPr>
                  <w:tcW w:w="2151" w:type="dxa"/>
                  <w:vAlign w:val="center"/>
                </w:tcPr>
                <w:p>
                  <w:pPr>
                    <w:pStyle w:val="28"/>
                    <w:rPr>
                      <w:rFonts w:hint="default"/>
                      <w:lang w:val="en-US" w:eastAsia="zh-CN"/>
                    </w:rPr>
                  </w:pPr>
                  <w:r>
                    <w:rPr>
                      <w:rFonts w:hint="eastAsia"/>
                      <w:lang w:val="en-US" w:eastAsia="zh-CN"/>
                    </w:rPr>
                    <w:t>台</w:t>
                  </w:r>
                </w:p>
              </w:tc>
              <w:tc>
                <w:tcPr>
                  <w:tcW w:w="2151" w:type="dxa"/>
                  <w:vAlign w:val="center"/>
                </w:tcPr>
                <w:p>
                  <w:pPr>
                    <w:pStyle w:val="28"/>
                    <w:rPr>
                      <w:rFonts w:hint="default"/>
                      <w:lang w:val="en-US" w:eastAsia="zh-CN"/>
                    </w:rPr>
                  </w:pPr>
                  <w:r>
                    <w:rPr>
                      <w:rFonts w:hint="eastAsia"/>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rPr>
                      <w:rFonts w:hint="eastAsia"/>
                      <w:lang w:val="en-US" w:eastAsia="zh-CN"/>
                    </w:rPr>
                  </w:pPr>
                </w:p>
              </w:tc>
              <w:tc>
                <w:tcPr>
                  <w:tcW w:w="2881" w:type="dxa"/>
                  <w:vAlign w:val="center"/>
                </w:tcPr>
                <w:p>
                  <w:pPr>
                    <w:pStyle w:val="28"/>
                    <w:rPr>
                      <w:rFonts w:hint="default"/>
                      <w:lang w:val="en-US" w:eastAsia="zh-CN"/>
                    </w:rPr>
                  </w:pPr>
                  <w:r>
                    <w:rPr>
                      <w:rFonts w:hint="eastAsia"/>
                      <w:lang w:val="en-US" w:eastAsia="zh-CN"/>
                    </w:rPr>
                    <w:t>额定容量</w:t>
                  </w:r>
                </w:p>
              </w:tc>
              <w:tc>
                <w:tcPr>
                  <w:tcW w:w="2151" w:type="dxa"/>
                  <w:vAlign w:val="center"/>
                </w:tcPr>
                <w:p>
                  <w:pPr>
                    <w:pStyle w:val="28"/>
                    <w:rPr>
                      <w:rFonts w:hint="default"/>
                      <w:lang w:val="en-US" w:eastAsia="zh-CN"/>
                    </w:rPr>
                  </w:pPr>
                  <w:r>
                    <w:rPr>
                      <w:rFonts w:hint="eastAsia"/>
                      <w:lang w:val="en-US" w:eastAsia="zh-CN"/>
                    </w:rPr>
                    <w:t>kVA</w:t>
                  </w:r>
                </w:p>
              </w:tc>
              <w:tc>
                <w:tcPr>
                  <w:tcW w:w="2151" w:type="dxa"/>
                  <w:vAlign w:val="center"/>
                </w:tcPr>
                <w:p>
                  <w:pPr>
                    <w:pStyle w:val="28"/>
                    <w:rPr>
                      <w:rFonts w:hint="default"/>
                      <w:lang w:val="en-US" w:eastAsia="zh-CN"/>
                    </w:rPr>
                  </w:pPr>
                  <w:r>
                    <w:rPr>
                      <w:rFonts w:hint="eastAsia"/>
                      <w:lang w:val="en-US" w:eastAsia="zh-CN"/>
                    </w:rPr>
                    <w:t>3200/2600/2000/1600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rPr>
                      <w:rFonts w:hint="eastAsia"/>
                      <w:lang w:val="en-US" w:eastAsia="zh-CN"/>
                    </w:rPr>
                  </w:pPr>
                </w:p>
              </w:tc>
              <w:tc>
                <w:tcPr>
                  <w:tcW w:w="2881" w:type="dxa"/>
                  <w:vAlign w:val="center"/>
                </w:tcPr>
                <w:p>
                  <w:pPr>
                    <w:pStyle w:val="28"/>
                    <w:rPr>
                      <w:rFonts w:hint="default"/>
                      <w:lang w:val="en-US" w:eastAsia="zh-CN"/>
                    </w:rPr>
                  </w:pPr>
                  <w:r>
                    <w:rPr>
                      <w:rFonts w:hint="eastAsia"/>
                      <w:lang w:val="en-US" w:eastAsia="zh-CN"/>
                    </w:rPr>
                    <w:t>额定电压</w:t>
                  </w:r>
                </w:p>
              </w:tc>
              <w:tc>
                <w:tcPr>
                  <w:tcW w:w="2151" w:type="dxa"/>
                  <w:vAlign w:val="center"/>
                </w:tcPr>
                <w:p>
                  <w:pPr>
                    <w:pStyle w:val="28"/>
                    <w:rPr>
                      <w:rFonts w:hint="default"/>
                      <w:lang w:val="en-US" w:eastAsia="zh-CN"/>
                    </w:rPr>
                  </w:pPr>
                  <w:r>
                    <w:rPr>
                      <w:rFonts w:hint="eastAsia"/>
                      <w:lang w:val="en-US" w:eastAsia="zh-CN"/>
                    </w:rPr>
                    <w:t>kV</w:t>
                  </w:r>
                </w:p>
              </w:tc>
              <w:tc>
                <w:tcPr>
                  <w:tcW w:w="2151" w:type="dxa"/>
                  <w:vAlign w:val="center"/>
                </w:tcPr>
                <w:p>
                  <w:pPr>
                    <w:pStyle w:val="28"/>
                    <w:rPr>
                      <w:rFonts w:hint="default"/>
                      <w:lang w:val="en-US" w:eastAsia="zh-CN"/>
                    </w:rPr>
                  </w:pPr>
                  <w:r>
                    <w:rPr>
                      <w:rFonts w:hint="eastAsia"/>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rPr>
                      <w:rFonts w:hint="eastAsia"/>
                      <w:lang w:val="en-US" w:eastAsia="zh-CN"/>
                    </w:rPr>
                  </w:pPr>
                </w:p>
              </w:tc>
              <w:tc>
                <w:tcPr>
                  <w:tcW w:w="2881" w:type="dxa"/>
                  <w:vAlign w:val="center"/>
                </w:tcPr>
                <w:p>
                  <w:pPr>
                    <w:pStyle w:val="28"/>
                    <w:rPr>
                      <w:rFonts w:hint="default"/>
                      <w:lang w:val="en-US" w:eastAsia="zh-CN"/>
                    </w:rPr>
                  </w:pPr>
                  <w:r>
                    <w:rPr>
                      <w:rFonts w:hint="eastAsia"/>
                      <w:lang w:val="en-US" w:eastAsia="zh-CN"/>
                    </w:rPr>
                    <w:t>相数</w:t>
                  </w:r>
                </w:p>
              </w:tc>
              <w:tc>
                <w:tcPr>
                  <w:tcW w:w="2151" w:type="dxa"/>
                  <w:vAlign w:val="center"/>
                </w:tcPr>
                <w:p>
                  <w:pPr>
                    <w:pStyle w:val="28"/>
                    <w:rPr>
                      <w:rFonts w:hint="default"/>
                      <w:lang w:val="en-US" w:eastAsia="zh-CN"/>
                    </w:rPr>
                  </w:pPr>
                  <w:r>
                    <w:rPr>
                      <w:rFonts w:hint="eastAsia"/>
                      <w:lang w:val="en-US" w:eastAsia="zh-CN"/>
                    </w:rPr>
                    <w:t>/</w:t>
                  </w:r>
                </w:p>
              </w:tc>
              <w:tc>
                <w:tcPr>
                  <w:tcW w:w="2151" w:type="dxa"/>
                  <w:vAlign w:val="center"/>
                </w:tcPr>
                <w:p>
                  <w:pPr>
                    <w:pStyle w:val="28"/>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rPr>
                      <w:rFonts w:hint="eastAsia"/>
                      <w:lang w:val="en-US" w:eastAsia="zh-CN"/>
                    </w:rPr>
                  </w:pPr>
                </w:p>
              </w:tc>
              <w:tc>
                <w:tcPr>
                  <w:tcW w:w="2881" w:type="dxa"/>
                  <w:vAlign w:val="center"/>
                </w:tcPr>
                <w:p>
                  <w:pPr>
                    <w:pStyle w:val="28"/>
                    <w:rPr>
                      <w:rFonts w:hint="default"/>
                      <w:lang w:val="en-US" w:eastAsia="zh-CN"/>
                    </w:rPr>
                  </w:pPr>
                  <w:r>
                    <w:rPr>
                      <w:rFonts w:hint="eastAsia"/>
                      <w:lang w:val="en-US" w:eastAsia="zh-CN"/>
                    </w:rPr>
                    <w:t>变比</w:t>
                  </w:r>
                </w:p>
              </w:tc>
              <w:tc>
                <w:tcPr>
                  <w:tcW w:w="2151" w:type="dxa"/>
                  <w:vAlign w:val="center"/>
                </w:tcPr>
                <w:p>
                  <w:pPr>
                    <w:pStyle w:val="28"/>
                    <w:rPr>
                      <w:rFonts w:hint="default"/>
                      <w:lang w:val="en-US" w:eastAsia="zh-CN"/>
                    </w:rPr>
                  </w:pPr>
                  <w:r>
                    <w:rPr>
                      <w:rFonts w:hint="eastAsia"/>
                      <w:lang w:val="en-US" w:eastAsia="zh-CN"/>
                    </w:rPr>
                    <w:t>kV</w:t>
                  </w:r>
                </w:p>
              </w:tc>
              <w:tc>
                <w:tcPr>
                  <w:tcW w:w="2151" w:type="dxa"/>
                  <w:vAlign w:val="center"/>
                </w:tcPr>
                <w:p>
                  <w:pPr>
                    <w:pStyle w:val="28"/>
                    <w:rPr>
                      <w:rFonts w:hint="default"/>
                      <w:lang w:val="en-US" w:eastAsia="zh-CN"/>
                    </w:rPr>
                  </w:pPr>
                  <w:r>
                    <w:rPr>
                      <w:rFonts w:hint="eastAsia"/>
                      <w:lang w:val="en-US" w:eastAsia="zh-CN"/>
                    </w:rPr>
                    <w:t>37±2×2.5%/0.8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vAlign w:val="center"/>
                </w:tcPr>
                <w:p>
                  <w:pPr>
                    <w:pStyle w:val="28"/>
                    <w:rPr>
                      <w:rFonts w:hint="eastAsia"/>
                      <w:lang w:val="en-US" w:eastAsia="zh-CN"/>
                    </w:rPr>
                  </w:pPr>
                </w:p>
              </w:tc>
              <w:tc>
                <w:tcPr>
                  <w:tcW w:w="2881" w:type="dxa"/>
                  <w:vAlign w:val="center"/>
                </w:tcPr>
                <w:p>
                  <w:pPr>
                    <w:pStyle w:val="28"/>
                    <w:rPr>
                      <w:rFonts w:hint="default"/>
                      <w:lang w:val="en-US" w:eastAsia="zh-CN"/>
                    </w:rPr>
                  </w:pPr>
                  <w:r>
                    <w:rPr>
                      <w:rFonts w:hint="eastAsia"/>
                      <w:lang w:val="en-US" w:eastAsia="zh-CN"/>
                    </w:rPr>
                    <w:t>频率</w:t>
                  </w:r>
                </w:p>
              </w:tc>
              <w:tc>
                <w:tcPr>
                  <w:tcW w:w="2151" w:type="dxa"/>
                  <w:vAlign w:val="center"/>
                </w:tcPr>
                <w:p>
                  <w:pPr>
                    <w:pStyle w:val="28"/>
                    <w:rPr>
                      <w:rFonts w:hint="default"/>
                      <w:lang w:val="en-US" w:eastAsia="zh-CN"/>
                    </w:rPr>
                  </w:pPr>
                  <w:r>
                    <w:rPr>
                      <w:rFonts w:hint="eastAsia"/>
                      <w:lang w:val="en-US" w:eastAsia="zh-CN"/>
                    </w:rPr>
                    <w:t>Hz</w:t>
                  </w:r>
                </w:p>
              </w:tc>
              <w:tc>
                <w:tcPr>
                  <w:tcW w:w="2151" w:type="dxa"/>
                  <w:vAlign w:val="center"/>
                </w:tcPr>
                <w:p>
                  <w:pPr>
                    <w:pStyle w:val="28"/>
                    <w:rPr>
                      <w:rFonts w:hint="default"/>
                      <w:lang w:val="en-US" w:eastAsia="zh-CN"/>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2" w:type="dxa"/>
                  <w:gridSpan w:val="4"/>
                  <w:vAlign w:val="center"/>
                </w:tcPr>
                <w:p>
                  <w:pPr>
                    <w:pStyle w:val="28"/>
                  </w:pPr>
                  <w:r>
                    <w:rPr>
                      <w:rFonts w:hint="eastAsia"/>
                    </w:rPr>
                    <w:t>发电量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pStyle w:val="28"/>
                  </w:pPr>
                  <w:r>
                    <w:rPr>
                      <w:rFonts w:hint="eastAsia"/>
                    </w:rPr>
                    <w:t>1</w:t>
                  </w:r>
                </w:p>
              </w:tc>
              <w:tc>
                <w:tcPr>
                  <w:tcW w:w="2881" w:type="dxa"/>
                  <w:vAlign w:val="center"/>
                </w:tcPr>
                <w:p>
                  <w:pPr>
                    <w:pStyle w:val="28"/>
                  </w:pPr>
                  <w:r>
                    <w:rPr>
                      <w:rFonts w:hint="eastAsia"/>
                    </w:rPr>
                    <w:t>平均每年发电量</w:t>
                  </w:r>
                </w:p>
              </w:tc>
              <w:tc>
                <w:tcPr>
                  <w:tcW w:w="2151" w:type="dxa"/>
                  <w:vAlign w:val="center"/>
                </w:tcPr>
                <w:p>
                  <w:pPr>
                    <w:pStyle w:val="28"/>
                  </w:pPr>
                  <w:r>
                    <w:rPr>
                      <w:rFonts w:hint="eastAsia"/>
                    </w:rPr>
                    <w:t>万kW·h</w:t>
                  </w:r>
                </w:p>
              </w:tc>
              <w:tc>
                <w:tcPr>
                  <w:tcW w:w="2151" w:type="dxa"/>
                  <w:vAlign w:val="center"/>
                </w:tcPr>
                <w:p>
                  <w:pPr>
                    <w:pStyle w:val="28"/>
                  </w:pPr>
                  <w:r>
                    <w:rPr>
                      <w:rFonts w:hint="eastAsia"/>
                    </w:rPr>
                    <w:t>6392.4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pStyle w:val="28"/>
                  </w:pPr>
                  <w:r>
                    <w:rPr>
                      <w:rFonts w:hint="eastAsia"/>
                    </w:rPr>
                    <w:t>2</w:t>
                  </w:r>
                </w:p>
              </w:tc>
              <w:tc>
                <w:tcPr>
                  <w:tcW w:w="2881" w:type="dxa"/>
                  <w:vAlign w:val="center"/>
                </w:tcPr>
                <w:p>
                  <w:pPr>
                    <w:pStyle w:val="28"/>
                  </w:pPr>
                  <w:r>
                    <w:rPr>
                      <w:rFonts w:hint="eastAsia"/>
                    </w:rPr>
                    <w:t>平均年等效满负荷运行时间</w:t>
                  </w:r>
                </w:p>
              </w:tc>
              <w:tc>
                <w:tcPr>
                  <w:tcW w:w="2151" w:type="dxa"/>
                  <w:vAlign w:val="center"/>
                </w:tcPr>
                <w:p>
                  <w:pPr>
                    <w:pStyle w:val="28"/>
                  </w:pPr>
                  <w:r>
                    <w:rPr>
                      <w:rFonts w:hint="eastAsia"/>
                    </w:rPr>
                    <w:t>h</w:t>
                  </w:r>
                </w:p>
              </w:tc>
              <w:tc>
                <w:tcPr>
                  <w:tcW w:w="2151" w:type="dxa"/>
                  <w:vAlign w:val="center"/>
                </w:tcPr>
                <w:p>
                  <w:pPr>
                    <w:pStyle w:val="28"/>
                  </w:pPr>
                  <w:r>
                    <w:rPr>
                      <w:rFonts w:hint="eastAsia"/>
                    </w:rPr>
                    <w:t>949.24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2" w:type="dxa"/>
                  <w:gridSpan w:val="4"/>
                  <w:vAlign w:val="center"/>
                </w:tcPr>
                <w:p>
                  <w:pPr>
                    <w:pStyle w:val="28"/>
                  </w:pPr>
                  <w:r>
                    <w:rPr>
                      <w:rFonts w:hint="eastAsia"/>
                    </w:rPr>
                    <w:t>巡检、维护人员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pStyle w:val="28"/>
                  </w:pPr>
                  <w:r>
                    <w:rPr>
                      <w:rFonts w:hint="eastAsia"/>
                    </w:rPr>
                    <w:t>1</w:t>
                  </w:r>
                </w:p>
              </w:tc>
              <w:tc>
                <w:tcPr>
                  <w:tcW w:w="2881" w:type="dxa"/>
                  <w:vAlign w:val="center"/>
                </w:tcPr>
                <w:p>
                  <w:pPr>
                    <w:pStyle w:val="28"/>
                  </w:pPr>
                  <w:r>
                    <w:rPr>
                      <w:rFonts w:hint="eastAsia"/>
                    </w:rPr>
                    <w:t>人数</w:t>
                  </w:r>
                </w:p>
              </w:tc>
              <w:tc>
                <w:tcPr>
                  <w:tcW w:w="2151" w:type="dxa"/>
                  <w:vAlign w:val="center"/>
                </w:tcPr>
                <w:p>
                  <w:pPr>
                    <w:pStyle w:val="28"/>
                  </w:pPr>
                  <w:r>
                    <w:rPr>
                      <w:rFonts w:hint="eastAsia"/>
                    </w:rPr>
                    <w:t>人</w:t>
                  </w:r>
                </w:p>
              </w:tc>
              <w:tc>
                <w:tcPr>
                  <w:tcW w:w="2151" w:type="dxa"/>
                  <w:vAlign w:val="center"/>
                </w:tcPr>
                <w:p>
                  <w:pPr>
                    <w:pStyle w:val="28"/>
                  </w:pPr>
                  <w:r>
                    <w:rPr>
                      <w:rFonts w:hint="eastAsia"/>
                    </w:rPr>
                    <w:t>6</w:t>
                  </w:r>
                </w:p>
              </w:tc>
            </w:tr>
          </w:tbl>
          <w:p>
            <w:pPr>
              <w:pStyle w:val="29"/>
              <w:ind w:firstLine="482"/>
              <w:rPr>
                <w:b/>
                <w:bCs/>
              </w:rPr>
            </w:pPr>
            <w:r>
              <w:rPr>
                <w:rFonts w:hint="eastAsia"/>
                <w:b/>
                <w:bCs/>
              </w:rPr>
              <w:t>2.1.5 太阳能资源概况</w:t>
            </w:r>
          </w:p>
          <w:p>
            <w:pPr>
              <w:pStyle w:val="29"/>
              <w:ind w:firstLine="480"/>
            </w:pPr>
            <w:r>
              <w:t>重庆市奉节县属中亚热带湿润季风气候，春早、夏热、秋凉、冬暖，四季分明，无霜期长，雨量充沛，日照时间长。垂直气候明显，年均气温海拔低于600米的地区为16.4℃，600</w:t>
            </w:r>
            <w:r>
              <w:rPr>
                <w:rFonts w:hint="eastAsia"/>
              </w:rPr>
              <w:t>~</w:t>
            </w:r>
            <w:r>
              <w:t>1000米的地区为16.4℃</w:t>
            </w:r>
            <w:r>
              <w:rPr>
                <w:rFonts w:hint="eastAsia"/>
              </w:rPr>
              <w:t>~</w:t>
            </w:r>
            <w:r>
              <w:t>13.7℃，1000</w:t>
            </w:r>
            <w:r>
              <w:rPr>
                <w:rFonts w:hint="eastAsia"/>
              </w:rPr>
              <w:t>~</w:t>
            </w:r>
            <w:r>
              <w:t>1400米的地区为13.7℃</w:t>
            </w:r>
            <w:r>
              <w:rPr>
                <w:rFonts w:hint="eastAsia"/>
              </w:rPr>
              <w:t>~</w:t>
            </w:r>
            <w:r>
              <w:t>10.8℃，高于1400米的地区，低于10.8℃。极端最高气温为39.8℃，极端最低气温为-9.2℃。无霜期年均287天，年平均降水量1132毫米，常年日照时数为1639小时。</w:t>
            </w:r>
          </w:p>
          <w:p>
            <w:pPr>
              <w:pStyle w:val="29"/>
              <w:ind w:firstLine="480"/>
            </w:pPr>
            <w:r>
              <w:t>本项目所在地为奉节县，奉节县位于重庆市太阳能资源较为丰富的区域，根据Solargis数据可知，项目所在区域水平面总辐射量为4204.8MJ/m</w:t>
            </w:r>
            <w:r>
              <w:rPr>
                <w:vertAlign w:val="superscript"/>
              </w:rPr>
              <w:t>2</w:t>
            </w:r>
            <w:r>
              <w:t>。根据GB/T37526-2019《太阳能资源评估方法》，本工程所在区域地区水平面总辐射量等级属于太阳能资源“丰富”区（等级为C类），初步判断可以进行大型太阳能光伏电站建设。</w:t>
            </w:r>
          </w:p>
          <w:p>
            <w:pPr>
              <w:pStyle w:val="29"/>
              <w:ind w:firstLine="0" w:firstLineChars="0"/>
              <w:jc w:val="center"/>
            </w:pPr>
            <w:r>
              <w:rPr>
                <w:rFonts w:hint="eastAsia"/>
              </w:rPr>
              <w:t>表2-3  总辐射、直接辐射和散射辐射年变化</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576"/>
              <w:gridCol w:w="2576"/>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月份</w:t>
                  </w:r>
                </w:p>
              </w:tc>
              <w:tc>
                <w:tcPr>
                  <w:tcW w:w="2589" w:type="dxa"/>
                  <w:vAlign w:val="center"/>
                </w:tcPr>
                <w:p>
                  <w:pPr>
                    <w:pStyle w:val="28"/>
                  </w:pPr>
                  <w:r>
                    <w:rPr>
                      <w:rFonts w:hint="eastAsia"/>
                    </w:rPr>
                    <w:t>总辐射（MJ/m</w:t>
                  </w:r>
                  <w:r>
                    <w:rPr>
                      <w:rFonts w:hint="eastAsia"/>
                      <w:vertAlign w:val="superscript"/>
                    </w:rPr>
                    <w:t>2</w:t>
                  </w:r>
                  <w:r>
                    <w:rPr>
                      <w:rFonts w:hint="eastAsia"/>
                    </w:rPr>
                    <w:t>）</w:t>
                  </w:r>
                </w:p>
              </w:tc>
              <w:tc>
                <w:tcPr>
                  <w:tcW w:w="2589" w:type="dxa"/>
                  <w:vAlign w:val="center"/>
                </w:tcPr>
                <w:p>
                  <w:pPr>
                    <w:pStyle w:val="28"/>
                  </w:pPr>
                  <w:r>
                    <w:rPr>
                      <w:rFonts w:hint="eastAsia"/>
                    </w:rPr>
                    <w:t>散射辐射（MJ/m</w:t>
                  </w:r>
                  <w:r>
                    <w:rPr>
                      <w:rFonts w:hint="eastAsia"/>
                      <w:vertAlign w:val="superscript"/>
                    </w:rPr>
                    <w:t>2</w:t>
                  </w:r>
                  <w:r>
                    <w:rPr>
                      <w:rFonts w:hint="eastAsia"/>
                    </w:rPr>
                    <w:t>）</w:t>
                  </w:r>
                </w:p>
              </w:tc>
              <w:tc>
                <w:tcPr>
                  <w:tcW w:w="2590" w:type="dxa"/>
                  <w:vAlign w:val="center"/>
                </w:tcPr>
                <w:p>
                  <w:pPr>
                    <w:pStyle w:val="28"/>
                  </w:pPr>
                  <w:r>
                    <w:rPr>
                      <w:rFonts w:hint="eastAsia"/>
                    </w:rPr>
                    <w:t>直接辐射（MJ/m</w:t>
                  </w:r>
                  <w:r>
                    <w:rPr>
                      <w:rFonts w:hint="eastAsia"/>
                      <w:vertAlign w:val="superscript"/>
                    </w:rP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1</w:t>
                  </w:r>
                </w:p>
              </w:tc>
              <w:tc>
                <w:tcPr>
                  <w:tcW w:w="2589" w:type="dxa"/>
                  <w:vAlign w:val="center"/>
                </w:tcPr>
                <w:p>
                  <w:pPr>
                    <w:pStyle w:val="28"/>
                  </w:pPr>
                  <w:r>
                    <w:rPr>
                      <w:rFonts w:hint="eastAsia"/>
                    </w:rPr>
                    <w:t>190.4</w:t>
                  </w:r>
                </w:p>
              </w:tc>
              <w:tc>
                <w:tcPr>
                  <w:tcW w:w="2589" w:type="dxa"/>
                  <w:vAlign w:val="center"/>
                </w:tcPr>
                <w:p>
                  <w:pPr>
                    <w:pStyle w:val="28"/>
                  </w:pPr>
                  <w:r>
                    <w:rPr>
                      <w:rFonts w:hint="eastAsia"/>
                    </w:rPr>
                    <w:t>134.6</w:t>
                  </w:r>
                </w:p>
              </w:tc>
              <w:tc>
                <w:tcPr>
                  <w:tcW w:w="2590" w:type="dxa"/>
                  <w:vAlign w:val="center"/>
                </w:tcPr>
                <w:p>
                  <w:pPr>
                    <w:pStyle w:val="28"/>
                  </w:pPr>
                  <w:r>
                    <w:rPr>
                      <w:rFonts w:hint="eastAsia"/>
                    </w:rPr>
                    <w:t>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2</w:t>
                  </w:r>
                </w:p>
              </w:tc>
              <w:tc>
                <w:tcPr>
                  <w:tcW w:w="2589" w:type="dxa"/>
                  <w:vAlign w:val="center"/>
                </w:tcPr>
                <w:p>
                  <w:pPr>
                    <w:pStyle w:val="28"/>
                  </w:pPr>
                  <w:r>
                    <w:rPr>
                      <w:rFonts w:hint="eastAsia"/>
                    </w:rPr>
                    <w:t>215.3</w:t>
                  </w:r>
                </w:p>
              </w:tc>
              <w:tc>
                <w:tcPr>
                  <w:tcW w:w="2589" w:type="dxa"/>
                  <w:vAlign w:val="center"/>
                </w:tcPr>
                <w:p>
                  <w:pPr>
                    <w:pStyle w:val="28"/>
                  </w:pPr>
                  <w:r>
                    <w:rPr>
                      <w:rFonts w:hint="eastAsia"/>
                    </w:rPr>
                    <w:t>155.5</w:t>
                  </w:r>
                </w:p>
              </w:tc>
              <w:tc>
                <w:tcPr>
                  <w:tcW w:w="2590" w:type="dxa"/>
                  <w:vAlign w:val="center"/>
                </w:tcPr>
                <w:p>
                  <w:pPr>
                    <w:pStyle w:val="28"/>
                  </w:pPr>
                  <w:r>
                    <w:rPr>
                      <w:rFonts w:hint="eastAsia"/>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3</w:t>
                  </w:r>
                </w:p>
              </w:tc>
              <w:tc>
                <w:tcPr>
                  <w:tcW w:w="2589" w:type="dxa"/>
                  <w:vAlign w:val="center"/>
                </w:tcPr>
                <w:p>
                  <w:pPr>
                    <w:pStyle w:val="28"/>
                  </w:pPr>
                  <w:r>
                    <w:rPr>
                      <w:rFonts w:hint="eastAsia"/>
                    </w:rPr>
                    <w:t>325.8</w:t>
                  </w:r>
                </w:p>
              </w:tc>
              <w:tc>
                <w:tcPr>
                  <w:tcW w:w="2589" w:type="dxa"/>
                  <w:vAlign w:val="center"/>
                </w:tcPr>
                <w:p>
                  <w:pPr>
                    <w:pStyle w:val="28"/>
                  </w:pPr>
                  <w:r>
                    <w:rPr>
                      <w:rFonts w:hint="eastAsia"/>
                    </w:rPr>
                    <w:t>221.4</w:t>
                  </w:r>
                </w:p>
              </w:tc>
              <w:tc>
                <w:tcPr>
                  <w:tcW w:w="2590" w:type="dxa"/>
                  <w:vAlign w:val="center"/>
                </w:tcPr>
                <w:p>
                  <w:pPr>
                    <w:pStyle w:val="28"/>
                  </w:pPr>
                  <w:r>
                    <w:rPr>
                      <w:rFonts w:hint="eastAsia"/>
                    </w:rPr>
                    <w:t>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4</w:t>
                  </w:r>
                </w:p>
              </w:tc>
              <w:tc>
                <w:tcPr>
                  <w:tcW w:w="2589" w:type="dxa"/>
                  <w:vAlign w:val="center"/>
                </w:tcPr>
                <w:p>
                  <w:pPr>
                    <w:pStyle w:val="28"/>
                  </w:pPr>
                  <w:r>
                    <w:rPr>
                      <w:rFonts w:hint="eastAsia"/>
                    </w:rPr>
                    <w:t>391.0</w:t>
                  </w:r>
                </w:p>
              </w:tc>
              <w:tc>
                <w:tcPr>
                  <w:tcW w:w="2589" w:type="dxa"/>
                  <w:vAlign w:val="center"/>
                </w:tcPr>
                <w:p>
                  <w:pPr>
                    <w:pStyle w:val="28"/>
                  </w:pPr>
                  <w:r>
                    <w:rPr>
                      <w:rFonts w:hint="eastAsia"/>
                    </w:rPr>
                    <w:t>257.0</w:t>
                  </w:r>
                </w:p>
              </w:tc>
              <w:tc>
                <w:tcPr>
                  <w:tcW w:w="2590" w:type="dxa"/>
                  <w:vAlign w:val="center"/>
                </w:tcPr>
                <w:p>
                  <w:pPr>
                    <w:pStyle w:val="28"/>
                  </w:pPr>
                  <w:r>
                    <w:rPr>
                      <w:rFonts w:hint="eastAsia"/>
                    </w:rPr>
                    <w:t>133.9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5</w:t>
                  </w:r>
                </w:p>
              </w:tc>
              <w:tc>
                <w:tcPr>
                  <w:tcW w:w="2589" w:type="dxa"/>
                  <w:vAlign w:val="center"/>
                </w:tcPr>
                <w:p>
                  <w:pPr>
                    <w:pStyle w:val="28"/>
                  </w:pPr>
                  <w:r>
                    <w:rPr>
                      <w:rFonts w:hint="eastAsia"/>
                    </w:rPr>
                    <w:t>432.7</w:t>
                  </w:r>
                </w:p>
              </w:tc>
              <w:tc>
                <w:tcPr>
                  <w:tcW w:w="2589" w:type="dxa"/>
                  <w:vAlign w:val="center"/>
                </w:tcPr>
                <w:p>
                  <w:pPr>
                    <w:pStyle w:val="28"/>
                  </w:pPr>
                  <w:r>
                    <w:rPr>
                      <w:rFonts w:hint="eastAsia"/>
                    </w:rPr>
                    <w:t>277.2</w:t>
                  </w:r>
                </w:p>
              </w:tc>
              <w:tc>
                <w:tcPr>
                  <w:tcW w:w="2590" w:type="dxa"/>
                  <w:vAlign w:val="center"/>
                </w:tcPr>
                <w:p>
                  <w:pPr>
                    <w:pStyle w:val="28"/>
                  </w:pPr>
                  <w:r>
                    <w:rPr>
                      <w:rFonts w:hint="eastAsia"/>
                    </w:rPr>
                    <w:t>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6</w:t>
                  </w:r>
                </w:p>
              </w:tc>
              <w:tc>
                <w:tcPr>
                  <w:tcW w:w="2589" w:type="dxa"/>
                  <w:vAlign w:val="center"/>
                </w:tcPr>
                <w:p>
                  <w:pPr>
                    <w:pStyle w:val="28"/>
                  </w:pPr>
                  <w:r>
                    <w:rPr>
                      <w:rFonts w:hint="eastAsia"/>
                    </w:rPr>
                    <w:t>443.9</w:t>
                  </w:r>
                </w:p>
              </w:tc>
              <w:tc>
                <w:tcPr>
                  <w:tcW w:w="2589" w:type="dxa"/>
                  <w:vAlign w:val="center"/>
                </w:tcPr>
                <w:p>
                  <w:pPr>
                    <w:pStyle w:val="28"/>
                  </w:pPr>
                  <w:r>
                    <w:rPr>
                      <w:rFonts w:hint="eastAsia"/>
                    </w:rPr>
                    <w:t>282.2</w:t>
                  </w:r>
                </w:p>
              </w:tc>
              <w:tc>
                <w:tcPr>
                  <w:tcW w:w="2590" w:type="dxa"/>
                  <w:vAlign w:val="center"/>
                </w:tcPr>
                <w:p>
                  <w:pPr>
                    <w:pStyle w:val="28"/>
                  </w:pPr>
                  <w:r>
                    <w:rPr>
                      <w:rFonts w:hint="eastAsia"/>
                    </w:rPr>
                    <w:t>161.6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7</w:t>
                  </w:r>
                </w:p>
              </w:tc>
              <w:tc>
                <w:tcPr>
                  <w:tcW w:w="2589" w:type="dxa"/>
                  <w:vAlign w:val="center"/>
                </w:tcPr>
                <w:p>
                  <w:pPr>
                    <w:pStyle w:val="28"/>
                  </w:pPr>
                  <w:r>
                    <w:rPr>
                      <w:rFonts w:hint="eastAsia"/>
                    </w:rPr>
                    <w:t>550.8</w:t>
                  </w:r>
                </w:p>
              </w:tc>
              <w:tc>
                <w:tcPr>
                  <w:tcW w:w="2589" w:type="dxa"/>
                  <w:vAlign w:val="center"/>
                </w:tcPr>
                <w:p>
                  <w:pPr>
                    <w:pStyle w:val="28"/>
                  </w:pPr>
                  <w:r>
                    <w:rPr>
                      <w:rFonts w:hint="eastAsia"/>
                    </w:rPr>
                    <w:t>307.8</w:t>
                  </w:r>
                </w:p>
              </w:tc>
              <w:tc>
                <w:tcPr>
                  <w:tcW w:w="2590" w:type="dxa"/>
                  <w:vAlign w:val="center"/>
                </w:tcPr>
                <w:p>
                  <w:pPr>
                    <w:pStyle w:val="28"/>
                  </w:pPr>
                  <w:r>
                    <w:rPr>
                      <w:rFonts w:hint="eastAsia"/>
                    </w:rPr>
                    <w:t>243.0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8</w:t>
                  </w:r>
                </w:p>
              </w:tc>
              <w:tc>
                <w:tcPr>
                  <w:tcW w:w="2589" w:type="dxa"/>
                  <w:vAlign w:val="center"/>
                </w:tcPr>
                <w:p>
                  <w:pPr>
                    <w:pStyle w:val="28"/>
                  </w:pPr>
                  <w:r>
                    <w:rPr>
                      <w:rFonts w:hint="eastAsia"/>
                    </w:rPr>
                    <w:t>560.5</w:t>
                  </w:r>
                </w:p>
              </w:tc>
              <w:tc>
                <w:tcPr>
                  <w:tcW w:w="2589" w:type="dxa"/>
                  <w:vAlign w:val="center"/>
                </w:tcPr>
                <w:p>
                  <w:pPr>
                    <w:pStyle w:val="28"/>
                  </w:pPr>
                  <w:r>
                    <w:rPr>
                      <w:rFonts w:hint="eastAsia"/>
                    </w:rPr>
                    <w:t>298.4</w:t>
                  </w:r>
                </w:p>
              </w:tc>
              <w:tc>
                <w:tcPr>
                  <w:tcW w:w="2590" w:type="dxa"/>
                  <w:vAlign w:val="center"/>
                </w:tcPr>
                <w:p>
                  <w:pPr>
                    <w:pStyle w:val="28"/>
                  </w:pPr>
                  <w:r>
                    <w:rPr>
                      <w:rFonts w:hint="eastAsia"/>
                    </w:rPr>
                    <w:t>262.1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9</w:t>
                  </w:r>
                </w:p>
              </w:tc>
              <w:tc>
                <w:tcPr>
                  <w:tcW w:w="2589" w:type="dxa"/>
                  <w:vAlign w:val="center"/>
                </w:tcPr>
                <w:p>
                  <w:pPr>
                    <w:pStyle w:val="28"/>
                  </w:pPr>
                  <w:r>
                    <w:rPr>
                      <w:rFonts w:hint="eastAsia"/>
                    </w:rPr>
                    <w:t>374.4</w:t>
                  </w:r>
                </w:p>
              </w:tc>
              <w:tc>
                <w:tcPr>
                  <w:tcW w:w="2589" w:type="dxa"/>
                  <w:vAlign w:val="center"/>
                </w:tcPr>
                <w:p>
                  <w:pPr>
                    <w:pStyle w:val="28"/>
                  </w:pPr>
                  <w:r>
                    <w:rPr>
                      <w:rFonts w:hint="eastAsia"/>
                    </w:rPr>
                    <w:t>225.4</w:t>
                  </w:r>
                </w:p>
              </w:tc>
              <w:tc>
                <w:tcPr>
                  <w:tcW w:w="2590" w:type="dxa"/>
                  <w:vAlign w:val="center"/>
                </w:tcPr>
                <w:p>
                  <w:pPr>
                    <w:pStyle w:val="28"/>
                  </w:pPr>
                  <w:r>
                    <w:rPr>
                      <w:rFonts w:hint="eastAsia"/>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10</w:t>
                  </w:r>
                </w:p>
              </w:tc>
              <w:tc>
                <w:tcPr>
                  <w:tcW w:w="2589" w:type="dxa"/>
                  <w:vAlign w:val="center"/>
                </w:tcPr>
                <w:p>
                  <w:pPr>
                    <w:pStyle w:val="28"/>
                  </w:pPr>
                  <w:r>
                    <w:rPr>
                      <w:rFonts w:hint="eastAsia"/>
                    </w:rPr>
                    <w:t>298.1</w:t>
                  </w:r>
                </w:p>
              </w:tc>
              <w:tc>
                <w:tcPr>
                  <w:tcW w:w="2589" w:type="dxa"/>
                  <w:vAlign w:val="center"/>
                </w:tcPr>
                <w:p>
                  <w:pPr>
                    <w:pStyle w:val="28"/>
                  </w:pPr>
                  <w:r>
                    <w:rPr>
                      <w:rFonts w:hint="eastAsia"/>
                    </w:rPr>
                    <w:t>182.2</w:t>
                  </w:r>
                </w:p>
              </w:tc>
              <w:tc>
                <w:tcPr>
                  <w:tcW w:w="2590" w:type="dxa"/>
                  <w:vAlign w:val="center"/>
                </w:tcPr>
                <w:p>
                  <w:pPr>
                    <w:pStyle w:val="28"/>
                  </w:pPr>
                  <w:r>
                    <w:rPr>
                      <w:rFonts w:hint="eastAsia"/>
                    </w:rPr>
                    <w:t>115.9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11</w:t>
                  </w:r>
                </w:p>
              </w:tc>
              <w:tc>
                <w:tcPr>
                  <w:tcW w:w="2589" w:type="dxa"/>
                  <w:vAlign w:val="center"/>
                </w:tcPr>
                <w:p>
                  <w:pPr>
                    <w:pStyle w:val="28"/>
                  </w:pPr>
                  <w:r>
                    <w:rPr>
                      <w:rFonts w:hint="eastAsia"/>
                    </w:rPr>
                    <w:t>224.6</w:t>
                  </w:r>
                </w:p>
              </w:tc>
              <w:tc>
                <w:tcPr>
                  <w:tcW w:w="2589" w:type="dxa"/>
                  <w:vAlign w:val="center"/>
                </w:tcPr>
                <w:p>
                  <w:pPr>
                    <w:pStyle w:val="28"/>
                  </w:pPr>
                  <w:r>
                    <w:rPr>
                      <w:rFonts w:hint="eastAsia"/>
                    </w:rPr>
                    <w:t>139.7</w:t>
                  </w:r>
                </w:p>
              </w:tc>
              <w:tc>
                <w:tcPr>
                  <w:tcW w:w="2590" w:type="dxa"/>
                  <w:vAlign w:val="center"/>
                </w:tcPr>
                <w:p>
                  <w:pPr>
                    <w:pStyle w:val="28"/>
                  </w:pPr>
                  <w:r>
                    <w:rPr>
                      <w:rFonts w:hint="eastAsia"/>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12</w:t>
                  </w:r>
                </w:p>
              </w:tc>
              <w:tc>
                <w:tcPr>
                  <w:tcW w:w="2589" w:type="dxa"/>
                  <w:vAlign w:val="center"/>
                </w:tcPr>
                <w:p>
                  <w:pPr>
                    <w:pStyle w:val="28"/>
                  </w:pPr>
                  <w:r>
                    <w:rPr>
                      <w:rFonts w:hint="eastAsia"/>
                    </w:rPr>
                    <w:t>197.3</w:t>
                  </w:r>
                </w:p>
              </w:tc>
              <w:tc>
                <w:tcPr>
                  <w:tcW w:w="2589" w:type="dxa"/>
                  <w:vAlign w:val="center"/>
                </w:tcPr>
                <w:p>
                  <w:pPr>
                    <w:pStyle w:val="28"/>
                  </w:pPr>
                  <w:r>
                    <w:rPr>
                      <w:rFonts w:hint="eastAsia"/>
                    </w:rPr>
                    <w:t>129.6</w:t>
                  </w:r>
                </w:p>
              </w:tc>
              <w:tc>
                <w:tcPr>
                  <w:tcW w:w="2590" w:type="dxa"/>
                  <w:vAlign w:val="center"/>
                </w:tcPr>
                <w:p>
                  <w:pPr>
                    <w:pStyle w:val="28"/>
                  </w:pPr>
                  <w:r>
                    <w:rPr>
                      <w:rFonts w:hint="eastAsia"/>
                    </w:rPr>
                    <w:t>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Align w:val="center"/>
                </w:tcPr>
                <w:p>
                  <w:pPr>
                    <w:pStyle w:val="28"/>
                  </w:pPr>
                  <w:r>
                    <w:rPr>
                      <w:rFonts w:hint="eastAsia"/>
                    </w:rPr>
                    <w:t>全年</w:t>
                  </w:r>
                </w:p>
              </w:tc>
              <w:tc>
                <w:tcPr>
                  <w:tcW w:w="2589" w:type="dxa"/>
                  <w:vAlign w:val="center"/>
                </w:tcPr>
                <w:p>
                  <w:pPr>
                    <w:pStyle w:val="28"/>
                  </w:pPr>
                  <w:r>
                    <w:rPr>
                      <w:rFonts w:hint="eastAsia"/>
                    </w:rPr>
                    <w:t>4204.8</w:t>
                  </w:r>
                </w:p>
              </w:tc>
              <w:tc>
                <w:tcPr>
                  <w:tcW w:w="2589" w:type="dxa"/>
                  <w:vAlign w:val="center"/>
                </w:tcPr>
                <w:p>
                  <w:pPr>
                    <w:pStyle w:val="28"/>
                  </w:pPr>
                  <w:r>
                    <w:rPr>
                      <w:rFonts w:hint="eastAsia"/>
                    </w:rPr>
                    <w:t>2610.7</w:t>
                  </w:r>
                </w:p>
              </w:tc>
              <w:tc>
                <w:tcPr>
                  <w:tcW w:w="2590" w:type="dxa"/>
                  <w:vAlign w:val="center"/>
                </w:tcPr>
                <w:p>
                  <w:pPr>
                    <w:pStyle w:val="28"/>
                  </w:pPr>
                  <w:r>
                    <w:rPr>
                      <w:rFonts w:hint="eastAsia"/>
                    </w:rPr>
                    <w:t>1594.1</w:t>
                  </w:r>
                </w:p>
              </w:tc>
            </w:tr>
          </w:tbl>
          <w:p>
            <w:pPr>
              <w:pStyle w:val="29"/>
              <w:ind w:firstLine="482"/>
              <w:rPr>
                <w:b/>
                <w:bCs/>
              </w:rPr>
            </w:pPr>
            <w:r>
              <w:rPr>
                <w:rFonts w:hint="eastAsia"/>
                <w:b/>
                <w:bCs/>
              </w:rPr>
              <w:t>2.2 建设规模及主要工程参数</w:t>
            </w:r>
          </w:p>
          <w:p>
            <w:pPr>
              <w:pStyle w:val="29"/>
              <w:bidi w:val="0"/>
              <w:rPr>
                <w:rFonts w:hint="default"/>
                <w:b/>
                <w:bCs/>
                <w:lang w:val="en-US" w:eastAsia="zh-CN"/>
              </w:rPr>
            </w:pPr>
            <w:r>
              <w:rPr>
                <w:rFonts w:hint="eastAsia"/>
                <w:b/>
                <w:bCs/>
                <w:lang w:val="en-US" w:eastAsia="zh-CN"/>
              </w:rPr>
              <w:t>2.2.1 光伏场区</w:t>
            </w:r>
          </w:p>
          <w:p>
            <w:pPr>
              <w:pStyle w:val="29"/>
              <w:bidi w:val="0"/>
            </w:pPr>
            <w:r>
              <w:rPr>
                <w:rFonts w:hint="eastAsia"/>
              </w:rPr>
              <w:t>光伏场区由光伏组件经串联、并联组成，一个光伏组件方阵即为一个光伏发电单元系统，包括</w:t>
            </w:r>
            <w:r>
              <w:t>1</w:t>
            </w:r>
            <w:r>
              <w:rPr>
                <w:rFonts w:hint="eastAsia"/>
              </w:rPr>
              <w:t>台逆变器与对应的</w:t>
            </w:r>
            <w:r>
              <w:t>n</w:t>
            </w:r>
            <w:r>
              <w:rPr>
                <w:rFonts w:hint="eastAsia"/>
              </w:rPr>
              <w:t>组光伏组件组串、汇流连接电缆等。光伏组件串联的数量由并网逆变器的最高输入电压和最低工作电压，以及光伏组件允许的最大系统电压所确定，串联后称为光伏组件组串；光伏组件组串并联的数量由逆变器的额定容量确定。</w:t>
            </w:r>
          </w:p>
          <w:p>
            <w:pPr>
              <w:pStyle w:val="29"/>
              <w:bidi w:val="0"/>
              <w:rPr>
                <w:rFonts w:hint="default"/>
                <w:lang w:val="en-US" w:eastAsia="zh-CN"/>
              </w:rPr>
            </w:pPr>
            <w:r>
              <w:rPr>
                <w:rFonts w:hint="eastAsia"/>
                <w:lang w:val="en-US" w:eastAsia="zh-CN"/>
              </w:rPr>
              <w:t>（1）总体方案</w:t>
            </w:r>
          </w:p>
          <w:p>
            <w:pPr>
              <w:pStyle w:val="29"/>
              <w:ind w:firstLine="480"/>
              <w:rPr>
                <w:rFonts w:hint="default" w:eastAsia="宋体"/>
                <w:lang w:val="en-US" w:eastAsia="zh-CN"/>
              </w:rPr>
            </w:pPr>
            <w:r>
              <w:rPr>
                <w:rFonts w:hint="eastAsia"/>
                <w:lang w:val="en-US" w:eastAsia="zh-CN"/>
              </w:rPr>
              <w:t>本项目选用单体功率为570Wp的单晶体硅电池N型组件，</w:t>
            </w:r>
            <w:r>
              <w:rPr>
                <w:rFonts w:hint="eastAsia"/>
              </w:rPr>
              <w:t>直流侧总安装容量为67.34208MWp，场址区域拟布置安装118144块单块容量为570Wp光伏组件（光伏组件的开路电压为50V，峰值工作电压为42.07V），</w:t>
            </w:r>
            <w:r>
              <w:rPr>
                <w:rFonts w:hint="eastAsia"/>
                <w:lang w:val="en-US" w:eastAsia="zh-CN"/>
              </w:rPr>
              <w:t>项目总占地面积约1652494.48m</w:t>
            </w:r>
            <w:r>
              <w:rPr>
                <w:rFonts w:hint="eastAsia"/>
                <w:vertAlign w:val="superscript"/>
                <w:lang w:val="en-US" w:eastAsia="zh-CN"/>
              </w:rPr>
              <w:t>2</w:t>
            </w:r>
            <w:r>
              <w:rPr>
                <w:rFonts w:hint="eastAsia"/>
                <w:lang w:val="en-US" w:eastAsia="zh-CN"/>
              </w:rPr>
              <w:t>，分为3个地块陈列布置，其中1#地块占地约为1012460.01m</w:t>
            </w:r>
            <w:r>
              <w:rPr>
                <w:rFonts w:hint="eastAsia"/>
                <w:vertAlign w:val="superscript"/>
                <w:lang w:val="en-US" w:eastAsia="zh-CN"/>
              </w:rPr>
              <w:t>2</w:t>
            </w:r>
            <w:r>
              <w:rPr>
                <w:rFonts w:hint="eastAsia"/>
                <w:lang w:val="en-US" w:eastAsia="zh-CN"/>
              </w:rPr>
              <w:t>，2#地块占地约为148848.12m</w:t>
            </w:r>
            <w:r>
              <w:rPr>
                <w:rFonts w:hint="eastAsia"/>
                <w:vertAlign w:val="superscript"/>
                <w:lang w:val="en-US" w:eastAsia="zh-CN"/>
              </w:rPr>
              <w:t>2</w:t>
            </w:r>
            <w:r>
              <w:rPr>
                <w:rFonts w:hint="eastAsia"/>
                <w:lang w:val="en-US" w:eastAsia="zh-CN"/>
              </w:rPr>
              <w:t>，3#地块占地约为491186.35m</w:t>
            </w:r>
            <w:r>
              <w:rPr>
                <w:rFonts w:hint="eastAsia"/>
                <w:vertAlign w:val="superscript"/>
                <w:lang w:val="en-US" w:eastAsia="zh-CN"/>
              </w:rPr>
              <w:t>2</w:t>
            </w:r>
            <w:r>
              <w:rPr>
                <w:rFonts w:hint="eastAsia"/>
                <w:lang w:val="en-US" w:eastAsia="zh-CN"/>
              </w:rPr>
              <w:t>，其中升压站位于1#地块内。</w:t>
            </w:r>
            <w:r>
              <w:rPr>
                <w:rFonts w:hint="eastAsia" w:ascii="Times New Roman" w:hAnsi="Times New Roman"/>
                <w:sz w:val="24"/>
              </w:rPr>
              <w:t>光伏阵列运行方式拟采用固定式支架形式，该运行方式优点是土建工作量小，安装简单，运行维护方便简单，单位功率/发电量占地面积小，单位光伏发电系统峰值功率投资少。</w:t>
            </w:r>
          </w:p>
          <w:p>
            <w:pPr>
              <w:pStyle w:val="29"/>
              <w:ind w:firstLine="480"/>
              <w:rPr>
                <w:rFonts w:hint="eastAsia"/>
                <w:lang w:val="en-US" w:eastAsia="zh-CN"/>
              </w:rPr>
            </w:pPr>
            <w:r>
              <w:rPr>
                <w:rFonts w:hint="eastAsia"/>
                <w:lang w:val="en-US" w:eastAsia="zh-CN"/>
              </w:rPr>
              <w:t>（2）光伏组件</w:t>
            </w:r>
          </w:p>
          <w:p>
            <w:pPr>
              <w:pStyle w:val="29"/>
              <w:ind w:firstLine="480"/>
              <w:rPr>
                <w:rFonts w:hint="eastAsia"/>
              </w:rPr>
            </w:pPr>
            <w:r>
              <w:rPr>
                <w:rFonts w:hint="eastAsia"/>
              </w:rPr>
              <w:t>本工程共设17个光伏发电单元，分别为13个4.288MWp光伏发电单元、2个3.4304MWp光伏发电单元、1个2.5728MWp光伏发电单元、1个2.144MWp光伏发电单元，每个光伏发电单元配置5/6/8/10台320kW组串式逆变器及1台1600/2000/2600/3200华式箱变，</w:t>
            </w:r>
            <w:r>
              <w:rPr>
                <w:rFonts w:hint="eastAsia"/>
                <w:lang w:val="en-US" w:eastAsia="zh-CN"/>
              </w:rPr>
              <w:t>共设17台华式箱变，157台串式逆变器；</w:t>
            </w:r>
            <w:r>
              <w:rPr>
                <w:rFonts w:hint="eastAsia"/>
              </w:rPr>
              <w:t>每台组串式逆变器接入19/20个光伏组串</w:t>
            </w:r>
            <w:r>
              <w:rPr>
                <w:rFonts w:hint="eastAsia"/>
                <w:lang w:val="en-US" w:eastAsia="zh-CN"/>
              </w:rPr>
              <w:t>，</w:t>
            </w:r>
            <w:r>
              <w:rPr>
                <w:rFonts w:hint="eastAsia"/>
              </w:rPr>
              <w:t>每个光伏串列由26块组件串联组成，每个光伏支架上安装1个光伏串列</w:t>
            </w:r>
            <w:r>
              <w:rPr>
                <w:rFonts w:hint="eastAsia"/>
                <w:lang w:eastAsia="zh-CN"/>
              </w:rPr>
              <w:t>，</w:t>
            </w:r>
            <w:r>
              <w:rPr>
                <w:rFonts w:hint="eastAsia"/>
                <w:lang w:val="en-US" w:eastAsia="zh-CN"/>
              </w:rPr>
              <w:t>共设4544个支架</w:t>
            </w:r>
            <w:r>
              <w:rPr>
                <w:rFonts w:hint="eastAsia"/>
              </w:rPr>
              <w:t>。根据现场场地布置，每个支架南北向布置2块光伏组件，东西向布置13块，从而每个支架布置2×13=26块组件，组件与组件之间留有0.02m空隙以减少方阵面上的风压</w:t>
            </w:r>
            <w:r>
              <w:rPr>
                <w:rFonts w:hint="eastAsia"/>
                <w:lang w:eastAsia="zh-CN"/>
              </w:rPr>
              <w:t>，</w:t>
            </w:r>
            <w:r>
              <w:rPr>
                <w:rFonts w:hint="eastAsia"/>
                <w:lang w:val="en-US" w:eastAsia="zh-CN"/>
              </w:rPr>
              <w:t>本项目光伏阵列运行方式拟采用固定式支架，支架式光伏方阵按倾角23°布置，南北向相邻两排中心间距为7.5m，东西向相邻两列净间距为0.5m，组件底端距离地面3m</w:t>
            </w:r>
            <w:r>
              <w:rPr>
                <w:rFonts w:hint="eastAsia"/>
              </w:rPr>
              <w:t>。</w:t>
            </w:r>
          </w:p>
          <w:p>
            <w:pPr>
              <w:pStyle w:val="29"/>
              <w:ind w:firstLine="0" w:firstLineChars="0"/>
              <w:jc w:val="center"/>
            </w:pPr>
            <w:r>
              <w:rPr>
                <w:rFonts w:hint="eastAsia"/>
              </w:rPr>
              <w:t>表2-4  光伏组件设备参数</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3399"/>
              <w:gridCol w:w="2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Align w:val="center"/>
                </w:tcPr>
                <w:p>
                  <w:pPr>
                    <w:pStyle w:val="28"/>
                  </w:pPr>
                  <w:r>
                    <w:rPr>
                      <w:rFonts w:hint="eastAsia"/>
                    </w:rPr>
                    <w:t>编号</w:t>
                  </w:r>
                </w:p>
              </w:tc>
              <w:tc>
                <w:tcPr>
                  <w:tcW w:w="3399" w:type="dxa"/>
                  <w:vAlign w:val="center"/>
                </w:tcPr>
                <w:p>
                  <w:pPr>
                    <w:pStyle w:val="28"/>
                  </w:pPr>
                  <w:r>
                    <w:rPr>
                      <w:rFonts w:hint="eastAsia"/>
                    </w:rPr>
                    <w:t>名称</w:t>
                  </w:r>
                </w:p>
              </w:tc>
              <w:tc>
                <w:tcPr>
                  <w:tcW w:w="2868" w:type="dxa"/>
                  <w:vAlign w:val="center"/>
                </w:tcPr>
                <w:p>
                  <w:pPr>
                    <w:pStyle w:val="28"/>
                  </w:pPr>
                  <w:r>
                    <w:rPr>
                      <w:rFonts w:hint="eastAsia"/>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Align w:val="center"/>
                </w:tcPr>
                <w:p>
                  <w:pPr>
                    <w:pStyle w:val="28"/>
                  </w:pPr>
                  <w:r>
                    <w:rPr>
                      <w:rFonts w:hint="eastAsia"/>
                    </w:rPr>
                    <w:t>1.1</w:t>
                  </w:r>
                </w:p>
              </w:tc>
              <w:tc>
                <w:tcPr>
                  <w:tcW w:w="3399" w:type="dxa"/>
                  <w:vAlign w:val="center"/>
                </w:tcPr>
                <w:p>
                  <w:pPr>
                    <w:pStyle w:val="28"/>
                  </w:pPr>
                  <w:r>
                    <w:rPr>
                      <w:rFonts w:hint="eastAsia"/>
                    </w:rPr>
                    <w:t>模块类型</w:t>
                  </w:r>
                </w:p>
              </w:tc>
              <w:tc>
                <w:tcPr>
                  <w:tcW w:w="2868" w:type="dxa"/>
                  <w:vAlign w:val="center"/>
                </w:tcPr>
                <w:p>
                  <w:pPr>
                    <w:pStyle w:val="28"/>
                  </w:pPr>
                  <w:r>
                    <w:rPr>
                      <w:rFonts w:hint="eastAsia"/>
                    </w:rPr>
                    <w:t>570Wp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restart"/>
                  <w:vAlign w:val="center"/>
                </w:tcPr>
                <w:p>
                  <w:pPr>
                    <w:pStyle w:val="28"/>
                  </w:pPr>
                  <w:r>
                    <w:rPr>
                      <w:rFonts w:hint="eastAsia"/>
                    </w:rPr>
                    <w:t>1.2</w:t>
                  </w:r>
                </w:p>
              </w:tc>
              <w:tc>
                <w:tcPr>
                  <w:tcW w:w="6267" w:type="dxa"/>
                  <w:gridSpan w:val="2"/>
                  <w:vAlign w:val="center"/>
                </w:tcPr>
                <w:p>
                  <w:pPr>
                    <w:pStyle w:val="28"/>
                  </w:pPr>
                  <w:r>
                    <w:rPr>
                      <w:rFonts w:hint="eastAsia"/>
                    </w:rPr>
                    <w:t>电气参数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标准输出功率（W）</w:t>
                  </w:r>
                </w:p>
              </w:tc>
              <w:tc>
                <w:tcPr>
                  <w:tcW w:w="2868" w:type="dxa"/>
                  <w:vAlign w:val="center"/>
                </w:tcPr>
                <w:p>
                  <w:pPr>
                    <w:pStyle w:val="28"/>
                  </w:pPr>
                  <w:r>
                    <w:rPr>
                      <w:rFonts w:hint="eastAsia"/>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输出功率公差（W）</w:t>
                  </w:r>
                </w:p>
              </w:tc>
              <w:tc>
                <w:tcPr>
                  <w:tcW w:w="2868" w:type="dxa"/>
                  <w:vAlign w:val="center"/>
                </w:tcPr>
                <w:p>
                  <w:pPr>
                    <w:pStyle w:val="28"/>
                  </w:pPr>
                  <w:r>
                    <w:rPr>
                      <w:rFonts w:hint="eastAsia"/>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组件效率（%）</w:t>
                  </w:r>
                </w:p>
              </w:tc>
              <w:tc>
                <w:tcPr>
                  <w:tcW w:w="2868" w:type="dxa"/>
                  <w:vAlign w:val="center"/>
                </w:tcPr>
                <w:p>
                  <w:pPr>
                    <w:pStyle w:val="28"/>
                  </w:pPr>
                  <w:r>
                    <w:rPr>
                      <w:rFonts w:hint="eastAsia"/>
                    </w:rPr>
                    <w:t>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峰值功率电压（V）</w:t>
                  </w:r>
                </w:p>
              </w:tc>
              <w:tc>
                <w:tcPr>
                  <w:tcW w:w="2868" w:type="dxa"/>
                  <w:vAlign w:val="center"/>
                </w:tcPr>
                <w:p>
                  <w:pPr>
                    <w:pStyle w:val="28"/>
                  </w:pPr>
                  <w:r>
                    <w:rPr>
                      <w:rFonts w:hint="eastAsia"/>
                    </w:rPr>
                    <w:t>42.07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峰值功率电流（A）</w:t>
                  </w:r>
                </w:p>
              </w:tc>
              <w:tc>
                <w:tcPr>
                  <w:tcW w:w="2868" w:type="dxa"/>
                  <w:vAlign w:val="center"/>
                </w:tcPr>
                <w:p>
                  <w:pPr>
                    <w:pStyle w:val="28"/>
                  </w:pPr>
                  <w:r>
                    <w:rPr>
                      <w:rFonts w:hint="eastAsia"/>
                    </w:rPr>
                    <w:t>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开率电压（V）</w:t>
                  </w:r>
                </w:p>
              </w:tc>
              <w:tc>
                <w:tcPr>
                  <w:tcW w:w="2868" w:type="dxa"/>
                  <w:vAlign w:val="center"/>
                </w:tcPr>
                <w:p>
                  <w:pPr>
                    <w:pStyle w:val="28"/>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短路电流（A）</w:t>
                  </w:r>
                </w:p>
              </w:tc>
              <w:tc>
                <w:tcPr>
                  <w:tcW w:w="2868" w:type="dxa"/>
                  <w:vAlign w:val="center"/>
                </w:tcPr>
                <w:p>
                  <w:pPr>
                    <w:pStyle w:val="28"/>
                  </w:pPr>
                  <w:r>
                    <w:rPr>
                      <w:rFonts w:hint="eastAsia"/>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系统最大电压（V）</w:t>
                  </w:r>
                </w:p>
              </w:tc>
              <w:tc>
                <w:tcPr>
                  <w:tcW w:w="2868" w:type="dxa"/>
                  <w:vAlign w:val="center"/>
                </w:tcPr>
                <w:p>
                  <w:pPr>
                    <w:pStyle w:val="28"/>
                  </w:pPr>
                  <w:r>
                    <w:rPr>
                      <w:rFonts w:hint="eastAsia"/>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restart"/>
                  <w:vAlign w:val="center"/>
                </w:tcPr>
                <w:p>
                  <w:pPr>
                    <w:pStyle w:val="28"/>
                  </w:pPr>
                  <w:r>
                    <w:rPr>
                      <w:rFonts w:hint="eastAsia"/>
                    </w:rPr>
                    <w:t>1.3</w:t>
                  </w:r>
                </w:p>
              </w:tc>
              <w:tc>
                <w:tcPr>
                  <w:tcW w:w="6267" w:type="dxa"/>
                  <w:gridSpan w:val="2"/>
                  <w:vAlign w:val="center"/>
                </w:tcPr>
                <w:p>
                  <w:pPr>
                    <w:pStyle w:val="28"/>
                  </w:pPr>
                  <w:r>
                    <w:rPr>
                      <w:rFonts w:hint="eastAsia"/>
                    </w:rPr>
                    <w:t>参数热特性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电池额定工作温度（℃）</w:t>
                  </w:r>
                </w:p>
              </w:tc>
              <w:tc>
                <w:tcPr>
                  <w:tcW w:w="2868" w:type="dxa"/>
                  <w:vAlign w:val="center"/>
                </w:tcPr>
                <w:p>
                  <w:pPr>
                    <w:pStyle w:val="28"/>
                  </w:pPr>
                  <w:r>
                    <w:rPr>
                      <w:rFonts w:hint="eastAsia"/>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restart"/>
                  <w:vAlign w:val="center"/>
                </w:tcPr>
                <w:p>
                  <w:pPr>
                    <w:pStyle w:val="28"/>
                  </w:pPr>
                  <w:r>
                    <w:rPr>
                      <w:rFonts w:hint="eastAsia"/>
                    </w:rPr>
                    <w:t>1.4</w:t>
                  </w:r>
                </w:p>
              </w:tc>
              <w:tc>
                <w:tcPr>
                  <w:tcW w:w="6267" w:type="dxa"/>
                  <w:gridSpan w:val="2"/>
                  <w:vAlign w:val="center"/>
                </w:tcPr>
                <w:p>
                  <w:pPr>
                    <w:pStyle w:val="28"/>
                  </w:pPr>
                  <w:r>
                    <w:rPr>
                      <w:rFonts w:hint="eastAsia"/>
                    </w:rPr>
                    <w:t>机械参数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尺寸（L/W/T）（mm）</w:t>
                  </w:r>
                </w:p>
              </w:tc>
              <w:tc>
                <w:tcPr>
                  <w:tcW w:w="2868" w:type="dxa"/>
                  <w:vAlign w:val="center"/>
                </w:tcPr>
                <w:p>
                  <w:pPr>
                    <w:pStyle w:val="28"/>
                  </w:pPr>
                  <w:r>
                    <w:rPr>
                      <w:rFonts w:hint="eastAsia"/>
                    </w:rPr>
                    <w:t>2258×1134×35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重量（kg）</w:t>
                  </w:r>
                </w:p>
              </w:tc>
              <w:tc>
                <w:tcPr>
                  <w:tcW w:w="2868" w:type="dxa"/>
                  <w:vAlign w:val="center"/>
                </w:tcPr>
                <w:p>
                  <w:pPr>
                    <w:pStyle w:val="28"/>
                  </w:pPr>
                  <w:r>
                    <w:rPr>
                      <w:rFonts w:hint="eastAsi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restart"/>
                  <w:vAlign w:val="center"/>
                </w:tcPr>
                <w:p>
                  <w:pPr>
                    <w:pStyle w:val="28"/>
                  </w:pPr>
                  <w:r>
                    <w:rPr>
                      <w:rFonts w:hint="eastAsia"/>
                    </w:rPr>
                    <w:t>1.5</w:t>
                  </w:r>
                </w:p>
              </w:tc>
              <w:tc>
                <w:tcPr>
                  <w:tcW w:w="6267" w:type="dxa"/>
                  <w:gridSpan w:val="2"/>
                  <w:vAlign w:val="center"/>
                </w:tcPr>
                <w:p>
                  <w:pPr>
                    <w:pStyle w:val="28"/>
                  </w:pPr>
                  <w:r>
                    <w:rPr>
                      <w:rFonts w:hint="eastAsia"/>
                    </w:rPr>
                    <w:t>工作条件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温度范围（℃）</w:t>
                  </w:r>
                </w:p>
              </w:tc>
              <w:tc>
                <w:tcPr>
                  <w:tcW w:w="2868" w:type="dxa"/>
                  <w:vAlign w:val="center"/>
                </w:tcPr>
                <w:p>
                  <w:pPr>
                    <w:pStyle w:val="28"/>
                  </w:pPr>
                  <w:r>
                    <w:rPr>
                      <w:rFonts w:hint="eastAsia"/>
                    </w:rPr>
                    <w:t>-45℃~+85℃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最大风荷载（Pa）</w:t>
                  </w:r>
                </w:p>
              </w:tc>
              <w:tc>
                <w:tcPr>
                  <w:tcW w:w="2868" w:type="dxa"/>
                  <w:vAlign w:val="center"/>
                </w:tcPr>
                <w:p>
                  <w:pPr>
                    <w:pStyle w:val="28"/>
                  </w:pPr>
                  <w:r>
                    <w:rPr>
                      <w:rFonts w:hint="eastAsia"/>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vMerge w:val="continue"/>
                  <w:vAlign w:val="center"/>
                </w:tcPr>
                <w:p>
                  <w:pPr>
                    <w:pStyle w:val="28"/>
                  </w:pPr>
                </w:p>
              </w:tc>
              <w:tc>
                <w:tcPr>
                  <w:tcW w:w="3399" w:type="dxa"/>
                  <w:vAlign w:val="center"/>
                </w:tcPr>
                <w:p>
                  <w:pPr>
                    <w:pStyle w:val="28"/>
                  </w:pPr>
                  <w:r>
                    <w:rPr>
                      <w:rFonts w:hint="eastAsia"/>
                    </w:rPr>
                    <w:t>最大雪荷载（Pa）</w:t>
                  </w:r>
                </w:p>
              </w:tc>
              <w:tc>
                <w:tcPr>
                  <w:tcW w:w="2868" w:type="dxa"/>
                  <w:vAlign w:val="center"/>
                </w:tcPr>
                <w:p>
                  <w:pPr>
                    <w:pStyle w:val="28"/>
                  </w:pPr>
                  <w:r>
                    <w:rPr>
                      <w:rFonts w:hint="eastAsia"/>
                    </w:rPr>
                    <w:t>5400</w:t>
                  </w:r>
                </w:p>
              </w:tc>
            </w:tr>
          </w:tbl>
          <w:p>
            <w:pPr>
              <w:pStyle w:val="29"/>
              <w:ind w:firstLine="480"/>
              <w:rPr>
                <w:rFonts w:hint="eastAsia"/>
                <w:lang w:val="en-US" w:eastAsia="zh-CN"/>
              </w:rPr>
            </w:pPr>
            <w:r>
              <w:rPr>
                <w:rFonts w:hint="eastAsia"/>
                <w:lang w:val="en-US" w:eastAsia="zh-CN"/>
              </w:rPr>
              <w:t>（3）逆变器</w:t>
            </w:r>
          </w:p>
          <w:p>
            <w:pPr>
              <w:pStyle w:val="29"/>
              <w:ind w:firstLine="480"/>
            </w:pPr>
            <w:r>
              <w:rPr>
                <w:rFonts w:hint="eastAsia"/>
              </w:rPr>
              <w:t>逆变器是并网光伏电站实现并网的核心设备，它的可靠性、高效性和安全性会影响到整个光伏系统。通过对目前市场上应用较多的主流机型的主要性能参数的比较，并考虑光伏电站的实际装机容量、总体布置情况和地形地貌，本光伏电站拟选用320kW的组串式逆变器。</w:t>
            </w:r>
          </w:p>
          <w:p>
            <w:pPr>
              <w:pStyle w:val="29"/>
              <w:ind w:firstLine="480"/>
              <w:rPr>
                <w:rFonts w:hint="eastAsia" w:eastAsia="宋体"/>
                <w:lang w:val="en-US" w:eastAsia="zh-CN"/>
              </w:rPr>
            </w:pPr>
            <w:r>
              <w:rPr>
                <w:rFonts w:hint="eastAsia"/>
              </w:rPr>
              <w:t>逆变器出口电压为800V，</w:t>
            </w:r>
            <w:r>
              <w:rPr>
                <w:rFonts w:hint="eastAsia"/>
                <w:lang w:val="en-US" w:eastAsia="zh-CN"/>
              </w:rPr>
              <w:t>本项目共安装320kW组串式逆变器157台，光伏场区共分为17个子方阵，每个子方阵配置</w:t>
            </w:r>
            <w:r>
              <w:rPr>
                <w:rFonts w:hint="eastAsia"/>
              </w:rPr>
              <w:t>1台1600/2000/2600/3200华式箱变</w:t>
            </w:r>
            <w:r>
              <w:rPr>
                <w:rFonts w:hint="eastAsia"/>
                <w:lang w:eastAsia="zh-CN"/>
              </w:rPr>
              <w:t>，</w:t>
            </w:r>
            <w:r>
              <w:rPr>
                <w:rFonts w:hint="eastAsia"/>
                <w:lang w:val="en-US" w:eastAsia="zh-CN"/>
              </w:rPr>
              <w:t>每台箱变接入</w:t>
            </w:r>
            <w:r>
              <w:rPr>
                <w:rFonts w:hint="eastAsia"/>
              </w:rPr>
              <w:t>5/6/8/10台320kW组串式逆变器</w:t>
            </w:r>
            <w:r>
              <w:rPr>
                <w:rFonts w:hint="eastAsia"/>
                <w:lang w:eastAsia="zh-CN"/>
              </w:rPr>
              <w:t>。</w:t>
            </w:r>
          </w:p>
          <w:p>
            <w:pPr>
              <w:pStyle w:val="29"/>
              <w:ind w:firstLine="480"/>
            </w:pPr>
            <w:r>
              <w:rPr>
                <w:rFonts w:hint="eastAsia"/>
              </w:rPr>
              <w:t>根据光伏电站装机规模及接入系统电压等级，光伏电站输变电系统通常一级升压，即升压变压器将逆变器输出的电压直接升压至35kV。</w:t>
            </w:r>
          </w:p>
          <w:p>
            <w:pPr>
              <w:pStyle w:val="29"/>
              <w:ind w:firstLine="0" w:firstLineChars="0"/>
              <w:jc w:val="center"/>
            </w:pPr>
            <w:r>
              <w:rPr>
                <w:rFonts w:hint="eastAsia"/>
              </w:rPr>
              <w:t>表2</w:t>
            </w:r>
            <w:r>
              <w:rPr>
                <w:rFonts w:hint="eastAsia"/>
                <w:lang w:val="en-US" w:eastAsia="zh-CN"/>
              </w:rPr>
              <w:t>-5</w:t>
            </w:r>
            <w:r>
              <w:rPr>
                <w:rFonts w:hint="eastAsia"/>
              </w:rPr>
              <w:t xml:space="preserve">  320kW集中式逆变器技术参数表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3419"/>
              <w:gridCol w:w="2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pPr>
                  <w:r>
                    <w:rPr>
                      <w:rFonts w:hint="eastAsia"/>
                    </w:rPr>
                    <w:t>序号</w:t>
                  </w:r>
                </w:p>
              </w:tc>
              <w:tc>
                <w:tcPr>
                  <w:tcW w:w="3419" w:type="dxa"/>
                  <w:vAlign w:val="center"/>
                </w:tcPr>
                <w:p>
                  <w:pPr>
                    <w:pStyle w:val="28"/>
                  </w:pPr>
                  <w:r>
                    <w:rPr>
                      <w:rFonts w:hint="eastAsia"/>
                    </w:rPr>
                    <w:t>名称</w:t>
                  </w:r>
                </w:p>
              </w:tc>
              <w:tc>
                <w:tcPr>
                  <w:tcW w:w="2868" w:type="dxa"/>
                  <w:vAlign w:val="center"/>
                </w:tcPr>
                <w:p>
                  <w:pPr>
                    <w:pStyle w:val="28"/>
                  </w:pPr>
                  <w:r>
                    <w:rPr>
                      <w:rFonts w:hint="eastAsia"/>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hint="eastAsia" w:ascii="Times New Roman" w:hAnsi="Times New Roman" w:eastAsia="宋体" w:cs="Times New Roman"/>
                      <w:sz w:val="21"/>
                      <w:lang w:val="en-US" w:eastAsia="zh-CN" w:bidi="ar-SA"/>
                    </w:rPr>
                  </w:pPr>
                  <w:r>
                    <w:rPr>
                      <w:rFonts w:hint="eastAsia"/>
                    </w:rPr>
                    <w:t>1</w:t>
                  </w:r>
                </w:p>
              </w:tc>
              <w:tc>
                <w:tcPr>
                  <w:tcW w:w="3419" w:type="dxa"/>
                  <w:vAlign w:val="center"/>
                </w:tcPr>
                <w:p>
                  <w:pPr>
                    <w:pStyle w:val="28"/>
                    <w:rPr>
                      <w:rFonts w:hint="default" w:eastAsia="宋体"/>
                      <w:lang w:val="en-US" w:eastAsia="zh-CN"/>
                    </w:rPr>
                  </w:pPr>
                  <w:r>
                    <w:rPr>
                      <w:rFonts w:hint="eastAsia"/>
                      <w:lang w:val="en-US" w:eastAsia="zh-CN"/>
                    </w:rPr>
                    <w:t>逆变器数量</w:t>
                  </w:r>
                </w:p>
              </w:tc>
              <w:tc>
                <w:tcPr>
                  <w:tcW w:w="2868" w:type="dxa"/>
                  <w:vAlign w:val="center"/>
                </w:tcPr>
                <w:p>
                  <w:pPr>
                    <w:pStyle w:val="28"/>
                    <w:rPr>
                      <w:rFonts w:hint="default" w:eastAsia="宋体"/>
                      <w:lang w:val="en-US" w:eastAsia="zh-CN"/>
                    </w:rPr>
                  </w:pPr>
                  <w:r>
                    <w:rPr>
                      <w:rFonts w:hint="eastAsia"/>
                      <w:lang w:val="en-US" w:eastAsia="zh-CN"/>
                    </w:rPr>
                    <w:t>157台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2</w:t>
                  </w:r>
                </w:p>
              </w:tc>
              <w:tc>
                <w:tcPr>
                  <w:tcW w:w="3419" w:type="dxa"/>
                  <w:vAlign w:val="center"/>
                </w:tcPr>
                <w:p>
                  <w:pPr>
                    <w:pStyle w:val="28"/>
                  </w:pPr>
                  <w:r>
                    <w:rPr>
                      <w:rFonts w:hint="eastAsia"/>
                    </w:rPr>
                    <w:t>交流输出额定功率</w:t>
                  </w:r>
                </w:p>
              </w:tc>
              <w:tc>
                <w:tcPr>
                  <w:tcW w:w="2868" w:type="dxa"/>
                  <w:vAlign w:val="center"/>
                </w:tcPr>
                <w:p>
                  <w:pPr>
                    <w:pStyle w:val="28"/>
                  </w:pPr>
                  <w:r>
                    <w:rPr>
                      <w:rFonts w:hint="eastAsia"/>
                    </w:rPr>
                    <w:t>320kW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3</w:t>
                  </w:r>
                </w:p>
              </w:tc>
              <w:tc>
                <w:tcPr>
                  <w:tcW w:w="3419" w:type="dxa"/>
                  <w:vAlign w:val="center"/>
                </w:tcPr>
                <w:p>
                  <w:pPr>
                    <w:pStyle w:val="28"/>
                  </w:pPr>
                  <w:r>
                    <w:rPr>
                      <w:rFonts w:hint="eastAsia"/>
                    </w:rPr>
                    <w:t>交流输出最大功率</w:t>
                  </w:r>
                </w:p>
              </w:tc>
              <w:tc>
                <w:tcPr>
                  <w:tcW w:w="2868" w:type="dxa"/>
                  <w:vAlign w:val="center"/>
                </w:tcPr>
                <w:p>
                  <w:pPr>
                    <w:pStyle w:val="28"/>
                  </w:pPr>
                  <w:r>
                    <w:rPr>
                      <w:rFonts w:hint="eastAsia"/>
                    </w:rPr>
                    <w:t>352kVA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4</w:t>
                  </w:r>
                </w:p>
              </w:tc>
              <w:tc>
                <w:tcPr>
                  <w:tcW w:w="3419" w:type="dxa"/>
                  <w:vAlign w:val="center"/>
                </w:tcPr>
                <w:p>
                  <w:pPr>
                    <w:pStyle w:val="28"/>
                  </w:pPr>
                  <w:r>
                    <w:rPr>
                      <w:rFonts w:hint="eastAsia"/>
                    </w:rPr>
                    <w:t>最高直流输入电压</w:t>
                  </w:r>
                </w:p>
              </w:tc>
              <w:tc>
                <w:tcPr>
                  <w:tcW w:w="2868" w:type="dxa"/>
                  <w:vAlign w:val="center"/>
                </w:tcPr>
                <w:p>
                  <w:pPr>
                    <w:pStyle w:val="28"/>
                  </w:pPr>
                  <w:r>
                    <w:rPr>
                      <w:rFonts w:hint="eastAsia"/>
                    </w:rPr>
                    <w:t>1500V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5</w:t>
                  </w:r>
                </w:p>
              </w:tc>
              <w:tc>
                <w:tcPr>
                  <w:tcW w:w="3419" w:type="dxa"/>
                  <w:vAlign w:val="center"/>
                </w:tcPr>
                <w:p>
                  <w:pPr>
                    <w:pStyle w:val="28"/>
                  </w:pPr>
                  <w:r>
                    <w:rPr>
                      <w:rFonts w:hint="eastAsia"/>
                    </w:rPr>
                    <w:t>每路MPPT最大输入电流</w:t>
                  </w:r>
                </w:p>
              </w:tc>
              <w:tc>
                <w:tcPr>
                  <w:tcW w:w="2868" w:type="dxa"/>
                  <w:vAlign w:val="center"/>
                </w:tcPr>
                <w:p>
                  <w:pPr>
                    <w:pStyle w:val="28"/>
                  </w:pPr>
                  <w:r>
                    <w:rPr>
                      <w:rFonts w:hint="eastAsia"/>
                    </w:rPr>
                    <w:t>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6</w:t>
                  </w:r>
                </w:p>
              </w:tc>
              <w:tc>
                <w:tcPr>
                  <w:tcW w:w="3419" w:type="dxa"/>
                  <w:vAlign w:val="center"/>
                </w:tcPr>
                <w:p>
                  <w:pPr>
                    <w:pStyle w:val="28"/>
                  </w:pPr>
                  <w:r>
                    <w:rPr>
                      <w:rFonts w:hint="eastAsia"/>
                    </w:rPr>
                    <w:t>MPPT电压范围</w:t>
                  </w:r>
                </w:p>
              </w:tc>
              <w:tc>
                <w:tcPr>
                  <w:tcW w:w="2868" w:type="dxa"/>
                  <w:vAlign w:val="center"/>
                </w:tcPr>
                <w:p>
                  <w:pPr>
                    <w:pStyle w:val="28"/>
                  </w:pPr>
                  <w:r>
                    <w:rPr>
                      <w:rFonts w:hint="eastAsia"/>
                    </w:rPr>
                    <w:t>500V~1500V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7</w:t>
                  </w:r>
                </w:p>
              </w:tc>
              <w:tc>
                <w:tcPr>
                  <w:tcW w:w="3419" w:type="dxa"/>
                  <w:vAlign w:val="center"/>
                </w:tcPr>
                <w:p>
                  <w:pPr>
                    <w:pStyle w:val="28"/>
                  </w:pPr>
                  <w:r>
                    <w:rPr>
                      <w:rFonts w:hint="eastAsia"/>
                    </w:rPr>
                    <w:t>额定输入电压</w:t>
                  </w:r>
                </w:p>
              </w:tc>
              <w:tc>
                <w:tcPr>
                  <w:tcW w:w="2868" w:type="dxa"/>
                  <w:vAlign w:val="center"/>
                </w:tcPr>
                <w:p>
                  <w:pPr>
                    <w:pStyle w:val="28"/>
                  </w:pPr>
                  <w:r>
                    <w:rPr>
                      <w:rFonts w:hint="eastAsia"/>
                    </w:rPr>
                    <w:t>1080V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8</w:t>
                  </w:r>
                </w:p>
              </w:tc>
              <w:tc>
                <w:tcPr>
                  <w:tcW w:w="3419" w:type="dxa"/>
                  <w:vAlign w:val="center"/>
                </w:tcPr>
                <w:p>
                  <w:pPr>
                    <w:pStyle w:val="28"/>
                  </w:pPr>
                  <w:r>
                    <w:rPr>
                      <w:rFonts w:hint="eastAsia"/>
                    </w:rPr>
                    <w:t>最大输入路数</w:t>
                  </w:r>
                </w:p>
              </w:tc>
              <w:tc>
                <w:tcPr>
                  <w:tcW w:w="2868" w:type="dxa"/>
                  <w:vAlign w:val="center"/>
                </w:tcPr>
                <w:p>
                  <w:pPr>
                    <w:pStyle w:val="28"/>
                  </w:pPr>
                  <w:r>
                    <w:rPr>
                      <w:rFonts w:hint="eastAsi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9</w:t>
                  </w:r>
                </w:p>
              </w:tc>
              <w:tc>
                <w:tcPr>
                  <w:tcW w:w="3419" w:type="dxa"/>
                  <w:vAlign w:val="center"/>
                </w:tcPr>
                <w:p>
                  <w:pPr>
                    <w:pStyle w:val="28"/>
                  </w:pPr>
                  <w:r>
                    <w:rPr>
                      <w:rFonts w:hint="eastAsia"/>
                    </w:rPr>
                    <w:t>MPPT数量</w:t>
                  </w:r>
                </w:p>
              </w:tc>
              <w:tc>
                <w:tcPr>
                  <w:tcW w:w="2868" w:type="dxa"/>
                  <w:vAlign w:val="center"/>
                </w:tcPr>
                <w:p>
                  <w:pPr>
                    <w:pStyle w:val="28"/>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10</w:t>
                  </w:r>
                </w:p>
              </w:tc>
              <w:tc>
                <w:tcPr>
                  <w:tcW w:w="3419" w:type="dxa"/>
                  <w:vAlign w:val="center"/>
                </w:tcPr>
                <w:p>
                  <w:pPr>
                    <w:pStyle w:val="28"/>
                  </w:pPr>
                  <w:r>
                    <w:rPr>
                      <w:rFonts w:hint="eastAsia"/>
                    </w:rPr>
                    <w:t>最大效率</w:t>
                  </w:r>
                </w:p>
              </w:tc>
              <w:tc>
                <w:tcPr>
                  <w:tcW w:w="2868" w:type="dxa"/>
                  <w:vAlign w:val="center"/>
                </w:tcPr>
                <w:p>
                  <w:pPr>
                    <w:pStyle w:val="28"/>
                  </w:pPr>
                  <w:r>
                    <w:rPr>
                      <w:rFonts w:hint="eastAsia"/>
                    </w:rPr>
                    <w:t>99.01%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11</w:t>
                  </w:r>
                </w:p>
              </w:tc>
              <w:tc>
                <w:tcPr>
                  <w:tcW w:w="3419" w:type="dxa"/>
                  <w:vAlign w:val="center"/>
                </w:tcPr>
                <w:p>
                  <w:pPr>
                    <w:pStyle w:val="28"/>
                  </w:pPr>
                  <w:r>
                    <w:rPr>
                      <w:rFonts w:hint="eastAsia"/>
                    </w:rPr>
                    <w:t>中国效率</w:t>
                  </w:r>
                </w:p>
              </w:tc>
              <w:tc>
                <w:tcPr>
                  <w:tcW w:w="2868" w:type="dxa"/>
                  <w:vAlign w:val="center"/>
                </w:tcPr>
                <w:p>
                  <w:pPr>
                    <w:pStyle w:val="28"/>
                  </w:pPr>
                  <w:r>
                    <w:rPr>
                      <w:rFonts w:hint="eastAsia"/>
                    </w:rPr>
                    <w:t>98.52%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12</w:t>
                  </w:r>
                </w:p>
              </w:tc>
              <w:tc>
                <w:tcPr>
                  <w:tcW w:w="3419" w:type="dxa"/>
                  <w:vAlign w:val="center"/>
                </w:tcPr>
                <w:p>
                  <w:pPr>
                    <w:pStyle w:val="28"/>
                  </w:pPr>
                  <w:r>
                    <w:rPr>
                      <w:rFonts w:hint="eastAsia"/>
                    </w:rPr>
                    <w:t>额定输出电压</w:t>
                  </w:r>
                </w:p>
              </w:tc>
              <w:tc>
                <w:tcPr>
                  <w:tcW w:w="2868" w:type="dxa"/>
                  <w:vAlign w:val="center"/>
                </w:tcPr>
                <w:p>
                  <w:pPr>
                    <w:pStyle w:val="28"/>
                  </w:pPr>
                  <w:r>
                    <w:rPr>
                      <w:rFonts w:hint="eastAsia"/>
                    </w:rPr>
                    <w:t>800V，3W+PE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13</w:t>
                  </w:r>
                </w:p>
              </w:tc>
              <w:tc>
                <w:tcPr>
                  <w:tcW w:w="3419" w:type="dxa"/>
                  <w:vAlign w:val="center"/>
                </w:tcPr>
                <w:p>
                  <w:pPr>
                    <w:pStyle w:val="28"/>
                  </w:pPr>
                  <w:r>
                    <w:rPr>
                      <w:rFonts w:hint="eastAsia"/>
                    </w:rPr>
                    <w:t>额定输出电压</w:t>
                  </w:r>
                </w:p>
              </w:tc>
              <w:tc>
                <w:tcPr>
                  <w:tcW w:w="2868" w:type="dxa"/>
                  <w:vAlign w:val="center"/>
                </w:tcPr>
                <w:p>
                  <w:pPr>
                    <w:pStyle w:val="28"/>
                  </w:pPr>
                  <w:r>
                    <w:rPr>
                      <w:rFonts w:hint="eastAsia"/>
                    </w:rPr>
                    <w:t>180.5A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14</w:t>
                  </w:r>
                </w:p>
              </w:tc>
              <w:tc>
                <w:tcPr>
                  <w:tcW w:w="3419" w:type="dxa"/>
                  <w:vAlign w:val="center"/>
                </w:tcPr>
                <w:p>
                  <w:pPr>
                    <w:pStyle w:val="28"/>
                  </w:pPr>
                  <w:r>
                    <w:rPr>
                      <w:rFonts w:hint="eastAsia"/>
                    </w:rPr>
                    <w:t>输出电压频率</w:t>
                  </w:r>
                </w:p>
              </w:tc>
              <w:tc>
                <w:tcPr>
                  <w:tcW w:w="2868" w:type="dxa"/>
                  <w:vAlign w:val="center"/>
                </w:tcPr>
                <w:p>
                  <w:pPr>
                    <w:pStyle w:val="28"/>
                  </w:pPr>
                  <w:r>
                    <w:rPr>
                      <w:rFonts w:hint="eastAsia"/>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15</w:t>
                  </w:r>
                </w:p>
              </w:tc>
              <w:tc>
                <w:tcPr>
                  <w:tcW w:w="3419" w:type="dxa"/>
                  <w:vAlign w:val="center"/>
                </w:tcPr>
                <w:p>
                  <w:pPr>
                    <w:pStyle w:val="28"/>
                  </w:pPr>
                  <w:r>
                    <w:rPr>
                      <w:rFonts w:hint="eastAsia"/>
                    </w:rPr>
                    <w:t>最大输出电流</w:t>
                  </w:r>
                </w:p>
              </w:tc>
              <w:tc>
                <w:tcPr>
                  <w:tcW w:w="2868" w:type="dxa"/>
                  <w:vAlign w:val="center"/>
                </w:tcPr>
                <w:p>
                  <w:pPr>
                    <w:pStyle w:val="28"/>
                  </w:pPr>
                  <w:r>
                    <w:rPr>
                      <w:rFonts w:hint="eastAsia"/>
                    </w:rPr>
                    <w:t>254A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hint="default" w:eastAsia="宋体"/>
                      <w:lang w:val="en-US" w:eastAsia="zh-CN"/>
                    </w:rPr>
                  </w:pPr>
                  <w:r>
                    <w:rPr>
                      <w:rFonts w:hint="eastAsia"/>
                      <w:lang w:val="en-US" w:eastAsia="zh-CN"/>
                    </w:rPr>
                    <w:t>16</w:t>
                  </w:r>
                </w:p>
              </w:tc>
              <w:tc>
                <w:tcPr>
                  <w:tcW w:w="3419" w:type="dxa"/>
                  <w:vAlign w:val="center"/>
                </w:tcPr>
                <w:p>
                  <w:pPr>
                    <w:pStyle w:val="28"/>
                  </w:pPr>
                  <w:r>
                    <w:rPr>
                      <w:rFonts w:hint="eastAsia"/>
                    </w:rPr>
                    <w:t>功率因数</w:t>
                  </w:r>
                </w:p>
              </w:tc>
              <w:tc>
                <w:tcPr>
                  <w:tcW w:w="2868" w:type="dxa"/>
                  <w:vAlign w:val="center"/>
                </w:tcPr>
                <w:p>
                  <w:pPr>
                    <w:pStyle w:val="28"/>
                  </w:pPr>
                  <w:r>
                    <w:rPr>
                      <w:rFonts w:hint="eastAsia"/>
                    </w:rPr>
                    <w:t>0.8超前~0.8滞后</w:t>
                  </w:r>
                </w:p>
              </w:tc>
            </w:tr>
          </w:tbl>
          <w:p>
            <w:pPr>
              <w:pStyle w:val="29"/>
              <w:bidi w:val="0"/>
              <w:rPr>
                <w:rFonts w:hint="eastAsia"/>
                <w:lang w:val="en-US" w:eastAsia="zh-CN"/>
              </w:rPr>
            </w:pPr>
            <w:r>
              <w:rPr>
                <w:rFonts w:hint="eastAsia"/>
                <w:lang w:val="en-US" w:eastAsia="zh-CN"/>
              </w:rPr>
              <w:t>（4）35kV箱式变压器</w:t>
            </w:r>
          </w:p>
          <w:p>
            <w:pPr>
              <w:pStyle w:val="29"/>
              <w:bidi w:val="0"/>
              <w:rPr>
                <w:rFonts w:hint="eastAsia"/>
                <w:lang w:val="en-US" w:eastAsia="zh-CN"/>
              </w:rPr>
            </w:pPr>
            <w:r>
              <w:rPr>
                <w:rFonts w:hint="default"/>
                <w:lang w:val="en-US" w:eastAsia="zh-CN"/>
              </w:rPr>
              <w:t>光伏场区内的35kV升压箱式变压器考虑串联汇流及布置方便，采用三相无载调压油浸式变压器，箱变压器主要技术参数</w:t>
            </w:r>
            <w:r>
              <w:rPr>
                <w:rFonts w:hint="eastAsia"/>
                <w:lang w:val="en-US" w:eastAsia="zh-CN"/>
              </w:rPr>
              <w:t>：</w:t>
            </w:r>
          </w:p>
          <w:p>
            <w:pPr>
              <w:pStyle w:val="29"/>
              <w:bidi w:val="0"/>
              <w:ind w:left="0" w:leftChars="0" w:right="0" w:rightChars="0" w:firstLine="0" w:firstLineChars="0"/>
              <w:jc w:val="center"/>
              <w:rPr>
                <w:rFonts w:hint="eastAsia"/>
                <w:lang w:val="en-US" w:eastAsia="zh-CN"/>
              </w:rPr>
            </w:pPr>
            <w:r>
              <w:rPr>
                <w:rFonts w:hint="eastAsia"/>
                <w:lang w:val="en-US" w:eastAsia="zh-CN"/>
              </w:rPr>
              <w:t>表2-6  华式箱变压器技术参数</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2779"/>
              <w:gridCol w:w="3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pPr>
                  <w:r>
                    <w:rPr>
                      <w:rFonts w:hint="eastAsia"/>
                    </w:rPr>
                    <w:t>序号</w:t>
                  </w:r>
                </w:p>
              </w:tc>
              <w:tc>
                <w:tcPr>
                  <w:tcW w:w="2779" w:type="dxa"/>
                  <w:vAlign w:val="center"/>
                </w:tcPr>
                <w:p>
                  <w:pPr>
                    <w:pStyle w:val="28"/>
                  </w:pPr>
                  <w:r>
                    <w:rPr>
                      <w:rFonts w:hint="eastAsia"/>
                    </w:rPr>
                    <w:t>名称</w:t>
                  </w:r>
                </w:p>
              </w:tc>
              <w:tc>
                <w:tcPr>
                  <w:tcW w:w="3508" w:type="dxa"/>
                  <w:vAlign w:val="center"/>
                </w:tcPr>
                <w:p>
                  <w:pPr>
                    <w:pStyle w:val="28"/>
                  </w:pPr>
                  <w:r>
                    <w:rPr>
                      <w:rFonts w:hint="eastAsia"/>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hint="eastAsia" w:ascii="Times New Roman" w:hAnsi="Times New Roman" w:eastAsia="宋体" w:cs="Times New Roman"/>
                      <w:sz w:val="21"/>
                      <w:lang w:val="en-US" w:eastAsia="zh-CN" w:bidi="ar-SA"/>
                    </w:rPr>
                  </w:pPr>
                  <w:r>
                    <w:rPr>
                      <w:rFonts w:hint="eastAsia"/>
                    </w:rPr>
                    <w:t>1</w:t>
                  </w:r>
                </w:p>
              </w:tc>
              <w:tc>
                <w:tcPr>
                  <w:tcW w:w="2779" w:type="dxa"/>
                  <w:vAlign w:val="center"/>
                </w:tcPr>
                <w:p>
                  <w:pPr>
                    <w:pStyle w:val="28"/>
                    <w:rPr>
                      <w:rFonts w:hint="default" w:eastAsia="宋体"/>
                      <w:lang w:val="en-US" w:eastAsia="zh-CN"/>
                    </w:rPr>
                  </w:pPr>
                  <w:r>
                    <w:rPr>
                      <w:rFonts w:hint="eastAsia" w:eastAsia="宋体"/>
                      <w:lang w:val="en-US" w:eastAsia="zh-CN"/>
                    </w:rPr>
                    <w:t>型式</w:t>
                  </w:r>
                </w:p>
              </w:tc>
              <w:tc>
                <w:tcPr>
                  <w:tcW w:w="3508" w:type="dxa"/>
                  <w:vAlign w:val="center"/>
                </w:tcPr>
                <w:p>
                  <w:pPr>
                    <w:pStyle w:val="28"/>
                    <w:rPr>
                      <w:rFonts w:hint="default" w:eastAsia="宋体"/>
                      <w:lang w:val="en-US" w:eastAsia="zh-CN"/>
                    </w:rPr>
                  </w:pPr>
                  <w:r>
                    <w:rPr>
                      <w:rFonts w:hint="eastAsia"/>
                      <w:lang w:val="en-US" w:eastAsia="zh-CN"/>
                    </w:rPr>
                    <w:t>三相双绕组无励磁调压变压器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2</w:t>
                  </w:r>
                </w:p>
              </w:tc>
              <w:tc>
                <w:tcPr>
                  <w:tcW w:w="2779" w:type="dxa"/>
                  <w:vAlign w:val="center"/>
                </w:tcPr>
                <w:p>
                  <w:pPr>
                    <w:pStyle w:val="28"/>
                  </w:pPr>
                  <w:r>
                    <w:rPr>
                      <w:rFonts w:hint="eastAsia"/>
                      <w:lang w:val="en-US" w:eastAsia="zh-CN"/>
                    </w:rPr>
                    <w:t>额定容量</w:t>
                  </w:r>
                </w:p>
              </w:tc>
              <w:tc>
                <w:tcPr>
                  <w:tcW w:w="3508" w:type="dxa"/>
                  <w:vAlign w:val="center"/>
                </w:tcPr>
                <w:p>
                  <w:pPr>
                    <w:pStyle w:val="28"/>
                  </w:pPr>
                  <w:r>
                    <w:rPr>
                      <w:rFonts w:hint="default"/>
                      <w:lang w:val="en-US" w:eastAsia="zh-CN"/>
                    </w:rPr>
                    <w:t>3200/2600/2000/1600kVA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3</w:t>
                  </w:r>
                </w:p>
              </w:tc>
              <w:tc>
                <w:tcPr>
                  <w:tcW w:w="2779" w:type="dxa"/>
                  <w:vAlign w:val="center"/>
                </w:tcPr>
                <w:p>
                  <w:pPr>
                    <w:pStyle w:val="28"/>
                  </w:pPr>
                  <w:r>
                    <w:rPr>
                      <w:rFonts w:hint="eastAsia"/>
                      <w:lang w:val="en-US" w:eastAsia="zh-CN"/>
                    </w:rPr>
                    <w:t>额定电压</w:t>
                  </w:r>
                </w:p>
              </w:tc>
              <w:tc>
                <w:tcPr>
                  <w:tcW w:w="3508" w:type="dxa"/>
                  <w:vAlign w:val="center"/>
                </w:tcPr>
                <w:p>
                  <w:pPr>
                    <w:pStyle w:val="2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37kV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4</w:t>
                  </w:r>
                </w:p>
              </w:tc>
              <w:tc>
                <w:tcPr>
                  <w:tcW w:w="2779" w:type="dxa"/>
                  <w:vAlign w:val="center"/>
                </w:tcPr>
                <w:p>
                  <w:pPr>
                    <w:pStyle w:val="28"/>
                  </w:pPr>
                  <w:r>
                    <w:rPr>
                      <w:rFonts w:hint="eastAsia"/>
                      <w:lang w:val="en-US" w:eastAsia="zh-CN"/>
                    </w:rPr>
                    <w:t>相数</w:t>
                  </w:r>
                </w:p>
              </w:tc>
              <w:tc>
                <w:tcPr>
                  <w:tcW w:w="3508" w:type="dxa"/>
                  <w:vAlign w:val="center"/>
                </w:tcPr>
                <w:p>
                  <w:pPr>
                    <w:pStyle w:val="28"/>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5</w:t>
                  </w:r>
                </w:p>
              </w:tc>
              <w:tc>
                <w:tcPr>
                  <w:tcW w:w="2779" w:type="dxa"/>
                  <w:vAlign w:val="center"/>
                </w:tcPr>
                <w:p>
                  <w:pPr>
                    <w:pStyle w:val="28"/>
                  </w:pPr>
                  <w:r>
                    <w:rPr>
                      <w:rFonts w:hint="eastAsia"/>
                      <w:lang w:val="en-US" w:eastAsia="zh-CN"/>
                    </w:rPr>
                    <w:t>变比</w:t>
                  </w:r>
                </w:p>
              </w:tc>
              <w:tc>
                <w:tcPr>
                  <w:tcW w:w="3508" w:type="dxa"/>
                  <w:vAlign w:val="center"/>
                </w:tcPr>
                <w:p>
                  <w:pPr>
                    <w:pStyle w:val="28"/>
                    <w:rPr>
                      <w:rFonts w:hint="default" w:ascii="Times New Roman" w:hAnsi="Times New Roman" w:eastAsia="宋体" w:cs="Times New Roman"/>
                      <w:lang w:val="en-US" w:eastAsia="zh-CN"/>
                    </w:rPr>
                  </w:pPr>
                  <w:r>
                    <w:rPr>
                      <w:rFonts w:hint="default"/>
                      <w:lang w:val="en-US" w:eastAsia="zh-CN"/>
                    </w:rPr>
                    <w:t>37±2×2.5%/0.8kV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6</w:t>
                  </w:r>
                </w:p>
              </w:tc>
              <w:tc>
                <w:tcPr>
                  <w:tcW w:w="2779" w:type="dxa"/>
                  <w:vAlign w:val="center"/>
                </w:tcPr>
                <w:p>
                  <w:pPr>
                    <w:pStyle w:val="28"/>
                  </w:pPr>
                  <w:r>
                    <w:rPr>
                      <w:rFonts w:hint="eastAsia"/>
                      <w:lang w:val="en-US" w:eastAsia="zh-CN"/>
                    </w:rPr>
                    <w:t>阻抗电压</w:t>
                  </w:r>
                </w:p>
              </w:tc>
              <w:tc>
                <w:tcPr>
                  <w:tcW w:w="3508" w:type="dxa"/>
                  <w:vAlign w:val="center"/>
                </w:tcPr>
                <w:p>
                  <w:pPr>
                    <w:pStyle w:val="28"/>
                    <w:rPr>
                      <w:rFonts w:hint="default" w:eastAsia="宋体"/>
                      <w:lang w:val="en-US" w:eastAsia="zh-CN"/>
                    </w:rPr>
                  </w:pP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7</w:t>
                  </w:r>
                </w:p>
              </w:tc>
              <w:tc>
                <w:tcPr>
                  <w:tcW w:w="2779" w:type="dxa"/>
                  <w:vAlign w:val="center"/>
                </w:tcPr>
                <w:p>
                  <w:pPr>
                    <w:pStyle w:val="28"/>
                  </w:pPr>
                  <w:r>
                    <w:rPr>
                      <w:rFonts w:hint="eastAsia"/>
                      <w:lang w:val="en-US" w:eastAsia="zh-CN"/>
                    </w:rPr>
                    <w:t>频率</w:t>
                  </w:r>
                </w:p>
              </w:tc>
              <w:tc>
                <w:tcPr>
                  <w:tcW w:w="3508" w:type="dxa"/>
                  <w:vAlign w:val="center"/>
                </w:tcPr>
                <w:p>
                  <w:pPr>
                    <w:pStyle w:val="28"/>
                    <w:bidi w:val="0"/>
                  </w:pPr>
                  <w:r>
                    <w:rPr>
                      <w:rFonts w:hint="default"/>
                      <w:lang w:val="en-US" w:eastAsia="zh-CN"/>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8</w:t>
                  </w:r>
                </w:p>
              </w:tc>
              <w:tc>
                <w:tcPr>
                  <w:tcW w:w="2779" w:type="dxa"/>
                  <w:vAlign w:val="center"/>
                </w:tcPr>
                <w:p>
                  <w:pPr>
                    <w:pStyle w:val="28"/>
                  </w:pPr>
                  <w:r>
                    <w:rPr>
                      <w:rFonts w:hint="eastAsia"/>
                      <w:lang w:val="en-US" w:eastAsia="zh-CN"/>
                    </w:rPr>
                    <w:t>连接组别</w:t>
                  </w:r>
                </w:p>
              </w:tc>
              <w:tc>
                <w:tcPr>
                  <w:tcW w:w="3508" w:type="dxa"/>
                  <w:vAlign w:val="center"/>
                </w:tcPr>
                <w:p>
                  <w:pPr>
                    <w:pStyle w:val="28"/>
                  </w:pPr>
                  <w:r>
                    <w:rPr>
                      <w:rFonts w:hint="default"/>
                      <w:lang w:val="en-US" w:eastAsia="zh-CN"/>
                    </w:rPr>
                    <w:t>Dy11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9</w:t>
                  </w:r>
                </w:p>
              </w:tc>
              <w:tc>
                <w:tcPr>
                  <w:tcW w:w="2779" w:type="dxa"/>
                  <w:vAlign w:val="center"/>
                </w:tcPr>
                <w:p>
                  <w:pPr>
                    <w:pStyle w:val="28"/>
                  </w:pPr>
                  <w:r>
                    <w:rPr>
                      <w:rFonts w:hint="eastAsia"/>
                      <w:lang w:val="en-US" w:eastAsia="zh-CN"/>
                    </w:rPr>
                    <w:t>冷却方式</w:t>
                  </w:r>
                </w:p>
              </w:tc>
              <w:tc>
                <w:tcPr>
                  <w:tcW w:w="3508" w:type="dxa"/>
                  <w:vAlign w:val="center"/>
                </w:tcPr>
                <w:p>
                  <w:pPr>
                    <w:pStyle w:val="28"/>
                  </w:pPr>
                  <w:r>
                    <w:rPr>
                      <w:rFonts w:hint="default"/>
                      <w:lang w:val="en-US" w:eastAsia="zh-CN"/>
                    </w:rPr>
                    <w:t>ONAN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10</w:t>
                  </w:r>
                </w:p>
              </w:tc>
              <w:tc>
                <w:tcPr>
                  <w:tcW w:w="2779" w:type="dxa"/>
                  <w:vAlign w:val="center"/>
                </w:tcPr>
                <w:p>
                  <w:pPr>
                    <w:pStyle w:val="28"/>
                  </w:pPr>
                  <w:r>
                    <w:rPr>
                      <w:rFonts w:hint="eastAsia"/>
                      <w:lang w:val="en-US" w:eastAsia="zh-CN"/>
                    </w:rPr>
                    <w:t>额定雷电冲击耐受电压</w:t>
                  </w:r>
                </w:p>
              </w:tc>
              <w:tc>
                <w:tcPr>
                  <w:tcW w:w="3508" w:type="dxa"/>
                  <w:vAlign w:val="center"/>
                </w:tcPr>
                <w:p>
                  <w:pPr>
                    <w:pStyle w:val="28"/>
                  </w:pPr>
                  <w:r>
                    <w:rPr>
                      <w:rFonts w:hint="default"/>
                      <w:lang w:val="en-US" w:eastAsia="zh-CN"/>
                    </w:rPr>
                    <w:t>185kV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11</w:t>
                  </w:r>
                </w:p>
              </w:tc>
              <w:tc>
                <w:tcPr>
                  <w:tcW w:w="2779" w:type="dxa"/>
                  <w:vAlign w:val="center"/>
                </w:tcPr>
                <w:p>
                  <w:pPr>
                    <w:pStyle w:val="28"/>
                  </w:pPr>
                  <w:r>
                    <w:rPr>
                      <w:rFonts w:hint="eastAsia"/>
                      <w:lang w:val="en-US" w:eastAsia="zh-CN"/>
                    </w:rPr>
                    <w:t>相间对地</w:t>
                  </w:r>
                </w:p>
              </w:tc>
              <w:tc>
                <w:tcPr>
                  <w:tcW w:w="3508" w:type="dxa"/>
                  <w:vAlign w:val="center"/>
                </w:tcPr>
                <w:p>
                  <w:pPr>
                    <w:pStyle w:val="28"/>
                  </w:pPr>
                  <w:r>
                    <w:rPr>
                      <w:rFonts w:hint="default"/>
                      <w:lang w:val="en-US" w:eastAsia="zh-CN"/>
                    </w:rPr>
                    <w:t>95kV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12</w:t>
                  </w:r>
                </w:p>
              </w:tc>
              <w:tc>
                <w:tcPr>
                  <w:tcW w:w="2779" w:type="dxa"/>
                  <w:vAlign w:val="center"/>
                </w:tcPr>
                <w:p>
                  <w:pPr>
                    <w:pStyle w:val="28"/>
                  </w:pPr>
                  <w:r>
                    <w:rPr>
                      <w:rFonts w:hint="eastAsia"/>
                      <w:lang w:val="en-US" w:eastAsia="zh-CN"/>
                    </w:rPr>
                    <w:t>隔离断口</w:t>
                  </w:r>
                </w:p>
              </w:tc>
              <w:tc>
                <w:tcPr>
                  <w:tcW w:w="3508" w:type="dxa"/>
                  <w:vAlign w:val="center"/>
                </w:tcPr>
                <w:p>
                  <w:pPr>
                    <w:pStyle w:val="28"/>
                  </w:pPr>
                  <w:r>
                    <w:rPr>
                      <w:rFonts w:hint="default"/>
                      <w:lang w:val="en-US" w:eastAsia="zh-CN"/>
                    </w:rPr>
                    <w:t>115kV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13</w:t>
                  </w:r>
                </w:p>
              </w:tc>
              <w:tc>
                <w:tcPr>
                  <w:tcW w:w="2779" w:type="dxa"/>
                  <w:vAlign w:val="center"/>
                </w:tcPr>
                <w:p>
                  <w:pPr>
                    <w:pStyle w:val="28"/>
                  </w:pPr>
                  <w:r>
                    <w:rPr>
                      <w:rFonts w:hint="eastAsia"/>
                      <w:lang w:val="en-US" w:eastAsia="zh-CN"/>
                    </w:rPr>
                    <w:t>空载电流</w:t>
                  </w:r>
                  <w:r>
                    <w:rPr>
                      <w:rFonts w:hint="default"/>
                      <w:lang w:val="en-US" w:eastAsia="zh-CN"/>
                    </w:rPr>
                    <w:t>%</w:t>
                  </w:r>
                </w:p>
              </w:tc>
              <w:tc>
                <w:tcPr>
                  <w:tcW w:w="3508" w:type="dxa"/>
                  <w:vAlign w:val="center"/>
                </w:tcPr>
                <w:p>
                  <w:pPr>
                    <w:pStyle w:val="28"/>
                  </w:pPr>
                  <w:r>
                    <w:rPr>
                      <w:rFonts w:hint="default"/>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5" w:type="dxa"/>
                  <w:vAlign w:val="center"/>
                </w:tcPr>
                <w:p>
                  <w:pPr>
                    <w:pStyle w:val="28"/>
                    <w:rPr>
                      <w:rFonts w:ascii="Times New Roman" w:hAnsi="Times New Roman" w:eastAsia="宋体" w:cs="Times New Roman"/>
                      <w:sz w:val="21"/>
                      <w:lang w:val="en-US" w:eastAsia="zh-CN" w:bidi="ar-SA"/>
                    </w:rPr>
                  </w:pPr>
                  <w:r>
                    <w:rPr>
                      <w:rFonts w:hint="eastAsia"/>
                    </w:rPr>
                    <w:t>14</w:t>
                  </w:r>
                </w:p>
              </w:tc>
              <w:tc>
                <w:tcPr>
                  <w:tcW w:w="2779" w:type="dxa"/>
                  <w:vAlign w:val="center"/>
                </w:tcPr>
                <w:p>
                  <w:pPr>
                    <w:pStyle w:val="28"/>
                  </w:pPr>
                  <w:r>
                    <w:rPr>
                      <w:rFonts w:hint="eastAsia"/>
                      <w:lang w:val="en-US" w:eastAsia="zh-CN"/>
                    </w:rPr>
                    <w:t>负载特性</w:t>
                  </w:r>
                </w:p>
              </w:tc>
              <w:tc>
                <w:tcPr>
                  <w:tcW w:w="3508" w:type="dxa"/>
                  <w:vAlign w:val="center"/>
                </w:tcPr>
                <w:p>
                  <w:pPr>
                    <w:pStyle w:val="28"/>
                  </w:pPr>
                  <w:r>
                    <w:rPr>
                      <w:rFonts w:hint="default"/>
                      <w:lang w:val="en-US" w:eastAsia="zh-CN"/>
                    </w:rPr>
                    <w:t>1.1</w:t>
                  </w:r>
                  <w:r>
                    <w:rPr>
                      <w:rFonts w:hint="eastAsia"/>
                      <w:lang w:val="en-US" w:eastAsia="zh-CN"/>
                    </w:rPr>
                    <w:t>倍过载连续运行</w:t>
                  </w:r>
                </w:p>
              </w:tc>
            </w:tr>
          </w:tbl>
          <w:p>
            <w:pPr>
              <w:pStyle w:val="29"/>
              <w:ind w:firstLine="480"/>
              <w:rPr>
                <w:rFonts w:hint="default"/>
                <w:lang w:val="en-US" w:eastAsia="zh-CN"/>
              </w:rPr>
            </w:pPr>
            <w:r>
              <w:rPr>
                <w:rFonts w:hint="eastAsia"/>
                <w:lang w:val="en-US" w:eastAsia="zh-CN"/>
              </w:rPr>
              <w:t>（5）场区道路</w:t>
            </w:r>
          </w:p>
          <w:p>
            <w:pPr>
              <w:pStyle w:val="29"/>
              <w:ind w:firstLine="480"/>
            </w:pPr>
            <w:r>
              <w:rPr>
                <w:lang w:val="en-US" w:eastAsia="zh-CN"/>
              </w:rPr>
              <w:t>场区内现有道路多为村村通公路和田埂机耕</w:t>
            </w:r>
            <w:r>
              <w:rPr>
                <w:rFonts w:hint="eastAsia"/>
                <w:lang w:val="en-US" w:eastAsia="zh-CN"/>
              </w:rPr>
              <w:t>道路，道路路面宽度在</w:t>
            </w:r>
            <w:r>
              <w:rPr>
                <w:rFonts w:hint="default"/>
                <w:lang w:val="en-US" w:eastAsia="zh-CN"/>
              </w:rPr>
              <w:t>2~3</w:t>
            </w:r>
            <w:r>
              <w:rPr>
                <w:rFonts w:hint="eastAsia"/>
                <w:lang w:val="en-US" w:eastAsia="zh-CN"/>
              </w:rPr>
              <w:t>米不等，对场内原有可利用道路进行道路宽度、转弯半径等进行改造，道路路面扩宽至</w:t>
            </w:r>
            <w:r>
              <w:rPr>
                <w:rFonts w:hint="default"/>
                <w:lang w:val="en-US" w:eastAsia="zh-CN"/>
              </w:rPr>
              <w:t>4m</w:t>
            </w:r>
            <w:r>
              <w:rPr>
                <w:rFonts w:hint="eastAsia"/>
                <w:lang w:val="en-US" w:eastAsia="zh-CN"/>
              </w:rPr>
              <w:t>，转弯半径扩大至</w:t>
            </w:r>
            <w:r>
              <w:rPr>
                <w:rFonts w:hint="default"/>
                <w:lang w:val="en-US" w:eastAsia="zh-CN"/>
              </w:rPr>
              <w:t>9m</w:t>
            </w:r>
            <w:r>
              <w:rPr>
                <w:rFonts w:hint="eastAsia"/>
                <w:lang w:val="en-US" w:eastAsia="zh-CN"/>
              </w:rPr>
              <w:t>。并对道路两边的障碍进行清理及整改等措施，以满足光伏设备运输要求。</w:t>
            </w:r>
          </w:p>
          <w:p>
            <w:pPr>
              <w:pStyle w:val="29"/>
              <w:ind w:firstLine="482"/>
              <w:rPr>
                <w:b/>
                <w:bCs/>
              </w:rPr>
            </w:pPr>
            <w:r>
              <w:rPr>
                <w:rFonts w:hint="eastAsia"/>
                <w:b/>
                <w:bCs/>
              </w:rPr>
              <w:t>2.2.2 110kV升压站</w:t>
            </w:r>
          </w:p>
          <w:p>
            <w:pPr>
              <w:pStyle w:val="29"/>
              <w:ind w:firstLine="480"/>
            </w:pPr>
            <w:r>
              <w:rPr>
                <w:rFonts w:hint="eastAsia"/>
              </w:rPr>
              <w:t>本项目拟配套建设1座110kV的升压站，位于光伏方阵区东北部，中心坐标为E109°29'38.4733"，N30°55'38.4846"，用地面积</w:t>
            </w:r>
            <w:r>
              <w:rPr>
                <w:rFonts w:hint="eastAsia"/>
                <w:lang w:eastAsia="zh-CN"/>
              </w:rPr>
              <w:t>9799</w:t>
            </w:r>
            <w:r>
              <w:rPr>
                <w:rFonts w:hint="eastAsia"/>
              </w:rPr>
              <w:t>m</w:t>
            </w:r>
            <w:r>
              <w:rPr>
                <w:rFonts w:hint="eastAsia"/>
                <w:vertAlign w:val="superscript"/>
              </w:rPr>
              <w:t>2</w:t>
            </w:r>
            <w:r>
              <w:rPr>
                <w:rFonts w:hint="eastAsia"/>
              </w:rPr>
              <w:t>，总建筑面积1164.07m</w:t>
            </w:r>
            <w:r>
              <w:rPr>
                <w:rFonts w:hint="eastAsia"/>
                <w:vertAlign w:val="superscript"/>
              </w:rPr>
              <w:t>2</w:t>
            </w:r>
            <w:r>
              <w:rPr>
                <w:rFonts w:hint="eastAsia"/>
              </w:rPr>
              <w:t>，站内主要布置综合楼、水泵房、主变、SVG无功补偿、构架避雷针、事故油池、电缆沟等。</w:t>
            </w:r>
          </w:p>
          <w:p>
            <w:pPr>
              <w:pStyle w:val="29"/>
              <w:ind w:firstLine="480"/>
            </w:pPr>
            <w:r>
              <w:rPr>
                <w:rFonts w:hint="eastAsia"/>
                <w:lang w:val="en-US" w:eastAsia="zh-CN"/>
              </w:rPr>
              <w:t>本项目本期建设交流侧装机容量为50MW，终期交流侧装机容量为50MW</w:t>
            </w:r>
            <w:r>
              <w:rPr>
                <w:rFonts w:hint="eastAsia"/>
              </w:rPr>
              <w:t>，升压站内新建1台100MVA、110/35kV主变压器，采用</w:t>
            </w:r>
            <w:r>
              <w:rPr>
                <w:rFonts w:hint="eastAsia"/>
                <w:lang w:val="en-US" w:eastAsia="zh-CN"/>
              </w:rPr>
              <w:t>35kV侧采用单母线</w:t>
            </w:r>
            <w:r>
              <w:rPr>
                <w:rFonts w:hint="eastAsia"/>
              </w:rPr>
              <w:t>接线形式，以一回110kV线路接入铁甲变电站</w:t>
            </w:r>
            <w:r>
              <w:rPr>
                <w:rFonts w:hint="eastAsia"/>
                <w:lang w:eastAsia="zh-CN"/>
              </w:rPr>
              <w:t>，</w:t>
            </w:r>
            <w:r>
              <w:rPr>
                <w:rFonts w:hint="eastAsia"/>
              </w:rPr>
              <w:t>最终接入系统方案以当地电网的批复意见为准。</w:t>
            </w:r>
          </w:p>
          <w:p>
            <w:pPr>
              <w:pStyle w:val="29"/>
              <w:ind w:firstLine="0" w:firstLineChars="0"/>
              <w:jc w:val="center"/>
            </w:pPr>
            <w:r>
              <w:rPr>
                <w:rFonts w:hint="eastAsia"/>
              </w:rPr>
              <w:t>表2-</w:t>
            </w:r>
            <w:r>
              <w:rPr>
                <w:rFonts w:hint="eastAsia"/>
                <w:lang w:val="en-US" w:eastAsia="zh-CN"/>
              </w:rPr>
              <w:t>7</w:t>
            </w:r>
            <w:r>
              <w:rPr>
                <w:rFonts w:hint="eastAsia"/>
              </w:rPr>
              <w:t xml:space="preserve">  110kV升压站主要建设内容一览表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164"/>
              <w:gridCol w:w="7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gridSpan w:val="2"/>
                  <w:vAlign w:val="center"/>
                </w:tcPr>
                <w:p>
                  <w:pPr>
                    <w:pStyle w:val="28"/>
                  </w:pPr>
                  <w:r>
                    <w:rPr>
                      <w:rFonts w:hint="eastAsia"/>
                    </w:rPr>
                    <w:t>项目组成</w:t>
                  </w:r>
                </w:p>
              </w:tc>
              <w:tc>
                <w:tcPr>
                  <w:tcW w:w="7043" w:type="dxa"/>
                  <w:vAlign w:val="center"/>
                </w:tcPr>
                <w:p>
                  <w:pPr>
                    <w:pStyle w:val="28"/>
                  </w:pPr>
                  <w:r>
                    <w:rPr>
                      <w:rFonts w:hint="eastAsia"/>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pStyle w:val="28"/>
                  </w:pPr>
                  <w:r>
                    <w:rPr>
                      <w:rFonts w:hint="eastAsia"/>
                    </w:rPr>
                    <w:t>主体工程</w:t>
                  </w:r>
                </w:p>
              </w:tc>
              <w:tc>
                <w:tcPr>
                  <w:tcW w:w="1164" w:type="dxa"/>
                  <w:vAlign w:val="center"/>
                </w:tcPr>
                <w:p>
                  <w:pPr>
                    <w:pStyle w:val="28"/>
                  </w:pPr>
                  <w:r>
                    <w:rPr>
                      <w:rFonts w:hint="eastAsia"/>
                    </w:rPr>
                    <w:t>主变</w:t>
                  </w:r>
                </w:p>
              </w:tc>
              <w:tc>
                <w:tcPr>
                  <w:tcW w:w="7043" w:type="dxa"/>
                  <w:vAlign w:val="center"/>
                </w:tcPr>
                <w:p>
                  <w:pPr>
                    <w:pStyle w:val="28"/>
                    <w:rPr>
                      <w:rFonts w:hint="default" w:eastAsia="宋体"/>
                      <w:lang w:val="en-US" w:eastAsia="zh-CN"/>
                    </w:rPr>
                  </w:pPr>
                  <w:r>
                    <w:rPr>
                      <w:rFonts w:hint="eastAsia"/>
                    </w:rPr>
                    <w:t>升压站内新建1台100MVA主变压</w:t>
                  </w:r>
                  <w:r>
                    <w:rPr>
                      <w:rFonts w:hint="eastAsia"/>
                      <w:lang w:val="en-US" w:eastAsia="zh-CN"/>
                    </w:rPr>
                    <w:t>器，采用户外GIS配电装置，三相铜芯双绕组有载调压油浸电力变压器，型号SZ20-100000kVA/110kV，额定电压：高压侧110kV，低压侧37kV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进出线</w:t>
                  </w:r>
                </w:p>
              </w:tc>
              <w:tc>
                <w:tcPr>
                  <w:tcW w:w="7043" w:type="dxa"/>
                  <w:vAlign w:val="center"/>
                </w:tcPr>
                <w:p>
                  <w:pPr>
                    <w:pStyle w:val="28"/>
                    <w:rPr>
                      <w:rFonts w:hint="default" w:eastAsia="宋体"/>
                      <w:lang w:val="en-US" w:eastAsia="zh-CN"/>
                    </w:rPr>
                  </w:pPr>
                  <w:r>
                    <w:rPr>
                      <w:rFonts w:hint="eastAsia"/>
                    </w:rPr>
                    <w:t>35kV进线3回，110kV出线</w:t>
                  </w:r>
                  <w:r>
                    <w:rPr>
                      <w:rFonts w:hint="eastAsia"/>
                      <w:lang w:val="en-US" w:eastAsia="zh-CN"/>
                    </w:rPr>
                    <w:t>间隔</w:t>
                  </w:r>
                  <w:r>
                    <w:rPr>
                      <w:rFonts w:hint="eastAsia"/>
                    </w:rPr>
                    <w:t>1回，</w:t>
                  </w:r>
                  <w:r>
                    <w:rPr>
                      <w:rFonts w:hint="eastAsia"/>
                      <w:lang w:val="en-US" w:eastAsia="zh-CN"/>
                    </w:rPr>
                    <w:t>35kV侧采用单母线</w:t>
                  </w:r>
                  <w:r>
                    <w:rPr>
                      <w:rFonts w:hint="eastAsia"/>
                    </w:rPr>
                    <w:t>接线形式</w:t>
                  </w:r>
                  <w:r>
                    <w:rPr>
                      <w:rFonts w:hint="eastAsia"/>
                      <w:lang w:eastAsia="zh-CN"/>
                    </w:rPr>
                    <w:t>，</w:t>
                  </w:r>
                  <w:r>
                    <w:rPr>
                      <w:rFonts w:hint="eastAsia"/>
                      <w:lang w:val="en-US" w:eastAsia="zh-CN"/>
                    </w:rPr>
                    <w:t>110kV侧采用线变组接线。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配电装置</w:t>
                  </w:r>
                </w:p>
              </w:tc>
              <w:tc>
                <w:tcPr>
                  <w:tcW w:w="7043" w:type="dxa"/>
                  <w:vAlign w:val="center"/>
                </w:tcPr>
                <w:p>
                  <w:pPr>
                    <w:pStyle w:val="28"/>
                  </w:pPr>
                  <w:r>
                    <w:rPr>
                      <w:rFonts w:hint="eastAsia"/>
                    </w:rPr>
                    <w:t>本期采用GIS户外地面布置方案。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SVG无功补偿</w:t>
                  </w:r>
                </w:p>
              </w:tc>
              <w:tc>
                <w:tcPr>
                  <w:tcW w:w="7043" w:type="dxa"/>
                  <w:vAlign w:val="center"/>
                </w:tcPr>
                <w:p>
                  <w:pPr>
                    <w:pStyle w:val="28"/>
                  </w:pPr>
                  <w:r>
                    <w:rPr>
                      <w:rFonts w:hint="eastAsia"/>
                    </w:rPr>
                    <w:t>35kV母线上配置1组容量为±</w:t>
                  </w:r>
                  <w:r>
                    <w:rPr>
                      <w:rFonts w:hint="eastAsia"/>
                      <w:lang w:eastAsia="zh-CN"/>
                    </w:rPr>
                    <w:t>25Mvar</w:t>
                  </w:r>
                  <w:r>
                    <w:rPr>
                      <w:rFonts w:hint="eastAsia"/>
                    </w:rPr>
                    <w:t>的无功补偿装置，采用户外直挂式</w:t>
                  </w:r>
                  <w:r>
                    <w:t>SVG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综合楼</w:t>
                  </w:r>
                </w:p>
              </w:tc>
              <w:tc>
                <w:tcPr>
                  <w:tcW w:w="7043" w:type="dxa"/>
                  <w:vAlign w:val="center"/>
                </w:tcPr>
                <w:p>
                  <w:pPr>
                    <w:pStyle w:val="28"/>
                  </w:pPr>
                  <w:r>
                    <w:t>一层框架结构，平屋顶建筑，总建筑面积468.8m</w:t>
                  </w:r>
                  <w:r>
                    <w:rPr>
                      <w:vertAlign w:val="superscript"/>
                    </w:rPr>
                    <w:t>2</w:t>
                  </w:r>
                  <w:r>
                    <w:t>，建筑高度4.8m</w:t>
                  </w:r>
                  <w:r>
                    <w:rPr>
                      <w:rFonts w:hint="eastAsia"/>
                      <w:lang w:eastAsia="zh-CN"/>
                    </w:rPr>
                    <w:t>。</w:t>
                  </w:r>
                  <w:r>
                    <w:t>综合楼为地上一层建筑，布置有主控室、库房、办公室、运行工具房、会议室、档案室、活动室、公共卫生间</w:t>
                  </w:r>
                  <w:r>
                    <w:rPr>
                      <w:rFonts w:hint="eastAsia"/>
                      <w:lang w:eastAsia="zh-CN"/>
                    </w:rPr>
                    <w:t>、</w:t>
                  </w:r>
                  <w:r>
                    <w:rPr>
                      <w:rFonts w:hint="eastAsia"/>
                      <w:lang w:val="en-US" w:eastAsia="zh-CN"/>
                    </w:rPr>
                    <w:t>厨房、</w:t>
                  </w:r>
                  <w:r>
                    <w:t>休息室、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配电装置楼</w:t>
                  </w:r>
                </w:p>
              </w:tc>
              <w:tc>
                <w:tcPr>
                  <w:tcW w:w="7043" w:type="dxa"/>
                  <w:vAlign w:val="center"/>
                </w:tcPr>
                <w:p>
                  <w:pPr>
                    <w:pStyle w:val="28"/>
                    <w:rPr>
                      <w:rFonts w:hint="default" w:eastAsia="宋体"/>
                      <w:lang w:val="en-US" w:eastAsia="zh-CN"/>
                    </w:rPr>
                  </w:pPr>
                  <w:r>
                    <w:rPr>
                      <w:rFonts w:hint="eastAsia"/>
                    </w:rPr>
                    <w:t>一层框架结构，平屋顶建筑，总建筑面积366.32m</w:t>
                  </w:r>
                  <w:r>
                    <w:rPr>
                      <w:rFonts w:hint="eastAsia"/>
                      <w:vertAlign w:val="superscript"/>
                    </w:rPr>
                    <w:t>2</w:t>
                  </w:r>
                  <w:r>
                    <w:rPr>
                      <w:rFonts w:hint="eastAsia"/>
                    </w:rPr>
                    <w:t>。配电装置</w:t>
                  </w:r>
                  <w:r>
                    <w:rPr>
                      <w:rFonts w:hint="eastAsia"/>
                      <w:lang w:eastAsia="zh-CN"/>
                    </w:rPr>
                    <w:t>楼</w:t>
                  </w:r>
                  <w:r>
                    <w:rPr>
                      <w:rFonts w:hint="eastAsia"/>
                    </w:rPr>
                    <w:t>为地上一层建筑，布置有35kV配电、室低压配电室、蓄电池室、继保室等</w:t>
                  </w:r>
                  <w:r>
                    <w:rPr>
                      <w:rFonts w:hint="eastAsia"/>
                      <w:lang w:eastAsia="zh-CN"/>
                    </w:rPr>
                    <w:t>，</w:t>
                  </w:r>
                  <w:r>
                    <w:rPr>
                      <w:rFonts w:hint="eastAsia"/>
                      <w:lang w:val="en-US" w:eastAsia="zh-CN"/>
                    </w:rPr>
                    <w:t>其中蓄电池室建筑面积19.51m</w:t>
                  </w:r>
                  <w:r>
                    <w:rPr>
                      <w:rFonts w:hint="eastAsia"/>
                      <w:vertAlign w:val="superscript"/>
                      <w:lang w:val="en-US" w:eastAsia="zh-CN"/>
                    </w:rPr>
                    <w:t>2</w:t>
                  </w:r>
                  <w:r>
                    <w:rPr>
                      <w:rFonts w:hint="eastAsia"/>
                      <w:lang w:val="en-US" w:eastAsia="zh-CN"/>
                    </w:rPr>
                    <w:t>，每组蓄电池采用全封闭免维护阀控式铅酸胶体蓄电池组，104只，按浮充电方式运行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dxa"/>
                  <w:vMerge w:val="continue"/>
                  <w:vAlign w:val="center"/>
                </w:tcPr>
                <w:p>
                  <w:pPr>
                    <w:pStyle w:val="28"/>
                  </w:pPr>
                </w:p>
              </w:tc>
              <w:tc>
                <w:tcPr>
                  <w:tcW w:w="1164" w:type="dxa"/>
                  <w:vAlign w:val="center"/>
                </w:tcPr>
                <w:p>
                  <w:pPr>
                    <w:pStyle w:val="28"/>
                  </w:pPr>
                  <w:r>
                    <w:rPr>
                      <w:rFonts w:hint="eastAsia"/>
                    </w:rPr>
                    <w:t>辅房</w:t>
                  </w:r>
                </w:p>
              </w:tc>
              <w:tc>
                <w:tcPr>
                  <w:tcW w:w="7043" w:type="dxa"/>
                  <w:vAlign w:val="center"/>
                </w:tcPr>
                <w:p>
                  <w:pPr>
                    <w:pStyle w:val="28"/>
                  </w:pPr>
                  <w:r>
                    <w:t>一层框架结构，平屋顶建筑，总建筑面积302.85m</w:t>
                  </w:r>
                  <w:r>
                    <w:rPr>
                      <w:vertAlign w:val="superscript"/>
                    </w:rPr>
                    <w:t>2</w:t>
                  </w:r>
                  <w:r>
                    <w:t>，地下为206</w:t>
                  </w:r>
                  <w:r>
                    <w:rPr>
                      <w:rFonts w:hint="eastAsia"/>
                    </w:rPr>
                    <w:t>m³</w:t>
                  </w:r>
                  <w:r>
                    <w:t>的消防水池。一层布置有水泵房、备品备件间、工具间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pStyle w:val="28"/>
                  </w:pPr>
                  <w:r>
                    <w:rPr>
                      <w:rFonts w:hint="eastAsia"/>
                    </w:rPr>
                    <w:t>公用工程</w:t>
                  </w:r>
                </w:p>
              </w:tc>
              <w:tc>
                <w:tcPr>
                  <w:tcW w:w="1164" w:type="dxa"/>
                  <w:vAlign w:val="center"/>
                </w:tcPr>
                <w:p>
                  <w:pPr>
                    <w:pStyle w:val="28"/>
                  </w:pPr>
                  <w:r>
                    <w:rPr>
                      <w:rFonts w:hint="eastAsia"/>
                    </w:rPr>
                    <w:t>给水系统</w:t>
                  </w:r>
                </w:p>
              </w:tc>
              <w:tc>
                <w:tcPr>
                  <w:tcW w:w="7043" w:type="dxa"/>
                  <w:vAlign w:val="center"/>
                </w:tcPr>
                <w:p>
                  <w:pPr>
                    <w:pStyle w:val="28"/>
                    <w:rPr>
                      <w:rFonts w:hint="default" w:eastAsia="宋体"/>
                      <w:lang w:val="en-US" w:eastAsia="zh-CN"/>
                    </w:rPr>
                  </w:pPr>
                  <w:r>
                    <w:rPr>
                      <w:rFonts w:hint="eastAsia" w:ascii="Times New Roman" w:hAnsi="Times New Roman"/>
                      <w:szCs w:val="21"/>
                    </w:rPr>
                    <w:t>运营期升压站用水拟采用</w:t>
                  </w:r>
                  <w:r>
                    <w:rPr>
                      <w:rFonts w:hint="eastAsia"/>
                      <w:szCs w:val="21"/>
                      <w:lang w:val="en-US" w:eastAsia="zh-CN"/>
                    </w:rPr>
                    <w:t>长柏村</w:t>
                  </w:r>
                  <w:r>
                    <w:rPr>
                      <w:rFonts w:hint="eastAsia" w:ascii="Times New Roman" w:hAnsi="Times New Roman"/>
                      <w:szCs w:val="21"/>
                    </w:rPr>
                    <w:t>市政自来水管网。站外补给水管道埋地敷设，规划埋深1.5m</w:t>
                  </w:r>
                  <w:r>
                    <w:rPr>
                      <w:rFonts w:hint="eastAsia"/>
                      <w:szCs w:val="21"/>
                      <w:lang w:eastAsia="zh-CN"/>
                    </w:rPr>
                    <w:t>，</w:t>
                  </w:r>
                  <w:r>
                    <w:rPr>
                      <w:rFonts w:hint="eastAsia"/>
                    </w:rPr>
                    <w:t>用于站区消防供水</w:t>
                  </w:r>
                  <w:r>
                    <w:rPr>
                      <w:rFonts w:hint="eastAsia"/>
                      <w:lang w:val="en-US" w:eastAsia="zh-CN"/>
                    </w:rPr>
                    <w:t>以及生活用水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排水系统</w:t>
                  </w:r>
                </w:p>
              </w:tc>
              <w:tc>
                <w:tcPr>
                  <w:tcW w:w="7043" w:type="dxa"/>
                  <w:vAlign w:val="center"/>
                </w:tcPr>
                <w:p>
                  <w:pPr>
                    <w:pStyle w:val="28"/>
                  </w:pPr>
                  <w:r>
                    <w:rPr>
                      <w:rFonts w:hint="eastAsia"/>
                      <w:szCs w:val="21"/>
                    </w:rPr>
                    <w:t>在升压站内采用雨污分流制，雨水通过雨水立管引至地面雨水沟；升压站内各用水点的生活污水经化粪池和一体化污水</w:t>
                  </w:r>
                  <w:r>
                    <w:rPr>
                      <w:rFonts w:hint="eastAsia"/>
                      <w:szCs w:val="21"/>
                      <w:lang w:eastAsia="zh-CN"/>
                    </w:rPr>
                    <w:t>处理设施</w:t>
                  </w:r>
                  <w:r>
                    <w:rPr>
                      <w:rFonts w:hint="eastAsia"/>
                      <w:szCs w:val="21"/>
                    </w:rPr>
                    <w:t>处理后用作周边农肥，不外排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供电系统</w:t>
                  </w:r>
                </w:p>
              </w:tc>
              <w:tc>
                <w:tcPr>
                  <w:tcW w:w="7043" w:type="dxa"/>
                  <w:vAlign w:val="center"/>
                </w:tcPr>
                <w:p>
                  <w:pPr>
                    <w:pStyle w:val="28"/>
                  </w:pPr>
                  <w:r>
                    <w:t>本</w:t>
                  </w:r>
                  <w:r>
                    <w:rPr>
                      <w:rFonts w:hint="eastAsia"/>
                    </w:rPr>
                    <w:t>项目</w:t>
                  </w:r>
                  <w:r>
                    <w:t>用电设1台站用变压器。其中一回引至站内35kV母线，选用一台容量为400kVA的站用变作为站用电主供电源，降压至400V后引入站用电进线柜，并建设一台400kVA的10kV变压器作为全站备用电源。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通风系统</w:t>
                  </w:r>
                </w:p>
              </w:tc>
              <w:tc>
                <w:tcPr>
                  <w:tcW w:w="7043" w:type="dxa"/>
                  <w:vAlign w:val="center"/>
                </w:tcPr>
                <w:p>
                  <w:pPr>
                    <w:pStyle w:val="28"/>
                  </w:pPr>
                  <w:r>
                    <w:t>35kV配电室、400V</w:t>
                  </w:r>
                  <w:r>
                    <w:rPr>
                      <w:rFonts w:hint="eastAsia"/>
                    </w:rPr>
                    <w:t>盘室通风设置自然进风，机械排风的通风方式。事故通风量按不少于</w:t>
                  </w:r>
                  <w:r>
                    <w:t>12</w:t>
                  </w:r>
                  <w:r>
                    <w:rPr>
                      <w:rFonts w:hint="eastAsia"/>
                    </w:rPr>
                    <w:t>次</w:t>
                  </w:r>
                  <w:r>
                    <w:t>/h</w:t>
                  </w:r>
                  <w:r>
                    <w:rPr>
                      <w:rFonts w:hint="eastAsia"/>
                    </w:rPr>
                    <w:t>换气计算，通风系统兼作夏季降温使用，自然通风装置采用防火风口</w:t>
                  </w:r>
                  <w:r>
                    <w:t>联合泵房等房间设置机械排风，自然进风的通风方式。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pStyle w:val="28"/>
                  </w:pPr>
                  <w:r>
                    <w:rPr>
                      <w:rFonts w:hint="eastAsia"/>
                    </w:rPr>
                    <w:t>环保工程</w:t>
                  </w:r>
                </w:p>
              </w:tc>
              <w:tc>
                <w:tcPr>
                  <w:tcW w:w="1164" w:type="dxa"/>
                  <w:vAlign w:val="center"/>
                </w:tcPr>
                <w:p>
                  <w:pPr>
                    <w:pStyle w:val="28"/>
                  </w:pPr>
                  <w:r>
                    <w:rPr>
                      <w:rFonts w:hint="eastAsia"/>
                    </w:rPr>
                    <w:t>废水治理设施</w:t>
                  </w:r>
                </w:p>
              </w:tc>
              <w:tc>
                <w:tcPr>
                  <w:tcW w:w="7043" w:type="dxa"/>
                  <w:vAlign w:val="center"/>
                </w:tcPr>
                <w:p>
                  <w:pPr>
                    <w:pStyle w:val="28"/>
                  </w:pPr>
                  <w:r>
                    <w:rPr>
                      <w:rFonts w:hint="eastAsia"/>
                    </w:rPr>
                    <w:t>食堂废水经隔油池处理后排入污水系统，本项目设有1套污水处理系统，采用“化粪池+一体化</w:t>
                  </w:r>
                  <w:r>
                    <w:rPr>
                      <w:rFonts w:hint="eastAsia"/>
                      <w:lang w:eastAsia="zh-CN"/>
                    </w:rPr>
                    <w:t>处理设施</w:t>
                  </w:r>
                  <w:r>
                    <w:rPr>
                      <w:rFonts w:hint="eastAsia"/>
                    </w:rPr>
                    <w:t>”工艺，处理水量为</w:t>
                  </w:r>
                  <w:r>
                    <w:rPr>
                      <w:rFonts w:hint="eastAsia"/>
                      <w:lang w:eastAsia="zh-CN"/>
                    </w:rPr>
                    <w:t>1m³/d</w:t>
                  </w:r>
                  <w:r>
                    <w:rPr>
                      <w:rFonts w:hint="eastAsia"/>
                    </w:rPr>
                    <w:t>，生活污水</w:t>
                  </w:r>
                  <w:r>
                    <w:rPr>
                      <w:rFonts w:hint="eastAsia"/>
                      <w:lang w:val="en-US" w:eastAsia="zh-CN"/>
                    </w:rPr>
                    <w:t>经</w:t>
                  </w:r>
                  <w:r>
                    <w:rPr>
                      <w:rFonts w:hint="eastAsia"/>
                    </w:rPr>
                    <w:t>处理后用作周边农肥，不外排。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废气治理设施</w:t>
                  </w:r>
                </w:p>
              </w:tc>
              <w:tc>
                <w:tcPr>
                  <w:tcW w:w="7043" w:type="dxa"/>
                  <w:vAlign w:val="center"/>
                </w:tcPr>
                <w:p>
                  <w:pPr>
                    <w:pStyle w:val="28"/>
                  </w:pPr>
                  <w:r>
                    <w:rPr>
                      <w:rFonts w:hint="eastAsia"/>
                    </w:rPr>
                    <w:t>升压站内设有食堂，食堂配套安装</w:t>
                  </w:r>
                  <w:r>
                    <w:rPr>
                      <w:rFonts w:hint="eastAsia"/>
                      <w:lang w:val="en-US" w:eastAsia="zh-CN"/>
                    </w:rPr>
                    <w:t>油烟净化器，</w:t>
                  </w:r>
                  <w:r>
                    <w:rPr>
                      <w:rFonts w:hint="eastAsia"/>
                    </w:rPr>
                    <w:t>处理后由专用烟道引至综合楼屋顶排放；升压站运行过程中无其他废气产生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噪声防治措施</w:t>
                  </w:r>
                </w:p>
              </w:tc>
              <w:tc>
                <w:tcPr>
                  <w:tcW w:w="7043" w:type="dxa"/>
                  <w:vAlign w:val="center"/>
                </w:tcPr>
                <w:p>
                  <w:pPr>
                    <w:pStyle w:val="28"/>
                  </w:pPr>
                  <w:r>
                    <w:rPr>
                      <w:rFonts w:hint="eastAsia"/>
                    </w:rPr>
                    <w:t>选择低噪声设备，定期检修使其处于良好的运行状态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一般固体废物</w:t>
                  </w:r>
                </w:p>
              </w:tc>
              <w:tc>
                <w:tcPr>
                  <w:tcW w:w="7043" w:type="dxa"/>
                  <w:vAlign w:val="center"/>
                </w:tcPr>
                <w:p>
                  <w:pPr>
                    <w:pStyle w:val="28"/>
                  </w:pPr>
                  <w:r>
                    <w:rPr>
                      <w:rFonts w:hint="eastAsia"/>
                    </w:rPr>
                    <w:t>设有1处一般固废暂存间，</w:t>
                  </w:r>
                  <w:r>
                    <w:rPr>
                      <w:rFonts w:hint="eastAsia"/>
                      <w:lang w:val="en-US" w:eastAsia="zh-CN"/>
                    </w:rPr>
                    <w:t>位于场内北侧，</w:t>
                  </w:r>
                  <w:r>
                    <w:rPr>
                      <w:rFonts w:hint="eastAsia"/>
                    </w:rPr>
                    <w:t>建筑面积约5m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危险废物</w:t>
                  </w:r>
                </w:p>
              </w:tc>
              <w:tc>
                <w:tcPr>
                  <w:tcW w:w="7043" w:type="dxa"/>
                  <w:vAlign w:val="center"/>
                </w:tcPr>
                <w:p>
                  <w:pPr>
                    <w:pStyle w:val="28"/>
                  </w:pPr>
                  <w:r>
                    <w:rPr>
                      <w:rFonts w:hint="eastAsia"/>
                    </w:rPr>
                    <w:t>设有1处</w:t>
                  </w:r>
                  <w:r>
                    <w:rPr>
                      <w:rFonts w:hint="eastAsia"/>
                      <w:lang w:eastAsia="zh-CN"/>
                    </w:rPr>
                    <w:t>危废贮存点</w:t>
                  </w:r>
                  <w:r>
                    <w:rPr>
                      <w:rFonts w:hint="eastAsia"/>
                    </w:rPr>
                    <w:t>，</w:t>
                  </w:r>
                  <w:r>
                    <w:rPr>
                      <w:rFonts w:hint="eastAsia"/>
                      <w:lang w:val="en-US" w:eastAsia="zh-CN"/>
                    </w:rPr>
                    <w:t>位于场内北侧，</w:t>
                  </w:r>
                  <w:r>
                    <w:rPr>
                      <w:rFonts w:hint="eastAsia"/>
                    </w:rPr>
                    <w:t>建筑面积约26.16m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pStyle w:val="28"/>
                  </w:pPr>
                </w:p>
              </w:tc>
              <w:tc>
                <w:tcPr>
                  <w:tcW w:w="1164" w:type="dxa"/>
                  <w:vAlign w:val="center"/>
                </w:tcPr>
                <w:p>
                  <w:pPr>
                    <w:pStyle w:val="28"/>
                  </w:pPr>
                  <w:r>
                    <w:rPr>
                      <w:rFonts w:hint="eastAsia"/>
                    </w:rPr>
                    <w:t>事故油池</w:t>
                  </w:r>
                </w:p>
              </w:tc>
              <w:tc>
                <w:tcPr>
                  <w:tcW w:w="7043" w:type="dxa"/>
                  <w:vAlign w:val="center"/>
                </w:tcPr>
                <w:p>
                  <w:pPr>
                    <w:pStyle w:val="28"/>
                  </w:pPr>
                  <w:r>
                    <w:rPr>
                      <w:rFonts w:hint="eastAsia"/>
                    </w:rPr>
                    <w:t>主变压器底部设1座事故油</w:t>
                  </w:r>
                  <w:r>
                    <w:rPr>
                      <w:rFonts w:hint="eastAsia"/>
                      <w:lang w:val="en-US" w:eastAsia="zh-CN"/>
                    </w:rPr>
                    <w:t>坑</w:t>
                  </w:r>
                  <w:r>
                    <w:rPr>
                      <w:rFonts w:hint="eastAsia"/>
                    </w:rPr>
                    <w:t>，升压站内设有1座</w:t>
                  </w:r>
                  <w:r>
                    <w:rPr>
                      <w:rFonts w:hint="eastAsia"/>
                      <w:lang w:eastAsia="zh-CN"/>
                    </w:rPr>
                    <w:t>事故油池</w:t>
                  </w:r>
                  <w:r>
                    <w:rPr>
                      <w:rFonts w:hint="eastAsia"/>
                    </w:rPr>
                    <w:t>，容积为35m³。</w:t>
                  </w:r>
                </w:p>
              </w:tc>
            </w:tr>
          </w:tbl>
          <w:p>
            <w:pPr>
              <w:pStyle w:val="29"/>
              <w:ind w:firstLine="480"/>
            </w:pPr>
            <w:r>
              <w:rPr>
                <w:rFonts w:hint="eastAsia"/>
              </w:rPr>
              <w:t>（1）主变配置：</w:t>
            </w:r>
          </w:p>
          <w:p>
            <w:pPr>
              <w:pStyle w:val="29"/>
              <w:ind w:firstLine="480"/>
            </w:pPr>
            <w:r>
              <w:rPr>
                <w:rFonts w:hint="eastAsia"/>
              </w:rPr>
              <w:t>型式：三相铜芯双绕组有载调压油浸电力变压器。</w:t>
            </w:r>
          </w:p>
          <w:p>
            <w:pPr>
              <w:pStyle w:val="29"/>
              <w:ind w:firstLine="480"/>
            </w:pPr>
            <w:r>
              <w:rPr>
                <w:rFonts w:hint="eastAsia"/>
              </w:rPr>
              <w:t>型号：SZ20-100000kVA/110kV</w:t>
            </w:r>
          </w:p>
          <w:p>
            <w:pPr>
              <w:pStyle w:val="29"/>
              <w:ind w:firstLine="480"/>
            </w:pPr>
            <w:r>
              <w:rPr>
                <w:rFonts w:hint="eastAsia"/>
              </w:rPr>
              <w:t>冷却方式：ONAN</w:t>
            </w:r>
          </w:p>
          <w:p>
            <w:pPr>
              <w:pStyle w:val="29"/>
              <w:ind w:firstLine="480"/>
            </w:pPr>
            <w:r>
              <w:rPr>
                <w:rFonts w:hint="eastAsia"/>
              </w:rPr>
              <w:t>额定频率：50Hz</w:t>
            </w:r>
          </w:p>
          <w:p>
            <w:pPr>
              <w:pStyle w:val="29"/>
              <w:ind w:firstLine="480"/>
            </w:pPr>
            <w:r>
              <w:rPr>
                <w:rFonts w:hint="eastAsia"/>
              </w:rPr>
              <w:t>额定容量：100000kVA</w:t>
            </w:r>
          </w:p>
          <w:p>
            <w:pPr>
              <w:pStyle w:val="29"/>
              <w:ind w:firstLine="480"/>
            </w:pPr>
            <w:r>
              <w:rPr>
                <w:rFonts w:hint="eastAsia"/>
              </w:rPr>
              <w:t>额定电压：高压侧：110kV低压侧：37kV</w:t>
            </w:r>
          </w:p>
          <w:p>
            <w:pPr>
              <w:pStyle w:val="29"/>
              <w:ind w:firstLine="480"/>
            </w:pPr>
            <w:r>
              <w:rPr>
                <w:rFonts w:hint="eastAsia"/>
              </w:rPr>
              <w:t>额定电压比：115±8×1.25%/37kV</w:t>
            </w:r>
          </w:p>
          <w:p>
            <w:pPr>
              <w:pStyle w:val="29"/>
              <w:ind w:firstLine="480"/>
            </w:pPr>
            <w:r>
              <w:rPr>
                <w:rFonts w:hint="eastAsia"/>
              </w:rPr>
              <w:t>短路阻抗：10.5％</w:t>
            </w:r>
          </w:p>
          <w:p>
            <w:pPr>
              <w:pStyle w:val="29"/>
              <w:ind w:firstLine="480"/>
            </w:pPr>
            <w:r>
              <w:rPr>
                <w:rFonts w:hint="eastAsia"/>
              </w:rPr>
              <w:t>联接组标号：YNd11</w:t>
            </w:r>
          </w:p>
          <w:p>
            <w:pPr>
              <w:pStyle w:val="29"/>
              <w:ind w:firstLine="480"/>
            </w:pPr>
            <w:r>
              <w:rPr>
                <w:rFonts w:hint="eastAsia"/>
              </w:rPr>
              <w:t>变压器相序：面对变压器高压侧从左到右，高压侧为A、B、C，低压侧为a、b、c。</w:t>
            </w:r>
          </w:p>
          <w:p>
            <w:pPr>
              <w:pStyle w:val="29"/>
              <w:ind w:firstLine="480"/>
            </w:pPr>
            <w:r>
              <w:rPr>
                <w:rFonts w:hint="eastAsia"/>
              </w:rPr>
              <w:t>绕组绝缘耐热等级：A级</w:t>
            </w:r>
          </w:p>
          <w:p>
            <w:pPr>
              <w:pStyle w:val="29"/>
              <w:ind w:firstLine="480"/>
            </w:pPr>
            <w:r>
              <w:rPr>
                <w:rFonts w:hint="eastAsia"/>
              </w:rPr>
              <w:t>（2）配电装置情况</w:t>
            </w:r>
          </w:p>
          <w:p>
            <w:pPr>
              <w:pStyle w:val="29"/>
              <w:ind w:firstLine="480"/>
            </w:pPr>
            <w:r>
              <w:rPr>
                <w:rFonts w:hint="eastAsia"/>
              </w:rPr>
              <w:t>110kVGIS主要技术参数如下：</w:t>
            </w:r>
          </w:p>
          <w:p>
            <w:pPr>
              <w:pStyle w:val="29"/>
              <w:ind w:firstLine="480"/>
            </w:pPr>
            <w:r>
              <w:rPr>
                <w:rFonts w:hint="eastAsia"/>
              </w:rPr>
              <w:t>型式：SF6气体绝缘组合电器</w:t>
            </w:r>
          </w:p>
          <w:p>
            <w:pPr>
              <w:pStyle w:val="29"/>
              <w:ind w:firstLine="480"/>
            </w:pPr>
            <w:r>
              <w:rPr>
                <w:rFonts w:hint="eastAsia"/>
              </w:rPr>
              <w:t>额定电压：126kV</w:t>
            </w:r>
          </w:p>
          <w:p>
            <w:pPr>
              <w:pStyle w:val="29"/>
              <w:ind w:firstLine="480"/>
            </w:pPr>
            <w:r>
              <w:rPr>
                <w:rFonts w:hint="eastAsia"/>
              </w:rPr>
              <w:t>额定电流：2000A</w:t>
            </w:r>
          </w:p>
          <w:p>
            <w:pPr>
              <w:pStyle w:val="29"/>
              <w:ind w:firstLine="480"/>
            </w:pPr>
            <w:r>
              <w:rPr>
                <w:rFonts w:hint="eastAsia"/>
              </w:rPr>
              <w:t>额定短路开断电流：40kA</w:t>
            </w:r>
          </w:p>
          <w:p>
            <w:pPr>
              <w:pStyle w:val="29"/>
              <w:ind w:firstLine="480"/>
            </w:pPr>
            <w:r>
              <w:rPr>
                <w:rFonts w:hint="eastAsia"/>
              </w:rPr>
              <w:t>额定短时耐受电流：40kA/3s</w:t>
            </w:r>
          </w:p>
          <w:p>
            <w:pPr>
              <w:pStyle w:val="29"/>
              <w:ind w:firstLine="480"/>
            </w:pPr>
            <w:r>
              <w:rPr>
                <w:rFonts w:hint="eastAsia"/>
              </w:rPr>
              <w:t>额定峰值耐受电流：100kA</w:t>
            </w:r>
          </w:p>
          <w:p>
            <w:pPr>
              <w:pStyle w:val="29"/>
              <w:ind w:firstLine="482"/>
              <w:rPr>
                <w:b/>
                <w:bCs/>
              </w:rPr>
            </w:pPr>
            <w:r>
              <w:rPr>
                <w:rFonts w:hint="eastAsia"/>
                <w:b/>
                <w:bCs/>
              </w:rPr>
              <w:t>2.</w:t>
            </w:r>
            <w:r>
              <w:rPr>
                <w:rFonts w:hint="eastAsia"/>
                <w:b/>
                <w:bCs/>
                <w:lang w:val="en-US" w:eastAsia="zh-CN"/>
              </w:rPr>
              <w:t>3</w:t>
            </w:r>
            <w:r>
              <w:rPr>
                <w:rFonts w:hint="eastAsia"/>
                <w:b/>
                <w:bCs/>
              </w:rPr>
              <w:t xml:space="preserve"> 工程占地及土石方平衡</w:t>
            </w:r>
          </w:p>
          <w:p>
            <w:pPr>
              <w:pStyle w:val="29"/>
              <w:ind w:firstLine="482"/>
            </w:pPr>
            <w:r>
              <w:rPr>
                <w:rFonts w:hint="eastAsia"/>
                <w:b/>
                <w:bCs/>
                <w:lang w:eastAsia="zh-CN"/>
              </w:rPr>
              <w:t>2.</w:t>
            </w:r>
            <w:r>
              <w:rPr>
                <w:rFonts w:hint="eastAsia"/>
                <w:b/>
                <w:bCs/>
                <w:lang w:val="en-US" w:eastAsia="zh-CN"/>
              </w:rPr>
              <w:t>3</w:t>
            </w:r>
            <w:r>
              <w:rPr>
                <w:rFonts w:hint="eastAsia"/>
                <w:b/>
                <w:bCs/>
                <w:lang w:eastAsia="zh-CN"/>
              </w:rPr>
              <w:t>.</w:t>
            </w:r>
            <w:r>
              <w:rPr>
                <w:rFonts w:hint="eastAsia"/>
                <w:b/>
                <w:bCs/>
              </w:rPr>
              <w:t>1 土石方平衡</w:t>
            </w:r>
          </w:p>
          <w:p>
            <w:pPr>
              <w:pStyle w:val="29"/>
              <w:ind w:firstLine="480"/>
            </w:pPr>
            <w:r>
              <w:rPr>
                <w:rFonts w:hint="eastAsia" w:ascii="Times New Roman" w:hAnsi="Times New Roman"/>
                <w:sz w:val="24"/>
              </w:rPr>
              <w:t>本项目土石方开挖量约</w:t>
            </w:r>
            <w:r>
              <w:rPr>
                <w:rFonts w:hint="eastAsia"/>
                <w:sz w:val="24"/>
                <w:lang w:eastAsia="zh-CN"/>
              </w:rPr>
              <w:t>7.85</w:t>
            </w:r>
            <w:r>
              <w:rPr>
                <w:rFonts w:hint="eastAsia" w:ascii="Times New Roman" w:hAnsi="Times New Roman"/>
                <w:sz w:val="24"/>
              </w:rPr>
              <w:t>万</w:t>
            </w:r>
            <w:r>
              <w:rPr>
                <w:rFonts w:hint="eastAsia"/>
                <w:sz w:val="24"/>
                <w:lang w:eastAsia="zh-CN"/>
              </w:rPr>
              <w:t>m³</w:t>
            </w:r>
            <w:r>
              <w:rPr>
                <w:rFonts w:ascii="Times New Roman" w:hAnsi="Times New Roman"/>
                <w:sz w:val="24"/>
              </w:rPr>
              <w:t>，土石方回填</w:t>
            </w:r>
            <w:r>
              <w:rPr>
                <w:rFonts w:hint="eastAsia" w:ascii="Times New Roman" w:hAnsi="Times New Roman"/>
                <w:sz w:val="24"/>
              </w:rPr>
              <w:t>量</w:t>
            </w:r>
            <w:r>
              <w:rPr>
                <w:rFonts w:ascii="Times New Roman" w:hAnsi="Times New Roman"/>
                <w:sz w:val="24"/>
              </w:rPr>
              <w:t>约</w:t>
            </w:r>
            <w:r>
              <w:rPr>
                <w:rFonts w:hint="eastAsia"/>
                <w:sz w:val="24"/>
                <w:lang w:eastAsia="zh-CN"/>
              </w:rPr>
              <w:t>7.85</w:t>
            </w:r>
            <w:r>
              <w:rPr>
                <w:rFonts w:hint="eastAsia" w:ascii="Times New Roman" w:hAnsi="Times New Roman"/>
                <w:sz w:val="24"/>
              </w:rPr>
              <w:t>万</w:t>
            </w:r>
            <w:r>
              <w:rPr>
                <w:rFonts w:hint="eastAsia"/>
                <w:sz w:val="24"/>
                <w:lang w:eastAsia="zh-CN"/>
              </w:rPr>
              <w:t>m³</w:t>
            </w:r>
            <w:r>
              <w:rPr>
                <w:rFonts w:ascii="Times New Roman" w:hAnsi="Times New Roman"/>
                <w:sz w:val="24"/>
              </w:rPr>
              <w:t>，</w:t>
            </w:r>
            <w:r>
              <w:rPr>
                <w:rFonts w:hint="eastAsia" w:ascii="Times New Roman" w:hAnsi="Times New Roman"/>
                <w:sz w:val="24"/>
              </w:rPr>
              <w:t>无外借土石方，本项目土石方可实现挖填平衡，未规划设置弃渣场</w:t>
            </w:r>
            <w:r>
              <w:t>。</w:t>
            </w:r>
          </w:p>
          <w:p>
            <w:pPr>
              <w:pStyle w:val="29"/>
              <w:ind w:firstLine="0" w:firstLineChars="0"/>
              <w:jc w:val="center"/>
              <w:rPr>
                <w:rFonts w:hint="eastAsia"/>
              </w:rPr>
            </w:pPr>
            <w:r>
              <w:rPr>
                <w:rFonts w:hint="eastAsia"/>
              </w:rPr>
              <w:t>表2-</w:t>
            </w:r>
            <w:r>
              <w:rPr>
                <w:rFonts w:hint="eastAsia"/>
                <w:lang w:val="en-US" w:eastAsia="zh-CN"/>
              </w:rPr>
              <w:t>9</w:t>
            </w:r>
            <w:r>
              <w:rPr>
                <w:rFonts w:hint="eastAsia"/>
              </w:rPr>
              <w:t xml:space="preserve">  本项目土石方平衡 </w:t>
            </w:r>
            <w:r>
              <w:rPr>
                <w:rFonts w:hint="eastAsia"/>
                <w:lang w:val="en-US" w:eastAsia="zh-CN"/>
              </w:rPr>
              <w:t xml:space="preserve"> </w:t>
            </w:r>
            <w:r>
              <w:rPr>
                <w:rFonts w:hint="eastAsia"/>
              </w:rPr>
              <w:t>单位：</w:t>
            </w:r>
            <w:r>
              <w:rPr>
                <w:rFonts w:hint="eastAsia"/>
                <w:lang w:val="en-US" w:eastAsia="zh-CN"/>
              </w:rPr>
              <w:t>万</w:t>
            </w:r>
            <w:r>
              <w:rPr>
                <w:rFonts w:hint="eastAsia"/>
              </w:rPr>
              <w:t>m³</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918"/>
              <w:gridCol w:w="919"/>
              <w:gridCol w:w="1113"/>
              <w:gridCol w:w="1113"/>
              <w:gridCol w:w="1113"/>
              <w:gridCol w:w="1114"/>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531" w:type="dxa"/>
                  <w:vMerge w:val="restart"/>
                  <w:noWrap w:val="0"/>
                  <w:vAlign w:val="center"/>
                </w:tcPr>
                <w:p>
                  <w:pPr>
                    <w:pStyle w:val="28"/>
                    <w:bidi w:val="0"/>
                  </w:pPr>
                  <w:r>
                    <w:rPr>
                      <w:rFonts w:hint="eastAsia"/>
                      <w:lang w:val="en-US" w:eastAsia="zh-CN"/>
                    </w:rPr>
                    <w:t>项目</w:t>
                  </w:r>
                </w:p>
              </w:tc>
              <w:tc>
                <w:tcPr>
                  <w:tcW w:w="918" w:type="dxa"/>
                  <w:vMerge w:val="restart"/>
                  <w:noWrap w:val="0"/>
                  <w:vAlign w:val="center"/>
                </w:tcPr>
                <w:p>
                  <w:pPr>
                    <w:pStyle w:val="28"/>
                    <w:bidi w:val="0"/>
                  </w:pPr>
                  <w:r>
                    <w:rPr>
                      <w:rFonts w:hint="eastAsia"/>
                      <w:lang w:val="en-US" w:eastAsia="zh-CN"/>
                    </w:rPr>
                    <w:t>挖方</w:t>
                  </w:r>
                </w:p>
              </w:tc>
              <w:tc>
                <w:tcPr>
                  <w:tcW w:w="919" w:type="dxa"/>
                  <w:vMerge w:val="restart"/>
                  <w:noWrap w:val="0"/>
                  <w:vAlign w:val="center"/>
                </w:tcPr>
                <w:p>
                  <w:pPr>
                    <w:pStyle w:val="28"/>
                    <w:bidi w:val="0"/>
                  </w:pPr>
                  <w:r>
                    <w:rPr>
                      <w:rFonts w:hint="eastAsia"/>
                      <w:lang w:val="en-US" w:eastAsia="zh-CN"/>
                    </w:rPr>
                    <w:t>填方</w:t>
                  </w:r>
                </w:p>
              </w:tc>
              <w:tc>
                <w:tcPr>
                  <w:tcW w:w="2226" w:type="dxa"/>
                  <w:gridSpan w:val="2"/>
                  <w:noWrap w:val="0"/>
                  <w:vAlign w:val="center"/>
                </w:tcPr>
                <w:p>
                  <w:pPr>
                    <w:pStyle w:val="28"/>
                    <w:bidi w:val="0"/>
                  </w:pPr>
                  <w:r>
                    <w:rPr>
                      <w:rFonts w:hint="eastAsia"/>
                      <w:lang w:val="en-US" w:eastAsia="zh-CN"/>
                    </w:rPr>
                    <w:t>调入</w:t>
                  </w:r>
                </w:p>
              </w:tc>
              <w:tc>
                <w:tcPr>
                  <w:tcW w:w="2227" w:type="dxa"/>
                  <w:gridSpan w:val="2"/>
                  <w:noWrap w:val="0"/>
                  <w:vAlign w:val="center"/>
                </w:tcPr>
                <w:p>
                  <w:pPr>
                    <w:pStyle w:val="28"/>
                    <w:bidi w:val="0"/>
                  </w:pPr>
                  <w:r>
                    <w:rPr>
                      <w:rFonts w:hint="eastAsia"/>
                      <w:lang w:val="en-US" w:eastAsia="zh-CN"/>
                    </w:rPr>
                    <w:t>调出</w:t>
                  </w:r>
                </w:p>
              </w:tc>
              <w:tc>
                <w:tcPr>
                  <w:tcW w:w="781" w:type="dxa"/>
                  <w:vMerge w:val="restart"/>
                  <w:noWrap w:val="0"/>
                  <w:vAlign w:val="center"/>
                </w:tcPr>
                <w:p>
                  <w:pPr>
                    <w:pStyle w:val="28"/>
                    <w:bidi w:val="0"/>
                    <w:rPr>
                      <w:rFonts w:hint="eastAsia"/>
                    </w:rPr>
                  </w:pPr>
                  <w:r>
                    <w:rPr>
                      <w:rFonts w:hint="eastAsia"/>
                      <w:lang w:val="en-US" w:eastAsia="zh-CN"/>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531" w:type="dxa"/>
                  <w:vMerge w:val="continue"/>
                  <w:noWrap w:val="0"/>
                  <w:vAlign w:val="center"/>
                </w:tcPr>
                <w:p>
                  <w:pPr>
                    <w:pStyle w:val="28"/>
                    <w:bidi w:val="0"/>
                  </w:pPr>
                </w:p>
              </w:tc>
              <w:tc>
                <w:tcPr>
                  <w:tcW w:w="918" w:type="dxa"/>
                  <w:vMerge w:val="continue"/>
                  <w:noWrap w:val="0"/>
                  <w:vAlign w:val="center"/>
                </w:tcPr>
                <w:p>
                  <w:pPr>
                    <w:pStyle w:val="28"/>
                    <w:bidi w:val="0"/>
                  </w:pPr>
                </w:p>
              </w:tc>
              <w:tc>
                <w:tcPr>
                  <w:tcW w:w="919" w:type="dxa"/>
                  <w:vMerge w:val="continue"/>
                  <w:noWrap w:val="0"/>
                  <w:vAlign w:val="center"/>
                </w:tcPr>
                <w:p>
                  <w:pPr>
                    <w:pStyle w:val="28"/>
                    <w:bidi w:val="0"/>
                  </w:pPr>
                </w:p>
              </w:tc>
              <w:tc>
                <w:tcPr>
                  <w:tcW w:w="1113" w:type="dxa"/>
                  <w:noWrap w:val="0"/>
                  <w:vAlign w:val="center"/>
                </w:tcPr>
                <w:p>
                  <w:pPr>
                    <w:pStyle w:val="28"/>
                    <w:bidi w:val="0"/>
                    <w:rPr>
                      <w:rFonts w:hint="default"/>
                      <w:lang w:val="en-US" w:eastAsia="zh-CN"/>
                    </w:rPr>
                  </w:pPr>
                  <w:r>
                    <w:rPr>
                      <w:rFonts w:hint="eastAsia"/>
                      <w:lang w:val="en-US" w:eastAsia="zh-CN"/>
                    </w:rPr>
                    <w:t>数量</w:t>
                  </w:r>
                </w:p>
              </w:tc>
              <w:tc>
                <w:tcPr>
                  <w:tcW w:w="1113" w:type="dxa"/>
                  <w:noWrap w:val="0"/>
                  <w:vAlign w:val="center"/>
                </w:tcPr>
                <w:p>
                  <w:pPr>
                    <w:pStyle w:val="28"/>
                    <w:bidi w:val="0"/>
                    <w:rPr>
                      <w:rFonts w:hint="default"/>
                      <w:lang w:val="en-US" w:eastAsia="zh-CN"/>
                    </w:rPr>
                  </w:pPr>
                  <w:r>
                    <w:rPr>
                      <w:rFonts w:hint="eastAsia"/>
                      <w:lang w:val="en-US" w:eastAsia="zh-CN"/>
                    </w:rPr>
                    <w:t>来源</w:t>
                  </w:r>
                </w:p>
              </w:tc>
              <w:tc>
                <w:tcPr>
                  <w:tcW w:w="1113" w:type="dxa"/>
                  <w:noWrap w:val="0"/>
                  <w:vAlign w:val="center"/>
                </w:tcPr>
                <w:p>
                  <w:pPr>
                    <w:pStyle w:val="28"/>
                    <w:bidi w:val="0"/>
                    <w:rPr>
                      <w:rFonts w:hint="eastAsia"/>
                      <w:lang w:val="en-US" w:eastAsia="zh-CN"/>
                    </w:rPr>
                  </w:pPr>
                  <w:r>
                    <w:rPr>
                      <w:rFonts w:hint="eastAsia"/>
                      <w:lang w:val="en-US" w:eastAsia="zh-CN"/>
                    </w:rPr>
                    <w:t>数量</w:t>
                  </w:r>
                </w:p>
              </w:tc>
              <w:tc>
                <w:tcPr>
                  <w:tcW w:w="1114" w:type="dxa"/>
                  <w:noWrap w:val="0"/>
                  <w:vAlign w:val="center"/>
                </w:tcPr>
                <w:p>
                  <w:pPr>
                    <w:pStyle w:val="28"/>
                    <w:bidi w:val="0"/>
                    <w:rPr>
                      <w:rFonts w:hint="eastAsia"/>
                      <w:lang w:val="en-US" w:eastAsia="zh-CN"/>
                    </w:rPr>
                  </w:pPr>
                  <w:r>
                    <w:rPr>
                      <w:rFonts w:hint="eastAsia"/>
                      <w:lang w:val="en-US" w:eastAsia="zh-CN"/>
                    </w:rPr>
                    <w:t>来源</w:t>
                  </w:r>
                </w:p>
              </w:tc>
              <w:tc>
                <w:tcPr>
                  <w:tcW w:w="781" w:type="dxa"/>
                  <w:vMerge w:val="continue"/>
                  <w:noWrap w:val="0"/>
                  <w:vAlign w:val="center"/>
                </w:tcPr>
                <w:p>
                  <w:pPr>
                    <w:pStyle w:val="28"/>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531" w:type="dxa"/>
                  <w:noWrap w:val="0"/>
                  <w:vAlign w:val="center"/>
                </w:tcPr>
                <w:p>
                  <w:pPr>
                    <w:pStyle w:val="28"/>
                    <w:bidi w:val="0"/>
                    <w:rPr>
                      <w:rFonts w:hint="eastAsia"/>
                      <w:lang w:eastAsia="zh-CN"/>
                    </w:rPr>
                  </w:pPr>
                  <w:r>
                    <w:rPr>
                      <w:rFonts w:hint="eastAsia"/>
                      <w:lang w:val="en-US" w:eastAsia="zh-CN"/>
                    </w:rPr>
                    <w:t>光伏阵列区</w:t>
                  </w:r>
                </w:p>
              </w:tc>
              <w:tc>
                <w:tcPr>
                  <w:tcW w:w="918" w:type="dxa"/>
                  <w:noWrap w:val="0"/>
                  <w:vAlign w:val="center"/>
                </w:tcPr>
                <w:p>
                  <w:pPr>
                    <w:pStyle w:val="28"/>
                    <w:bidi w:val="0"/>
                    <w:rPr>
                      <w:rFonts w:hint="default"/>
                      <w:lang w:val="en-US" w:eastAsia="zh-CN"/>
                    </w:rPr>
                  </w:pPr>
                  <w:r>
                    <w:rPr>
                      <w:rFonts w:hint="default"/>
                      <w:lang w:val="en-US" w:eastAsia="zh-CN"/>
                    </w:rPr>
                    <w:t>0.6</w:t>
                  </w:r>
                </w:p>
              </w:tc>
              <w:tc>
                <w:tcPr>
                  <w:tcW w:w="919" w:type="dxa"/>
                  <w:noWrap w:val="0"/>
                  <w:vAlign w:val="center"/>
                </w:tcPr>
                <w:p>
                  <w:pPr>
                    <w:pStyle w:val="28"/>
                    <w:bidi w:val="0"/>
                    <w:rPr>
                      <w:rFonts w:hint="default"/>
                      <w:lang w:val="en-US" w:eastAsia="zh-CN"/>
                    </w:rPr>
                  </w:pPr>
                  <w:r>
                    <w:rPr>
                      <w:rFonts w:hint="default"/>
                      <w:lang w:val="en-US" w:eastAsia="zh-CN"/>
                    </w:rPr>
                    <w:t>1.27</w:t>
                  </w:r>
                </w:p>
              </w:tc>
              <w:tc>
                <w:tcPr>
                  <w:tcW w:w="1113" w:type="dxa"/>
                  <w:noWrap w:val="0"/>
                  <w:vAlign w:val="center"/>
                </w:tcPr>
                <w:p>
                  <w:pPr>
                    <w:pStyle w:val="28"/>
                    <w:bidi w:val="0"/>
                    <w:rPr>
                      <w:rFonts w:hint="default"/>
                      <w:lang w:val="en-US" w:eastAsia="zh-CN"/>
                    </w:rPr>
                  </w:pPr>
                  <w:r>
                    <w:rPr>
                      <w:rFonts w:hint="default"/>
                      <w:lang w:val="en-US" w:eastAsia="zh-CN"/>
                    </w:rPr>
                    <w:t>0.67</w:t>
                  </w:r>
                </w:p>
              </w:tc>
              <w:tc>
                <w:tcPr>
                  <w:tcW w:w="1113" w:type="dxa"/>
                  <w:noWrap w:val="0"/>
                  <w:vAlign w:val="center"/>
                </w:tcPr>
                <w:p>
                  <w:pPr>
                    <w:pStyle w:val="28"/>
                    <w:bidi w:val="0"/>
                    <w:rPr>
                      <w:rFonts w:hint="default"/>
                      <w:lang w:val="en-US" w:eastAsia="zh-CN"/>
                    </w:rPr>
                  </w:pPr>
                  <w:r>
                    <w:rPr>
                      <w:rFonts w:hint="eastAsia"/>
                      <w:lang w:val="en-US" w:eastAsia="zh-CN"/>
                    </w:rPr>
                    <w:t>道路工程</w:t>
                  </w:r>
                </w:p>
              </w:tc>
              <w:tc>
                <w:tcPr>
                  <w:tcW w:w="1113" w:type="dxa"/>
                  <w:noWrap w:val="0"/>
                  <w:vAlign w:val="center"/>
                </w:tcPr>
                <w:p>
                  <w:pPr>
                    <w:pStyle w:val="28"/>
                    <w:bidi w:val="0"/>
                    <w:rPr>
                      <w:rFonts w:hint="default" w:ascii="Times New Roman" w:hAnsi="Times New Roman" w:eastAsia="宋体" w:cs="Times New Roman"/>
                      <w:sz w:val="21"/>
                      <w:lang w:val="en-US" w:eastAsia="zh-CN" w:bidi="ar-SA"/>
                    </w:rPr>
                  </w:pPr>
                  <w:r>
                    <w:rPr>
                      <w:rFonts w:hint="default"/>
                      <w:lang w:val="en-US" w:eastAsia="zh-CN"/>
                    </w:rPr>
                    <w:t>/</w:t>
                  </w:r>
                </w:p>
              </w:tc>
              <w:tc>
                <w:tcPr>
                  <w:tcW w:w="1114" w:type="dxa"/>
                  <w:noWrap w:val="0"/>
                  <w:vAlign w:val="center"/>
                </w:tcPr>
                <w:p>
                  <w:pPr>
                    <w:pStyle w:val="28"/>
                    <w:bidi w:val="0"/>
                    <w:rPr>
                      <w:rFonts w:hint="default"/>
                      <w:lang w:val="en-US" w:eastAsia="zh-CN"/>
                    </w:rPr>
                  </w:pPr>
                  <w:r>
                    <w:rPr>
                      <w:rFonts w:hint="default"/>
                      <w:lang w:val="en-US" w:eastAsia="zh-CN"/>
                    </w:rPr>
                    <w:t>/</w:t>
                  </w:r>
                </w:p>
              </w:tc>
              <w:tc>
                <w:tcPr>
                  <w:tcW w:w="781" w:type="dxa"/>
                  <w:noWrap w:val="0"/>
                  <w:vAlign w:val="center"/>
                </w:tcPr>
                <w:p>
                  <w:pPr>
                    <w:pStyle w:val="28"/>
                    <w:bidi w:val="0"/>
                    <w:rPr>
                      <w:rFonts w:hint="eastAsia"/>
                      <w:lang w:val="en-US" w:eastAsia="zh-CN"/>
                    </w:rPr>
                  </w:pPr>
                  <w:r>
                    <w:rPr>
                      <w:rFonts w:hint="default"/>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noWrap w:val="0"/>
                  <w:vAlign w:val="center"/>
                </w:tcPr>
                <w:p>
                  <w:pPr>
                    <w:pStyle w:val="28"/>
                    <w:bidi w:val="0"/>
                    <w:rPr>
                      <w:rFonts w:hint="eastAsia"/>
                    </w:rPr>
                  </w:pPr>
                  <w:r>
                    <w:rPr>
                      <w:rFonts w:hint="eastAsia"/>
                      <w:lang w:val="en-US" w:eastAsia="zh-CN"/>
                    </w:rPr>
                    <w:t>升压站</w:t>
                  </w:r>
                </w:p>
              </w:tc>
              <w:tc>
                <w:tcPr>
                  <w:tcW w:w="918" w:type="dxa"/>
                  <w:noWrap w:val="0"/>
                  <w:vAlign w:val="center"/>
                </w:tcPr>
                <w:p>
                  <w:pPr>
                    <w:pStyle w:val="28"/>
                    <w:bidi w:val="0"/>
                    <w:rPr>
                      <w:rFonts w:hint="default"/>
                      <w:lang w:val="en-US" w:eastAsia="zh-CN"/>
                    </w:rPr>
                  </w:pPr>
                  <w:r>
                    <w:rPr>
                      <w:rFonts w:hint="default"/>
                      <w:lang w:val="en-US" w:eastAsia="zh-CN"/>
                    </w:rPr>
                    <w:t>2.44</w:t>
                  </w:r>
                </w:p>
              </w:tc>
              <w:tc>
                <w:tcPr>
                  <w:tcW w:w="919" w:type="dxa"/>
                  <w:noWrap w:val="0"/>
                  <w:vAlign w:val="center"/>
                </w:tcPr>
                <w:p>
                  <w:pPr>
                    <w:pStyle w:val="28"/>
                    <w:bidi w:val="0"/>
                    <w:rPr>
                      <w:rFonts w:hint="default"/>
                      <w:lang w:val="en-US" w:eastAsia="zh-CN"/>
                    </w:rPr>
                  </w:pPr>
                  <w:r>
                    <w:rPr>
                      <w:rFonts w:hint="default"/>
                      <w:lang w:val="en-US" w:eastAsia="zh-CN"/>
                    </w:rPr>
                    <w:t>3.85</w:t>
                  </w:r>
                </w:p>
              </w:tc>
              <w:tc>
                <w:tcPr>
                  <w:tcW w:w="1113" w:type="dxa"/>
                  <w:noWrap w:val="0"/>
                  <w:vAlign w:val="center"/>
                </w:tcPr>
                <w:p>
                  <w:pPr>
                    <w:pStyle w:val="28"/>
                    <w:bidi w:val="0"/>
                    <w:rPr>
                      <w:rFonts w:hint="default"/>
                      <w:lang w:val="en-US" w:eastAsia="zh-CN"/>
                    </w:rPr>
                  </w:pPr>
                  <w:r>
                    <w:rPr>
                      <w:rFonts w:hint="default"/>
                      <w:lang w:val="en-US" w:eastAsia="zh-CN"/>
                    </w:rPr>
                    <w:t>1.41</w:t>
                  </w:r>
                </w:p>
              </w:tc>
              <w:tc>
                <w:tcPr>
                  <w:tcW w:w="1113" w:type="dxa"/>
                  <w:noWrap w:val="0"/>
                  <w:vAlign w:val="center"/>
                </w:tcPr>
                <w:p>
                  <w:pPr>
                    <w:pStyle w:val="28"/>
                    <w:bidi w:val="0"/>
                    <w:rPr>
                      <w:rFonts w:hint="default"/>
                      <w:lang w:val="en-US" w:eastAsia="zh-CN"/>
                    </w:rPr>
                  </w:pPr>
                  <w:r>
                    <w:rPr>
                      <w:rFonts w:hint="eastAsia"/>
                      <w:lang w:val="en-US" w:eastAsia="zh-CN"/>
                    </w:rPr>
                    <w:t>道路工程</w:t>
                  </w:r>
                </w:p>
              </w:tc>
              <w:tc>
                <w:tcPr>
                  <w:tcW w:w="1113" w:type="dxa"/>
                  <w:noWrap w:val="0"/>
                  <w:vAlign w:val="center"/>
                </w:tcPr>
                <w:p>
                  <w:pPr>
                    <w:pStyle w:val="28"/>
                    <w:bidi w:val="0"/>
                    <w:rPr>
                      <w:rFonts w:hint="default" w:ascii="Times New Roman" w:hAnsi="Times New Roman" w:eastAsia="宋体" w:cs="Times New Roman"/>
                      <w:sz w:val="21"/>
                      <w:lang w:val="en-US" w:eastAsia="zh-CN" w:bidi="ar-SA"/>
                    </w:rPr>
                  </w:pPr>
                  <w:r>
                    <w:rPr>
                      <w:rFonts w:hint="default"/>
                      <w:lang w:val="en-US" w:eastAsia="zh-CN"/>
                    </w:rPr>
                    <w:t>/</w:t>
                  </w:r>
                </w:p>
              </w:tc>
              <w:tc>
                <w:tcPr>
                  <w:tcW w:w="1114" w:type="dxa"/>
                  <w:noWrap w:val="0"/>
                  <w:vAlign w:val="center"/>
                </w:tcPr>
                <w:p>
                  <w:pPr>
                    <w:pStyle w:val="28"/>
                    <w:bidi w:val="0"/>
                    <w:rPr>
                      <w:rFonts w:hint="default"/>
                      <w:lang w:val="en-US" w:eastAsia="zh-CN"/>
                    </w:rPr>
                  </w:pPr>
                  <w:r>
                    <w:rPr>
                      <w:rFonts w:hint="default"/>
                      <w:lang w:val="en-US" w:eastAsia="zh-CN"/>
                    </w:rPr>
                    <w:t>/</w:t>
                  </w:r>
                </w:p>
              </w:tc>
              <w:tc>
                <w:tcPr>
                  <w:tcW w:w="781" w:type="dxa"/>
                  <w:noWrap w:val="0"/>
                  <w:vAlign w:val="center"/>
                </w:tcPr>
                <w:p>
                  <w:pPr>
                    <w:pStyle w:val="28"/>
                    <w:bidi w:val="0"/>
                    <w:rPr>
                      <w:rFonts w:hint="eastAsia"/>
                      <w:lang w:val="en-US" w:eastAsia="zh-CN"/>
                    </w:rPr>
                  </w:pPr>
                  <w:r>
                    <w:rPr>
                      <w:rFonts w:hint="default"/>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noWrap w:val="0"/>
                  <w:vAlign w:val="center"/>
                </w:tcPr>
                <w:p>
                  <w:pPr>
                    <w:pStyle w:val="28"/>
                    <w:bidi w:val="0"/>
                    <w:rPr>
                      <w:rFonts w:hint="eastAsia"/>
                      <w:lang w:val="en-US" w:eastAsia="zh-CN"/>
                    </w:rPr>
                  </w:pPr>
                  <w:r>
                    <w:rPr>
                      <w:rFonts w:hint="eastAsia"/>
                      <w:lang w:val="en-US" w:eastAsia="zh-CN"/>
                    </w:rPr>
                    <w:t>道路工程</w:t>
                  </w:r>
                </w:p>
              </w:tc>
              <w:tc>
                <w:tcPr>
                  <w:tcW w:w="918" w:type="dxa"/>
                  <w:noWrap w:val="0"/>
                  <w:vAlign w:val="center"/>
                </w:tcPr>
                <w:p>
                  <w:pPr>
                    <w:pStyle w:val="28"/>
                    <w:bidi w:val="0"/>
                    <w:rPr>
                      <w:rFonts w:hint="default"/>
                      <w:lang w:val="en-US" w:eastAsia="zh-CN"/>
                    </w:rPr>
                  </w:pPr>
                  <w:r>
                    <w:rPr>
                      <w:rFonts w:hint="default"/>
                      <w:lang w:val="en-US" w:eastAsia="zh-CN"/>
                    </w:rPr>
                    <w:t>4.81</w:t>
                  </w:r>
                </w:p>
              </w:tc>
              <w:tc>
                <w:tcPr>
                  <w:tcW w:w="919" w:type="dxa"/>
                  <w:noWrap w:val="0"/>
                  <w:vAlign w:val="center"/>
                </w:tcPr>
                <w:p>
                  <w:pPr>
                    <w:pStyle w:val="28"/>
                    <w:bidi w:val="0"/>
                    <w:rPr>
                      <w:rFonts w:hint="default"/>
                      <w:lang w:val="en-US" w:eastAsia="zh-CN"/>
                    </w:rPr>
                  </w:pPr>
                  <w:r>
                    <w:rPr>
                      <w:rFonts w:hint="default"/>
                      <w:lang w:val="en-US" w:eastAsia="zh-CN"/>
                    </w:rPr>
                    <w:t>2.73</w:t>
                  </w:r>
                </w:p>
              </w:tc>
              <w:tc>
                <w:tcPr>
                  <w:tcW w:w="1113" w:type="dxa"/>
                  <w:noWrap w:val="0"/>
                  <w:vAlign w:val="center"/>
                </w:tcPr>
                <w:p>
                  <w:pPr>
                    <w:pStyle w:val="28"/>
                    <w:bidi w:val="0"/>
                    <w:rPr>
                      <w:rFonts w:hint="eastAsia"/>
                      <w:lang w:val="en-US" w:eastAsia="zh-CN"/>
                    </w:rPr>
                  </w:pPr>
                  <w:r>
                    <w:rPr>
                      <w:rFonts w:hint="default"/>
                      <w:lang w:val="en-US" w:eastAsia="zh-CN"/>
                    </w:rPr>
                    <w:t>/</w:t>
                  </w:r>
                </w:p>
              </w:tc>
              <w:tc>
                <w:tcPr>
                  <w:tcW w:w="1113" w:type="dxa"/>
                  <w:noWrap w:val="0"/>
                  <w:vAlign w:val="center"/>
                </w:tcPr>
                <w:p>
                  <w:pPr>
                    <w:pStyle w:val="28"/>
                    <w:bidi w:val="0"/>
                    <w:rPr>
                      <w:rFonts w:hint="default"/>
                      <w:lang w:val="en-US" w:eastAsia="zh-CN"/>
                    </w:rPr>
                  </w:pPr>
                  <w:r>
                    <w:rPr>
                      <w:rFonts w:hint="eastAsia"/>
                      <w:lang w:val="en-US" w:eastAsia="zh-CN"/>
                    </w:rPr>
                    <w:t>/</w:t>
                  </w:r>
                </w:p>
              </w:tc>
              <w:tc>
                <w:tcPr>
                  <w:tcW w:w="1113" w:type="dxa"/>
                  <w:noWrap w:val="0"/>
                  <w:vAlign w:val="center"/>
                </w:tcPr>
                <w:p>
                  <w:pPr>
                    <w:pStyle w:val="28"/>
                    <w:bidi w:val="0"/>
                    <w:rPr>
                      <w:rFonts w:hint="default" w:ascii="Times New Roman" w:hAnsi="Times New Roman" w:eastAsia="宋体" w:cs="Times New Roman"/>
                      <w:sz w:val="21"/>
                      <w:lang w:val="en-US" w:eastAsia="zh-CN" w:bidi="ar-SA"/>
                    </w:rPr>
                  </w:pPr>
                  <w:r>
                    <w:rPr>
                      <w:rFonts w:hint="default"/>
                      <w:lang w:val="en-US" w:eastAsia="zh-CN"/>
                    </w:rPr>
                    <w:t>2.08</w:t>
                  </w:r>
                </w:p>
              </w:tc>
              <w:tc>
                <w:tcPr>
                  <w:tcW w:w="1114" w:type="dxa"/>
                  <w:noWrap w:val="0"/>
                  <w:vAlign w:val="center"/>
                </w:tcPr>
                <w:p>
                  <w:pPr>
                    <w:pStyle w:val="28"/>
                    <w:bidi w:val="0"/>
                    <w:rPr>
                      <w:rFonts w:hint="default"/>
                      <w:lang w:val="en-US" w:eastAsia="zh-CN"/>
                    </w:rPr>
                  </w:pPr>
                  <w:r>
                    <w:rPr>
                      <w:rFonts w:hint="eastAsia"/>
                      <w:lang w:val="en-US" w:eastAsia="zh-CN"/>
                    </w:rPr>
                    <w:t>升压站</w:t>
                  </w:r>
                </w:p>
              </w:tc>
              <w:tc>
                <w:tcPr>
                  <w:tcW w:w="781" w:type="dxa"/>
                  <w:noWrap w:val="0"/>
                  <w:vAlign w:val="center"/>
                </w:tcPr>
                <w:p>
                  <w:pPr>
                    <w:pStyle w:val="28"/>
                    <w:bidi w:val="0"/>
                    <w:rPr>
                      <w:rFonts w:hint="eastAsia"/>
                      <w:lang w:val="en-US" w:eastAsia="zh-CN"/>
                    </w:rPr>
                  </w:pPr>
                  <w:r>
                    <w:rPr>
                      <w:rFonts w:hint="default"/>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noWrap w:val="0"/>
                  <w:vAlign w:val="center"/>
                </w:tcPr>
                <w:p>
                  <w:pPr>
                    <w:pStyle w:val="28"/>
                    <w:bidi w:val="0"/>
                    <w:rPr>
                      <w:rFonts w:hint="eastAsia"/>
                    </w:rPr>
                  </w:pPr>
                  <w:r>
                    <w:rPr>
                      <w:rFonts w:hint="eastAsia"/>
                      <w:lang w:val="en-US" w:eastAsia="zh-CN"/>
                    </w:rPr>
                    <w:t>合计</w:t>
                  </w:r>
                </w:p>
              </w:tc>
              <w:tc>
                <w:tcPr>
                  <w:tcW w:w="918" w:type="dxa"/>
                  <w:noWrap w:val="0"/>
                  <w:vAlign w:val="center"/>
                </w:tcPr>
                <w:p>
                  <w:pPr>
                    <w:pStyle w:val="28"/>
                    <w:bidi w:val="0"/>
                    <w:rPr>
                      <w:rFonts w:hint="default"/>
                      <w:lang w:val="en-US" w:eastAsia="zh-CN"/>
                    </w:rPr>
                  </w:pPr>
                  <w:r>
                    <w:rPr>
                      <w:rFonts w:hint="default"/>
                      <w:lang w:val="en-US" w:eastAsia="zh-CN"/>
                    </w:rPr>
                    <w:t>7.85</w:t>
                  </w:r>
                </w:p>
              </w:tc>
              <w:tc>
                <w:tcPr>
                  <w:tcW w:w="919" w:type="dxa"/>
                  <w:noWrap w:val="0"/>
                  <w:vAlign w:val="center"/>
                </w:tcPr>
                <w:p>
                  <w:pPr>
                    <w:pStyle w:val="28"/>
                    <w:bidi w:val="0"/>
                    <w:rPr>
                      <w:rFonts w:hint="default"/>
                      <w:lang w:val="en-US" w:eastAsia="zh-CN"/>
                    </w:rPr>
                  </w:pPr>
                  <w:r>
                    <w:rPr>
                      <w:rFonts w:hint="default"/>
                      <w:lang w:val="en-US" w:eastAsia="zh-CN"/>
                    </w:rPr>
                    <w:t>7.85</w:t>
                  </w:r>
                </w:p>
              </w:tc>
              <w:tc>
                <w:tcPr>
                  <w:tcW w:w="1113" w:type="dxa"/>
                  <w:noWrap w:val="0"/>
                  <w:vAlign w:val="center"/>
                </w:tcPr>
                <w:p>
                  <w:pPr>
                    <w:pStyle w:val="28"/>
                    <w:bidi w:val="0"/>
                    <w:rPr>
                      <w:rFonts w:hint="default"/>
                      <w:lang w:val="en-US" w:eastAsia="zh-CN"/>
                    </w:rPr>
                  </w:pPr>
                  <w:r>
                    <w:rPr>
                      <w:rFonts w:hint="default"/>
                      <w:lang w:val="en-US" w:eastAsia="zh-CN"/>
                    </w:rPr>
                    <w:t>2.08</w:t>
                  </w:r>
                </w:p>
              </w:tc>
              <w:tc>
                <w:tcPr>
                  <w:tcW w:w="1113" w:type="dxa"/>
                  <w:noWrap w:val="0"/>
                  <w:vAlign w:val="center"/>
                </w:tcPr>
                <w:p>
                  <w:pPr>
                    <w:pStyle w:val="28"/>
                    <w:bidi w:val="0"/>
                    <w:rPr>
                      <w:rFonts w:hint="default"/>
                      <w:lang w:val="en-US" w:eastAsia="zh-CN"/>
                    </w:rPr>
                  </w:pPr>
                  <w:r>
                    <w:rPr>
                      <w:rFonts w:hint="eastAsia"/>
                      <w:lang w:val="en-US" w:eastAsia="zh-CN"/>
                    </w:rPr>
                    <w:t>/</w:t>
                  </w:r>
                </w:p>
              </w:tc>
              <w:tc>
                <w:tcPr>
                  <w:tcW w:w="1113" w:type="dxa"/>
                  <w:noWrap w:val="0"/>
                  <w:vAlign w:val="center"/>
                </w:tcPr>
                <w:p>
                  <w:pPr>
                    <w:pStyle w:val="28"/>
                    <w:bidi w:val="0"/>
                    <w:rPr>
                      <w:rFonts w:hint="default" w:ascii="Times New Roman" w:hAnsi="Times New Roman" w:eastAsia="宋体" w:cs="Times New Roman"/>
                      <w:sz w:val="21"/>
                      <w:lang w:val="en-US" w:eastAsia="zh-CN" w:bidi="ar-SA"/>
                    </w:rPr>
                  </w:pPr>
                  <w:r>
                    <w:rPr>
                      <w:rFonts w:hint="default"/>
                      <w:lang w:val="en-US" w:eastAsia="zh-CN"/>
                    </w:rPr>
                    <w:t>2.08</w:t>
                  </w:r>
                </w:p>
              </w:tc>
              <w:tc>
                <w:tcPr>
                  <w:tcW w:w="1114" w:type="dxa"/>
                  <w:noWrap w:val="0"/>
                  <w:vAlign w:val="center"/>
                </w:tcPr>
                <w:p>
                  <w:pPr>
                    <w:pStyle w:val="28"/>
                    <w:bidi w:val="0"/>
                    <w:rPr>
                      <w:rFonts w:hint="default"/>
                      <w:lang w:val="en-US" w:eastAsia="zh-CN"/>
                    </w:rPr>
                  </w:pPr>
                  <w:r>
                    <w:rPr>
                      <w:rFonts w:hint="eastAsia"/>
                      <w:lang w:val="en-US" w:eastAsia="zh-CN"/>
                    </w:rPr>
                    <w:t>/</w:t>
                  </w:r>
                </w:p>
              </w:tc>
              <w:tc>
                <w:tcPr>
                  <w:tcW w:w="781" w:type="dxa"/>
                  <w:noWrap w:val="0"/>
                  <w:vAlign w:val="center"/>
                </w:tcPr>
                <w:p>
                  <w:pPr>
                    <w:pStyle w:val="28"/>
                    <w:bidi w:val="0"/>
                    <w:rPr>
                      <w:rFonts w:hint="eastAsia"/>
                      <w:lang w:val="en-US" w:eastAsia="zh-CN"/>
                    </w:rPr>
                  </w:pPr>
                  <w:r>
                    <w:rPr>
                      <w:rFonts w:hint="default"/>
                      <w:lang w:val="en-US" w:eastAsia="zh-CN"/>
                    </w:rPr>
                    <w:t>0</w:t>
                  </w:r>
                </w:p>
              </w:tc>
            </w:tr>
          </w:tbl>
          <w:p>
            <w:pPr>
              <w:pStyle w:val="29"/>
              <w:ind w:firstLine="482"/>
              <w:rPr>
                <w:rFonts w:hint="eastAsia"/>
                <w:b w:val="0"/>
                <w:bCs w:val="0"/>
                <w:lang w:val="en-US" w:eastAsia="zh-CN"/>
              </w:rPr>
            </w:pPr>
            <w:r>
              <w:rPr>
                <w:rFonts w:hint="eastAsia"/>
                <w:b w:val="0"/>
                <w:bCs w:val="0"/>
                <w:lang w:val="en-US" w:eastAsia="zh-CN"/>
              </w:rPr>
              <w:t>光伏阵列区施工依托原地形，工程无需场地平整，土石方工程主要为微型注浆钢管桩，钻渣就地于光伏板下方摊平处理；箱变基础采用人工开挖，开挖土就近临时堆放，基础施工结束部分土方用于回填基础，多余土方就地摊平处理。</w:t>
            </w:r>
          </w:p>
          <w:p>
            <w:pPr>
              <w:pStyle w:val="29"/>
              <w:ind w:firstLine="482"/>
              <w:rPr>
                <w:rFonts w:hint="eastAsia"/>
                <w:b w:val="0"/>
                <w:bCs w:val="0"/>
                <w:lang w:val="en-US" w:eastAsia="zh-CN"/>
              </w:rPr>
            </w:pPr>
            <w:r>
              <w:rPr>
                <w:rFonts w:hint="eastAsia"/>
                <w:b w:val="0"/>
                <w:bCs w:val="0"/>
                <w:lang w:val="en-US" w:eastAsia="zh-CN"/>
              </w:rPr>
              <w:t>为保证光伏阵列区内车行和材料运输等施工条件，在部分阵列道路无法通达场地设置场区道路。道路基本依托光伏阵列区布置，因道路等级较低，场区道路按照半挖半填考虑，部分路段开挖多余的土石方，采用以下2种方式进行处理：①调运至升压站进行场平利用；②就近调运至光伏阵列区于光伏板下方铺平消纳。</w:t>
            </w:r>
          </w:p>
          <w:p>
            <w:pPr>
              <w:pStyle w:val="29"/>
              <w:ind w:firstLine="482"/>
              <w:rPr>
                <w:rFonts w:hint="eastAsia"/>
                <w:b w:val="0"/>
                <w:bCs w:val="0"/>
                <w:lang w:val="en-US" w:eastAsia="zh-CN"/>
              </w:rPr>
            </w:pPr>
            <w:r>
              <w:rPr>
                <w:rFonts w:hint="eastAsia"/>
                <w:b w:val="0"/>
                <w:bCs w:val="0"/>
                <w:lang w:val="en-US" w:eastAsia="zh-CN"/>
              </w:rPr>
              <w:t>经统计，本项目挖方7.85万m³，填方7.85万m³，无借方，无余方。本项目光伏阵列区、升压站施工过程中需抬高地面高度与周边现状道路顺接，还需调入土石方约2.08万m³；道路工程区由于路基开挖产生余方约2.08万m³，介于项目建设区面积较大，应在施工期间结合场区现状交通运输条件，将项目建设区细分为各个片区以便各片区土石方平衡。</w:t>
            </w:r>
          </w:p>
          <w:p>
            <w:pPr>
              <w:pStyle w:val="29"/>
              <w:ind w:firstLine="482"/>
              <w:rPr>
                <w:b/>
                <w:bCs/>
              </w:rPr>
            </w:pPr>
            <w:r>
              <w:rPr>
                <w:rFonts w:hint="eastAsia"/>
                <w:b/>
                <w:bCs/>
                <w:lang w:eastAsia="zh-CN"/>
              </w:rPr>
              <w:t>2.</w:t>
            </w:r>
            <w:r>
              <w:rPr>
                <w:rFonts w:hint="eastAsia"/>
                <w:b/>
                <w:bCs/>
                <w:lang w:val="en-US" w:eastAsia="zh-CN"/>
              </w:rPr>
              <w:t>3</w:t>
            </w:r>
            <w:r>
              <w:rPr>
                <w:rFonts w:hint="eastAsia"/>
                <w:b/>
                <w:bCs/>
                <w:lang w:eastAsia="zh-CN"/>
              </w:rPr>
              <w:t>.</w:t>
            </w:r>
            <w:r>
              <w:rPr>
                <w:rFonts w:hint="eastAsia"/>
                <w:b/>
                <w:bCs/>
              </w:rPr>
              <w:t>2 工程占地</w:t>
            </w:r>
          </w:p>
          <w:p>
            <w:pPr>
              <w:pStyle w:val="29"/>
              <w:ind w:firstLine="480"/>
              <w:rPr>
                <w:rFonts w:hint="eastAsia"/>
              </w:rPr>
            </w:pPr>
            <w:r>
              <w:rPr>
                <w:rFonts w:hint="eastAsia"/>
              </w:rPr>
              <w:t>本项目建设</w:t>
            </w:r>
            <w:r>
              <w:rPr>
                <w:rFonts w:hint="eastAsia"/>
                <w:lang w:eastAsia="zh-CN"/>
              </w:rPr>
              <w:t>用地</w:t>
            </w:r>
            <w:r>
              <w:rPr>
                <w:rFonts w:hint="eastAsia"/>
              </w:rPr>
              <w:t>主要包括光伏阵列区、临建施工生产生活区和110kV升压站用地，按照用地性质分为临时占地和永久占地</w:t>
            </w:r>
            <w:r>
              <w:rPr>
                <w:rFonts w:hint="eastAsia"/>
                <w:lang w:eastAsia="zh-CN"/>
              </w:rPr>
              <w:t>，</w:t>
            </w:r>
            <w:r>
              <w:rPr>
                <w:rFonts w:hint="eastAsia"/>
                <w:lang w:val="en-US" w:eastAsia="zh-CN"/>
              </w:rPr>
              <w:t>总占地面积约为1662293</w:t>
            </w:r>
            <w:r>
              <w:rPr>
                <w:rFonts w:hint="eastAsia"/>
              </w:rPr>
              <w:t>m</w:t>
            </w:r>
            <w:r>
              <w:rPr>
                <w:rFonts w:hint="eastAsia"/>
                <w:vertAlign w:val="superscript"/>
              </w:rPr>
              <w:t>2</w:t>
            </w:r>
            <w:r>
              <w:rPr>
                <w:rFonts w:hint="eastAsia"/>
              </w:rPr>
              <w:t>。</w:t>
            </w:r>
          </w:p>
          <w:p>
            <w:pPr>
              <w:pStyle w:val="29"/>
              <w:ind w:firstLine="480"/>
              <w:rPr>
                <w:rFonts w:hint="default" w:eastAsia="宋体"/>
                <w:lang w:val="en-US" w:eastAsia="zh-CN"/>
              </w:rPr>
            </w:pPr>
            <w:r>
              <w:rPr>
                <w:rFonts w:hint="eastAsia"/>
              </w:rPr>
              <w:t>工程永久用地</w:t>
            </w:r>
            <w:r>
              <w:rPr>
                <w:rFonts w:hint="eastAsia"/>
                <w:lang w:val="en-US" w:eastAsia="zh-CN"/>
              </w:rPr>
              <w:t>主要为</w:t>
            </w:r>
            <w:r>
              <w:rPr>
                <w:rFonts w:hint="eastAsia"/>
              </w:rPr>
              <w:t>升压站</w:t>
            </w:r>
            <w:r>
              <w:rPr>
                <w:rFonts w:hint="eastAsia"/>
                <w:lang w:val="en-US" w:eastAsia="zh-CN"/>
              </w:rPr>
              <w:t>用地</w:t>
            </w:r>
            <w:r>
              <w:rPr>
                <w:rFonts w:hint="eastAsia"/>
              </w:rPr>
              <w:t>，</w:t>
            </w:r>
            <w:r>
              <w:rPr>
                <w:rFonts w:hint="eastAsia"/>
                <w:lang w:val="en-US" w:eastAsia="zh-CN"/>
              </w:rPr>
              <w:t>1</w:t>
            </w:r>
            <w:r>
              <w:rPr>
                <w:rFonts w:hint="eastAsia"/>
              </w:rPr>
              <w:t>10kV升压站永久用地面积为</w:t>
            </w:r>
            <w:r>
              <w:rPr>
                <w:rFonts w:hint="eastAsia"/>
                <w:lang w:eastAsia="zh-CN"/>
              </w:rPr>
              <w:t>9799</w:t>
            </w:r>
            <w:r>
              <w:rPr>
                <w:rFonts w:hint="eastAsia"/>
              </w:rPr>
              <w:t>m</w:t>
            </w:r>
            <w:r>
              <w:rPr>
                <w:rFonts w:hint="eastAsia"/>
                <w:vertAlign w:val="superscript"/>
              </w:rPr>
              <w:t>2</w:t>
            </w:r>
            <w:r>
              <w:rPr>
                <w:rFonts w:hint="eastAsia"/>
                <w:lang w:eastAsia="zh-CN"/>
              </w:rPr>
              <w:t>，</w:t>
            </w:r>
            <w:r>
              <w:rPr>
                <w:rFonts w:hint="eastAsia"/>
                <w:lang w:val="en-US" w:eastAsia="zh-CN"/>
              </w:rPr>
              <w:t>永久用地总面积为9799</w:t>
            </w:r>
            <w:r>
              <w:rPr>
                <w:rFonts w:hint="eastAsia"/>
              </w:rPr>
              <w:t>m</w:t>
            </w:r>
            <w:r>
              <w:rPr>
                <w:rFonts w:hint="eastAsia"/>
                <w:vertAlign w:val="superscript"/>
              </w:rPr>
              <w:t>2</w:t>
            </w:r>
            <w:r>
              <w:rPr>
                <w:rFonts w:hint="eastAsia"/>
                <w:lang w:val="en-US" w:eastAsia="zh-CN"/>
              </w:rPr>
              <w:t>。</w:t>
            </w:r>
          </w:p>
          <w:p>
            <w:pPr>
              <w:pStyle w:val="29"/>
              <w:ind w:firstLine="480"/>
              <w:rPr>
                <w:rFonts w:hint="eastAsia"/>
              </w:rPr>
            </w:pPr>
            <w:r>
              <w:rPr>
                <w:rFonts w:hint="eastAsia"/>
              </w:rPr>
              <w:t>工程临时性用地包括</w:t>
            </w:r>
            <w:r>
              <w:rPr>
                <w:rFonts w:hint="eastAsia"/>
                <w:lang w:val="en-US" w:eastAsia="zh-CN"/>
              </w:rPr>
              <w:t>光伏场区、临时施工道路、临时施工场地、箱变基础临时用地，其中光伏场区临时用地面积为1571494</w:t>
            </w:r>
            <w:r>
              <w:rPr>
                <w:rFonts w:hint="eastAsia"/>
              </w:rPr>
              <w:t>m</w:t>
            </w:r>
            <w:r>
              <w:rPr>
                <w:rFonts w:hint="eastAsia"/>
                <w:vertAlign w:val="superscript"/>
              </w:rPr>
              <w:t>2</w:t>
            </w:r>
            <w:r>
              <w:rPr>
                <w:rFonts w:hint="eastAsia"/>
                <w:lang w:val="en-US" w:eastAsia="zh-CN"/>
              </w:rPr>
              <w:t>，临时施工道路临时用地面积为72000</w:t>
            </w:r>
            <w:r>
              <w:rPr>
                <w:rFonts w:hint="eastAsia"/>
              </w:rPr>
              <w:t>m</w:t>
            </w:r>
            <w:r>
              <w:rPr>
                <w:rFonts w:hint="eastAsia"/>
                <w:vertAlign w:val="superscript"/>
              </w:rPr>
              <w:t>2</w:t>
            </w:r>
            <w:r>
              <w:rPr>
                <w:rFonts w:hint="eastAsia"/>
                <w:lang w:val="en-US" w:eastAsia="zh-CN"/>
              </w:rPr>
              <w:t>，临时施工场地临时用地面积为8000</w:t>
            </w:r>
            <w:r>
              <w:rPr>
                <w:rFonts w:hint="eastAsia"/>
              </w:rPr>
              <w:t>m</w:t>
            </w:r>
            <w:r>
              <w:rPr>
                <w:rFonts w:hint="eastAsia"/>
                <w:vertAlign w:val="superscript"/>
              </w:rPr>
              <w:t>2</w:t>
            </w:r>
            <w:r>
              <w:rPr>
                <w:rFonts w:hint="eastAsia"/>
                <w:lang w:eastAsia="zh-CN"/>
              </w:rPr>
              <w:t>，</w:t>
            </w:r>
            <w:r>
              <w:rPr>
                <w:rFonts w:hint="eastAsia"/>
                <w:lang w:val="en-US" w:eastAsia="zh-CN"/>
              </w:rPr>
              <w:t>箱变基础临时用地面积为1000</w:t>
            </w:r>
            <w:r>
              <w:rPr>
                <w:rFonts w:hint="eastAsia"/>
              </w:rPr>
              <w:t>m</w:t>
            </w:r>
            <w:r>
              <w:rPr>
                <w:rFonts w:hint="eastAsia"/>
                <w:vertAlign w:val="superscript"/>
              </w:rPr>
              <w:t>2</w:t>
            </w:r>
            <w:r>
              <w:rPr>
                <w:rFonts w:hint="eastAsia"/>
                <w:lang w:val="en-US" w:eastAsia="zh-CN"/>
              </w:rPr>
              <w:t>，</w:t>
            </w:r>
            <w:r>
              <w:rPr>
                <w:rFonts w:hint="eastAsia"/>
              </w:rPr>
              <w:t>临时用地</w:t>
            </w:r>
            <w:r>
              <w:rPr>
                <w:rFonts w:hint="eastAsia"/>
                <w:lang w:val="en-US" w:eastAsia="zh-CN"/>
              </w:rPr>
              <w:t>总面积</w:t>
            </w:r>
            <w:r>
              <w:rPr>
                <w:rFonts w:hint="eastAsia"/>
              </w:rPr>
              <w:t>约</w:t>
            </w:r>
            <w:r>
              <w:rPr>
                <w:rFonts w:hint="eastAsia"/>
                <w:lang w:val="en-US" w:eastAsia="zh-CN"/>
              </w:rPr>
              <w:t>1652494</w:t>
            </w:r>
            <w:r>
              <w:rPr>
                <w:rFonts w:hint="eastAsia"/>
              </w:rPr>
              <w:t>m</w:t>
            </w:r>
            <w:r>
              <w:rPr>
                <w:rFonts w:hint="eastAsia"/>
                <w:vertAlign w:val="superscript"/>
              </w:rPr>
              <w:t>2</w:t>
            </w:r>
            <w:r>
              <w:rPr>
                <w:rFonts w:hint="eastAsia"/>
              </w:rPr>
              <w:t>。</w:t>
            </w:r>
          </w:p>
          <w:p>
            <w:pPr>
              <w:pStyle w:val="29"/>
              <w:ind w:firstLine="480"/>
              <w:rPr>
                <w:rFonts w:hint="eastAsia"/>
                <w:lang w:eastAsia="zh-CN"/>
              </w:rPr>
            </w:pPr>
            <w:r>
              <w:rPr>
                <w:rFonts w:hint="eastAsia"/>
              </w:rPr>
              <w:t>根据现场调查，结合《土地利用现状分类》（GB/T21010-2017），项目范围内各个地块的土地利用现状主要为园地、草地等</w:t>
            </w:r>
            <w:r>
              <w:rPr>
                <w:rFonts w:hint="eastAsia"/>
                <w:lang w:eastAsia="zh-CN"/>
              </w:rPr>
              <w:t>。</w:t>
            </w:r>
          </w:p>
          <w:p>
            <w:pPr>
              <w:pStyle w:val="29"/>
              <w:ind w:firstLine="480"/>
            </w:pPr>
            <w:r>
              <w:rPr>
                <w:rFonts w:hint="eastAsia"/>
                <w:lang w:val="en-US" w:eastAsia="zh-CN"/>
              </w:rPr>
              <w:t>本</w:t>
            </w:r>
            <w:r>
              <w:rPr>
                <w:rFonts w:hint="eastAsia"/>
              </w:rPr>
              <w:t>项目</w:t>
            </w:r>
            <w:r>
              <w:rPr>
                <w:rFonts w:hint="eastAsia"/>
                <w:lang w:val="en-US" w:eastAsia="zh-CN"/>
              </w:rPr>
              <w:t>占地类型及性质统计详</w:t>
            </w:r>
            <w:r>
              <w:rPr>
                <w:rFonts w:hint="eastAsia"/>
              </w:rPr>
              <w:t>见表2-</w:t>
            </w:r>
            <w:r>
              <w:rPr>
                <w:rFonts w:hint="eastAsia"/>
                <w:lang w:val="en-US" w:eastAsia="zh-CN"/>
              </w:rPr>
              <w:t>10</w:t>
            </w:r>
            <w:r>
              <w:rPr>
                <w:rFonts w:hint="eastAsia"/>
              </w:rPr>
              <w:t>。</w:t>
            </w:r>
          </w:p>
          <w:p>
            <w:pPr>
              <w:pStyle w:val="29"/>
              <w:ind w:firstLine="0" w:firstLineChars="0"/>
              <w:jc w:val="center"/>
              <w:rPr>
                <w:rFonts w:hint="default" w:eastAsia="宋体"/>
                <w:lang w:val="en-US" w:eastAsia="zh-CN"/>
              </w:rPr>
            </w:pPr>
            <w:r>
              <w:rPr>
                <w:rFonts w:hint="eastAsia"/>
              </w:rPr>
              <w:t>表2-</w:t>
            </w:r>
            <w:r>
              <w:rPr>
                <w:rFonts w:hint="eastAsia"/>
                <w:lang w:val="en-US" w:eastAsia="zh-CN"/>
              </w:rPr>
              <w:t xml:space="preserve">10 </w:t>
            </w:r>
            <w:r>
              <w:rPr>
                <w:rFonts w:hint="eastAsia"/>
              </w:rPr>
              <w:t xml:space="preserve"> 本项目占地土地利用现状统计表</w:t>
            </w:r>
            <w:r>
              <w:rPr>
                <w:rFonts w:hint="eastAsia"/>
                <w:lang w:val="en-US" w:eastAsia="zh-CN"/>
              </w:rPr>
              <w:t xml:space="preserve">  单位：公顷</w:t>
            </w: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7"/>
              <w:gridCol w:w="1268"/>
              <w:gridCol w:w="1501"/>
              <w:gridCol w:w="1077"/>
              <w:gridCol w:w="1111"/>
              <w:gridCol w:w="1152"/>
              <w:gridCol w:w="1085"/>
              <w:gridCol w:w="10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序号</w:t>
                  </w:r>
                </w:p>
              </w:tc>
              <w:tc>
                <w:tcPr>
                  <w:tcW w:w="12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工程分类</w:t>
                  </w:r>
                </w:p>
              </w:tc>
              <w:tc>
                <w:tcPr>
                  <w:tcW w:w="1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工程子分区</w:t>
                  </w:r>
                </w:p>
              </w:tc>
              <w:tc>
                <w:tcPr>
                  <w:tcW w:w="2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占地性质</w:t>
                  </w:r>
                </w:p>
              </w:tc>
              <w:tc>
                <w:tcPr>
                  <w:tcW w:w="32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eastAsia"/>
                    </w:rPr>
                  </w:pPr>
                  <w:r>
                    <w:rPr>
                      <w:rFonts w:hint="eastAsia"/>
                      <w:lang w:val="en-US" w:eastAsia="zh-CN"/>
                    </w:rPr>
                    <w:t>占地类型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p>
              </w:tc>
              <w:tc>
                <w:tcPr>
                  <w:tcW w:w="12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p>
              </w:tc>
              <w:tc>
                <w:tcPr>
                  <w:tcW w:w="1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永久占地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临时占地</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eastAsia"/>
                      <w:lang w:val="en-US" w:eastAsia="zh-CN"/>
                    </w:rPr>
                  </w:pPr>
                  <w:r>
                    <w:rPr>
                      <w:rFonts w:hint="eastAsia"/>
                      <w:lang w:val="en-US" w:eastAsia="zh-CN"/>
                    </w:rPr>
                    <w:t>园地</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eastAsia"/>
                      <w:lang w:val="en-US" w:eastAsia="zh-CN"/>
                    </w:rPr>
                  </w:pPr>
                  <w:r>
                    <w:rPr>
                      <w:rFonts w:hint="eastAsia"/>
                      <w:lang w:val="en-US" w:eastAsia="zh-CN"/>
                    </w:rPr>
                    <w:t>其他草地</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eastAsia"/>
                    </w:rPr>
                  </w:pPr>
                  <w:r>
                    <w:rPr>
                      <w:rFonts w:hint="eastAsia"/>
                      <w:lang w:val="en-US" w:eastAsia="zh-CN"/>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r>
                    <w:rPr>
                      <w:rFonts w:hint="default"/>
                      <w:lang w:val="en-US" w:eastAsia="zh-CN"/>
                    </w:rPr>
                    <w:t>1</w:t>
                  </w:r>
                </w:p>
              </w:tc>
              <w:tc>
                <w:tcPr>
                  <w:tcW w:w="12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光伏阵列工程</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光伏场区</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lang w:val="en-US" w:eastAsia="zh-CN"/>
                    </w:rPr>
                  </w:pPr>
                  <w:r>
                    <w:rPr>
                      <w:rFonts w:hint="default"/>
                      <w:lang w:val="en-US" w:eastAsia="zh-CN"/>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r>
                    <w:rPr>
                      <w:rFonts w:hint="default"/>
                      <w:lang w:val="en-US" w:eastAsia="zh-CN"/>
                    </w:rPr>
                    <w:t>157.1494</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155.5924</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1.5570</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rPr>
                  </w:pPr>
                  <w:r>
                    <w:rPr>
                      <w:rFonts w:hint="default"/>
                      <w:lang w:val="en-US" w:eastAsia="zh-CN"/>
                    </w:rPr>
                    <w:t>157.1494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p>
              </w:tc>
              <w:tc>
                <w:tcPr>
                  <w:tcW w:w="12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箱变基础</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lang w:val="en-US" w:eastAsia="zh-CN"/>
                    </w:rPr>
                  </w:pPr>
                  <w:r>
                    <w:rPr>
                      <w:rFonts w:hint="default"/>
                      <w:lang w:val="en-US" w:eastAsia="zh-CN"/>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r>
                    <w:rPr>
                      <w:rFonts w:hint="default"/>
                      <w:lang w:val="en-US" w:eastAsia="zh-CN"/>
                    </w:rPr>
                    <w:t>0.1</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0.1</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rPr>
                  </w:pPr>
                  <w:r>
                    <w:rPr>
                      <w:rFonts w:hint="default"/>
                      <w:lang w:val="en-US" w:eastAsia="zh-CN"/>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p>
              </w:tc>
              <w:tc>
                <w:tcPr>
                  <w:tcW w:w="12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临时施工道路</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lang w:val="en-US" w:eastAsia="zh-CN"/>
                    </w:rPr>
                  </w:pPr>
                  <w:r>
                    <w:rPr>
                      <w:rFonts w:hint="default"/>
                      <w:lang w:val="en-US" w:eastAsia="zh-CN"/>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r>
                    <w:rPr>
                      <w:rFonts w:hint="default"/>
                      <w:lang w:val="en-US" w:eastAsia="zh-CN"/>
                    </w:rPr>
                    <w:t>7.2</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7.2</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rPr>
                  </w:pPr>
                  <w:r>
                    <w:rPr>
                      <w:rFonts w:hint="default"/>
                      <w:lang w:val="en-US" w:eastAsia="zh-CN"/>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p>
              </w:tc>
              <w:tc>
                <w:tcPr>
                  <w:tcW w:w="12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临时施工场地</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lang w:val="en-US" w:eastAsia="zh-CN"/>
                    </w:rPr>
                  </w:pPr>
                  <w:r>
                    <w:rPr>
                      <w:rFonts w:hint="default"/>
                      <w:lang w:val="en-US" w:eastAsia="zh-CN"/>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r>
                    <w:rPr>
                      <w:rFonts w:hint="default"/>
                      <w:lang w:val="en-US" w:eastAsia="zh-CN"/>
                    </w:rPr>
                    <w:t>0.8</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0.8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rPr>
                  </w:pPr>
                  <w:r>
                    <w:rPr>
                      <w:rFonts w:hint="default"/>
                      <w:lang w:val="en-US" w:eastAsia="zh-CN"/>
                    </w:rPr>
                    <w:t>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97" w:type="dxa"/>
                  <w:tcBorders>
                    <w:top w:val="single" w:color="000000" w:sz="4" w:space="0"/>
                    <w:left w:val="single" w:color="000000" w:sz="4" w:space="0"/>
                    <w:right w:val="single" w:color="000000" w:sz="4" w:space="0"/>
                  </w:tcBorders>
                  <w:shd w:val="clear" w:color="auto" w:fill="auto"/>
                  <w:vAlign w:val="center"/>
                </w:tcPr>
                <w:p>
                  <w:pPr>
                    <w:pStyle w:val="28"/>
                    <w:bidi w:val="0"/>
                    <w:rPr>
                      <w:rFonts w:hint="default"/>
                    </w:rPr>
                  </w:pPr>
                  <w:r>
                    <w:rPr>
                      <w:rFonts w:hint="default"/>
                      <w:lang w:val="en-US" w:eastAsia="zh-CN"/>
                    </w:rPr>
                    <w:t>2</w:t>
                  </w:r>
                </w:p>
              </w:tc>
              <w:tc>
                <w:tcPr>
                  <w:tcW w:w="1268" w:type="dxa"/>
                  <w:tcBorders>
                    <w:top w:val="single" w:color="000000" w:sz="4" w:space="0"/>
                    <w:left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升压站工程</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rPr>
                  </w:pPr>
                  <w:r>
                    <w:rPr>
                      <w:rFonts w:hint="eastAsia"/>
                      <w:lang w:val="en-US" w:eastAsia="zh-CN"/>
                    </w:rPr>
                    <w:t>升压站</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lang w:val="en-US" w:eastAsia="zh-CN"/>
                    </w:rPr>
                  </w:pPr>
                  <w:r>
                    <w:rPr>
                      <w:rFonts w:hint="default"/>
                      <w:lang w:val="en-US" w:eastAsia="zh-CN"/>
                    </w:rPr>
                    <w:t>0.9799</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eastAsia"/>
                      <w:lang w:val="en-US" w:eastAsia="zh-CN"/>
                    </w:rPr>
                  </w:pPr>
                  <w:r>
                    <w:rPr>
                      <w:rFonts w:hint="default"/>
                      <w:lang w:val="en-US" w:eastAsia="zh-CN"/>
                    </w:rPr>
                    <w:t>/</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0.9799</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lang w:val="en-US" w:eastAsia="zh-CN"/>
                    </w:rPr>
                  </w:pPr>
                  <w:r>
                    <w:rPr>
                      <w:rFonts w:hint="default"/>
                      <w:lang w:val="en-US" w:eastAsia="zh-CN"/>
                    </w:rPr>
                    <w:t>/</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8"/>
                    <w:bidi w:val="0"/>
                    <w:rPr>
                      <w:rFonts w:hint="default"/>
                    </w:rPr>
                  </w:pPr>
                  <w:r>
                    <w:rPr>
                      <w:rFonts w:hint="default"/>
                      <w:lang w:val="en-US" w:eastAsia="zh-CN"/>
                    </w:rPr>
                    <w:t>0.9799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r>
                    <w:rPr>
                      <w:rFonts w:hint="default"/>
                      <w:lang w:val="en-US" w:eastAsia="zh-CN"/>
                    </w:rPr>
                    <w:t>3</w:t>
                  </w: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r>
                    <w:rPr>
                      <w:rFonts w:hint="eastAsia"/>
                      <w:lang w:val="en-US" w:eastAsia="zh-CN"/>
                    </w:rPr>
                    <w:t>总计</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lang w:val="en-US" w:eastAsia="zh-CN"/>
                    </w:rPr>
                  </w:pPr>
                  <w:r>
                    <w:rPr>
                      <w:rFonts w:hint="default"/>
                      <w:lang w:val="en-US" w:eastAsia="zh-CN"/>
                    </w:rPr>
                    <w:t>0.9799</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lang w:val="en-US" w:eastAsia="zh-CN"/>
                    </w:rPr>
                  </w:pPr>
                  <w:r>
                    <w:rPr>
                      <w:rFonts w:hint="default"/>
                      <w:lang w:val="en-US" w:eastAsia="zh-CN"/>
                    </w:rPr>
                    <w:t>165.2494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lang w:val="en-US" w:eastAsia="zh-CN"/>
                    </w:rPr>
                  </w:pPr>
                  <w:r>
                    <w:rPr>
                      <w:rFonts w:hint="default"/>
                      <w:lang w:val="en-US" w:eastAsia="zh-CN"/>
                    </w:rPr>
                    <w:t>164.6723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lang w:val="en-US" w:eastAsia="zh-CN"/>
                    </w:rPr>
                  </w:pPr>
                  <w:r>
                    <w:rPr>
                      <w:rFonts w:hint="default"/>
                      <w:lang w:val="en-US" w:eastAsia="zh-CN"/>
                    </w:rPr>
                    <w:t>1.5570</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bidi w:val="0"/>
                    <w:rPr>
                      <w:rFonts w:hint="default"/>
                    </w:rPr>
                  </w:pPr>
                  <w:r>
                    <w:rPr>
                      <w:rFonts w:hint="default"/>
                      <w:lang w:val="en-US" w:eastAsia="zh-CN"/>
                    </w:rPr>
                    <w:t>166.2293</w:t>
                  </w:r>
                </w:p>
              </w:tc>
            </w:tr>
          </w:tbl>
          <w:p>
            <w:pPr>
              <w:pStyle w:val="29"/>
              <w:ind w:firstLine="482"/>
              <w:rPr>
                <w:rFonts w:hint="eastAsia"/>
                <w:b/>
                <w:bCs/>
                <w:lang w:val="en-US" w:eastAsia="zh-CN"/>
              </w:rPr>
            </w:pPr>
            <w:r>
              <w:rPr>
                <w:rFonts w:hint="eastAsia"/>
                <w:b/>
                <w:bCs/>
                <w:lang w:val="en-US" w:eastAsia="zh-CN"/>
              </w:rPr>
              <w:t>2.3临时工程</w:t>
            </w:r>
          </w:p>
          <w:p>
            <w:pPr>
              <w:pStyle w:val="29"/>
              <w:ind w:firstLine="482"/>
              <w:rPr>
                <w:rFonts w:hint="eastAsia"/>
                <w:lang w:val="en-US" w:eastAsia="zh-CN"/>
              </w:rPr>
            </w:pPr>
            <w:r>
              <w:rPr>
                <w:rFonts w:hint="eastAsia"/>
                <w:lang w:val="en-US" w:eastAsia="zh-CN"/>
              </w:rPr>
              <w:t>光伏场区分散布置施工场地3个，施工临时用地约8000m</w:t>
            </w:r>
            <w:r>
              <w:rPr>
                <w:rFonts w:hint="eastAsia"/>
                <w:vertAlign w:val="superscript"/>
                <w:lang w:val="en-US" w:eastAsia="zh-CN"/>
              </w:rPr>
              <w:t>2</w:t>
            </w:r>
            <w:r>
              <w:rPr>
                <w:rFonts w:hint="eastAsia"/>
                <w:lang w:val="en-US" w:eastAsia="zh-CN"/>
              </w:rPr>
              <w:t>，1#施工场地位于北部片区12#发电单元处（与升压站共用），占地面积约5000m</w:t>
            </w:r>
            <w:r>
              <w:rPr>
                <w:rFonts w:hint="eastAsia"/>
                <w:vertAlign w:val="superscript"/>
                <w:lang w:val="en-US" w:eastAsia="zh-CN"/>
              </w:rPr>
              <w:t>2</w:t>
            </w:r>
            <w:r>
              <w:rPr>
                <w:rFonts w:hint="eastAsia"/>
                <w:lang w:val="en-US" w:eastAsia="zh-CN"/>
              </w:rPr>
              <w:t>；2#施工场地位于中部片区2#发电单元处，占地面积约1500m</w:t>
            </w:r>
            <w:r>
              <w:rPr>
                <w:rFonts w:hint="eastAsia"/>
                <w:vertAlign w:val="superscript"/>
                <w:lang w:val="en-US" w:eastAsia="zh-CN"/>
              </w:rPr>
              <w:t>2</w:t>
            </w:r>
            <w:r>
              <w:rPr>
                <w:rFonts w:hint="eastAsia"/>
                <w:lang w:val="en-US" w:eastAsia="zh-CN"/>
              </w:rPr>
              <w:t>；3#施工场地位于西南侧片区16#发电单元处，占地面积约1500m</w:t>
            </w:r>
            <w:r>
              <w:rPr>
                <w:rFonts w:hint="eastAsia"/>
                <w:vertAlign w:val="superscript"/>
                <w:lang w:val="en-US" w:eastAsia="zh-CN"/>
              </w:rPr>
              <w:t>2</w:t>
            </w:r>
            <w:r>
              <w:rPr>
                <w:rFonts w:hint="eastAsia"/>
                <w:lang w:val="en-US" w:eastAsia="zh-CN"/>
              </w:rPr>
              <w:t>。</w:t>
            </w:r>
          </w:p>
          <w:p>
            <w:pPr>
              <w:pStyle w:val="29"/>
              <w:ind w:firstLine="482"/>
              <w:rPr>
                <w:rFonts w:hint="eastAsia" w:ascii="Times New Roman" w:hAnsi="Times New Roman"/>
                <w:sz w:val="24"/>
              </w:rPr>
            </w:pPr>
            <w:r>
              <w:rPr>
                <w:rFonts w:hint="eastAsia"/>
                <w:b w:val="0"/>
                <w:bCs w:val="0"/>
                <w:lang w:val="en-US" w:eastAsia="zh-CN"/>
              </w:rPr>
              <w:t>本项目临时</w:t>
            </w:r>
            <w:r>
              <w:rPr>
                <w:rFonts w:hint="eastAsia" w:ascii="Times New Roman" w:hAnsi="Times New Roman"/>
                <w:sz w:val="24"/>
              </w:rPr>
              <w:t>设施建筑主要包括综合加工厂、综合仓库、临时生活办公区等。</w:t>
            </w:r>
            <w:r>
              <w:rPr>
                <w:rFonts w:ascii="Times New Roman" w:hAnsi="Times New Roman"/>
                <w:sz w:val="24"/>
              </w:rPr>
              <w:t>为满足施工要求，本项目计划将施工工厂和仓库等设施以及建筑布置在拟定</w:t>
            </w:r>
            <w:r>
              <w:rPr>
                <w:rFonts w:hint="eastAsia" w:ascii="Times New Roman" w:hAnsi="Times New Roman"/>
                <w:sz w:val="24"/>
              </w:rPr>
              <w:t>升压站</w:t>
            </w:r>
            <w:r>
              <w:rPr>
                <w:rFonts w:ascii="Times New Roman" w:hAnsi="Times New Roman"/>
                <w:sz w:val="24"/>
              </w:rPr>
              <w:t>位置附近。</w:t>
            </w:r>
            <w:r>
              <w:rPr>
                <w:rFonts w:hint="eastAsia" w:ascii="Times New Roman" w:hAnsi="Times New Roman"/>
                <w:sz w:val="24"/>
              </w:rPr>
              <w:t>本项目现有交通条件较好，施工便道基本利用现有道路，对部分狭窄检修道路进行改扩建，本项目将改扩建道路</w:t>
            </w:r>
            <w:r>
              <w:rPr>
                <w:rFonts w:hint="eastAsia"/>
                <w:sz w:val="24"/>
                <w:lang w:val="en-US" w:eastAsia="zh-CN"/>
              </w:rPr>
              <w:t>4.7</w:t>
            </w:r>
            <w:r>
              <w:rPr>
                <w:rFonts w:ascii="Times New Roman" w:hAnsi="Times New Roman"/>
                <w:sz w:val="24"/>
              </w:rPr>
              <w:t>km</w:t>
            </w:r>
            <w:r>
              <w:rPr>
                <w:rFonts w:hint="eastAsia"/>
                <w:sz w:val="24"/>
                <w:lang w:eastAsia="zh-CN"/>
              </w:rPr>
              <w:t>，</w:t>
            </w:r>
            <w:r>
              <w:rPr>
                <w:rFonts w:hint="eastAsia"/>
                <w:sz w:val="24"/>
                <w:lang w:val="en-US" w:eastAsia="zh-CN"/>
              </w:rPr>
              <w:t>新建道路0.6km</w:t>
            </w:r>
            <w:r>
              <w:rPr>
                <w:rFonts w:hint="eastAsia" w:ascii="Times New Roman" w:hAnsi="Times New Roman"/>
                <w:sz w:val="24"/>
              </w:rPr>
              <w:t>。</w:t>
            </w:r>
          </w:p>
          <w:p>
            <w:pPr>
              <w:pStyle w:val="29"/>
              <w:ind w:left="0" w:leftChars="0" w:right="0" w:rightChars="0" w:firstLine="0" w:firstLineChars="0"/>
              <w:jc w:val="center"/>
              <w:rPr>
                <w:rFonts w:hint="eastAsia"/>
                <w:lang w:val="en-US" w:eastAsia="zh-CN"/>
              </w:rPr>
            </w:pPr>
            <w:r>
              <w:rPr>
                <w:rFonts w:hint="eastAsia"/>
                <w:lang w:val="en-US" w:eastAsia="zh-CN"/>
              </w:rPr>
              <w:t>表2-8  施工临时设施建筑占地面积一览表  单位：m</w:t>
            </w:r>
            <w:r>
              <w:rPr>
                <w:rFonts w:hint="eastAsia"/>
                <w:vertAlign w:val="superscript"/>
                <w:lang w:val="en-US" w:eastAsia="zh-CN"/>
              </w:rPr>
              <w:t>2</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859"/>
              <w:gridCol w:w="1298"/>
              <w:gridCol w:w="844"/>
              <w:gridCol w:w="750"/>
              <w:gridCol w:w="787"/>
              <w:gridCol w:w="3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pPr>
                  <w:r>
                    <w:rPr>
                      <w:rFonts w:hint="eastAsia"/>
                    </w:rPr>
                    <w:t>序号</w:t>
                  </w:r>
                </w:p>
              </w:tc>
              <w:tc>
                <w:tcPr>
                  <w:tcW w:w="859"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地块名称</w:t>
                  </w:r>
                </w:p>
              </w:tc>
              <w:tc>
                <w:tcPr>
                  <w:tcW w:w="1298" w:type="dxa"/>
                  <w:noWrap w:val="0"/>
                  <w:vAlign w:val="center"/>
                </w:tcPr>
                <w:p>
                  <w:pPr>
                    <w:pStyle w:val="28"/>
                    <w:bidi w:val="0"/>
                    <w:ind w:left="0" w:leftChars="0" w:right="0" w:rightChars="0" w:firstLine="0" w:firstLineChars="0"/>
                    <w:jc w:val="center"/>
                  </w:pPr>
                  <w:r>
                    <w:rPr>
                      <w:rFonts w:hint="eastAsia"/>
                    </w:rPr>
                    <w:t>项目名称</w:t>
                  </w:r>
                </w:p>
              </w:tc>
              <w:tc>
                <w:tcPr>
                  <w:tcW w:w="844" w:type="dxa"/>
                  <w:noWrap w:val="0"/>
                  <w:vAlign w:val="center"/>
                </w:tcPr>
                <w:p>
                  <w:pPr>
                    <w:pStyle w:val="28"/>
                    <w:bidi w:val="0"/>
                    <w:ind w:left="0" w:leftChars="0" w:right="0" w:rightChars="0" w:firstLine="0" w:firstLineChars="0"/>
                    <w:jc w:val="center"/>
                  </w:pPr>
                  <w:r>
                    <w:rPr>
                      <w:rFonts w:hint="eastAsia"/>
                    </w:rPr>
                    <w:t>建筑面积</w:t>
                  </w:r>
                </w:p>
              </w:tc>
              <w:tc>
                <w:tcPr>
                  <w:tcW w:w="750" w:type="dxa"/>
                  <w:noWrap w:val="0"/>
                  <w:vAlign w:val="center"/>
                </w:tcPr>
                <w:p>
                  <w:pPr>
                    <w:pStyle w:val="28"/>
                    <w:bidi w:val="0"/>
                    <w:ind w:left="0" w:leftChars="0" w:right="0" w:rightChars="0" w:firstLine="0" w:firstLineChars="0"/>
                    <w:jc w:val="center"/>
                  </w:pPr>
                  <w:r>
                    <w:rPr>
                      <w:rFonts w:hint="eastAsia"/>
                    </w:rPr>
                    <w:t>占地面积</w:t>
                  </w:r>
                </w:p>
              </w:tc>
              <w:tc>
                <w:tcPr>
                  <w:tcW w:w="787" w:type="dxa"/>
                  <w:noWrap w:val="0"/>
                  <w:vAlign w:val="center"/>
                </w:tcPr>
                <w:p>
                  <w:pPr>
                    <w:pStyle w:val="28"/>
                    <w:bidi w:val="0"/>
                    <w:ind w:left="0" w:leftChars="0" w:right="0" w:rightChars="0" w:firstLine="0" w:firstLineChars="0"/>
                    <w:jc w:val="center"/>
                    <w:rPr>
                      <w:rFonts w:hint="eastAsia"/>
                    </w:rPr>
                  </w:pPr>
                  <w:r>
                    <w:rPr>
                      <w:rFonts w:hint="eastAsia"/>
                    </w:rPr>
                    <w:t>占地类型</w:t>
                  </w:r>
                </w:p>
              </w:tc>
              <w:tc>
                <w:tcPr>
                  <w:tcW w:w="3630" w:type="dxa"/>
                  <w:noWrap w:val="0"/>
                  <w:vAlign w:val="center"/>
                </w:tcPr>
                <w:p>
                  <w:pPr>
                    <w:pStyle w:val="28"/>
                    <w:bidi w:val="0"/>
                    <w:ind w:left="0" w:leftChars="0" w:right="0" w:rightChars="0"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eastAsia"/>
                    </w:rPr>
                  </w:pPr>
                  <w:r>
                    <w:rPr>
                      <w:rFonts w:hint="eastAsia"/>
                    </w:rPr>
                    <w:t>1</w:t>
                  </w:r>
                </w:p>
              </w:tc>
              <w:tc>
                <w:tcPr>
                  <w:tcW w:w="859" w:type="dxa"/>
                  <w:vMerge w:val="restart"/>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1#地块</w:t>
                  </w:r>
                </w:p>
              </w:tc>
              <w:tc>
                <w:tcPr>
                  <w:tcW w:w="1298"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办公用房</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400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500</w:t>
                  </w:r>
                </w:p>
              </w:tc>
              <w:tc>
                <w:tcPr>
                  <w:tcW w:w="787" w:type="dxa"/>
                  <w:noWrap w:val="0"/>
                  <w:vAlign w:val="center"/>
                </w:tcPr>
                <w:p>
                  <w:pPr>
                    <w:pStyle w:val="28"/>
                    <w:bidi w:val="0"/>
                    <w:ind w:left="0" w:leftChars="0" w:right="0" w:rightChars="0" w:firstLine="0" w:firstLineChars="0"/>
                    <w:jc w:val="center"/>
                    <w:rPr>
                      <w:rFonts w:hint="eastAsia"/>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rPr>
                      <w:rFonts w:hint="eastAsia" w:eastAsia="宋体"/>
                      <w:lang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eastAsia"/>
                    </w:rPr>
                  </w:pPr>
                  <w:r>
                    <w:t>2</w:t>
                  </w:r>
                </w:p>
              </w:tc>
              <w:tc>
                <w:tcPr>
                  <w:tcW w:w="859" w:type="dxa"/>
                  <w:vMerge w:val="continue"/>
                  <w:noWrap w:val="0"/>
                  <w:vAlign w:val="center"/>
                </w:tcPr>
                <w:p>
                  <w:pPr>
                    <w:pStyle w:val="28"/>
                    <w:bidi w:val="0"/>
                    <w:ind w:left="0" w:leftChars="0" w:right="0" w:rightChars="0" w:firstLine="0" w:firstLineChars="0"/>
                    <w:jc w:val="center"/>
                    <w:rPr>
                      <w:rFonts w:hint="eastAsia"/>
                    </w:rPr>
                  </w:pPr>
                </w:p>
              </w:tc>
              <w:tc>
                <w:tcPr>
                  <w:tcW w:w="1298"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生活用房</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1400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1500</w:t>
                  </w:r>
                </w:p>
              </w:tc>
              <w:tc>
                <w:tcPr>
                  <w:tcW w:w="787" w:type="dxa"/>
                  <w:noWrap w:val="0"/>
                  <w:vAlign w:val="center"/>
                </w:tcPr>
                <w:p>
                  <w:pPr>
                    <w:pStyle w:val="28"/>
                    <w:bidi w:val="0"/>
                    <w:ind w:left="0" w:leftChars="0" w:right="0" w:rightChars="0" w:firstLine="0" w:firstLineChars="0"/>
                    <w:jc w:val="center"/>
                    <w:rPr>
                      <w:rFonts w:hint="eastAsia"/>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eastAsia"/>
                    </w:rPr>
                  </w:pPr>
                  <w:r>
                    <w:rPr>
                      <w:rFonts w:hint="eastAsia"/>
                    </w:rPr>
                    <w:t>3</w:t>
                  </w:r>
                </w:p>
              </w:tc>
              <w:tc>
                <w:tcPr>
                  <w:tcW w:w="859" w:type="dxa"/>
                  <w:vMerge w:val="continue"/>
                  <w:noWrap w:val="0"/>
                  <w:vAlign w:val="center"/>
                </w:tcPr>
                <w:p>
                  <w:pPr>
                    <w:pStyle w:val="28"/>
                    <w:bidi w:val="0"/>
                    <w:ind w:left="0" w:leftChars="0" w:right="0" w:rightChars="0" w:firstLine="0" w:firstLineChars="0"/>
                    <w:jc w:val="center"/>
                    <w:rPr>
                      <w:rFonts w:hint="eastAsia"/>
                    </w:rPr>
                  </w:pPr>
                </w:p>
              </w:tc>
              <w:tc>
                <w:tcPr>
                  <w:tcW w:w="1298"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其他用房</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500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800</w:t>
                  </w:r>
                </w:p>
              </w:tc>
              <w:tc>
                <w:tcPr>
                  <w:tcW w:w="787" w:type="dxa"/>
                  <w:noWrap w:val="0"/>
                  <w:vAlign w:val="center"/>
                </w:tcPr>
                <w:p>
                  <w:pPr>
                    <w:pStyle w:val="28"/>
                    <w:bidi w:val="0"/>
                    <w:ind w:left="0" w:leftChars="0" w:right="0" w:rightChars="0" w:firstLine="0" w:firstLineChars="0"/>
                    <w:jc w:val="center"/>
                    <w:rPr>
                      <w:rFonts w:hint="eastAsia"/>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eastAsia"/>
                    </w:rPr>
                  </w:pPr>
                  <w:r>
                    <w:rPr>
                      <w:rFonts w:hint="eastAsia"/>
                    </w:rPr>
                    <w:t>4</w:t>
                  </w:r>
                </w:p>
              </w:tc>
              <w:tc>
                <w:tcPr>
                  <w:tcW w:w="859" w:type="dxa"/>
                  <w:vMerge w:val="continue"/>
                  <w:noWrap w:val="0"/>
                  <w:vAlign w:val="center"/>
                </w:tcPr>
                <w:p>
                  <w:pPr>
                    <w:pStyle w:val="28"/>
                    <w:bidi w:val="0"/>
                    <w:ind w:left="0" w:leftChars="0" w:right="0" w:rightChars="0" w:firstLine="0" w:firstLineChars="0"/>
                    <w:jc w:val="center"/>
                    <w:rPr>
                      <w:rFonts w:hint="eastAsia"/>
                    </w:rPr>
                  </w:pPr>
                </w:p>
              </w:tc>
              <w:tc>
                <w:tcPr>
                  <w:tcW w:w="1298"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钢材加工厂</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200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500</w:t>
                  </w:r>
                </w:p>
              </w:tc>
              <w:tc>
                <w:tcPr>
                  <w:tcW w:w="787" w:type="dxa"/>
                  <w:noWrap w:val="0"/>
                  <w:vAlign w:val="center"/>
                </w:tcPr>
                <w:p>
                  <w:pPr>
                    <w:pStyle w:val="28"/>
                    <w:bidi w:val="0"/>
                    <w:ind w:left="0" w:leftChars="0" w:right="0" w:rightChars="0" w:firstLine="0" w:firstLineChars="0"/>
                    <w:jc w:val="center"/>
                    <w:rPr>
                      <w:rFonts w:hint="eastAsia"/>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eastAsia"/>
                    </w:rPr>
                  </w:pPr>
                  <w:r>
                    <w:rPr>
                      <w:rFonts w:hint="eastAsia"/>
                    </w:rPr>
                    <w:t>5</w:t>
                  </w:r>
                </w:p>
              </w:tc>
              <w:tc>
                <w:tcPr>
                  <w:tcW w:w="859" w:type="dxa"/>
                  <w:vMerge w:val="continue"/>
                  <w:noWrap w:val="0"/>
                  <w:vAlign w:val="center"/>
                </w:tcPr>
                <w:p>
                  <w:pPr>
                    <w:pStyle w:val="28"/>
                    <w:bidi w:val="0"/>
                    <w:ind w:left="0" w:leftChars="0" w:right="0" w:rightChars="0" w:firstLine="0" w:firstLineChars="0"/>
                    <w:jc w:val="center"/>
                    <w:rPr>
                      <w:rFonts w:hint="eastAsia"/>
                    </w:rPr>
                  </w:pPr>
                </w:p>
              </w:tc>
              <w:tc>
                <w:tcPr>
                  <w:tcW w:w="1298"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木材加工厂</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200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500</w:t>
                  </w:r>
                </w:p>
              </w:tc>
              <w:tc>
                <w:tcPr>
                  <w:tcW w:w="787" w:type="dxa"/>
                  <w:noWrap w:val="0"/>
                  <w:vAlign w:val="center"/>
                </w:tcPr>
                <w:p>
                  <w:pPr>
                    <w:pStyle w:val="28"/>
                    <w:bidi w:val="0"/>
                    <w:ind w:left="0" w:leftChars="0" w:right="0" w:rightChars="0" w:firstLine="0" w:firstLineChars="0"/>
                    <w:jc w:val="center"/>
                    <w:rPr>
                      <w:rFonts w:hint="eastAsia"/>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eastAsia"/>
                    </w:rPr>
                  </w:pPr>
                  <w:r>
                    <w:rPr>
                      <w:rFonts w:hint="eastAsia"/>
                    </w:rPr>
                    <w:t>6</w:t>
                  </w:r>
                </w:p>
              </w:tc>
              <w:tc>
                <w:tcPr>
                  <w:tcW w:w="859" w:type="dxa"/>
                  <w:vMerge w:val="continue"/>
                  <w:noWrap w:val="0"/>
                  <w:vAlign w:val="center"/>
                </w:tcPr>
                <w:p>
                  <w:pPr>
                    <w:pStyle w:val="28"/>
                    <w:bidi w:val="0"/>
                    <w:ind w:left="0" w:leftChars="0" w:right="0" w:rightChars="0" w:firstLine="0" w:firstLineChars="0"/>
                    <w:jc w:val="center"/>
                    <w:rPr>
                      <w:rFonts w:hint="eastAsia"/>
                    </w:rPr>
                  </w:pPr>
                </w:p>
              </w:tc>
              <w:tc>
                <w:tcPr>
                  <w:tcW w:w="1298"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综合仓库</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300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500</w:t>
                  </w:r>
                </w:p>
              </w:tc>
              <w:tc>
                <w:tcPr>
                  <w:tcW w:w="787" w:type="dxa"/>
                  <w:noWrap w:val="0"/>
                  <w:vAlign w:val="center"/>
                </w:tcPr>
                <w:p>
                  <w:pPr>
                    <w:pStyle w:val="28"/>
                    <w:bidi w:val="0"/>
                    <w:ind w:left="0" w:leftChars="0" w:right="0" w:rightChars="0" w:firstLine="0" w:firstLineChars="0"/>
                    <w:jc w:val="center"/>
                    <w:rPr>
                      <w:rFonts w:hint="eastAsia"/>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rPr>
                      <w:rFonts w:hint="eastAsia"/>
                    </w:rPr>
                  </w:pPr>
                  <w:r>
                    <w:rPr>
                      <w:rFonts w:hint="eastAsia"/>
                    </w:rPr>
                    <w:t>主要设有光伏组件库、支架库、木材库、钢筋库、综合仓库、机械停放场、设备堆场及生产生活用品仓库等；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lang w:val="en-US" w:eastAsia="zh-CN"/>
                    </w:rPr>
                    <w:t>7</w:t>
                  </w:r>
                </w:p>
              </w:tc>
              <w:tc>
                <w:tcPr>
                  <w:tcW w:w="859" w:type="dxa"/>
                  <w:vMerge w:val="continue"/>
                  <w:noWrap w:val="0"/>
                  <w:vAlign w:val="center"/>
                </w:tcPr>
                <w:p>
                  <w:pPr>
                    <w:pStyle w:val="28"/>
                    <w:bidi w:val="0"/>
                    <w:ind w:left="0" w:leftChars="0" w:right="0" w:rightChars="0" w:firstLine="0" w:firstLineChars="0"/>
                    <w:jc w:val="center"/>
                    <w:rPr>
                      <w:rFonts w:hint="eastAsia"/>
                    </w:rPr>
                  </w:pPr>
                </w:p>
              </w:tc>
              <w:tc>
                <w:tcPr>
                  <w:tcW w:w="1298"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机械设备修配厂</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300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500</w:t>
                  </w:r>
                </w:p>
              </w:tc>
              <w:tc>
                <w:tcPr>
                  <w:tcW w:w="787" w:type="dxa"/>
                  <w:noWrap w:val="0"/>
                  <w:vAlign w:val="center"/>
                </w:tcPr>
                <w:p>
                  <w:pPr>
                    <w:pStyle w:val="28"/>
                    <w:bidi w:val="0"/>
                    <w:ind w:left="0" w:leftChars="0" w:right="0" w:rightChars="0" w:firstLine="0" w:firstLineChars="0"/>
                    <w:jc w:val="center"/>
                    <w:rPr>
                      <w:rFonts w:hint="eastAsia"/>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lang w:val="en-US" w:eastAsia="zh-CN"/>
                    </w:rPr>
                    <w:t>8</w:t>
                  </w:r>
                </w:p>
              </w:tc>
              <w:tc>
                <w:tcPr>
                  <w:tcW w:w="859" w:type="dxa"/>
                  <w:vMerge w:val="continue"/>
                  <w:noWrap w:val="0"/>
                  <w:vAlign w:val="center"/>
                </w:tcPr>
                <w:p>
                  <w:pPr>
                    <w:pStyle w:val="28"/>
                    <w:bidi w:val="0"/>
                    <w:ind w:left="0" w:leftChars="0" w:right="0" w:rightChars="0" w:firstLine="0" w:firstLineChars="0"/>
                    <w:jc w:val="center"/>
                    <w:rPr>
                      <w:rFonts w:hint="eastAsia"/>
                    </w:rPr>
                  </w:pPr>
                </w:p>
              </w:tc>
              <w:tc>
                <w:tcPr>
                  <w:tcW w:w="1298"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lang w:val="en-US" w:eastAsia="zh-CN"/>
                    </w:rPr>
                    <w:t>油库</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50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200</w:t>
                  </w:r>
                </w:p>
              </w:tc>
              <w:tc>
                <w:tcPr>
                  <w:tcW w:w="787" w:type="dxa"/>
                  <w:noWrap w:val="0"/>
                  <w:vAlign w:val="center"/>
                </w:tcPr>
                <w:p>
                  <w:pPr>
                    <w:pStyle w:val="28"/>
                    <w:bidi w:val="0"/>
                    <w:ind w:left="0" w:leftChars="0" w:right="0" w:rightChars="0" w:firstLine="0" w:firstLineChars="0"/>
                    <w:jc w:val="center"/>
                    <w:rPr>
                      <w:rFonts w:hint="eastAsia"/>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lang w:val="en-US" w:eastAsia="zh-CN"/>
                    </w:rPr>
                    <w:t>9</w:t>
                  </w:r>
                </w:p>
              </w:tc>
              <w:tc>
                <w:tcPr>
                  <w:tcW w:w="859"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2#地块</w:t>
                  </w:r>
                </w:p>
              </w:tc>
              <w:tc>
                <w:tcPr>
                  <w:tcW w:w="1298" w:type="dxa"/>
                  <w:noWrap w:val="0"/>
                  <w:vAlign w:val="center"/>
                </w:tcPr>
                <w:p>
                  <w:pPr>
                    <w:pStyle w:val="28"/>
                    <w:bidi w:val="0"/>
                    <w:ind w:left="0" w:leftChars="0" w:right="0" w:rightChars="0" w:firstLine="0" w:firstLineChars="0"/>
                    <w:jc w:val="center"/>
                    <w:rPr>
                      <w:rFonts w:hint="eastAsia"/>
                    </w:rPr>
                  </w:pPr>
                  <w:r>
                    <w:rPr>
                      <w:rFonts w:hint="eastAsia"/>
                    </w:rPr>
                    <w:t>综合仓库</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800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1500</w:t>
                  </w:r>
                </w:p>
              </w:tc>
              <w:tc>
                <w:tcPr>
                  <w:tcW w:w="787"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rPr>
                    <w:t>主要设有光伏组件库、支架库</w:t>
                  </w:r>
                  <w:r>
                    <w:rPr>
                      <w:rFonts w:hint="eastAsia"/>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10</w:t>
                  </w:r>
                </w:p>
              </w:tc>
              <w:tc>
                <w:tcPr>
                  <w:tcW w:w="859"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3#地块</w:t>
                  </w:r>
                </w:p>
              </w:tc>
              <w:tc>
                <w:tcPr>
                  <w:tcW w:w="1298" w:type="dxa"/>
                  <w:noWrap w:val="0"/>
                  <w:vAlign w:val="center"/>
                </w:tcPr>
                <w:p>
                  <w:pPr>
                    <w:pStyle w:val="28"/>
                    <w:bidi w:val="0"/>
                    <w:ind w:left="0" w:leftChars="0" w:right="0" w:rightChars="0" w:firstLine="0" w:firstLineChars="0"/>
                    <w:jc w:val="center"/>
                    <w:rPr>
                      <w:rFonts w:hint="eastAsia"/>
                    </w:rPr>
                  </w:pPr>
                  <w:r>
                    <w:rPr>
                      <w:rFonts w:hint="eastAsia"/>
                    </w:rPr>
                    <w:t>综合仓库</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800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1500</w:t>
                  </w:r>
                </w:p>
              </w:tc>
              <w:tc>
                <w:tcPr>
                  <w:tcW w:w="787"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lang w:val="en-US" w:eastAsia="zh-CN"/>
                    </w:rPr>
                    <w:t>园地</w:t>
                  </w:r>
                </w:p>
              </w:tc>
              <w:tc>
                <w:tcPr>
                  <w:tcW w:w="3630" w:type="dxa"/>
                  <w:noWrap w:val="0"/>
                  <w:vAlign w:val="center"/>
                </w:tcPr>
                <w:p>
                  <w:pPr>
                    <w:pStyle w:val="28"/>
                    <w:bidi w:val="0"/>
                    <w:ind w:left="0" w:leftChars="0" w:right="0" w:rightChars="0" w:firstLine="0" w:firstLineChars="0"/>
                    <w:jc w:val="center"/>
                    <w:rPr>
                      <w:rFonts w:hint="eastAsia" w:eastAsia="宋体"/>
                      <w:lang w:val="en-US" w:eastAsia="zh-CN"/>
                    </w:rPr>
                  </w:pPr>
                  <w:r>
                    <w:rPr>
                      <w:rFonts w:hint="eastAsia"/>
                    </w:rPr>
                    <w:t>主要设有光伏组件库、支架库</w:t>
                  </w:r>
                  <w:r>
                    <w:rPr>
                      <w:rFonts w:hint="eastAsia"/>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0" w:type="dxa"/>
                  <w:gridSpan w:val="3"/>
                  <w:noWrap w:val="0"/>
                  <w:vAlign w:val="center"/>
                </w:tcPr>
                <w:p>
                  <w:pPr>
                    <w:pStyle w:val="28"/>
                    <w:bidi w:val="0"/>
                    <w:ind w:left="0" w:leftChars="0" w:right="0" w:rightChars="0" w:firstLine="0" w:firstLineChars="0"/>
                    <w:jc w:val="center"/>
                    <w:rPr>
                      <w:rFonts w:hint="eastAsia"/>
                    </w:rPr>
                  </w:pPr>
                  <w:r>
                    <w:rPr>
                      <w:rFonts w:hint="eastAsia"/>
                    </w:rPr>
                    <w:t>合计</w:t>
                  </w:r>
                </w:p>
              </w:tc>
              <w:tc>
                <w:tcPr>
                  <w:tcW w:w="844"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4950</w:t>
                  </w:r>
                </w:p>
              </w:tc>
              <w:tc>
                <w:tcPr>
                  <w:tcW w:w="750" w:type="dxa"/>
                  <w:noWrap w:val="0"/>
                  <w:vAlign w:val="center"/>
                </w:tcPr>
                <w:p>
                  <w:pPr>
                    <w:pStyle w:val="28"/>
                    <w:bidi w:val="0"/>
                    <w:ind w:left="0" w:leftChars="0" w:right="0" w:rightChars="0" w:firstLine="0" w:firstLineChars="0"/>
                    <w:jc w:val="center"/>
                    <w:rPr>
                      <w:rFonts w:hint="default" w:eastAsia="宋体"/>
                      <w:lang w:val="en-US" w:eastAsia="zh-CN"/>
                    </w:rPr>
                  </w:pPr>
                  <w:r>
                    <w:rPr>
                      <w:rFonts w:hint="eastAsia"/>
                      <w:lang w:val="en-US" w:eastAsia="zh-CN"/>
                    </w:rPr>
                    <w:t>8000</w:t>
                  </w:r>
                </w:p>
              </w:tc>
              <w:tc>
                <w:tcPr>
                  <w:tcW w:w="787" w:type="dxa"/>
                  <w:noWrap w:val="0"/>
                  <w:vAlign w:val="center"/>
                </w:tcPr>
                <w:p>
                  <w:pPr>
                    <w:pStyle w:val="28"/>
                    <w:bidi w:val="0"/>
                    <w:ind w:left="0" w:leftChars="0" w:right="0" w:rightChars="0" w:firstLine="0" w:firstLineChars="0"/>
                    <w:jc w:val="center"/>
                    <w:rPr>
                      <w:rFonts w:hint="eastAsia"/>
                    </w:rPr>
                  </w:pPr>
                  <w:r>
                    <w:rPr>
                      <w:rFonts w:hint="eastAsia"/>
                    </w:rPr>
                    <w:t>/</w:t>
                  </w:r>
                </w:p>
              </w:tc>
              <w:tc>
                <w:tcPr>
                  <w:tcW w:w="3630" w:type="dxa"/>
                  <w:noWrap w:val="0"/>
                  <w:vAlign w:val="center"/>
                </w:tcPr>
                <w:p>
                  <w:pPr>
                    <w:pStyle w:val="28"/>
                    <w:bidi w:val="0"/>
                    <w:ind w:left="0" w:leftChars="0" w:right="0" w:rightChars="0" w:firstLine="0" w:firstLineChars="0"/>
                    <w:jc w:val="center"/>
                    <w:rPr>
                      <w:rFonts w:hint="eastAsia"/>
                    </w:rPr>
                  </w:pPr>
                  <w:r>
                    <w:rPr>
                      <w:rFonts w:hint="eastAsia"/>
                    </w:rPr>
                    <w:t>/</w:t>
                  </w:r>
                </w:p>
              </w:tc>
            </w:tr>
          </w:tbl>
          <w:p>
            <w:pPr>
              <w:pStyle w:val="29"/>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总平面及现场布置</w:t>
            </w:r>
          </w:p>
        </w:tc>
        <w:tc>
          <w:tcPr>
            <w:tcW w:w="8828" w:type="dxa"/>
            <w:vAlign w:val="center"/>
          </w:tcPr>
          <w:p>
            <w:pPr>
              <w:pStyle w:val="29"/>
              <w:ind w:firstLine="482"/>
              <w:rPr>
                <w:b/>
                <w:bCs/>
              </w:rPr>
            </w:pPr>
            <w:r>
              <w:rPr>
                <w:rFonts w:hint="eastAsia"/>
                <w:b/>
                <w:bCs/>
              </w:rPr>
              <w:t>2.</w:t>
            </w:r>
            <w:r>
              <w:rPr>
                <w:rFonts w:hint="eastAsia"/>
                <w:b/>
                <w:bCs/>
                <w:lang w:val="en-US" w:eastAsia="zh-CN"/>
              </w:rPr>
              <w:t>5</w:t>
            </w:r>
            <w:r>
              <w:rPr>
                <w:rFonts w:hint="eastAsia"/>
                <w:b/>
                <w:bCs/>
              </w:rPr>
              <w:t xml:space="preserve"> 总平面布置</w:t>
            </w:r>
          </w:p>
          <w:p>
            <w:pPr>
              <w:pStyle w:val="29"/>
              <w:ind w:firstLine="482"/>
              <w:rPr>
                <w:b/>
                <w:bCs/>
              </w:rPr>
            </w:pPr>
            <w:r>
              <w:rPr>
                <w:rFonts w:hint="eastAsia"/>
                <w:b/>
                <w:bCs/>
                <w:lang w:eastAsia="zh-CN"/>
              </w:rPr>
              <w:t>2.</w:t>
            </w:r>
            <w:r>
              <w:rPr>
                <w:rFonts w:hint="eastAsia"/>
                <w:b/>
                <w:bCs/>
                <w:lang w:val="en-US" w:eastAsia="zh-CN"/>
              </w:rPr>
              <w:t>5</w:t>
            </w:r>
            <w:r>
              <w:rPr>
                <w:rFonts w:hint="eastAsia"/>
                <w:b/>
                <w:bCs/>
                <w:lang w:eastAsia="zh-CN"/>
              </w:rPr>
              <w:t>.</w:t>
            </w:r>
            <w:r>
              <w:rPr>
                <w:rFonts w:hint="eastAsia"/>
                <w:b/>
                <w:bCs/>
              </w:rPr>
              <w:t>1 光伏</w:t>
            </w:r>
            <w:r>
              <w:rPr>
                <w:rFonts w:hint="eastAsia"/>
                <w:b/>
                <w:bCs/>
                <w:lang w:val="en-US" w:eastAsia="zh-CN"/>
              </w:rPr>
              <w:t>场区</w:t>
            </w:r>
            <w:r>
              <w:rPr>
                <w:rFonts w:hint="eastAsia"/>
                <w:b/>
                <w:bCs/>
              </w:rPr>
              <w:t>布置</w:t>
            </w:r>
          </w:p>
          <w:p>
            <w:pPr>
              <w:pStyle w:val="29"/>
              <w:ind w:firstLine="480"/>
              <w:rPr>
                <w:rFonts w:hint="eastAsia"/>
                <w:lang w:val="en-US" w:eastAsia="zh-CN"/>
              </w:rPr>
            </w:pPr>
            <w:r>
              <w:rPr>
                <w:rFonts w:hint="eastAsia"/>
                <w:lang w:val="en-US" w:eastAsia="zh-CN"/>
              </w:rPr>
              <w:t>（1）光伏组件布置</w:t>
            </w:r>
          </w:p>
          <w:p>
            <w:pPr>
              <w:pStyle w:val="29"/>
              <w:ind w:firstLine="480"/>
            </w:pPr>
            <w:r>
              <w:rPr>
                <w:rFonts w:hint="eastAsia"/>
                <w:lang w:val="en-US" w:eastAsia="zh-CN"/>
              </w:rPr>
              <w:t>结合本项目用地地形比较复杂等特点，本工程拟采用混凝土灌注桩基础形式，</w:t>
            </w:r>
            <w:r>
              <w:rPr>
                <w:rFonts w:hint="eastAsia" w:ascii="Times New Roman" w:hAnsi="Times New Roman" w:eastAsia="宋体" w:cs="Times New Roman"/>
                <w:bCs/>
                <w:color w:val="auto"/>
                <w:kern w:val="0"/>
                <w:sz w:val="24"/>
                <w:highlight w:val="none"/>
                <w:lang w:val="en-US" w:eastAsia="zh-CN"/>
              </w:rPr>
              <w:t>采用</w:t>
            </w:r>
            <w:r>
              <w:rPr>
                <w:rFonts w:hint="eastAsia"/>
                <w:color w:val="auto"/>
                <w:kern w:val="0"/>
                <w:sz w:val="24"/>
                <w:highlight w:val="none"/>
                <w:lang w:val="en-US" w:eastAsia="zh-CN"/>
              </w:rPr>
              <w:t>柔性支架+</w:t>
            </w:r>
            <w:r>
              <w:rPr>
                <w:color w:val="auto"/>
                <w:kern w:val="0"/>
                <w:sz w:val="24"/>
                <w:highlight w:val="none"/>
              </w:rPr>
              <w:t>固定倾角支架安装方式</w:t>
            </w:r>
            <w:r>
              <w:rPr>
                <w:rFonts w:ascii="Times New Roman" w:hAnsi="Times New Roman" w:eastAsia="宋体" w:cs="Times New Roman"/>
                <w:bCs/>
                <w:color w:val="auto"/>
                <w:kern w:val="0"/>
                <w:sz w:val="24"/>
                <w:highlight w:val="none"/>
              </w:rPr>
              <w:t>。</w:t>
            </w:r>
            <w:r>
              <w:rPr>
                <w:rFonts w:hint="eastAsia"/>
              </w:rPr>
              <w:t>本工程共设17个光伏发电单元，分别为13个4.288MWp光伏发电单元、2个3.4304MWp光伏发电单元、1个2.5728MWp光伏发电单元、1个2.144MWp光伏发电单元，</w:t>
            </w:r>
            <w:r>
              <w:rPr>
                <w:rFonts w:hint="eastAsia" w:eastAsia="宋体"/>
                <w:lang w:val="en-US" w:eastAsia="zh-CN"/>
              </w:rPr>
              <w:t>分散于</w:t>
            </w:r>
            <w:r>
              <w:rPr>
                <w:rFonts w:hint="eastAsia"/>
              </w:rPr>
              <w:t>奉节县新民镇</w:t>
            </w:r>
            <w:r>
              <w:rPr>
                <w:rFonts w:hint="eastAsia"/>
                <w:lang w:val="en-US" w:eastAsia="zh-CN"/>
              </w:rPr>
              <w:t>境内</w:t>
            </w:r>
            <w:r>
              <w:rPr>
                <w:rFonts w:hint="eastAsia"/>
              </w:rPr>
              <w:t>，根据地块分布情况，分为3个</w:t>
            </w:r>
            <w:r>
              <w:rPr>
                <w:rFonts w:hint="eastAsia"/>
                <w:lang w:val="en-US" w:eastAsia="zh-CN"/>
              </w:rPr>
              <w:t>地块</w:t>
            </w:r>
            <w:r>
              <w:rPr>
                <w:rFonts w:hint="eastAsia"/>
              </w:rPr>
              <w:t>进行布置。</w:t>
            </w:r>
          </w:p>
          <w:p>
            <w:pPr>
              <w:pStyle w:val="29"/>
              <w:ind w:firstLine="480"/>
            </w:pPr>
            <w:r>
              <w:rPr>
                <w:rFonts w:hint="eastAsia"/>
              </w:rPr>
              <w:t>1#地块位于龙汇村</w:t>
            </w:r>
            <w:r>
              <w:rPr>
                <w:rFonts w:hint="eastAsia"/>
                <w:lang w:eastAsia="zh-CN"/>
              </w:rPr>
              <w:t>，</w:t>
            </w:r>
            <w:r>
              <w:rPr>
                <w:rFonts w:hint="eastAsia"/>
                <w:lang w:val="en-US" w:eastAsia="zh-CN"/>
              </w:rPr>
              <w:t>布置有3#~15#光伏发电单元</w:t>
            </w:r>
            <w:r>
              <w:rPr>
                <w:rFonts w:hint="eastAsia"/>
              </w:rPr>
              <w:t>，属于整个项目东北部，地块场地呈北高南低、西高东低；地块由光伏阵列、逆变器、升压站构成，逆变器置于光伏方阵中间，升压站位于地块中部。</w:t>
            </w:r>
          </w:p>
          <w:p>
            <w:pPr>
              <w:pStyle w:val="29"/>
              <w:ind w:firstLine="480"/>
            </w:pPr>
            <w:r>
              <w:rPr>
                <w:rFonts w:hint="eastAsia"/>
              </w:rPr>
              <w:t>2#地块位于</w:t>
            </w:r>
            <w:r>
              <w:rPr>
                <w:rFonts w:hint="eastAsia"/>
                <w:lang w:val="en-US" w:eastAsia="zh-CN"/>
              </w:rPr>
              <w:t>长棚村</w:t>
            </w:r>
            <w:r>
              <w:rPr>
                <w:rFonts w:hint="eastAsia"/>
              </w:rPr>
              <w:t>，</w:t>
            </w:r>
            <w:r>
              <w:rPr>
                <w:rFonts w:hint="eastAsia"/>
                <w:lang w:val="en-US" w:eastAsia="zh-CN"/>
              </w:rPr>
              <w:t>布置有1#、2#光伏发电单元，</w:t>
            </w:r>
            <w:r>
              <w:rPr>
                <w:rFonts w:hint="eastAsia"/>
              </w:rPr>
              <w:t>属于整个项目中部，地块场地呈南北向、北高南低；地块由光伏阵列、逆变器等构成，逆变器置于光伏方阵中间。</w:t>
            </w:r>
          </w:p>
          <w:p>
            <w:pPr>
              <w:pStyle w:val="29"/>
              <w:ind w:firstLine="480"/>
            </w:pPr>
            <w:r>
              <w:rPr>
                <w:rFonts w:hint="eastAsia"/>
              </w:rPr>
              <w:t>3#地块位于新坝村</w:t>
            </w:r>
            <w:r>
              <w:rPr>
                <w:rFonts w:hint="eastAsia"/>
                <w:lang w:eastAsia="zh-CN"/>
              </w:rPr>
              <w:t>、</w:t>
            </w:r>
            <w:r>
              <w:rPr>
                <w:rFonts w:hint="eastAsia"/>
                <w:lang w:val="en-US" w:eastAsia="zh-CN"/>
              </w:rPr>
              <w:t>北庄村</w:t>
            </w:r>
            <w:r>
              <w:rPr>
                <w:rFonts w:hint="eastAsia"/>
              </w:rPr>
              <w:t>，</w:t>
            </w:r>
            <w:r>
              <w:rPr>
                <w:rFonts w:hint="eastAsia"/>
                <w:lang w:val="en-US" w:eastAsia="zh-CN"/>
              </w:rPr>
              <w:t>布置有16#、17#光伏发电单元，</w:t>
            </w:r>
            <w:r>
              <w:rPr>
                <w:rFonts w:hint="eastAsia"/>
              </w:rPr>
              <w:t>属于整个项目南部，地块场地呈东西向、北高南低；地块由光伏阵列、逆变器等构成，逆变器置于光伏方阵中间。</w:t>
            </w:r>
          </w:p>
          <w:p>
            <w:pPr>
              <w:pStyle w:val="29"/>
              <w:ind w:firstLine="480"/>
              <w:rPr>
                <w:rFonts w:eastAsia="宋体"/>
                <w:color w:val="auto"/>
                <w:sz w:val="24"/>
                <w:szCs w:val="24"/>
                <w:highlight w:val="none"/>
                <w:lang w:eastAsia="zh-CN"/>
              </w:rPr>
            </w:pPr>
            <w:r>
              <w:rPr>
                <w:rFonts w:hint="eastAsia" w:eastAsia="宋体"/>
                <w:bCs/>
                <w:color w:val="auto"/>
                <w:kern w:val="0"/>
                <w:sz w:val="24"/>
                <w:highlight w:val="none"/>
                <w:lang w:val="en-US" w:eastAsia="zh-CN"/>
              </w:rPr>
              <w:t>项目光伏阵列区</w:t>
            </w:r>
            <w:r>
              <w:rPr>
                <w:rFonts w:eastAsia="宋体"/>
                <w:color w:val="auto"/>
                <w:sz w:val="24"/>
                <w:szCs w:val="24"/>
                <w:highlight w:val="none"/>
                <w:lang w:eastAsia="zh-CN"/>
              </w:rPr>
              <w:t>避让了周边的耕地、永久基本农田，不涉及基本草原和生态保护红线，且场址区域现有道路畅通。</w:t>
            </w:r>
          </w:p>
          <w:p>
            <w:pPr>
              <w:pStyle w:val="29"/>
              <w:ind w:firstLine="480"/>
            </w:pPr>
            <w:r>
              <w:rPr>
                <w:rFonts w:hint="eastAsia"/>
              </w:rPr>
              <w:t>各个地块位置关系示意图见图2-1。</w:t>
            </w:r>
          </w:p>
          <w:tbl>
            <w:tblPr>
              <w:tblStyle w:val="1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358" w:type="dxa"/>
                  <w:vAlign w:val="center"/>
                </w:tcPr>
                <w:p>
                  <w:pPr>
                    <w:pStyle w:val="28"/>
                  </w:pPr>
                  <w:r>
                    <w:drawing>
                      <wp:inline distT="0" distB="0" distL="114300" distR="114300">
                        <wp:extent cx="3434715" cy="2049145"/>
                        <wp:effectExtent l="0" t="0" r="13335" b="8255"/>
                        <wp:docPr id="1" name="图片 1" descr="地块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块分布"/>
                                <pic:cNvPicPr>
                                  <a:picLocks noChangeAspect="1"/>
                                </pic:cNvPicPr>
                              </pic:nvPicPr>
                              <pic:blipFill>
                                <a:blip r:embed="rId9"/>
                                <a:stretch>
                                  <a:fillRect/>
                                </a:stretch>
                              </pic:blipFill>
                              <pic:spPr>
                                <a:xfrm>
                                  <a:off x="0" y="0"/>
                                  <a:ext cx="3434715" cy="20491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358" w:type="dxa"/>
                  <w:vAlign w:val="center"/>
                </w:tcPr>
                <w:p>
                  <w:pPr>
                    <w:pStyle w:val="28"/>
                  </w:pPr>
                  <w:r>
                    <w:rPr>
                      <w:rFonts w:hint="eastAsia"/>
                    </w:rPr>
                    <w:t>图2-1  各个地块位置关系示意图</w:t>
                  </w:r>
                </w:p>
              </w:tc>
            </w:tr>
          </w:tbl>
          <w:p>
            <w:pPr>
              <w:pStyle w:val="29"/>
              <w:ind w:firstLine="48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逆变器布置</w:t>
            </w:r>
          </w:p>
          <w:p>
            <w:pPr>
              <w:pStyle w:val="29"/>
              <w:ind w:firstLine="480"/>
              <w:rPr>
                <w:rFonts w:hint="eastAsia"/>
              </w:rPr>
            </w:pPr>
            <w:r>
              <w:rPr>
                <w:rFonts w:hint="eastAsia"/>
              </w:rPr>
              <w:t>本项目采用3</w:t>
            </w:r>
            <w:r>
              <w:rPr>
                <w:rFonts w:hint="eastAsia"/>
                <w:lang w:val="en-US" w:eastAsia="zh-CN"/>
              </w:rPr>
              <w:t>2</w:t>
            </w:r>
            <w:r>
              <w:rPr>
                <w:rFonts w:hint="eastAsia"/>
              </w:rPr>
              <w:t>0kW组串式逆变器。由于本工程逆变器采用的组串式逆变器，体积小、重量轻，采用直接安装在光伏支架立柱上的方式，不再另行单独设置组串式逆变器支架基础。每个光伏发电单元配置5/6/8/10台320kW组串式逆变器。每台逆变器连接</w:t>
            </w:r>
            <w:r>
              <w:rPr>
                <w:rFonts w:hint="eastAsia"/>
                <w:lang w:val="en-US" w:eastAsia="zh-CN"/>
              </w:rPr>
              <w:t>19/20</w:t>
            </w:r>
            <w:r>
              <w:rPr>
                <w:rFonts w:hint="eastAsia"/>
              </w:rPr>
              <w:t>个光伏串列；每个光伏串列由26块光伏电池组件串联而成。光伏电池组件通过自带的电缆串接成一个光伏串列，通过光伏专用电缆接至逆变器。</w:t>
            </w:r>
          </w:p>
          <w:p>
            <w:pPr>
              <w:pStyle w:val="29"/>
              <w:ind w:firstLine="480"/>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35kV箱变布局</w:t>
            </w:r>
          </w:p>
          <w:p>
            <w:pPr>
              <w:pStyle w:val="29"/>
              <w:ind w:firstLine="480"/>
              <w:rPr>
                <w:rFonts w:hint="default"/>
                <w:lang w:val="en-US" w:eastAsia="zh-CN"/>
              </w:rPr>
            </w:pPr>
            <w:r>
              <w:rPr>
                <w:rFonts w:hint="default"/>
                <w:lang w:val="en-US" w:eastAsia="zh-CN"/>
              </w:rPr>
              <w:t>本项目选用华式箱变。箱变负责将逆变器输出的800V交流电升压到35kV。每个光伏子方阵配置一台</w:t>
            </w:r>
            <w:r>
              <w:rPr>
                <w:rFonts w:hint="eastAsia"/>
                <w:lang w:val="en-US" w:eastAsia="zh-CN"/>
              </w:rPr>
              <w:t>1.6</w:t>
            </w:r>
            <w:r>
              <w:rPr>
                <w:rFonts w:hint="default"/>
                <w:lang w:val="en-US" w:eastAsia="zh-CN"/>
              </w:rPr>
              <w:t>/</w:t>
            </w:r>
            <w:r>
              <w:rPr>
                <w:rFonts w:hint="eastAsia"/>
                <w:lang w:val="en-US" w:eastAsia="zh-CN"/>
              </w:rPr>
              <w:t>2.02.6</w:t>
            </w:r>
            <w:r>
              <w:rPr>
                <w:rFonts w:hint="default"/>
                <w:lang w:val="en-US" w:eastAsia="zh-CN"/>
              </w:rPr>
              <w:t>/</w:t>
            </w:r>
            <w:r>
              <w:rPr>
                <w:rFonts w:hint="eastAsia"/>
                <w:lang w:val="en-US" w:eastAsia="zh-CN"/>
              </w:rPr>
              <w:t>3.2</w:t>
            </w:r>
            <w:r>
              <w:rPr>
                <w:rFonts w:hint="default"/>
                <w:lang w:val="en-US" w:eastAsia="zh-CN"/>
              </w:rPr>
              <w:t>MW华式箱变，共</w:t>
            </w:r>
            <w:r>
              <w:rPr>
                <w:rFonts w:hint="eastAsia"/>
                <w:lang w:val="en-US" w:eastAsia="zh-CN"/>
              </w:rPr>
              <w:t>1</w:t>
            </w:r>
            <w:r>
              <w:rPr>
                <w:rFonts w:hint="default"/>
                <w:lang w:val="en-US" w:eastAsia="zh-CN"/>
              </w:rPr>
              <w:t>7台，分布在光伏子方阵一侧</w:t>
            </w:r>
            <w:sdt>
              <w:sdtPr>
                <w:rPr>
                  <w:rFonts w:hint="default"/>
                  <w:lang w:val="en-US" w:eastAsia="zh-CN"/>
                </w:rPr>
                <w:alias w:val="标点符号检查"/>
                <w:id w:val="3011746"/>
              </w:sdtPr>
              <w:sdtEndPr>
                <w:rPr>
                  <w:rFonts w:hint="default"/>
                  <w:lang w:val="en-US" w:eastAsia="zh-CN"/>
                </w:rPr>
              </w:sdtEndPr>
              <w:sdtContent>
                <w:bookmarkStart w:id="3" w:name="bkReivew3011746"/>
                <w:r>
                  <w:rPr>
                    <w:rFonts w:hint="default"/>
                    <w:lang w:val="en-US" w:eastAsia="zh-CN"/>
                  </w:rPr>
                  <w:t>(</w:t>
                </w:r>
                <w:bookmarkEnd w:id="3"/>
              </w:sdtContent>
            </w:sdt>
            <w:r>
              <w:rPr>
                <w:rFonts w:hint="default"/>
                <w:lang w:val="en-US" w:eastAsia="zh-CN"/>
              </w:rPr>
              <w:t>尽量布置在道路一旁，便于运输和吊装</w:t>
            </w:r>
            <w:r>
              <w:rPr>
                <w:rFonts w:hint="eastAsia"/>
                <w:lang w:val="en-US" w:eastAsia="zh-CN"/>
              </w:rPr>
              <w:t>）</w:t>
            </w:r>
            <w:sdt>
              <w:sdtPr>
                <w:rPr>
                  <w:rFonts w:hint="default"/>
                  <w:lang w:val="en-US" w:eastAsia="zh-CN"/>
                </w:rPr>
                <w:alias w:val="标点符号检查"/>
                <w:id w:val="1050724"/>
              </w:sdtPr>
              <w:sdtEndPr>
                <w:rPr>
                  <w:rFonts w:hint="default"/>
                  <w:lang w:val="en-US" w:eastAsia="zh-CN"/>
                </w:rPr>
              </w:sdtEndPr>
              <w:sdtContent/>
            </w:sdt>
            <w:r>
              <w:rPr>
                <w:rFonts w:hint="default"/>
                <w:lang w:val="en-US" w:eastAsia="zh-CN"/>
              </w:rPr>
              <w:t>。</w:t>
            </w:r>
          </w:p>
          <w:p>
            <w:pPr>
              <w:pStyle w:val="29"/>
              <w:ind w:firstLine="480"/>
              <w:rPr>
                <w:rFonts w:hint="default"/>
                <w:lang w:val="en-US" w:eastAsia="zh-CN"/>
              </w:rPr>
            </w:pPr>
            <w:r>
              <w:rPr>
                <w:rFonts w:hint="default"/>
                <w:lang w:val="en-US" w:eastAsia="zh-CN"/>
              </w:rPr>
              <w:t>同时为便于光伏电力的集输，根据箱变及集电线路的路径在35kV箱变与35kV集电线路之间布置电缆分接箱，每台电缆分接箱接入台35kV箱变出线。每台电缆接箱只有连接发电单元的进线回路装设隔离开关，其余出线回路采用无开关连接，可以避免一个光伏子方阵出问题整条集电线路失电的弊端，同时使并网光伏电站工程各个发电单元相互独立，运行更安全，巡检更方便，且影响范围更小。</w:t>
            </w:r>
          </w:p>
          <w:p>
            <w:pPr>
              <w:pStyle w:val="29"/>
              <w:ind w:firstLine="480"/>
              <w:rPr>
                <w:rFonts w:hint="default"/>
                <w:lang w:val="en-US" w:eastAsia="zh-CN"/>
              </w:rPr>
            </w:pPr>
            <w:r>
              <w:rPr>
                <w:rFonts w:hint="default"/>
                <w:lang w:val="en-US" w:eastAsia="zh-CN"/>
              </w:rPr>
              <w:t>光伏面板产生电能经逆变器转换后，通过直埋电缆与35kV箱式变压器相连，为尽量缩短35kV直埋电缆沟的长度，并尽可能将35kV直埋电缆沟沿着场内道路布置，缩小施工干扰面积，因此箱式变压器需尽量靠近场内道路布置，同时需要考虑箱式变压器的运行噪声，适当增大箱式变压器与光伏场界的距离。</w:t>
            </w:r>
          </w:p>
          <w:p>
            <w:pPr>
              <w:pStyle w:val="29"/>
              <w:ind w:firstLine="482"/>
              <w:rPr>
                <w:b/>
                <w:bCs/>
              </w:rPr>
            </w:pPr>
            <w:r>
              <w:rPr>
                <w:rFonts w:hint="eastAsia"/>
                <w:b/>
                <w:bCs/>
                <w:lang w:eastAsia="zh-CN"/>
              </w:rPr>
              <w:t>2.</w:t>
            </w:r>
            <w:r>
              <w:rPr>
                <w:rFonts w:hint="eastAsia"/>
                <w:b/>
                <w:bCs/>
                <w:lang w:val="en-US" w:eastAsia="zh-CN"/>
              </w:rPr>
              <w:t>5</w:t>
            </w:r>
            <w:r>
              <w:rPr>
                <w:rFonts w:hint="eastAsia"/>
                <w:b/>
                <w:bCs/>
                <w:lang w:eastAsia="zh-CN"/>
              </w:rPr>
              <w:t>.</w:t>
            </w:r>
            <w:r>
              <w:rPr>
                <w:rFonts w:hint="eastAsia"/>
                <w:b/>
                <w:bCs/>
              </w:rPr>
              <w:t>2 升压站平面布局</w:t>
            </w:r>
          </w:p>
          <w:p>
            <w:pPr>
              <w:pStyle w:val="29"/>
              <w:ind w:firstLine="48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平面布置</w:t>
            </w:r>
          </w:p>
          <w:p>
            <w:pPr>
              <w:pStyle w:val="29"/>
              <w:ind w:firstLine="480"/>
            </w:pPr>
            <w:r>
              <w:rPr>
                <w:rFonts w:hint="eastAsia"/>
              </w:rPr>
              <w:t>升压站总平面布置结合站区的总体规划及工艺要求，在满足自然条件和工程特点的前提下，充分地考虑了安全、防火、卫生、运行检修、交通运输、环境保护等各方面的因素，根据系统规划出线方向及工艺专业的要求，并考虑到进站道路的布置等因素，与电气专业配合，进行了总平面布置如下：</w:t>
            </w:r>
          </w:p>
          <w:p>
            <w:pPr>
              <w:pStyle w:val="29"/>
              <w:ind w:firstLine="480"/>
              <w:rPr>
                <w:rFonts w:hint="eastAsia"/>
              </w:rPr>
            </w:pPr>
            <w:r>
              <w:rPr>
                <w:rFonts w:hint="eastAsia"/>
              </w:rPr>
              <w:t>升压站由综合楼、水泵房、主变、SVG无功补偿、构架避雷针、事故油池、电缆沟等建（构）筑物组成，站内设施分区明确。总体思路是结合户外式升压站电气设备布置和当地的气候条件，将升压站</w:t>
            </w:r>
            <w:r>
              <w:rPr>
                <w:rFonts w:hint="eastAsia"/>
                <w:lang w:eastAsia="zh-CN"/>
              </w:rPr>
              <w:t>分为</w:t>
            </w:r>
            <w:r>
              <w:rPr>
                <w:rFonts w:hint="eastAsia"/>
              </w:rPr>
              <w:t>生产和生活两区。</w:t>
            </w:r>
          </w:p>
          <w:p>
            <w:pPr>
              <w:pStyle w:val="29"/>
              <w:ind w:firstLine="480"/>
            </w:pPr>
            <w:r>
              <w:rPr>
                <w:rFonts w:hint="eastAsia"/>
              </w:rPr>
              <w:t>升压站东侧为配电生产区</w:t>
            </w:r>
            <w:r>
              <w:rPr>
                <w:rFonts w:hint="eastAsia"/>
                <w:lang w:eastAsia="zh-CN"/>
              </w:rPr>
              <w:t>：</w:t>
            </w:r>
            <w:r>
              <w:rPr>
                <w:rFonts w:hint="eastAsia"/>
              </w:rPr>
              <w:t>主变、SVG无功补偿、构架避雷针、事故油池、GIS设备区。生活区在西侧：主要是综合楼，综合楼附近加以绿化点缀，水泵房在升压站北侧。升压站入口大门在升压站的西侧。电气设备区用围栅隔离，并留有围栅大门，保证站区安全。生活污水处理位于篮球场南侧，临近综合楼；消防泵房及水池位于站区西北角。升压站设置4m环形道路，转弯半径9.0m，能够满足升压站设计、消防防火和相应运输要求。为便于进站，将升压站大门布置于西侧，采用宽度为8m，高度1.8m的电动伸缩门。围墙采用实体围墙。</w:t>
            </w:r>
          </w:p>
          <w:p>
            <w:pPr>
              <w:pStyle w:val="29"/>
              <w:ind w:firstLine="480"/>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环保设施</w:t>
            </w:r>
          </w:p>
          <w:p>
            <w:pPr>
              <w:pStyle w:val="29"/>
              <w:ind w:firstLine="480"/>
              <w:rPr>
                <w:rFonts w:hint="default"/>
                <w:lang w:val="en-US" w:eastAsia="zh-CN"/>
              </w:rPr>
            </w:pPr>
            <w:r>
              <w:rPr>
                <w:rFonts w:hint="eastAsia"/>
                <w:lang w:val="en-US" w:eastAsia="zh-CN"/>
              </w:rPr>
              <w:t>①污水治理措施</w:t>
            </w:r>
          </w:p>
          <w:p>
            <w:pPr>
              <w:pStyle w:val="29"/>
              <w:ind w:firstLine="480"/>
              <w:rPr>
                <w:rFonts w:hint="eastAsia"/>
                <w:lang w:val="en-US" w:eastAsia="zh-CN"/>
              </w:rPr>
            </w:pPr>
            <w:r>
              <w:rPr>
                <w:rFonts w:hint="eastAsia"/>
                <w:lang w:val="en-US" w:eastAsia="zh-CN"/>
              </w:rPr>
              <w:t>站内设有隔油池、化粪池、一体化处理设施，位于综合楼东侧，紧邻综合楼便于收集员工生活污水，食堂废水经隔油池预处理后与其他生活污水一同处理，生活污水经化粪池+一体化污水处理设施收集</w:t>
            </w:r>
            <w:r>
              <w:rPr>
                <w:rFonts w:hint="eastAsia"/>
                <w:lang w:eastAsia="zh-CN"/>
              </w:rPr>
              <w:t>后用作周边农肥</w:t>
            </w:r>
            <w:r>
              <w:rPr>
                <w:rFonts w:hint="eastAsia"/>
                <w:lang w:val="en-US" w:eastAsia="zh-CN"/>
              </w:rPr>
              <w:t>，不外排，不会对站外水环境产生影响。</w:t>
            </w:r>
          </w:p>
          <w:p>
            <w:pPr>
              <w:pStyle w:val="29"/>
              <w:ind w:firstLine="480"/>
              <w:rPr>
                <w:rFonts w:hint="eastAsia"/>
                <w:lang w:val="en-US" w:eastAsia="zh-CN"/>
              </w:rPr>
            </w:pPr>
            <w:r>
              <w:rPr>
                <w:rFonts w:hint="eastAsia"/>
                <w:lang w:val="en-US" w:eastAsia="zh-CN"/>
              </w:rPr>
              <w:t>②废气治理措施</w:t>
            </w:r>
          </w:p>
          <w:p>
            <w:pPr>
              <w:pStyle w:val="29"/>
              <w:ind w:firstLine="480"/>
              <w:rPr>
                <w:rFonts w:hint="eastAsia"/>
                <w:lang w:val="en-US" w:eastAsia="zh-CN"/>
              </w:rPr>
            </w:pPr>
            <w:r>
              <w:rPr>
                <w:rFonts w:hint="eastAsia"/>
                <w:lang w:val="en-US" w:eastAsia="zh-CN"/>
              </w:rPr>
              <w:t>本项目设有食堂，食堂产生的油烟废气经油烟净化器处理后，经专门的管道引至屋顶排放。食堂经净化处理后可达标排放，对周边大气环境影响较小。</w:t>
            </w:r>
          </w:p>
          <w:p>
            <w:pPr>
              <w:pStyle w:val="29"/>
              <w:ind w:firstLine="480"/>
              <w:rPr>
                <w:rFonts w:hint="eastAsia"/>
                <w:lang w:val="en-US" w:eastAsia="zh-CN"/>
              </w:rPr>
            </w:pPr>
            <w:r>
              <w:rPr>
                <w:rFonts w:hint="eastAsia"/>
                <w:lang w:val="en-US" w:eastAsia="zh-CN"/>
              </w:rPr>
              <w:t>③固体废物</w:t>
            </w:r>
          </w:p>
          <w:p>
            <w:pPr>
              <w:pStyle w:val="29"/>
              <w:ind w:firstLine="480"/>
              <w:rPr>
                <w:rFonts w:hint="eastAsia"/>
                <w:lang w:val="en-US" w:eastAsia="zh-CN"/>
              </w:rPr>
            </w:pPr>
            <w:r>
              <w:rPr>
                <w:rFonts w:hint="eastAsia"/>
                <w:lang w:val="en-US" w:eastAsia="zh-CN"/>
              </w:rPr>
              <w:t>生活垃圾：站内设置有垃圾桶，用于收集值守人员产生的生活垃圾，生活垃圾经垃圾桶收集后清运至附近的垃圾站，不影响站外环境。</w:t>
            </w:r>
          </w:p>
          <w:p>
            <w:pPr>
              <w:pStyle w:val="29"/>
              <w:ind w:firstLine="480"/>
              <w:rPr>
                <w:rFonts w:hint="eastAsia"/>
                <w:lang w:val="en-US" w:eastAsia="zh-CN"/>
              </w:rPr>
            </w:pPr>
            <w:r>
              <w:rPr>
                <w:rFonts w:hint="eastAsia"/>
                <w:lang w:val="en-US" w:eastAsia="zh-CN"/>
              </w:rPr>
              <w:t>一般固废暂存间：站内设一般固废暂存间1间，面积5m</w:t>
            </w:r>
            <w:r>
              <w:rPr>
                <w:rFonts w:hint="eastAsia"/>
                <w:vertAlign w:val="superscript"/>
                <w:lang w:val="en-US" w:eastAsia="zh-CN"/>
              </w:rPr>
              <w:t>2</w:t>
            </w:r>
            <w:r>
              <w:rPr>
                <w:rFonts w:hint="eastAsia"/>
                <w:lang w:val="en-US" w:eastAsia="zh-CN"/>
              </w:rPr>
              <w:t>，位于辅助房内，用于暂存废旧光伏组件，经收集后定期交由厂家回收。</w:t>
            </w:r>
          </w:p>
          <w:p>
            <w:pPr>
              <w:pStyle w:val="29"/>
              <w:ind w:firstLine="480"/>
              <w:rPr>
                <w:rFonts w:hint="eastAsia"/>
                <w:lang w:val="en-US" w:eastAsia="zh-CN"/>
              </w:rPr>
            </w:pPr>
            <w:r>
              <w:rPr>
                <w:rFonts w:hint="eastAsia"/>
                <w:lang w:val="en-US" w:eastAsia="zh-CN"/>
              </w:rPr>
              <w:t>危废贮存点：站内设危废贮存点1处，面积26.16m</w:t>
            </w:r>
            <w:r>
              <w:rPr>
                <w:rFonts w:hint="eastAsia"/>
                <w:vertAlign w:val="superscript"/>
                <w:lang w:val="en-US" w:eastAsia="zh-CN"/>
              </w:rPr>
              <w:t>2</w:t>
            </w:r>
            <w:r>
              <w:rPr>
                <w:rFonts w:hint="eastAsia"/>
                <w:lang w:val="en-US" w:eastAsia="zh-CN"/>
              </w:rPr>
              <w:t>，位于场内北侧，用于收集暂存站内危险废物，与生活垃圾分离，便于危废收集与暂存；定期交由有资质单位处置。</w:t>
            </w:r>
          </w:p>
          <w:p>
            <w:pPr>
              <w:pStyle w:val="29"/>
              <w:ind w:firstLine="480"/>
              <w:rPr>
                <w:rFonts w:hint="default"/>
                <w:lang w:val="en-US" w:eastAsia="zh-CN"/>
              </w:rPr>
            </w:pPr>
            <w:r>
              <w:rPr>
                <w:rFonts w:hint="eastAsia"/>
                <w:lang w:val="en-US" w:eastAsia="zh-CN"/>
              </w:rPr>
              <w:t>事故油池：根据设计资料，</w:t>
            </w:r>
            <w:r>
              <w:t>本工程共</w:t>
            </w:r>
            <w:r>
              <w:rPr>
                <w:rFonts w:hint="eastAsia"/>
                <w:lang w:eastAsia="zh-CN"/>
              </w:rPr>
              <w:t>17个</w:t>
            </w:r>
            <w:r>
              <w:t>光伏单元，每个单元配备一台箱变，共计1</w:t>
            </w:r>
            <w:r>
              <w:rPr>
                <w:rFonts w:hint="eastAsia"/>
                <w:lang w:val="en-US" w:eastAsia="zh-CN"/>
              </w:rPr>
              <w:t>7</w:t>
            </w:r>
            <w:r>
              <w:t>台，变压器底部设事故油池</w:t>
            </w:r>
            <w:r>
              <w:rPr>
                <w:rFonts w:hint="eastAsia"/>
              </w:rPr>
              <w:t>，有效容积为1.5m³</w:t>
            </w:r>
            <w:r>
              <w:rPr>
                <w:rFonts w:hint="eastAsia"/>
                <w:lang w:eastAsia="zh-CN"/>
              </w:rPr>
              <w:t>，</w:t>
            </w:r>
            <w:r>
              <w:rPr>
                <w:rFonts w:hint="eastAsia"/>
                <w:lang w:val="en-US" w:eastAsia="zh-CN"/>
              </w:rPr>
              <w:t>主变下方设置1个集油坑，用于第一步收集事故状态下的变压器油</w:t>
            </w:r>
            <w:bookmarkStart w:id="4" w:name="sys21885456"/>
            <w:r>
              <w:rPr>
                <w:rFonts w:hint="eastAsia"/>
                <w:lang w:val="en-US" w:eastAsia="zh-CN"/>
              </w:rPr>
              <w:t>，升压站内设置有效容积35m³事故油池，位于站址中部，紧邻主变，便于事故变压器油的收集；当出现事故时，变压器油先进入主变正下方集油坑，然后通过排油管引入事故油池；</w:t>
            </w:r>
            <w:bookmarkEnd w:id="4"/>
            <w:r>
              <w:rPr>
                <w:rFonts w:hint="eastAsia"/>
                <w:lang w:val="en-US" w:eastAsia="zh-CN"/>
              </w:rPr>
              <w:t>事故油池具备油水分离功能，采取了防水混凝土、防水砂浆保护层、不低于2mm厚防渗涂层等多层防渗措施，有效防渗系数等效于2mm厚高密度聚乙烯（渗透系数≤10</w:t>
            </w:r>
            <w:r>
              <w:rPr>
                <w:rFonts w:hint="eastAsia"/>
                <w:vertAlign w:val="superscript"/>
                <w:lang w:val="en-US" w:eastAsia="zh-CN"/>
              </w:rPr>
              <w:t>-10</w:t>
            </w:r>
            <w:r>
              <w:rPr>
                <w:rFonts w:hint="eastAsia"/>
                <w:lang w:val="en-US" w:eastAsia="zh-CN"/>
              </w:rPr>
              <w:t>cm/s），预埋套管处使用密封材料，具有防水、防渗漏功能，并设置了呼吸孔，安装了防护罩，能够防杂质落入；事故油经事故油池进行油水分离后，少量事故废变压器油交由有资质的单位处置，不外排。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施工方案</w:t>
            </w:r>
          </w:p>
        </w:tc>
        <w:tc>
          <w:tcPr>
            <w:tcW w:w="8828" w:type="dxa"/>
            <w:vAlign w:val="center"/>
          </w:tcPr>
          <w:p>
            <w:pPr>
              <w:pStyle w:val="29"/>
              <w:ind w:firstLine="482"/>
              <w:rPr>
                <w:b/>
                <w:bCs/>
              </w:rPr>
            </w:pPr>
            <w:r>
              <w:rPr>
                <w:rFonts w:hint="eastAsia"/>
                <w:b/>
                <w:bCs/>
              </w:rPr>
              <w:t>2.</w:t>
            </w:r>
            <w:r>
              <w:rPr>
                <w:rFonts w:hint="eastAsia"/>
                <w:b/>
                <w:bCs/>
                <w:lang w:val="en-US" w:eastAsia="zh-CN"/>
              </w:rPr>
              <w:t>6</w:t>
            </w:r>
            <w:r>
              <w:rPr>
                <w:rFonts w:hint="eastAsia"/>
                <w:b/>
                <w:bCs/>
              </w:rPr>
              <w:t xml:space="preserve"> 总体施工方案</w:t>
            </w:r>
          </w:p>
          <w:p>
            <w:pPr>
              <w:pStyle w:val="29"/>
              <w:ind w:firstLine="480"/>
            </w:pPr>
            <w:r>
              <w:rPr>
                <w:rFonts w:hint="eastAsia"/>
              </w:rPr>
              <w:t>本工程土建工程及光伏阵列区支架基础、箱变基础和电缆分接箱基础施工以及配套110kV升压站施工。</w:t>
            </w:r>
          </w:p>
          <w:p>
            <w:pPr>
              <w:pStyle w:val="29"/>
              <w:ind w:firstLine="480"/>
            </w:pPr>
            <w:r>
              <w:rPr>
                <w:rFonts w:hint="eastAsia"/>
              </w:rPr>
              <w:t>土建工程施工方案应考虑有利于先后作业之间、土建与设备安装之间的协调均衡。在施工顺序上，前期以土建为主，安装配合预留、预埋，施工中后期应以安装为主，土建配合并为安装创造条件。</w:t>
            </w:r>
          </w:p>
          <w:p>
            <w:pPr>
              <w:pStyle w:val="29"/>
              <w:ind w:firstLine="480"/>
            </w:pPr>
            <w:r>
              <w:rPr>
                <w:rFonts w:hint="eastAsia"/>
              </w:rPr>
              <w:t>1）建立整个施工现场的高程控制网及平面控制网，并定期复测。</w:t>
            </w:r>
          </w:p>
          <w:p>
            <w:pPr>
              <w:pStyle w:val="29"/>
              <w:ind w:firstLine="480"/>
            </w:pPr>
            <w:r>
              <w:rPr>
                <w:rFonts w:hint="eastAsia"/>
              </w:rPr>
              <w:t>2）土建施工按照先地下、后地上的顺序，依次施工光伏发电组件基础、逆变升压单元基础及其他设施。</w:t>
            </w:r>
          </w:p>
          <w:p>
            <w:pPr>
              <w:pStyle w:val="29"/>
              <w:ind w:firstLine="480"/>
            </w:pPr>
            <w:r>
              <w:rPr>
                <w:rFonts w:hint="eastAsia"/>
              </w:rPr>
              <w:t>3）接地网、地下管道主线与相应的地下工程设施（给排水、消防管道、电缆沟）同步施工，电缆管预埋与基础施工应紧密配合，防止遗漏。</w:t>
            </w:r>
          </w:p>
          <w:p>
            <w:pPr>
              <w:pStyle w:val="29"/>
              <w:ind w:firstLine="480"/>
            </w:pPr>
            <w:r>
              <w:rPr>
                <w:rFonts w:hint="eastAsia"/>
              </w:rPr>
              <w:t>4）本项目各工程区的基础施工（光伏组件基础、35kV箱变基础、地埋集电线路沟槽以及配套升压站基础等）不采用爆破工艺。</w:t>
            </w:r>
          </w:p>
          <w:p>
            <w:pPr>
              <w:pStyle w:val="29"/>
              <w:ind w:firstLine="482"/>
              <w:rPr>
                <w:b/>
                <w:bCs/>
              </w:rPr>
            </w:pPr>
            <w:r>
              <w:rPr>
                <w:rFonts w:hint="eastAsia"/>
                <w:b/>
                <w:bCs/>
              </w:rPr>
              <w:t>2.8 具体施工方案</w:t>
            </w:r>
          </w:p>
          <w:p>
            <w:pPr>
              <w:pStyle w:val="29"/>
              <w:ind w:firstLine="480"/>
            </w:pPr>
            <w:r>
              <w:rPr>
                <w:rFonts w:hint="eastAsia"/>
              </w:rPr>
              <w:t>本项目主要施工流程图如下所示：</w:t>
            </w:r>
          </w:p>
          <w:p>
            <w:pPr>
              <w:pStyle w:val="29"/>
              <w:ind w:firstLine="0" w:firstLineChars="0"/>
              <w:jc w:val="center"/>
            </w:pPr>
            <w:r>
              <w:drawing>
                <wp:inline distT="0" distB="0" distL="114300" distR="114300">
                  <wp:extent cx="3762375" cy="1137920"/>
                  <wp:effectExtent l="0" t="0" r="9525" b="5080"/>
                  <wp:docPr id="4" name="ECB019B1-382A-4266-B25C-5B523AA43C14-1" descr="C:/Users/Administrator/AppData/Local/Temp/wps.ALZAE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Administrator/AppData/Local/Temp/wps.ALZAEywps"/>
                          <pic:cNvPicPr>
                            <a:picLocks noChangeAspect="1"/>
                          </pic:cNvPicPr>
                        </pic:nvPicPr>
                        <pic:blipFill>
                          <a:blip r:embed="rId10"/>
                          <a:srcRect l="2126" t="6098" r="2059" b="8442"/>
                          <a:stretch>
                            <a:fillRect/>
                          </a:stretch>
                        </pic:blipFill>
                        <pic:spPr>
                          <a:xfrm>
                            <a:off x="0" y="0"/>
                            <a:ext cx="3762375" cy="1137920"/>
                          </a:xfrm>
                          <a:prstGeom prst="rect">
                            <a:avLst/>
                          </a:prstGeom>
                        </pic:spPr>
                      </pic:pic>
                    </a:graphicData>
                  </a:graphic>
                </wp:inline>
              </w:drawing>
            </w:r>
          </w:p>
          <w:p>
            <w:pPr>
              <w:pStyle w:val="29"/>
              <w:bidi w:val="0"/>
              <w:ind w:left="0" w:leftChars="0" w:right="0" w:rightChars="0" w:firstLine="0" w:firstLineChars="0"/>
              <w:jc w:val="center"/>
              <w:rPr>
                <w:rFonts w:hint="default" w:eastAsia="宋体"/>
                <w:lang w:val="en-US" w:eastAsia="zh-CN"/>
              </w:rPr>
            </w:pPr>
            <w:r>
              <w:rPr>
                <w:rFonts w:hint="eastAsia"/>
                <w:lang w:val="en-US" w:eastAsia="zh-CN"/>
              </w:rPr>
              <w:t>图2-2 施工流程及产污图</w:t>
            </w:r>
          </w:p>
          <w:p>
            <w:pPr>
              <w:pStyle w:val="29"/>
              <w:ind w:firstLine="482"/>
              <w:rPr>
                <w:b/>
                <w:bCs/>
              </w:rPr>
            </w:pPr>
            <w:r>
              <w:rPr>
                <w:rFonts w:hint="eastAsia"/>
                <w:b/>
                <w:bCs/>
              </w:rPr>
              <w:t>2.8.1 场地平整</w:t>
            </w:r>
          </w:p>
          <w:p>
            <w:pPr>
              <w:pStyle w:val="29"/>
              <w:ind w:firstLine="480"/>
            </w:pPr>
            <w:r>
              <w:rPr>
                <w:rFonts w:hint="eastAsia"/>
              </w:rPr>
              <w:t>光伏发电区中的组件及支架堆放场地及施工临时设施建筑区域进行场地平整，光伏发电区根据组件布置进行适当场平。平整前必须把场地平整范围内的障碍物如</w:t>
            </w:r>
            <w:r>
              <w:rPr>
                <w:rFonts w:hint="eastAsia"/>
                <w:lang w:val="en-US" w:eastAsia="zh-CN"/>
              </w:rPr>
              <w:t>灌丛</w:t>
            </w:r>
            <w:r>
              <w:rPr>
                <w:rFonts w:hint="eastAsia"/>
              </w:rPr>
              <w:t>、杂草等清理干净，然后根据总图要求的标高，从水准基点引进基准标高作为确定土方量计算的基点。</w:t>
            </w:r>
          </w:p>
          <w:p>
            <w:pPr>
              <w:pStyle w:val="29"/>
              <w:ind w:firstLine="480"/>
              <w:rPr>
                <w:rFonts w:hint="eastAsia"/>
              </w:rPr>
            </w:pPr>
            <w:r>
              <w:rPr>
                <w:rFonts w:hint="eastAsia"/>
              </w:rPr>
              <w:t>土方平整采用挖土机、推土机、铲运机配合进行。在平整过程中要交错用压路机压实。场平过程为：</w:t>
            </w:r>
            <w:r>
              <w:rPr>
                <w:rFonts w:hint="eastAsia"/>
                <w:lang w:eastAsia="zh-CN"/>
              </w:rPr>
              <w:t>现场勘查</w:t>
            </w:r>
            <w:r>
              <w:t>→</w:t>
            </w:r>
            <w:r>
              <w:rPr>
                <w:rFonts w:hint="eastAsia"/>
              </w:rPr>
              <w:t>清除地面障碍物</w:t>
            </w:r>
            <w:r>
              <w:t>→</w:t>
            </w:r>
            <w:r>
              <w:rPr>
                <w:rFonts w:hint="eastAsia"/>
              </w:rPr>
              <w:t>标定整平范围</w:t>
            </w:r>
            <w:r>
              <w:t>→</w:t>
            </w:r>
            <w:r>
              <w:rPr>
                <w:rFonts w:hint="eastAsia"/>
              </w:rPr>
              <w:t>设置水准基点</w:t>
            </w:r>
            <w:r>
              <w:t>→</w:t>
            </w:r>
            <w:r>
              <w:rPr>
                <w:rFonts w:hint="eastAsia"/>
              </w:rPr>
              <w:t>设置方格网及测量标高</w:t>
            </w:r>
            <w:r>
              <w:t>→</w:t>
            </w:r>
            <w:r>
              <w:rPr>
                <w:rFonts w:hint="eastAsia"/>
              </w:rPr>
              <w:t>计算土方挖填工程量</w:t>
            </w:r>
            <w:r>
              <w:t>→</w:t>
            </w:r>
            <w:r>
              <w:rPr>
                <w:rFonts w:hint="eastAsia"/>
              </w:rPr>
              <w:t>平整场地</w:t>
            </w:r>
            <w:r>
              <w:t>→</w:t>
            </w:r>
            <w:r>
              <w:rPr>
                <w:rFonts w:hint="eastAsia"/>
              </w:rPr>
              <w:t>碾压。</w:t>
            </w:r>
          </w:p>
          <w:p>
            <w:pPr>
              <w:pStyle w:val="29"/>
              <w:ind w:firstLine="480"/>
              <w:rPr>
                <w:rFonts w:hint="eastAsia"/>
              </w:rPr>
            </w:pPr>
            <w:r>
              <w:rPr>
                <w:rFonts w:hint="eastAsia"/>
                <w:lang w:val="en-US" w:eastAsia="zh-CN"/>
              </w:rPr>
              <w:t>施工前，对项目所在开挖扰动区域内表土进行剥离，剥离的表土集中堆放于表土堆放场内，表土堆场下方采用防雨布盖铺垫保护，在表土堆放场周边设置临时拦挡（编织袋）、临时截排水沟及临时沉沙池，并利用防雨布对表土进行遮盖。施工期间，对开挖扰动、临时堆土等裸露区域进行临时覆盖，开挖钻孔产生的土方按0.2m厚平铺于光伏板底园地植株下方；施工后期，对临建设施安装区及光伏板下平铺土石方区域进行土地整治及覆土，对光伏板下方进行撒播植草防护。</w:t>
            </w:r>
          </w:p>
          <w:p>
            <w:pPr>
              <w:pStyle w:val="29"/>
              <w:ind w:firstLine="482"/>
              <w:rPr>
                <w:b/>
                <w:bCs/>
              </w:rPr>
            </w:pPr>
            <w:r>
              <w:rPr>
                <w:rFonts w:hint="eastAsia"/>
                <w:b/>
                <w:bCs/>
              </w:rPr>
              <w:t xml:space="preserve">2.8.2 </w:t>
            </w:r>
            <w:r>
              <w:rPr>
                <w:b/>
                <w:bCs/>
              </w:rPr>
              <w:t>光伏阵列基</w:t>
            </w:r>
            <w:r>
              <w:rPr>
                <w:rFonts w:hint="eastAsia"/>
                <w:b/>
                <w:bCs/>
              </w:rPr>
              <w:t>础施工</w:t>
            </w:r>
          </w:p>
          <w:p>
            <w:pPr>
              <w:pStyle w:val="29"/>
              <w:ind w:firstLine="480"/>
            </w:pPr>
            <w:r>
              <w:t>本工程光伏阵列基础采用钻孔灌注桩基础。</w:t>
            </w:r>
            <w:r>
              <w:rPr>
                <w:rFonts w:hint="eastAsia"/>
              </w:rPr>
              <w:t>钻孔灌注桩基础施工工序：放线确定桩位</w:t>
            </w:r>
            <w:r>
              <w:t>→</w:t>
            </w:r>
            <w:r>
              <w:rPr>
                <w:rFonts w:hint="eastAsia"/>
              </w:rPr>
              <w:t>钻机就位</w:t>
            </w:r>
            <w:r>
              <w:t>→</w:t>
            </w:r>
            <w:r>
              <w:rPr>
                <w:rFonts w:hint="eastAsia"/>
              </w:rPr>
              <w:t>成孔</w:t>
            </w:r>
            <w:r>
              <w:t>→</w:t>
            </w:r>
            <w:r>
              <w:rPr>
                <w:rFonts w:hint="eastAsia"/>
              </w:rPr>
              <w:t>清孔</w:t>
            </w:r>
            <w:r>
              <w:t>→</w:t>
            </w:r>
            <w:r>
              <w:rPr>
                <w:rFonts w:hint="eastAsia"/>
              </w:rPr>
              <w:t>钢筋笼制作、吊装</w:t>
            </w:r>
            <w:r>
              <w:t>→</w:t>
            </w:r>
            <w:r>
              <w:rPr>
                <w:rFonts w:hint="eastAsia"/>
              </w:rPr>
              <w:t>安放导浆管</w:t>
            </w:r>
            <w:r>
              <w:t>→</w:t>
            </w:r>
            <w:r>
              <w:rPr>
                <w:rFonts w:hint="eastAsia"/>
              </w:rPr>
              <w:t>灌注混凝土</w:t>
            </w:r>
            <w:r>
              <w:t>→</w:t>
            </w:r>
            <w:r>
              <w:rPr>
                <w:rFonts w:hint="eastAsia"/>
              </w:rPr>
              <w:t>成桩</w:t>
            </w:r>
            <w:r>
              <w:t>→</w:t>
            </w:r>
            <w:r>
              <w:rPr>
                <w:rFonts w:hint="eastAsia"/>
              </w:rPr>
              <w:t>钻机移位。根据本工程的场地、电量、钻孔灌注桩直径，桩深及工期因素，安排</w:t>
            </w:r>
            <w:r>
              <w:t>5</w:t>
            </w:r>
            <w:r>
              <w:rPr>
                <w:rFonts w:hint="eastAsia"/>
              </w:rPr>
              <w:t>套</w:t>
            </w:r>
            <w:r>
              <w:t>GPS-15</w:t>
            </w:r>
            <w:r>
              <w:rPr>
                <w:rFonts w:hint="eastAsia"/>
              </w:rPr>
              <w:t>型钻孔灌注桩机进行施工，钢筋笼采用现场制作。</w:t>
            </w:r>
          </w:p>
          <w:p>
            <w:pPr>
              <w:pStyle w:val="29"/>
              <w:ind w:firstLine="480"/>
            </w:pPr>
            <w:r>
              <w:rPr>
                <w:rFonts w:hint="eastAsia"/>
              </w:rPr>
              <w:t>为了确保质量及进度，合理安排施工顺序，在现场施工过程中可以进一步优化施工方案。</w:t>
            </w:r>
          </w:p>
          <w:p>
            <w:pPr>
              <w:pStyle w:val="29"/>
              <w:ind w:firstLine="482"/>
              <w:rPr>
                <w:rFonts w:hint="eastAsia"/>
                <w:b/>
                <w:bCs/>
              </w:rPr>
            </w:pPr>
            <w:r>
              <w:rPr>
                <w:rFonts w:hint="eastAsia"/>
                <w:b/>
                <w:bCs/>
              </w:rPr>
              <w:t>2.8.3 光伏组件支架基础施工</w:t>
            </w:r>
          </w:p>
          <w:tbl>
            <w:tblPr>
              <w:tblStyle w:val="1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612" w:type="dxa"/>
                  <w:vAlign w:val="top"/>
                </w:tcPr>
                <w:p>
                  <w:pPr>
                    <w:pStyle w:val="28"/>
                    <w:bidi w:val="0"/>
                    <w:rPr>
                      <w:rFonts w:hint="eastAsia"/>
                      <w:b/>
                      <w:bCs/>
                      <w:vertAlign w:val="baseline"/>
                    </w:rPr>
                  </w:pPr>
                  <w:r>
                    <w:rPr>
                      <w:rFonts w:hint="eastAsia" w:eastAsia="宋体"/>
                      <w:lang w:eastAsia="zh-CN"/>
                    </w:rPr>
                    <w:drawing>
                      <wp:inline distT="0" distB="0" distL="114300" distR="114300">
                        <wp:extent cx="2220595" cy="2421890"/>
                        <wp:effectExtent l="0" t="0" r="8255" b="16510"/>
                        <wp:docPr id="9" name="图片 9" descr="光伏支架设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光伏支架设计图"/>
                                <pic:cNvPicPr>
                                  <a:picLocks noChangeAspect="1"/>
                                </pic:cNvPicPr>
                              </pic:nvPicPr>
                              <pic:blipFill>
                                <a:blip r:embed="rId11"/>
                                <a:stretch>
                                  <a:fillRect/>
                                </a:stretch>
                              </pic:blipFill>
                              <pic:spPr>
                                <a:xfrm>
                                  <a:off x="0" y="0"/>
                                  <a:ext cx="2220595" cy="2421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612" w:type="dxa"/>
                  <w:vAlign w:val="top"/>
                </w:tcPr>
                <w:p>
                  <w:pPr>
                    <w:pStyle w:val="28"/>
                    <w:bidi w:val="0"/>
                    <w:rPr>
                      <w:rFonts w:hint="eastAsia"/>
                      <w:b/>
                      <w:bCs/>
                      <w:vertAlign w:val="baseline"/>
                    </w:rPr>
                  </w:pPr>
                  <w:r>
                    <w:rPr>
                      <w:rFonts w:hint="eastAsia"/>
                      <w:sz w:val="24"/>
                      <w:szCs w:val="22"/>
                      <w:lang w:val="en-US" w:eastAsia="zh-CN"/>
                    </w:rPr>
                    <w:t>图2-3  光伏支架设计图</w:t>
                  </w:r>
                </w:p>
              </w:tc>
            </w:tr>
          </w:tbl>
          <w:p>
            <w:pPr>
              <w:pStyle w:val="29"/>
              <w:ind w:firstLine="480"/>
            </w:pPr>
            <w:r>
              <w:rPr>
                <w:rFonts w:hint="eastAsia"/>
              </w:rPr>
              <w:t>（1）</w:t>
            </w:r>
            <w:r>
              <w:t>施工准备：进场道路通畅，安装支架运至相应的阵列基础位置，太阳能</w:t>
            </w:r>
            <w:r>
              <w:rPr>
                <w:rFonts w:hint="eastAsia"/>
              </w:rPr>
              <w:t>光伏组件运至相应的基础位置。</w:t>
            </w:r>
          </w:p>
          <w:p>
            <w:pPr>
              <w:pStyle w:val="29"/>
              <w:ind w:firstLine="480"/>
            </w:pPr>
            <w:r>
              <w:rPr>
                <w:rFonts w:hint="eastAsia"/>
              </w:rPr>
              <w:t>（2）固定支架安装：支架分为立柱、主梁、檩条等。支架安装应严格按照厂家安装手册进行。</w:t>
            </w:r>
          </w:p>
          <w:p>
            <w:pPr>
              <w:pStyle w:val="29"/>
              <w:ind w:firstLine="480"/>
            </w:pPr>
            <w:r>
              <w:rPr>
                <w:rFonts w:hint="eastAsia"/>
              </w:rPr>
              <w:t>（3）光伏组件安装：安装前应认真阅读组件厂家安装手册，细心打开组件包装，禁止单片组件叠摞，轻拿轻放防止表面划伤，用螺栓紧固至支架上后调整水平，拧紧螺栓。</w:t>
            </w:r>
          </w:p>
          <w:p>
            <w:pPr>
              <w:pStyle w:val="29"/>
              <w:ind w:firstLine="482"/>
              <w:rPr>
                <w:rFonts w:hint="eastAsia"/>
                <w:b/>
                <w:bCs/>
              </w:rPr>
            </w:pPr>
            <w:r>
              <w:rPr>
                <w:rFonts w:hint="eastAsia"/>
                <w:b/>
                <w:bCs/>
              </w:rPr>
              <w:t>2.8.4 光伏组件安装</w:t>
            </w:r>
          </w:p>
          <w:p>
            <w:pPr>
              <w:pStyle w:val="29"/>
              <w:ind w:firstLine="480"/>
            </w:pPr>
            <w:r>
              <w:rPr>
                <w:rFonts w:hint="eastAsia"/>
              </w:rPr>
              <w:t>（1）</w:t>
            </w:r>
            <w:r>
              <w:t>安装前准备：光伏组件应无变形、玻璃无损坏、划伤及裂纹。测量光伏组件在阳光下的开路电压，光伏组件输出端与标识正负应吻合。光伏组件正面玻璃无裂纹和损伤，背面无划伤毛刺等；安装之前在阳光下测量单块光伏组件的开路电压应符合要求；</w:t>
            </w:r>
          </w:p>
          <w:p>
            <w:pPr>
              <w:pStyle w:val="29"/>
              <w:ind w:firstLine="480"/>
            </w:pPr>
            <w:r>
              <w:rPr>
                <w:rFonts w:hint="eastAsia"/>
              </w:rPr>
              <w:t>（2）</w:t>
            </w:r>
            <w:r>
              <w:t>组件运输：用运输车把光伏组件运到方阵的行或列之间的通道上，目的是加快施工人员的安装速度。在运输过程中要注意不能碰撞到支架，不能堆积过高（可参照厂家说明书）。光伏组件在运输和保管过程中，应轻搬轻放，不得有强烈的冲击和振动，不得横置重压。</w:t>
            </w:r>
          </w:p>
          <w:p>
            <w:pPr>
              <w:pStyle w:val="29"/>
              <w:ind w:firstLine="480"/>
            </w:pPr>
            <w:r>
              <w:rPr>
                <w:rFonts w:hint="eastAsia"/>
              </w:rPr>
              <w:t>（3）</w:t>
            </w:r>
            <w:r>
              <w:t>安装：光伏组件的安装应自下而上，逐块安装，螺杆的安装方向为自内向外，并紧固光伏组件螺栓。安装过程中必须轻拿轻放以免破坏表面的保护玻璃；光伏组件的连接螺栓应有弹簧垫圈和平垫圈，紧固后应将螺栓露出部分及螺母涂刷油漆，做防松处理。并且在各项安装结束后进行补漆；光伏组件安装必须做到横平竖直，同方阵内的光伏组件间距保持一致；注意光伏组件的接线盒的方向。</w:t>
            </w:r>
          </w:p>
          <w:p>
            <w:pPr>
              <w:pStyle w:val="29"/>
              <w:ind w:firstLine="480"/>
            </w:pPr>
            <w:r>
              <w:rPr>
                <w:rFonts w:hint="eastAsia"/>
              </w:rPr>
              <w:t>（4）</w:t>
            </w:r>
            <w:r>
              <w:t>粗调：将两根放线绳分别系于光伏组件方阵的上下两端，并将其绷紧。以放线绳为基准分别调整其余光伏组件，使其在一个平面内。紧固所有螺栓。</w:t>
            </w:r>
          </w:p>
          <w:p>
            <w:pPr>
              <w:pStyle w:val="29"/>
              <w:ind w:firstLine="480"/>
            </w:pPr>
            <w:r>
              <w:rPr>
                <w:rFonts w:hint="eastAsia"/>
              </w:rPr>
              <w:t>（5）</w:t>
            </w:r>
            <w:r>
              <w:t>接线：根据电站设计图纸确定光伏组件的接线方式；光伏组件连线均应符合设计图纸的要求；接线采用多股铜芯线，接线前应先将线头搪锡处理；接线时应注意勿将正负极接反，保证接线正确。每串光伏组件连接完毕后，应检查光伏组件串开路电压是否正确，连接无误后断开一块光伏组件的接线，保证后续工序的安全操作。</w:t>
            </w:r>
          </w:p>
          <w:p>
            <w:pPr>
              <w:pStyle w:val="29"/>
              <w:ind w:firstLine="482"/>
              <w:rPr>
                <w:b/>
                <w:bCs/>
              </w:rPr>
            </w:pPr>
            <w:r>
              <w:rPr>
                <w:rFonts w:hint="eastAsia"/>
                <w:b/>
                <w:bCs/>
              </w:rPr>
              <w:t xml:space="preserve">2.8.5 </w:t>
            </w:r>
            <w:r>
              <w:rPr>
                <w:b/>
                <w:bCs/>
              </w:rPr>
              <w:t>逆变器、箱式变压器及相关配电装置</w:t>
            </w:r>
          </w:p>
          <w:p>
            <w:pPr>
              <w:pStyle w:val="29"/>
              <w:ind w:firstLine="480"/>
            </w:pPr>
            <w:r>
              <w:t>本工程采用320kW组串式逆变器</w:t>
            </w:r>
            <w:r>
              <w:rPr>
                <w:rFonts w:hint="eastAsia"/>
              </w:rPr>
              <w:t>、35kV箱式变压器。</w:t>
            </w:r>
            <w:r>
              <w:t>箱式变压器、组串式逆变器及其配套电气设备通过汽车运抵安装位置附近，采用吊车、液压升降小车等设备进行安装就位。箱式变压器安装于光伏阵列路旁，逆变器直接安装在支架端柱上，采用螺栓和抱箍进行连接和固定，不另设基础。</w:t>
            </w:r>
          </w:p>
          <w:p>
            <w:pPr>
              <w:pStyle w:val="29"/>
              <w:ind w:firstLine="480"/>
            </w:pPr>
            <w:r>
              <w:rPr>
                <w:rFonts w:hint="eastAsia"/>
              </w:rPr>
              <w:t>（1）</w:t>
            </w:r>
            <w:r>
              <w:t>箱变基础设计及施工</w:t>
            </w:r>
          </w:p>
          <w:p>
            <w:pPr>
              <w:pStyle w:val="29"/>
              <w:ind w:firstLine="480"/>
            </w:pPr>
            <w:r>
              <w:rPr>
                <w:rFonts w:hint="eastAsia"/>
              </w:rPr>
              <w:t>本项目设有1600kVA箱变1套、2000kVA箱变1套、2600kVA箱变2套、3200kVA箱变13套</w:t>
            </w:r>
            <w:r>
              <w:t>。基础为6根桩基础（单根桩基础为直径0.3m的钢管灌注桩）支撑箱变安装平台，箱变安装平台底部采用“工”字钢梁与6根钢管灌注桩</w:t>
            </w:r>
            <w:r>
              <w:rPr>
                <w:rFonts w:hint="eastAsia"/>
              </w:rPr>
              <w:t>连接</w:t>
            </w:r>
            <w:r>
              <w:t>，围成L×B=5.45m×6.97m的箱变安装平台承重梁，且各构件相互接触处均满焊，其中对接焊缝以二级焊缝标准检验，角焊缝处以三级焊缝标准检验；钢梁焊接安装完成后并在其上铺设50×50@600的加劲肋并在上面焊接6mm的花纹钢盖板，设计荷载为2.0kN/m</w:t>
            </w:r>
            <w:r>
              <w:rPr>
                <w:vertAlign w:val="superscript"/>
              </w:rPr>
              <w:t>2</w:t>
            </w:r>
            <w:r>
              <w:t>，所有花纹钢盖与钢梁之间采用满焊，焊接完成后需进行注水试验，注水24小时后无漏水现象防控投入使用。箱变直接放置在6根钢管灌注桩之上的钢结构安装平台并采用地脚螺丝连接，箱变离地高度为1.8m，并设置钢结构的步梯由地埋爬至箱变安装平台，便于后期维护和检修。箱变基础施工工艺及工序同支架基础。</w:t>
            </w:r>
          </w:p>
          <w:p>
            <w:pPr>
              <w:pStyle w:val="29"/>
              <w:ind w:firstLine="480"/>
            </w:pPr>
            <w:r>
              <w:t>钢结构箱变安装平台所使用的钢材均为</w:t>
            </w:r>
            <w:r>
              <w:rPr>
                <w:rFonts w:hint="eastAsia"/>
                <w:lang w:eastAsia="zh-CN"/>
              </w:rPr>
              <w:t>热轧钢材</w:t>
            </w:r>
            <w:r>
              <w:t>，各构件焊接并检验合格后仅采用防腐涂料在焊缝处涂刷一层防锈漆，不涉及表面涂装工序，不涉及爆破工艺。</w:t>
            </w:r>
          </w:p>
          <w:p>
            <w:pPr>
              <w:pStyle w:val="29"/>
              <w:ind w:firstLine="480"/>
            </w:pPr>
            <w:r>
              <w:rPr>
                <w:rFonts w:hint="eastAsia"/>
              </w:rPr>
              <w:t>（2）</w:t>
            </w:r>
            <w:r>
              <w:t>箱变吊装</w:t>
            </w:r>
          </w:p>
          <w:p>
            <w:pPr>
              <w:pStyle w:val="29"/>
              <w:ind w:firstLine="480"/>
            </w:pPr>
            <w:r>
              <w:t>吊装准备：施工人员熟悉施工程序和施工要求；施工场地平整，吊车作业范围应进行压实；吊装用机具和材料必须具有合格证并经检验合格；检查设备吊耳是否合格，必要时另行设置吊耳或捆绑设备；吊装准备工作完善后，由负责人统一指挥起吊设备安装就位。</w:t>
            </w:r>
          </w:p>
          <w:p>
            <w:pPr>
              <w:pStyle w:val="29"/>
              <w:ind w:firstLine="480"/>
            </w:pPr>
            <w:r>
              <w:t>吊装方案及注意事项：起吊时，将两根柔性吊带分别通过起吊标识拴在外包装箱上。吊钩垂直通过设备重心进行起吊，严禁倾斜运输。在使用吊车对设备进行吊起、放下及移动过程中，要保证缓慢、平稳。吊装过程中必须严格遵守吊车安全操作规程，如遇恶劣天气条件，停止起吊工作。</w:t>
            </w:r>
          </w:p>
          <w:p>
            <w:pPr>
              <w:pStyle w:val="29"/>
              <w:ind w:firstLine="480"/>
            </w:pPr>
            <w:r>
              <w:rPr>
                <w:rFonts w:hint="eastAsia"/>
              </w:rPr>
              <w:t>箱变就位安装：箱变的安装采用整体式安装，就位应严格按照设计文件和厂家图纸进行。安装前由技术负责人对施工人员进行技术交底。</w:t>
            </w:r>
          </w:p>
          <w:p>
            <w:pPr>
              <w:pStyle w:val="29"/>
              <w:ind w:firstLine="480"/>
            </w:pPr>
            <w:r>
              <w:rPr>
                <w:rFonts w:hint="eastAsia"/>
              </w:rPr>
              <w:t>箱式变的排列顺序应与设计一致。连接前，拆除多余的隔板，安装一次母线绝缘套管后，对所有高压套管的外观完好性进行检查，确认无任何损伤后进行柜体连接安装。柜体的连接应从第一面柜开始，依次对齐各面柜，对齐时水平方向应绷拉施工线，垂直方向应吊测线锤。找正后，利用连柜螺丝连成一体，复核成列柜整体的水平度和垂直度，允许偏差应符合规定。</w:t>
            </w:r>
          </w:p>
          <w:p>
            <w:pPr>
              <w:pStyle w:val="29"/>
              <w:ind w:firstLine="482"/>
            </w:pPr>
            <w:r>
              <w:rPr>
                <w:rFonts w:hint="eastAsia"/>
                <w:b/>
                <w:bCs/>
              </w:rPr>
              <w:t>2.8.</w:t>
            </w:r>
            <w:r>
              <w:rPr>
                <w:rFonts w:hint="eastAsia"/>
                <w:b/>
                <w:bCs/>
                <w:lang w:val="en-US" w:eastAsia="zh-CN"/>
              </w:rPr>
              <w:t>6</w:t>
            </w:r>
            <w:r>
              <w:rPr>
                <w:rFonts w:hint="eastAsia"/>
                <w:b/>
                <w:bCs/>
              </w:rPr>
              <w:t xml:space="preserve"> </w:t>
            </w:r>
            <w:r>
              <w:rPr>
                <w:b/>
                <w:bCs/>
              </w:rPr>
              <w:t>光伏发电站围栏、道路及绿化</w:t>
            </w:r>
          </w:p>
          <w:p>
            <w:pPr>
              <w:pStyle w:val="29"/>
              <w:ind w:firstLine="480"/>
            </w:pPr>
            <w:r>
              <w:t>围栏及大门：为了管理安全，为方便光伏电站的运维管理，减少外界干扰，拟在光伏阵列区周围设置1.8m高的铁丝围栏，对光伏电站进行防护。升压站四周拟采用2.2m高实体砖围墙。升压站大门宽8m，采用1.8m高电动伸缩门。道路：升压站设置消防及生产道路。站内道路采用郊区型混凝土道路，道路宽度为4.0m，转弯半径一般为</w:t>
            </w:r>
            <w:r>
              <w:rPr>
                <w:rFonts w:hint="eastAsia"/>
              </w:rPr>
              <w:t>9</w:t>
            </w:r>
            <w:r>
              <w:t>m。出入口引道与门宽相适应。站内道路在终端设置回转平台，以满足使用及消防要求。</w:t>
            </w:r>
          </w:p>
          <w:p>
            <w:pPr>
              <w:pStyle w:val="29"/>
              <w:ind w:firstLine="480"/>
            </w:pPr>
            <w:r>
              <w:t>绿化：绿化主要以草皮为主，路边辅以修剪整齐的低矮绿篱。</w:t>
            </w:r>
          </w:p>
          <w:p>
            <w:pPr>
              <w:pStyle w:val="29"/>
              <w:ind w:firstLine="482"/>
              <w:rPr>
                <w:b/>
                <w:bCs/>
              </w:rPr>
            </w:pPr>
            <w:r>
              <w:rPr>
                <w:rFonts w:hint="eastAsia"/>
                <w:b/>
                <w:bCs/>
              </w:rPr>
              <w:t>2.8.</w:t>
            </w:r>
            <w:r>
              <w:rPr>
                <w:rFonts w:hint="eastAsia"/>
                <w:b/>
                <w:bCs/>
                <w:lang w:val="en-US" w:eastAsia="zh-CN"/>
              </w:rPr>
              <w:t>7</w:t>
            </w:r>
            <w:r>
              <w:rPr>
                <w:rFonts w:hint="eastAsia"/>
                <w:b/>
                <w:bCs/>
              </w:rPr>
              <w:t xml:space="preserve"> </w:t>
            </w:r>
            <w:r>
              <w:rPr>
                <w:b/>
                <w:bCs/>
              </w:rPr>
              <w:t>升压站区施工</w:t>
            </w:r>
          </w:p>
          <w:p>
            <w:pPr>
              <w:pStyle w:val="29"/>
              <w:ind w:firstLine="480"/>
            </w:pPr>
            <w:r>
              <w:t>升压站内主要布置有综合楼、水泵房、主变、SVG</w:t>
            </w:r>
            <w:r>
              <w:rPr>
                <w:rFonts w:hint="eastAsia"/>
              </w:rPr>
              <w:t>预制舱、构架避雷针、事故油池、电缆沟等</w:t>
            </w:r>
            <w:r>
              <w:t>。站区设置一个出入口，与进站道路相接。</w:t>
            </w:r>
          </w:p>
          <w:p>
            <w:pPr>
              <w:pStyle w:val="29"/>
              <w:ind w:firstLine="480"/>
            </w:pPr>
            <w:r>
              <w:t>站区电缆沟按考虑排水设计，站区沟道应防止地面水、地下水及其他管沟内的水渗入，并在沟道进入建筑物外或在适当的距离及地段设置防火隔墙。</w:t>
            </w:r>
          </w:p>
          <w:p>
            <w:pPr>
              <w:pStyle w:val="29"/>
              <w:ind w:firstLine="480"/>
            </w:pPr>
            <w:r>
              <w:t>地下沟道底面设置纵、横排水坡度，其纵向坡度不小于0.5%，横向坡度一般为1.5%。并在沟道内有利排水的地点及最低点设集水坑和排水引出管。</w:t>
            </w:r>
          </w:p>
          <w:p>
            <w:pPr>
              <w:pStyle w:val="29"/>
              <w:ind w:firstLine="480"/>
            </w:pPr>
            <w:r>
              <w:t>外墙面：外墙涂料（含保温层）。</w:t>
            </w:r>
          </w:p>
          <w:p>
            <w:pPr>
              <w:pStyle w:val="29"/>
              <w:ind w:firstLine="480"/>
            </w:pPr>
            <w:r>
              <w:t>内墙面：内墙涂料，卫生间贴瓷砖至吊顶底。</w:t>
            </w:r>
          </w:p>
          <w:p>
            <w:pPr>
              <w:pStyle w:val="29"/>
              <w:ind w:firstLine="480"/>
            </w:pPr>
            <w:r>
              <w:t>屋面：保温防水屋面，有组织排水，防水等级Ⅱ级。</w:t>
            </w:r>
          </w:p>
          <w:p>
            <w:pPr>
              <w:pStyle w:val="29"/>
              <w:ind w:firstLine="480"/>
            </w:pPr>
            <w:r>
              <w:t>门窗：采用复合钢板门、木夹板门、铝合金门、防火门等；窗采用铝合金隔热断桥中空玻璃窗（6+9A+6）、钢百叶窗。</w:t>
            </w:r>
          </w:p>
          <w:p>
            <w:pPr>
              <w:pStyle w:val="29"/>
              <w:ind w:firstLine="480"/>
            </w:pPr>
            <w:r>
              <w:t>墙体：外墙采用250mm厚加气混凝土砌块墙（外墙面粉刷层含保温砂浆）内墙采用200mm厚加气混凝土砌块墙。</w:t>
            </w:r>
          </w:p>
          <w:p>
            <w:pPr>
              <w:pStyle w:val="29"/>
              <w:ind w:firstLine="480"/>
            </w:pPr>
            <w:r>
              <w:t>主变压器安装：主变压器是升压站的关键设备，主变安装前要认真熟悉施工图和制造厂安装说明书，编制施工技术措施并进行技术交底，安装时要注意保证变压器密封良好，严格按规范和厂家说明书对变压器进行抽真空、注油、热油循环、密封检查、绝缘油的微水及含气量测试。吊装主变套管时应采取措施，防止套管碰坏。</w:t>
            </w:r>
          </w:p>
          <w:p>
            <w:pPr>
              <w:pStyle w:val="29"/>
              <w:ind w:firstLine="480"/>
            </w:pPr>
            <w:r>
              <w:t>变压器安装选在晴天干燥无风天气进行。在安装之前进行变压器油的循环处理，直至变压器油合格。变压器附件安装完成后，检查变压器油必须合格，而且变压器必须具备注油条件再进行注油，采用小流量抽真空法注油，注油采用真空滤油机进行真空注油。注油至合适油位，从补充注油后到48h静置完成后，均应反复多次从套管、升高座、冷却器、气体继电器及压力释放装置等有放气堵头的地方放气。按规程进行变压器试验。</w:t>
            </w:r>
          </w:p>
          <w:p>
            <w:pPr>
              <w:pStyle w:val="29"/>
              <w:ind w:firstLine="480"/>
            </w:pPr>
            <w:r>
              <w:rPr>
                <w:rFonts w:hint="eastAsia"/>
              </w:rPr>
              <w:t>SVG</w:t>
            </w:r>
            <w:r>
              <w:t>预制舱（含舱内设备）安装：安装前应核对基础位置，尺寸，要根据平面布置图要求进行安装，安装时要注意舱内电器元件完好。安装完毕后，垂直度，水平偏差，盘面偏差，盘间接缝偏差应符合规范要求。</w:t>
            </w:r>
          </w:p>
          <w:p>
            <w:pPr>
              <w:pStyle w:val="29"/>
              <w:ind w:firstLine="480"/>
            </w:pPr>
            <w:r>
              <w:t>电缆敷设和二次接线：①电缆在搬运中防止摔坏缆盘，损伤电缆，电缆在搬运和存放时不得将电缆盘平放。②电缆直向通道清理干净，电缆桥架及焊接电缆架已安装完毕。③准备好电缆敷设所需工器具及材料，包括电缆盘架。④控缆做好屏蔽线的可靠接地。⑤做好敷设电缆的标示。⑥接线正确、整齐，排列及接线形式一致，横平竖直。⑦电缆芯标志头采用电子线号印字机。⑧做好敷设电缆防火处理。</w:t>
            </w:r>
          </w:p>
          <w:p>
            <w:pPr>
              <w:pStyle w:val="29"/>
              <w:ind w:firstLine="480"/>
            </w:pPr>
            <w:r>
              <w:rPr>
                <w:rFonts w:hint="eastAsia"/>
              </w:rPr>
              <w:t>其他设备安装：其他设备包括：防雷接地装置、独立避雷针、接入配套设备、采暖通风设备、消防设备、照明系统等设备的安装严格按照设计图纸、规范要求执行。</w:t>
            </w:r>
          </w:p>
          <w:p>
            <w:pPr>
              <w:pStyle w:val="29"/>
              <w:ind w:firstLine="482"/>
              <w:rPr>
                <w:b/>
                <w:bCs/>
              </w:rPr>
            </w:pPr>
            <w:r>
              <w:rPr>
                <w:rFonts w:hint="eastAsia"/>
                <w:b/>
                <w:bCs/>
              </w:rPr>
              <w:t>2.8.</w:t>
            </w:r>
            <w:r>
              <w:rPr>
                <w:rFonts w:hint="eastAsia"/>
                <w:b/>
                <w:bCs/>
                <w:lang w:val="en-US" w:eastAsia="zh-CN"/>
              </w:rPr>
              <w:t>8</w:t>
            </w:r>
            <w:r>
              <w:rPr>
                <w:rFonts w:hint="eastAsia"/>
                <w:b/>
                <w:bCs/>
              </w:rPr>
              <w:t xml:space="preserve"> 道路施工</w:t>
            </w:r>
          </w:p>
          <w:p>
            <w:pPr>
              <w:pStyle w:val="29"/>
              <w:ind w:firstLine="480"/>
            </w:pPr>
            <w:r>
              <w:rPr>
                <w:rFonts w:hint="eastAsia"/>
              </w:rPr>
              <w:t>光伏场区运输施工道路通过改建村村通道路和新建部分光伏区道路来满足场区施工设备、材料运输要求。本项目光伏场区分散，场内道路众多，现状道路多为3～5m水泥混凝土路面，急弯陡坡较多，部分道路穿越居民区，改造施工难度相对较大。</w:t>
            </w:r>
          </w:p>
          <w:p>
            <w:pPr>
              <w:pStyle w:val="29"/>
              <w:ind w:firstLine="480"/>
            </w:pPr>
            <w:r>
              <w:rPr>
                <w:rFonts w:hint="eastAsia"/>
              </w:rPr>
              <w:t>场区道路本着方便检修、巡视、消防和便于分区管理的原则进行设计。根据光伏设备的布置，场区内施工道路多利用现有道路改建加宽，并根据箱变位置新建部分运输道路连接，其中，改建道路约为4.7km，新建约为0.6km。改建加宽及新建道路路面采用15cm厚泥结碎石路面，路面宽3.5m，路基宽4m，两侧设0.25m宽土路肩，转弯最小半径为10m。场内道路纵坡宜小于18%，每隔500米左右设置错车道，在道路尽端设置回车场。场内道路局部路段设浆砌石排水沟，排水沟截面为300×400。穿路段设直径300的涵管。主干线连接各方阵箱变，太阳能板间设简易人行道</w:t>
            </w:r>
            <w:r>
              <w:rPr>
                <w:rFonts w:hint="eastAsia"/>
                <w:lang w:eastAsia="zh-CN"/>
              </w:rPr>
              <w:t>，</w:t>
            </w:r>
            <w:r>
              <w:rPr>
                <w:rFonts w:hint="eastAsia"/>
              </w:rPr>
              <w:t>各场内道路在后期应能满足人员巡视及维护的需求。</w:t>
            </w:r>
          </w:p>
          <w:p>
            <w:pPr>
              <w:pStyle w:val="29"/>
              <w:ind w:firstLine="482"/>
              <w:rPr>
                <w:b/>
                <w:bCs/>
              </w:rPr>
            </w:pPr>
            <w:r>
              <w:rPr>
                <w:rFonts w:hint="eastAsia"/>
                <w:b/>
                <w:bCs/>
              </w:rPr>
              <w:t>2.9 施工总进度</w:t>
            </w:r>
          </w:p>
          <w:p>
            <w:pPr>
              <w:pStyle w:val="29"/>
              <w:ind w:firstLine="480"/>
            </w:pPr>
            <w:r>
              <w:t>本工程建设总工期为6个月，其中工程准备期20天。根据施工安排，具体工程进度如下：</w:t>
            </w:r>
          </w:p>
          <w:p>
            <w:pPr>
              <w:pStyle w:val="29"/>
              <w:ind w:firstLine="480"/>
            </w:pPr>
            <w:r>
              <w:rPr>
                <w:rFonts w:hint="eastAsia"/>
              </w:rPr>
              <w:t>（1）</w:t>
            </w:r>
            <w:r>
              <w:t>施工准备期从第1月初开始水、电、场地平整、临时设施等准备工程第1月中旬结束。准备工程完成后，进行有关各项分项工程施工。</w:t>
            </w:r>
          </w:p>
          <w:p>
            <w:pPr>
              <w:pStyle w:val="29"/>
              <w:ind w:firstLine="480"/>
            </w:pPr>
            <w:r>
              <w:rPr>
                <w:rFonts w:hint="eastAsia"/>
              </w:rPr>
              <w:t>（2）</w:t>
            </w:r>
            <w:r>
              <w:t>光伏区道路及升压站、光伏组件基础工程从第1月中旬开始施工，第5月中旬全部施工完成。</w:t>
            </w:r>
          </w:p>
          <w:p>
            <w:pPr>
              <w:pStyle w:val="29"/>
              <w:ind w:firstLine="480"/>
            </w:pPr>
            <w:r>
              <w:rPr>
                <w:rFonts w:hint="eastAsia"/>
              </w:rPr>
              <w:t>（3）</w:t>
            </w:r>
            <w:r>
              <w:t>光伏支架及组件安装及箱变逆变器安装从第1月下旬开始，第6月底全部完成安装工作。</w:t>
            </w:r>
          </w:p>
          <w:p>
            <w:pPr>
              <w:pStyle w:val="29"/>
              <w:ind w:firstLine="480"/>
            </w:pPr>
            <w:r>
              <w:rPr>
                <w:rFonts w:hint="eastAsia"/>
              </w:rPr>
              <w:t>（4）</w:t>
            </w:r>
            <w:r>
              <w:t>场内电缆铺设、光缆敷设施工从第2月中旬开始，与光伏组件安装前后进行，第6月中旬结束。</w:t>
            </w:r>
          </w:p>
          <w:p>
            <w:pPr>
              <w:pStyle w:val="29"/>
              <w:ind w:firstLine="480"/>
            </w:pPr>
            <w:r>
              <w:rPr>
                <w:rFonts w:hint="eastAsia"/>
              </w:rPr>
              <w:t>（5）</w:t>
            </w:r>
            <w:r>
              <w:t>升压站综合楼基础、35kV配电室基础、主变基础及其他发电设备的土建工程从第1月中旬开始施工，至当年第6月上旬全部完成。</w:t>
            </w:r>
          </w:p>
          <w:p>
            <w:pPr>
              <w:pStyle w:val="29"/>
              <w:ind w:firstLine="480"/>
            </w:pPr>
            <w:r>
              <w:rPr>
                <w:rFonts w:hint="eastAsia"/>
              </w:rPr>
              <w:t>（6）</w:t>
            </w:r>
            <w:r>
              <w:t>升压站电气设备安装及调试，以及升压站整体带电联调，从当年第3月下旬开始，到第6月中旬完成。升压站具备送电条件。</w:t>
            </w:r>
          </w:p>
          <w:p>
            <w:pPr>
              <w:pStyle w:val="29"/>
              <w:ind w:firstLine="480"/>
            </w:pPr>
            <w:r>
              <w:rPr>
                <w:rFonts w:hint="eastAsia"/>
              </w:rPr>
              <w:t>（7）</w:t>
            </w:r>
            <w:r>
              <w:t>光伏电站从第3月中开始进行光伏组件分批联调，第5月底首批并网。</w:t>
            </w:r>
          </w:p>
          <w:p>
            <w:pPr>
              <w:pStyle w:val="29"/>
              <w:ind w:firstLine="480"/>
            </w:pPr>
            <w:r>
              <w:rPr>
                <w:rFonts w:hint="eastAsia"/>
              </w:rPr>
              <w:t>（8）</w:t>
            </w:r>
            <w:r>
              <w:t>建设期第6个月底，全部组件完成调试投产发电，工程完工。</w:t>
            </w:r>
          </w:p>
          <w:p>
            <w:pPr>
              <w:pStyle w:val="29"/>
              <w:ind w:firstLine="482"/>
              <w:rPr>
                <w:b/>
                <w:bCs/>
              </w:rPr>
            </w:pPr>
            <w:r>
              <w:rPr>
                <w:rFonts w:hint="eastAsia"/>
                <w:b/>
                <w:bCs/>
              </w:rPr>
              <w:t>2.10 施工产污分析</w:t>
            </w:r>
          </w:p>
          <w:p>
            <w:pPr>
              <w:pStyle w:val="29"/>
              <w:ind w:firstLine="482"/>
              <w:rPr>
                <w:b/>
                <w:bCs/>
              </w:rPr>
            </w:pPr>
            <w:r>
              <w:rPr>
                <w:rFonts w:hint="eastAsia"/>
                <w:b/>
                <w:bCs/>
              </w:rPr>
              <w:t>2.10.1 水土流失和植被破坏</w:t>
            </w:r>
          </w:p>
          <w:p>
            <w:pPr>
              <w:pStyle w:val="29"/>
              <w:ind w:firstLine="480"/>
            </w:pPr>
            <w:r>
              <w:rPr>
                <w:rFonts w:hint="eastAsia"/>
              </w:rPr>
              <w:t>施工场地、升压站的平整和挖填方过程可能造成地面裸露，形成水土流失，导致地表原有植被破坏。根据</w:t>
            </w:r>
            <w:r>
              <w:rPr>
                <w:rFonts w:hint="eastAsia"/>
                <w:lang w:val="en-US" w:eastAsia="zh-CN"/>
              </w:rPr>
              <w:t>本项目</w:t>
            </w:r>
            <w:r>
              <w:rPr>
                <w:rFonts w:hint="eastAsia"/>
              </w:rPr>
              <w:t>工程设计资料，本项目总挖方量约为</w:t>
            </w:r>
            <w:r>
              <w:rPr>
                <w:rFonts w:hint="eastAsia"/>
                <w:lang w:val="en-US" w:eastAsia="zh-CN"/>
              </w:rPr>
              <w:t>7.85万</w:t>
            </w:r>
            <w:r>
              <w:rPr>
                <w:rFonts w:hint="eastAsia"/>
              </w:rPr>
              <w:t>m³，总填方量约为</w:t>
            </w:r>
            <w:r>
              <w:rPr>
                <w:rFonts w:hint="eastAsia"/>
                <w:lang w:val="en-US" w:eastAsia="zh-CN"/>
              </w:rPr>
              <w:t>7.85万</w:t>
            </w:r>
            <w:r>
              <w:rPr>
                <w:rFonts w:hint="eastAsia"/>
              </w:rPr>
              <w:t>m³，</w:t>
            </w:r>
            <w:r>
              <w:rPr>
                <w:rFonts w:hint="eastAsia"/>
                <w:lang w:val="en-US" w:eastAsia="zh-CN"/>
              </w:rPr>
              <w:t>无弃方产生</w:t>
            </w:r>
            <w:r>
              <w:rPr>
                <w:rFonts w:hint="eastAsia" w:ascii="Times New Roman" w:hAnsi="Times New Roman"/>
                <w:kern w:val="0"/>
                <w:sz w:val="24"/>
              </w:rPr>
              <w:t>无弃方，项目挖填平衡</w:t>
            </w:r>
            <w:r>
              <w:t>。</w:t>
            </w:r>
          </w:p>
          <w:p>
            <w:pPr>
              <w:pStyle w:val="29"/>
              <w:ind w:firstLine="480"/>
              <w:rPr>
                <w:rFonts w:hint="eastAsia"/>
              </w:rPr>
            </w:pPr>
            <w:r>
              <w:rPr>
                <w:rFonts w:hint="eastAsia"/>
                <w:lang w:val="en-US" w:eastAsia="zh-CN"/>
              </w:rPr>
              <w:t>项目拟</w:t>
            </w:r>
            <w:r>
              <w:rPr>
                <w:rFonts w:hint="eastAsia"/>
              </w:rPr>
              <w:t>在表土堆置坡脚设置临时拦挡（编织袋），在填方边坡坡脚外1m布置临时拦挡（竹板），用于拦挡施工过程中滚落的土石。</w:t>
            </w:r>
          </w:p>
          <w:p>
            <w:pPr>
              <w:pStyle w:val="29"/>
              <w:ind w:firstLine="480"/>
              <w:rPr>
                <w:rFonts w:hint="eastAsia"/>
              </w:rPr>
            </w:pPr>
            <w:r>
              <w:rPr>
                <w:rFonts w:hint="eastAsia"/>
              </w:rPr>
              <w:t>临时拦挡（编织袋）：直接采用表土装编织袋堆砌，待工程完工后，全部拆除作为绿化覆土利用。挡墙堆砌高度为1.0m、顶宽0.5m、两侧坡比1:0.3。经统计，共设临时拦挡（编织袋）1400m。</w:t>
            </w:r>
          </w:p>
          <w:p>
            <w:pPr>
              <w:pStyle w:val="29"/>
              <w:ind w:firstLine="480"/>
              <w:rPr>
                <w:rFonts w:hint="eastAsia"/>
              </w:rPr>
            </w:pPr>
            <w:r>
              <w:rPr>
                <w:rFonts w:hint="eastAsia"/>
              </w:rPr>
              <w:t>临时拦挡（竹板）：采用竹串片脚手板支护，拦挡高度0.75m，采用3块竹串片脚手板并排支护，支护采用木桩、铁丝加固。经统计，共设临时拦挡（竹板）1250m。</w:t>
            </w:r>
          </w:p>
          <w:p>
            <w:pPr>
              <w:pStyle w:val="29"/>
              <w:ind w:firstLine="480"/>
              <w:rPr>
                <w:rFonts w:hint="eastAsia"/>
              </w:rPr>
            </w:pPr>
            <w:r>
              <w:rPr>
                <w:rFonts w:hint="eastAsia"/>
                <w:lang w:val="en-US" w:eastAsia="zh-CN"/>
              </w:rPr>
              <w:t>临时覆盖：</w:t>
            </w:r>
            <w:r>
              <w:rPr>
                <w:rFonts w:hint="eastAsia"/>
              </w:rPr>
              <w:t>路基开挖施工过程中会产生临时堆土和裸露土质边坡，这部分临时堆土和裸露土质边坡遇降雨会产生水土流失，</w:t>
            </w:r>
            <w:r>
              <w:rPr>
                <w:rFonts w:hint="eastAsia"/>
                <w:lang w:val="en-US" w:eastAsia="zh-CN"/>
              </w:rPr>
              <w:t>项目</w:t>
            </w:r>
            <w:r>
              <w:rPr>
                <w:rFonts w:hint="eastAsia"/>
              </w:rPr>
              <w:t>遇降雨利用防雨布对临时堆放的表土、临时堆土和裸露土质边坡进行临时覆盖，共需防雨布约15000m²。</w:t>
            </w:r>
          </w:p>
          <w:p>
            <w:pPr>
              <w:pStyle w:val="29"/>
              <w:ind w:firstLine="480"/>
              <w:rPr>
                <w:rFonts w:hint="eastAsia"/>
                <w:lang w:val="en-US" w:eastAsia="zh-CN"/>
              </w:rPr>
            </w:pPr>
            <w:r>
              <w:rPr>
                <w:rFonts w:hint="eastAsia"/>
                <w:lang w:val="en-US" w:eastAsia="zh-CN"/>
              </w:rPr>
              <w:t>截排水沟：根据汇水面积和地形条件，经水力计算，本项目拟新增的排水沟采用土质排水沟，梯形断面。根据各区上游汇水情况，顶宽尺寸0.6m，下底宽0.3m，深度0.3m，具体断面应在施工图阶段，结合现场实际情况进一步细化。</w:t>
            </w:r>
          </w:p>
          <w:p>
            <w:pPr>
              <w:pStyle w:val="29"/>
              <w:ind w:firstLine="482"/>
              <w:rPr>
                <w:b/>
                <w:bCs/>
              </w:rPr>
            </w:pPr>
            <w:r>
              <w:rPr>
                <w:rFonts w:hint="eastAsia"/>
                <w:b/>
                <w:bCs/>
              </w:rPr>
              <w:t>2.10.2 大气污染</w:t>
            </w:r>
          </w:p>
          <w:p>
            <w:pPr>
              <w:pStyle w:val="29"/>
              <w:ind w:firstLine="480"/>
            </w:pPr>
            <w:r>
              <w:rPr>
                <w:rFonts w:hint="eastAsia"/>
              </w:rPr>
              <w:t>项目施工期大气污染物主要为施工粉尘和施工机械废气，属短期影响。</w:t>
            </w:r>
          </w:p>
          <w:p>
            <w:pPr>
              <w:pStyle w:val="29"/>
              <w:ind w:firstLine="482"/>
              <w:rPr>
                <w:b/>
                <w:bCs/>
              </w:rPr>
            </w:pPr>
            <w:r>
              <w:rPr>
                <w:rFonts w:hint="eastAsia"/>
                <w:b/>
                <w:bCs/>
              </w:rPr>
              <w:t>2.10.3 水污染</w:t>
            </w:r>
          </w:p>
          <w:p>
            <w:pPr>
              <w:pStyle w:val="29"/>
              <w:ind w:firstLine="480"/>
            </w:pPr>
            <w:r>
              <w:rPr>
                <w:rFonts w:hint="eastAsia"/>
              </w:rPr>
              <w:t>水污染</w:t>
            </w:r>
            <w:r>
              <w:rPr>
                <w:rFonts w:hint="eastAsia"/>
                <w:lang w:eastAsia="zh-CN"/>
              </w:rPr>
              <w:t>主要来自</w:t>
            </w:r>
            <w:r>
              <w:rPr>
                <w:rFonts w:hint="eastAsia"/>
              </w:rPr>
              <w:t>施工过程中产生的施工废水（主要污染物为SS和石油类）和施工人员的生活污水（主要污染物为COD、SS和NH</w:t>
            </w:r>
            <w:r>
              <w:rPr>
                <w:rFonts w:hint="eastAsia"/>
                <w:vertAlign w:val="subscript"/>
              </w:rPr>
              <w:t>3</w:t>
            </w:r>
            <w:r>
              <w:rPr>
                <w:rFonts w:hint="eastAsia"/>
              </w:rPr>
              <w:t>-N等）。项目施工期间平均每天约80人在工地，生活用水按每人每天120L计，污水按用水量的90%计，则施工期生活污水产生量约8.64m³/d，其主要污染物及其浓度为COD约300mg/L、BOD</w:t>
            </w:r>
            <w:r>
              <w:rPr>
                <w:rFonts w:hint="eastAsia"/>
                <w:vertAlign w:val="subscript"/>
              </w:rPr>
              <w:t>5</w:t>
            </w:r>
            <w:r>
              <w:rPr>
                <w:rFonts w:hint="eastAsia"/>
              </w:rPr>
              <w:t>约150mg/L、SS约250mg/L、NH</w:t>
            </w:r>
            <w:r>
              <w:rPr>
                <w:rFonts w:hint="eastAsia"/>
                <w:vertAlign w:val="subscript"/>
              </w:rPr>
              <w:t>3</w:t>
            </w:r>
            <w:r>
              <w:rPr>
                <w:rFonts w:hint="eastAsia"/>
              </w:rPr>
              <w:t>-N约20mg/L。生活污水利用当地居民原有的污水处理设施处理后用于周边农用。施工期产生的施工废水循环利用于洒水抑尘，无施工废水排放。</w:t>
            </w:r>
          </w:p>
          <w:p>
            <w:pPr>
              <w:pStyle w:val="29"/>
              <w:ind w:firstLine="482"/>
              <w:rPr>
                <w:b/>
                <w:bCs/>
              </w:rPr>
            </w:pPr>
            <w:r>
              <w:rPr>
                <w:rFonts w:hint="eastAsia"/>
                <w:b/>
                <w:bCs/>
              </w:rPr>
              <w:t>2.10.4 噪声污染</w:t>
            </w:r>
          </w:p>
          <w:p>
            <w:pPr>
              <w:pStyle w:val="29"/>
              <w:ind w:firstLine="480"/>
            </w:pPr>
            <w:r>
              <w:rPr>
                <w:rFonts w:hint="eastAsia"/>
              </w:rPr>
              <w:t>施工期间噪声主要是起重机、推土机、打夯机、柴油发电机等施工设备运行中产生，为非连续噪声源，各施工机械点距5m的声级约为76~95dB（A）。</w:t>
            </w:r>
          </w:p>
          <w:p>
            <w:pPr>
              <w:pStyle w:val="29"/>
              <w:ind w:firstLine="482"/>
              <w:rPr>
                <w:b/>
                <w:bCs/>
              </w:rPr>
            </w:pPr>
            <w:r>
              <w:rPr>
                <w:rFonts w:hint="eastAsia"/>
                <w:b/>
                <w:bCs/>
              </w:rPr>
              <w:t>2.10.5 固体废物</w:t>
            </w:r>
          </w:p>
          <w:p>
            <w:pPr>
              <w:pStyle w:val="29"/>
              <w:ind w:firstLine="480"/>
              <w:rPr>
                <w:rFonts w:hint="eastAsia" w:eastAsia="宋体"/>
                <w:lang w:eastAsia="zh-CN"/>
              </w:rPr>
            </w:pPr>
            <w:r>
              <w:rPr>
                <w:rFonts w:hint="eastAsia"/>
              </w:rPr>
              <w:t>主要为施工人员产生的生活垃圾</w:t>
            </w:r>
            <w:r>
              <w:rPr>
                <w:rFonts w:hint="eastAsia"/>
                <w:lang w:eastAsia="zh-CN"/>
              </w:rPr>
              <w:t>，</w:t>
            </w:r>
            <w:r>
              <w:rPr>
                <w:rFonts w:hint="eastAsia"/>
              </w:rPr>
              <w:t>生活垃圾统一收集后委托当地环卫部门统一处理</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其他</w:t>
            </w:r>
          </w:p>
        </w:tc>
        <w:tc>
          <w:tcPr>
            <w:tcW w:w="8828" w:type="dxa"/>
            <w:vAlign w:val="center"/>
          </w:tcPr>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r>
              <w:rPr>
                <w:rFonts w:hint="eastAsia"/>
              </w:rPr>
              <w:t>无</w:t>
            </w: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p>
            <w:pPr>
              <w:pStyle w:val="29"/>
              <w:bidi w:val="0"/>
              <w:ind w:left="0" w:leftChars="0" w:right="0" w:rightChars="0" w:firstLine="0" w:firstLineChars="0"/>
              <w:jc w:val="center"/>
              <w:rPr>
                <w:rFonts w:hint="eastAsia"/>
              </w:rPr>
            </w:pPr>
          </w:p>
        </w:tc>
      </w:tr>
    </w:tbl>
    <w:p>
      <w:pPr>
        <w:pStyle w:val="12"/>
        <w:ind w:firstLine="480"/>
        <w:jc w:val="center"/>
        <w:outlineLvl w:val="0"/>
        <w:rPr>
          <w:rFonts w:ascii="黑体" w:hAnsi="黑体" w:eastAsia="黑体"/>
          <w:snapToGrid w:val="0"/>
          <w:sz w:val="30"/>
          <w:szCs w:val="30"/>
        </w:rPr>
      </w:pPr>
      <w:r>
        <w:rPr>
          <w:rFonts w:eastAsia="方正仿宋_GB2312"/>
          <w:b/>
          <w:bCs/>
        </w:rPr>
        <w:br w:type="page"/>
      </w:r>
      <w:r>
        <w:rPr>
          <w:rFonts w:hint="eastAsia" w:ascii="黑体" w:hAnsi="黑体" w:eastAsia="黑体"/>
          <w:snapToGrid w:val="0"/>
          <w:sz w:val="30"/>
          <w:szCs w:val="30"/>
        </w:rPr>
        <w:t>三、生态环境现状、保护目标及评价标准</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生态环境现状</w:t>
            </w:r>
          </w:p>
        </w:tc>
        <w:tc>
          <w:tcPr>
            <w:tcW w:w="8843" w:type="dxa"/>
            <w:vAlign w:val="center"/>
          </w:tcPr>
          <w:p>
            <w:pPr>
              <w:pStyle w:val="29"/>
              <w:ind w:firstLine="482"/>
              <w:rPr>
                <w:b/>
                <w:bCs/>
              </w:rPr>
            </w:pPr>
            <w:r>
              <w:rPr>
                <w:rFonts w:hint="eastAsia"/>
                <w:b/>
                <w:bCs/>
              </w:rPr>
              <w:t>3.1 生态环境现状</w:t>
            </w:r>
          </w:p>
          <w:p>
            <w:pPr>
              <w:pStyle w:val="29"/>
              <w:ind w:firstLine="482"/>
              <w:rPr>
                <w:b/>
                <w:bCs/>
              </w:rPr>
            </w:pPr>
            <w:r>
              <w:rPr>
                <w:rFonts w:hint="eastAsia"/>
                <w:b/>
                <w:bCs/>
              </w:rPr>
              <w:t>3.1.1 主体功能区规划</w:t>
            </w:r>
          </w:p>
          <w:p>
            <w:pPr>
              <w:pStyle w:val="29"/>
              <w:ind w:firstLine="480"/>
            </w:pPr>
            <w:r>
              <w:rPr>
                <w:rFonts w:hint="eastAsia"/>
              </w:rPr>
              <w:t>本项目位于奉节县，属于《重庆市主体功能区规划》中的中心城区重点开发区域，中心城区重点开发区功能定位及发展目标：在本县集聚经济和人口的条件相对较好，要突出特色，因地制宜，适度发展资源环境可承载的产业，承接本县其他地区和禁止开发区域的产业和人口转移；在切实保护好生态环境的前提下，发展农林产品加工、矿产资源开采、生态观光旅游等适宜产业，促进本区域的产业和经济布局向中心城区集聚；加强公共服务设施和人居环境建设，提高人口承载能力，在引导人口向外转移的同时，促进本区域人口向中心城区适当集中；严格保护好耕地和基本农田，稳定提高粮食生产能力；严格控制环境污染，稳定提高生态环境质量。</w:t>
            </w:r>
          </w:p>
          <w:p>
            <w:pPr>
              <w:pStyle w:val="29"/>
              <w:ind w:firstLine="482"/>
              <w:rPr>
                <w:b/>
                <w:bCs/>
              </w:rPr>
            </w:pPr>
            <w:r>
              <w:rPr>
                <w:rFonts w:hint="eastAsia"/>
                <w:b/>
                <w:bCs/>
              </w:rPr>
              <w:t>3.1.2 生态功能区划</w:t>
            </w:r>
          </w:p>
          <w:p>
            <w:pPr>
              <w:pStyle w:val="29"/>
              <w:ind w:firstLine="480"/>
            </w:pPr>
            <w:r>
              <w:rPr>
                <w:rFonts w:hint="eastAsia"/>
              </w:rPr>
              <w:t>（1）全国生态功能区划</w:t>
            </w:r>
          </w:p>
          <w:p>
            <w:pPr>
              <w:pStyle w:val="29"/>
              <w:ind w:firstLine="480"/>
            </w:pPr>
            <w:r>
              <w:t>根据《全国生态功能区划》（修编），本项目位于I-03-07三峡库区土壤保持功能区。该区地处中亚热带季风湿润气候区，山高坡陡、降雨强度大，是三峡水库水环境保护的重要区域。</w:t>
            </w:r>
          </w:p>
          <w:p>
            <w:pPr>
              <w:pStyle w:val="29"/>
              <w:ind w:firstLine="480"/>
            </w:pPr>
            <w:r>
              <w:t>该类型区的主要生态问题：受长期过度垦殖和近年来三峡工程建设与生态移民的影响，森林植被破坏较严重，水源涵养能力较低，库区周边点源和面源污染严重；同时，水土流失量和入库泥沙量大，地质灾害频发，给库区人民生命财产安全造成威胁。</w:t>
            </w:r>
          </w:p>
          <w:p>
            <w:pPr>
              <w:pStyle w:val="29"/>
              <w:ind w:firstLine="480"/>
            </w:pPr>
            <w:r>
              <w:t>生态保护主要措施：加大退耕还林和天然林保护力度；优化乔灌草植被结构和库岸防护林带建设，增强土壤保持与水源涵养功能；加快城镇化进程和生态搬迁的环境管理与生态建设；加强地质灾害防治力度；开展生态旅游；在三峡水电收益中确定一定比例用于促进城镇化和生态保护</w:t>
            </w:r>
            <w:r>
              <w:rPr>
                <w:rFonts w:hint="eastAsia"/>
              </w:rPr>
              <w:t>。</w:t>
            </w:r>
          </w:p>
          <w:p>
            <w:pPr>
              <w:pStyle w:val="29"/>
              <w:ind w:firstLine="480"/>
            </w:pPr>
            <w:r>
              <w:rPr>
                <w:rFonts w:hint="eastAsia"/>
              </w:rPr>
              <w:t>（2）重庆市生态功能区划</w:t>
            </w:r>
          </w:p>
          <w:p>
            <w:pPr>
              <w:pStyle w:val="29"/>
              <w:ind w:firstLine="480"/>
            </w:pPr>
            <w:r>
              <w:rPr>
                <w:rFonts w:hint="eastAsia"/>
              </w:rPr>
              <w:t>根据《重庆市生态功能区划》（修编），本项目所在区域属于三峡库区（腹地）平行岭谷低山—丘陵生态区中II1-1巫山—奉节水质保护—水源涵养生态功能区，该区域包括奉节、巫山两县，面积7057.3km</w:t>
            </w:r>
            <w:r>
              <w:rPr>
                <w:rFonts w:hint="eastAsia"/>
                <w:vertAlign w:val="superscript"/>
              </w:rPr>
              <w:t>2</w:t>
            </w:r>
            <w:r>
              <w:rPr>
                <w:rFonts w:hint="eastAsia"/>
              </w:rPr>
              <w:t>，占生态亚区面积30.4%、生态区（II）面积26.5%。</w:t>
            </w:r>
          </w:p>
          <w:p>
            <w:pPr>
              <w:pStyle w:val="29"/>
              <w:ind w:firstLine="480"/>
            </w:pPr>
            <w:r>
              <w:rPr>
                <w:rFonts w:hint="eastAsia"/>
              </w:rPr>
              <w:t>主要生态环境问题为水土流失、石漠化、地质灾害是全市最严重地区，次级河流存在一定程度污染，三峡水库消落区生态环境问题危害较严重。主导生态功能为保护三峡水库水体，辅助功能为水土保持、水源涵养。生态环境保护建设方向和重点是农村面源和城镇生活污水、垃圾的污染防治，进一步提高植被覆盖度，保持水土、涵养水源，进行地质灾害、石漠化和三峡水库消落区生态环境综合整治。适度点状开发，发展生态旅游业、绿色农林产品加工业、清洁能源和环保建材产业，形成特色经济。本区的自然保护区、国家森林公园和地质公园、风景名胜区核心区应划为禁止开发区，依法保护，严禁开发活动；长江等河流水域应重点保护。</w:t>
            </w:r>
          </w:p>
          <w:p>
            <w:pPr>
              <w:pStyle w:val="29"/>
              <w:ind w:firstLine="482"/>
              <w:rPr>
                <w:b/>
                <w:bCs/>
              </w:rPr>
            </w:pPr>
            <w:r>
              <w:rPr>
                <w:rFonts w:hint="eastAsia"/>
                <w:b/>
                <w:bCs/>
              </w:rPr>
              <w:t>3.1.3 生态环境现状</w:t>
            </w:r>
          </w:p>
          <w:p>
            <w:pPr>
              <w:pStyle w:val="29"/>
              <w:ind w:firstLine="480"/>
            </w:pPr>
            <w:r>
              <w:rPr>
                <w:rFonts w:hint="eastAsia"/>
              </w:rPr>
              <w:t>（一）土地利用现状</w:t>
            </w:r>
          </w:p>
          <w:p>
            <w:pPr>
              <w:pStyle w:val="29"/>
              <w:ind w:firstLine="480"/>
              <w:rPr>
                <w:rFonts w:hint="eastAsia"/>
              </w:rPr>
            </w:pPr>
            <w:r>
              <w:rPr>
                <w:rFonts w:hint="eastAsia"/>
              </w:rPr>
              <w:t>本项目占地主要为光伏阵列区以及升压站占地。根据现场调查，结合《土地利用现状分类》（GB/T21010-2017），项目范围内各个地块的土地利用现状主要为园地、草地等；项目土地利用现状详见表3-1。</w:t>
            </w:r>
          </w:p>
          <w:p>
            <w:pPr>
              <w:pStyle w:val="29"/>
              <w:ind w:left="0" w:leftChars="0" w:right="0" w:rightChars="0" w:firstLine="0" w:firstLineChars="0"/>
              <w:jc w:val="center"/>
              <w:rPr>
                <w:rFonts w:hint="default"/>
                <w:b w:val="0"/>
                <w:bCs w:val="0"/>
                <w:lang w:val="en-US" w:eastAsia="zh-CN"/>
              </w:rPr>
            </w:pPr>
            <w:r>
              <w:rPr>
                <w:rFonts w:hint="eastAsia"/>
                <w:b w:val="0"/>
                <w:bCs w:val="0"/>
                <w:lang w:val="en-US" w:eastAsia="zh-CN"/>
              </w:rPr>
              <w:t>表3-1  本项目占地类型具体分类表  单位：公顷</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61"/>
              <w:gridCol w:w="2014"/>
              <w:gridCol w:w="2371"/>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868" w:type="dxa"/>
                  <w:gridSpan w:val="2"/>
                  <w:shd w:val="clear" w:color="auto" w:fill="auto"/>
                  <w:vAlign w:val="center"/>
                </w:tcPr>
                <w:p>
                  <w:pPr>
                    <w:pStyle w:val="28"/>
                    <w:bidi w:val="0"/>
                    <w:rPr>
                      <w:rFonts w:hint="default"/>
                      <w:lang w:val="en-US" w:eastAsia="zh-CN"/>
                    </w:rPr>
                  </w:pPr>
                  <w:r>
                    <w:rPr>
                      <w:rFonts w:hint="eastAsia"/>
                      <w:lang w:val="en-US" w:eastAsia="zh-CN"/>
                    </w:rPr>
                    <w:t>分类</w:t>
                  </w:r>
                </w:p>
              </w:tc>
              <w:tc>
                <w:tcPr>
                  <w:tcW w:w="2367" w:type="dxa"/>
                  <w:shd w:val="clear" w:color="auto" w:fill="auto"/>
                  <w:vAlign w:val="center"/>
                </w:tcPr>
                <w:p>
                  <w:pPr>
                    <w:pStyle w:val="28"/>
                    <w:bidi w:val="0"/>
                    <w:rPr>
                      <w:rFonts w:hint="eastAsia"/>
                      <w:lang w:val="en-US" w:eastAsia="zh-CN"/>
                    </w:rPr>
                  </w:pPr>
                  <w:r>
                    <w:rPr>
                      <w:rFonts w:hint="eastAsia"/>
                      <w:lang w:val="en-US" w:eastAsia="zh-CN"/>
                    </w:rPr>
                    <w:t>面积</w:t>
                  </w:r>
                </w:p>
              </w:tc>
              <w:tc>
                <w:tcPr>
                  <w:tcW w:w="2367" w:type="dxa"/>
                  <w:shd w:val="clear" w:color="auto" w:fill="auto"/>
                  <w:vAlign w:val="center"/>
                </w:tcPr>
                <w:p>
                  <w:pPr>
                    <w:pStyle w:val="28"/>
                    <w:bidi w:val="0"/>
                    <w:rPr>
                      <w:rFonts w:hint="default"/>
                      <w:lang w:val="en-US" w:eastAsia="zh-CN"/>
                    </w:rPr>
                  </w:pPr>
                  <w:r>
                    <w:rPr>
                      <w:rFonts w:hint="eastAsia"/>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58" w:type="dxa"/>
                  <w:vMerge w:val="restart"/>
                  <w:shd w:val="clear" w:color="auto" w:fill="auto"/>
                  <w:vAlign w:val="center"/>
                </w:tcPr>
                <w:p>
                  <w:pPr>
                    <w:pStyle w:val="28"/>
                    <w:bidi w:val="0"/>
                    <w:rPr>
                      <w:rFonts w:hint="eastAsia"/>
                      <w:lang w:val="en-US" w:eastAsia="zh-CN"/>
                    </w:rPr>
                  </w:pPr>
                  <w:r>
                    <w:rPr>
                      <w:rFonts w:hint="eastAsia"/>
                      <w:lang w:val="en-US" w:eastAsia="zh-CN"/>
                    </w:rPr>
                    <w:t>其他草地</w:t>
                  </w:r>
                </w:p>
              </w:tc>
              <w:tc>
                <w:tcPr>
                  <w:tcW w:w="2010" w:type="dxa"/>
                  <w:shd w:val="clear" w:color="auto" w:fill="auto"/>
                  <w:vAlign w:val="center"/>
                </w:tcPr>
                <w:p>
                  <w:pPr>
                    <w:pStyle w:val="28"/>
                    <w:bidi w:val="0"/>
                    <w:rPr>
                      <w:rFonts w:hint="eastAsia"/>
                      <w:lang w:val="en-US" w:eastAsia="zh-CN"/>
                    </w:rPr>
                  </w:pPr>
                  <w:r>
                    <w:rPr>
                      <w:rFonts w:hint="eastAsia"/>
                      <w:lang w:val="en-US" w:eastAsia="zh-CN"/>
                    </w:rPr>
                    <w:t>草地</w:t>
                  </w:r>
                </w:p>
              </w:tc>
              <w:tc>
                <w:tcPr>
                  <w:tcW w:w="2367" w:type="dxa"/>
                  <w:shd w:val="clear" w:color="auto" w:fill="auto"/>
                  <w:vAlign w:val="center"/>
                </w:tcPr>
                <w:p>
                  <w:pPr>
                    <w:pStyle w:val="28"/>
                    <w:bidi w:val="0"/>
                    <w:rPr>
                      <w:rFonts w:hint="eastAsia"/>
                      <w:lang w:val="en-US" w:eastAsia="zh-CN"/>
                    </w:rPr>
                  </w:pPr>
                  <w:r>
                    <w:rPr>
                      <w:rFonts w:hint="eastAsia"/>
                      <w:lang w:val="en-US" w:eastAsia="zh-CN"/>
                    </w:rPr>
                    <w:t>1.4318</w:t>
                  </w:r>
                </w:p>
              </w:tc>
              <w:tc>
                <w:tcPr>
                  <w:tcW w:w="2367" w:type="dxa"/>
                  <w:vMerge w:val="restart"/>
                  <w:shd w:val="clear" w:color="auto" w:fill="auto"/>
                  <w:vAlign w:val="center"/>
                </w:tcPr>
                <w:p>
                  <w:pPr>
                    <w:pStyle w:val="28"/>
                    <w:bidi w:val="0"/>
                    <w:rPr>
                      <w:rFonts w:hint="default"/>
                      <w:lang w:val="en-US" w:eastAsia="zh-CN"/>
                    </w:rPr>
                  </w:pPr>
                  <w:r>
                    <w:rPr>
                      <w:rFonts w:hint="eastAsia"/>
                      <w:lang w:val="en-US" w:eastAsia="zh-CN"/>
                    </w:rPr>
                    <w:t>1.5570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8" w:type="dxa"/>
                  <w:vMerge w:val="continue"/>
                  <w:shd w:val="clear" w:color="auto" w:fill="auto"/>
                  <w:vAlign w:val="center"/>
                </w:tcPr>
                <w:p>
                  <w:pPr>
                    <w:pStyle w:val="28"/>
                    <w:bidi w:val="0"/>
                    <w:rPr>
                      <w:rFonts w:hint="eastAsia"/>
                      <w:lang w:val="en-US" w:eastAsia="zh-CN"/>
                    </w:rPr>
                  </w:pPr>
                </w:p>
              </w:tc>
              <w:tc>
                <w:tcPr>
                  <w:tcW w:w="2010" w:type="dxa"/>
                  <w:shd w:val="clear" w:color="auto" w:fill="auto"/>
                  <w:vAlign w:val="center"/>
                </w:tcPr>
                <w:p>
                  <w:pPr>
                    <w:pStyle w:val="28"/>
                    <w:bidi w:val="0"/>
                    <w:rPr>
                      <w:rFonts w:hint="eastAsia"/>
                      <w:lang w:val="en-US" w:eastAsia="zh-CN"/>
                    </w:rPr>
                  </w:pPr>
                  <w:r>
                    <w:rPr>
                      <w:rFonts w:hint="eastAsia"/>
                      <w:lang w:val="en-US" w:eastAsia="zh-CN"/>
                    </w:rPr>
                    <w:t>裸土地</w:t>
                  </w:r>
                </w:p>
              </w:tc>
              <w:tc>
                <w:tcPr>
                  <w:tcW w:w="2367" w:type="dxa"/>
                  <w:shd w:val="clear" w:color="auto" w:fill="auto"/>
                  <w:vAlign w:val="center"/>
                </w:tcPr>
                <w:p>
                  <w:pPr>
                    <w:pStyle w:val="28"/>
                    <w:bidi w:val="0"/>
                    <w:rPr>
                      <w:rFonts w:hint="eastAsia"/>
                      <w:lang w:val="en-US" w:eastAsia="zh-CN"/>
                    </w:rPr>
                  </w:pPr>
                  <w:r>
                    <w:rPr>
                      <w:rFonts w:hint="eastAsia"/>
                      <w:lang w:val="en-US" w:eastAsia="zh-CN"/>
                    </w:rPr>
                    <w:t>0.1252</w:t>
                  </w:r>
                </w:p>
              </w:tc>
              <w:tc>
                <w:tcPr>
                  <w:tcW w:w="2367" w:type="dxa"/>
                  <w:vMerge w:val="continue"/>
                  <w:shd w:val="clear" w:color="auto" w:fill="auto"/>
                  <w:vAlign w:val="center"/>
                </w:tcPr>
                <w:p>
                  <w:pPr>
                    <w:pStyle w:val="28"/>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jc w:val="center"/>
              </w:trPr>
              <w:tc>
                <w:tcPr>
                  <w:tcW w:w="1858" w:type="dxa"/>
                  <w:vMerge w:val="restart"/>
                  <w:shd w:val="clear" w:color="auto" w:fill="auto"/>
                  <w:vAlign w:val="center"/>
                </w:tcPr>
                <w:p>
                  <w:pPr>
                    <w:pStyle w:val="28"/>
                    <w:bidi w:val="0"/>
                    <w:rPr>
                      <w:rFonts w:hint="eastAsia"/>
                      <w:lang w:val="en-US" w:eastAsia="zh-CN"/>
                    </w:rPr>
                  </w:pPr>
                  <w:r>
                    <w:rPr>
                      <w:rFonts w:hint="eastAsia"/>
                      <w:lang w:val="en-US" w:eastAsia="zh-CN"/>
                    </w:rPr>
                    <w:t>园地</w:t>
                  </w:r>
                </w:p>
              </w:tc>
              <w:tc>
                <w:tcPr>
                  <w:tcW w:w="2010" w:type="dxa"/>
                  <w:shd w:val="clear" w:color="auto" w:fill="auto"/>
                  <w:vAlign w:val="center"/>
                </w:tcPr>
                <w:p>
                  <w:pPr>
                    <w:pStyle w:val="28"/>
                    <w:bidi w:val="0"/>
                    <w:rPr>
                      <w:rFonts w:hint="eastAsia"/>
                      <w:lang w:val="en-US" w:eastAsia="zh-CN"/>
                    </w:rPr>
                  </w:pPr>
                  <w:r>
                    <w:rPr>
                      <w:rFonts w:hint="eastAsia"/>
                      <w:lang w:val="en-US" w:eastAsia="zh-CN"/>
                    </w:rPr>
                    <w:t>果园</w:t>
                  </w:r>
                </w:p>
              </w:tc>
              <w:tc>
                <w:tcPr>
                  <w:tcW w:w="2367" w:type="dxa"/>
                  <w:shd w:val="clear" w:color="auto" w:fill="auto"/>
                  <w:vAlign w:val="center"/>
                </w:tcPr>
                <w:p>
                  <w:pPr>
                    <w:pStyle w:val="28"/>
                    <w:bidi w:val="0"/>
                    <w:rPr>
                      <w:rFonts w:hint="eastAsia"/>
                      <w:lang w:val="en-US" w:eastAsia="zh-CN"/>
                    </w:rPr>
                  </w:pPr>
                  <w:r>
                    <w:rPr>
                      <w:rFonts w:hint="eastAsia"/>
                      <w:lang w:val="en-US" w:eastAsia="zh-CN"/>
                    </w:rPr>
                    <w:t>152.2372</w:t>
                  </w:r>
                </w:p>
              </w:tc>
              <w:tc>
                <w:tcPr>
                  <w:tcW w:w="2367" w:type="dxa"/>
                  <w:vMerge w:val="restart"/>
                  <w:shd w:val="clear" w:color="auto" w:fill="auto"/>
                  <w:vAlign w:val="center"/>
                </w:tcPr>
                <w:p>
                  <w:pPr>
                    <w:pStyle w:val="28"/>
                    <w:bidi w:val="0"/>
                    <w:rPr>
                      <w:rFonts w:hint="default"/>
                      <w:lang w:val="en-US" w:eastAsia="zh-CN"/>
                    </w:rPr>
                  </w:pPr>
                  <w:r>
                    <w:rPr>
                      <w:rFonts w:hint="eastAsia"/>
                      <w:lang w:val="en-US" w:eastAsia="zh-CN"/>
                    </w:rPr>
                    <w:t>164.6723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8" w:type="dxa"/>
                  <w:vMerge w:val="continue"/>
                  <w:shd w:val="clear" w:color="auto" w:fill="auto"/>
                  <w:vAlign w:val="center"/>
                </w:tcPr>
                <w:p>
                  <w:pPr>
                    <w:pStyle w:val="28"/>
                    <w:bidi w:val="0"/>
                    <w:rPr>
                      <w:rFonts w:hint="eastAsia"/>
                      <w:lang w:val="en-US" w:eastAsia="zh-CN"/>
                    </w:rPr>
                  </w:pPr>
                </w:p>
              </w:tc>
              <w:tc>
                <w:tcPr>
                  <w:tcW w:w="2010" w:type="dxa"/>
                  <w:shd w:val="clear" w:color="auto" w:fill="auto"/>
                  <w:vAlign w:val="center"/>
                </w:tcPr>
                <w:p>
                  <w:pPr>
                    <w:pStyle w:val="28"/>
                    <w:bidi w:val="0"/>
                    <w:rPr>
                      <w:rFonts w:hint="eastAsia"/>
                      <w:lang w:val="en-US" w:eastAsia="zh-CN"/>
                    </w:rPr>
                  </w:pPr>
                  <w:r>
                    <w:rPr>
                      <w:rFonts w:hint="eastAsia"/>
                      <w:lang w:val="en-US" w:eastAsia="zh-CN"/>
                    </w:rPr>
                    <w:t>茶园</w:t>
                  </w:r>
                </w:p>
              </w:tc>
              <w:tc>
                <w:tcPr>
                  <w:tcW w:w="2367" w:type="dxa"/>
                  <w:shd w:val="clear" w:color="auto" w:fill="auto"/>
                  <w:vAlign w:val="center"/>
                </w:tcPr>
                <w:p>
                  <w:pPr>
                    <w:pStyle w:val="28"/>
                    <w:bidi w:val="0"/>
                    <w:rPr>
                      <w:rFonts w:hint="eastAsia"/>
                      <w:lang w:val="en-US" w:eastAsia="zh-CN"/>
                    </w:rPr>
                  </w:pPr>
                  <w:r>
                    <w:rPr>
                      <w:rFonts w:hint="eastAsia"/>
                      <w:lang w:val="en-US" w:eastAsia="zh-CN"/>
                    </w:rPr>
                    <w:t>8.7895</w:t>
                  </w:r>
                </w:p>
              </w:tc>
              <w:tc>
                <w:tcPr>
                  <w:tcW w:w="2367" w:type="dxa"/>
                  <w:vMerge w:val="continue"/>
                  <w:shd w:val="clear" w:color="auto" w:fill="auto"/>
                  <w:vAlign w:val="center"/>
                </w:tcPr>
                <w:p>
                  <w:pPr>
                    <w:pStyle w:val="28"/>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8" w:type="dxa"/>
                  <w:vMerge w:val="continue"/>
                  <w:shd w:val="clear" w:color="auto" w:fill="auto"/>
                  <w:vAlign w:val="center"/>
                </w:tcPr>
                <w:p>
                  <w:pPr>
                    <w:pStyle w:val="28"/>
                    <w:bidi w:val="0"/>
                    <w:rPr>
                      <w:rFonts w:hint="eastAsia"/>
                      <w:lang w:val="en-US" w:eastAsia="zh-CN"/>
                    </w:rPr>
                  </w:pPr>
                </w:p>
              </w:tc>
              <w:tc>
                <w:tcPr>
                  <w:tcW w:w="2010" w:type="dxa"/>
                  <w:shd w:val="clear" w:color="auto" w:fill="auto"/>
                  <w:vAlign w:val="center"/>
                </w:tcPr>
                <w:p>
                  <w:pPr>
                    <w:pStyle w:val="28"/>
                    <w:bidi w:val="0"/>
                    <w:rPr>
                      <w:rFonts w:hint="eastAsia"/>
                      <w:lang w:val="en-US" w:eastAsia="zh-CN"/>
                    </w:rPr>
                  </w:pPr>
                  <w:r>
                    <w:rPr>
                      <w:rFonts w:hint="eastAsia"/>
                      <w:lang w:val="en-US" w:eastAsia="zh-CN"/>
                    </w:rPr>
                    <w:t>其他果园</w:t>
                  </w:r>
                </w:p>
              </w:tc>
              <w:tc>
                <w:tcPr>
                  <w:tcW w:w="2367" w:type="dxa"/>
                  <w:shd w:val="clear" w:color="auto" w:fill="auto"/>
                  <w:vAlign w:val="center"/>
                </w:tcPr>
                <w:p>
                  <w:pPr>
                    <w:pStyle w:val="28"/>
                    <w:bidi w:val="0"/>
                    <w:rPr>
                      <w:rFonts w:hint="eastAsia"/>
                      <w:lang w:val="en-US" w:eastAsia="zh-CN"/>
                    </w:rPr>
                  </w:pPr>
                  <w:r>
                    <w:rPr>
                      <w:rFonts w:hint="eastAsia"/>
                      <w:lang w:val="en-US" w:eastAsia="zh-CN"/>
                    </w:rPr>
                    <w:t>3.6456</w:t>
                  </w:r>
                </w:p>
              </w:tc>
              <w:tc>
                <w:tcPr>
                  <w:tcW w:w="2367" w:type="dxa"/>
                  <w:vMerge w:val="continue"/>
                  <w:shd w:val="clear" w:color="auto" w:fill="auto"/>
                  <w:vAlign w:val="center"/>
                </w:tcPr>
                <w:p>
                  <w:pPr>
                    <w:pStyle w:val="28"/>
                    <w:bidi w:val="0"/>
                    <w:rPr>
                      <w:rFonts w:hint="eastAsia"/>
                      <w:lang w:val="en-US" w:eastAsia="zh-CN"/>
                    </w:rPr>
                  </w:pPr>
                </w:p>
              </w:tc>
            </w:tr>
          </w:tbl>
          <w:p>
            <w:pPr>
              <w:pStyle w:val="29"/>
              <w:ind w:firstLine="480"/>
            </w:pPr>
            <w:r>
              <w:t>（</w:t>
            </w:r>
            <w:r>
              <w:rPr>
                <w:rFonts w:hint="eastAsia"/>
              </w:rPr>
              <w:t>二</w:t>
            </w:r>
            <w:r>
              <w:t>）植被及植物多样性</w:t>
            </w:r>
          </w:p>
          <w:p>
            <w:pPr>
              <w:pStyle w:val="29"/>
              <w:ind w:firstLine="480"/>
            </w:pPr>
            <w:r>
              <w:rPr>
                <w:rFonts w:hint="eastAsia"/>
              </w:rPr>
              <w:t>（1）</w:t>
            </w:r>
            <w:r>
              <w:t>植被类型</w:t>
            </w:r>
          </w:p>
          <w:p>
            <w:pPr>
              <w:pStyle w:val="29"/>
              <w:ind w:firstLine="480"/>
            </w:pPr>
            <w:r>
              <w:t>根据调查，工程建设区域由于地形较为陡峭，建设区域植被相对较为简单。乔木主要有马尾松、柏木</w:t>
            </w:r>
            <w:r>
              <w:rPr>
                <w:rFonts w:hint="eastAsia"/>
                <w:lang w:eastAsia="zh-CN"/>
              </w:rPr>
              <w:t>、</w:t>
            </w:r>
            <w:r>
              <w:rPr>
                <w:rFonts w:hint="eastAsia"/>
                <w:lang w:val="en-US" w:eastAsia="zh-CN"/>
              </w:rPr>
              <w:t>栓皮栎等</w:t>
            </w:r>
            <w:r>
              <w:t>。灌丛主要有马桑、火棘等，草丛主要为丝茅草、芒</w:t>
            </w:r>
            <w:r>
              <w:rPr>
                <w:rFonts w:hint="eastAsia"/>
                <w:lang w:val="en-US" w:eastAsia="zh-CN"/>
              </w:rPr>
              <w:t>草</w:t>
            </w:r>
            <w:r>
              <w:t>、蕨草等。</w:t>
            </w:r>
          </w:p>
          <w:p>
            <w:pPr>
              <w:pStyle w:val="29"/>
              <w:ind w:firstLine="480"/>
            </w:pPr>
            <w:r>
              <w:t>本项目位于</w:t>
            </w:r>
            <w:r>
              <w:rPr>
                <w:rFonts w:hint="eastAsia"/>
              </w:rPr>
              <w:t>奉节县新民镇</w:t>
            </w:r>
            <w:r>
              <w:t>，按照《中国植被》的植被分类原则、单位和系统，以及野外调查、整理出的样地资料，对项目评价区的植被类型进行划分。结果表明，评价区域的自然植被有4个植被型，</w:t>
            </w:r>
            <w:r>
              <w:rPr>
                <w:rFonts w:hint="eastAsia"/>
                <w:lang w:val="en-US" w:eastAsia="zh-CN"/>
              </w:rPr>
              <w:t>7</w:t>
            </w:r>
            <w:r>
              <w:t>个群系；栽培植被有</w:t>
            </w:r>
            <w:r>
              <w:rPr>
                <w:rFonts w:hint="eastAsia"/>
                <w:lang w:val="en-US" w:eastAsia="zh-CN"/>
              </w:rPr>
              <w:t>4</w:t>
            </w:r>
            <w:r>
              <w:t>个类型，分类系统序号连续编排按《中国植被》编号用字，植被型用Ⅰ、Ⅱ、Ⅲ…… ，群系组用</w:t>
            </w:r>
            <w:r>
              <w:rPr>
                <w:rFonts w:hint="eastAsia"/>
              </w:rPr>
              <w:t>（</w:t>
            </w:r>
            <w:r>
              <w:t>一</w:t>
            </w:r>
            <w:r>
              <w:rPr>
                <w:rFonts w:hint="eastAsia"/>
              </w:rPr>
              <w:t>）</w:t>
            </w:r>
            <w:r>
              <w:t>、</w:t>
            </w:r>
            <w:r>
              <w:rPr>
                <w:rFonts w:hint="eastAsia"/>
              </w:rPr>
              <w:t>（二）、（</w:t>
            </w:r>
            <w:r>
              <w:t>三</w:t>
            </w:r>
            <w:r>
              <w:rPr>
                <w:rFonts w:hint="eastAsia"/>
              </w:rPr>
              <w:t>）</w:t>
            </w:r>
            <w:r>
              <w:t>…… ，群系用1、2、3……表示。</w:t>
            </w:r>
          </w:p>
          <w:p>
            <w:pPr>
              <w:pStyle w:val="29"/>
              <w:ind w:firstLine="0" w:firstLineChars="0"/>
              <w:jc w:val="center"/>
            </w:pPr>
            <w:r>
              <w:t>表</w:t>
            </w:r>
            <w:r>
              <w:rPr>
                <w:rFonts w:hint="eastAsia"/>
              </w:rPr>
              <w:t>3-2</w:t>
            </w:r>
            <w:r>
              <w:t xml:space="preserve">  </w:t>
            </w:r>
            <w:r>
              <w:rPr>
                <w:rFonts w:hint="eastAsia"/>
              </w:rPr>
              <w:t>评价区内主要植被类型一览表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237"/>
              <w:gridCol w:w="6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Align w:val="center"/>
                </w:tcPr>
                <w:p>
                  <w:pPr>
                    <w:pStyle w:val="28"/>
                  </w:pPr>
                  <w:r>
                    <w:rPr>
                      <w:rFonts w:hint="eastAsia"/>
                    </w:rPr>
                    <w:t>大类型</w:t>
                  </w:r>
                </w:p>
              </w:tc>
              <w:tc>
                <w:tcPr>
                  <w:tcW w:w="1237" w:type="dxa"/>
                  <w:vAlign w:val="center"/>
                </w:tcPr>
                <w:p>
                  <w:pPr>
                    <w:pStyle w:val="28"/>
                  </w:pPr>
                  <w:r>
                    <w:rPr>
                      <w:rFonts w:hint="eastAsia"/>
                    </w:rPr>
                    <w:t>植被型</w:t>
                  </w:r>
                </w:p>
              </w:tc>
              <w:tc>
                <w:tcPr>
                  <w:tcW w:w="6184" w:type="dxa"/>
                  <w:vAlign w:val="center"/>
                </w:tcPr>
                <w:p>
                  <w:pPr>
                    <w:pStyle w:val="28"/>
                  </w:pPr>
                  <w:r>
                    <w:rPr>
                      <w:rFonts w:hint="eastAsia"/>
                    </w:rPr>
                    <w:t>群系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restart"/>
                  <w:vAlign w:val="center"/>
                </w:tcPr>
                <w:p>
                  <w:pPr>
                    <w:pStyle w:val="28"/>
                  </w:pPr>
                  <w:r>
                    <w:rPr>
                      <w:rFonts w:hint="eastAsia"/>
                    </w:rPr>
                    <w:t>陆生自然植被</w:t>
                  </w:r>
                </w:p>
              </w:tc>
              <w:tc>
                <w:tcPr>
                  <w:tcW w:w="1237" w:type="dxa"/>
                  <w:vMerge w:val="restart"/>
                  <w:vAlign w:val="center"/>
                </w:tcPr>
                <w:p>
                  <w:pPr>
                    <w:pStyle w:val="28"/>
                  </w:pPr>
                  <w:r>
                    <w:rPr>
                      <w:rFonts w:hint="eastAsia"/>
                    </w:rPr>
                    <w:t>I.针叶林</w:t>
                  </w:r>
                </w:p>
              </w:tc>
              <w:tc>
                <w:tcPr>
                  <w:tcW w:w="6184" w:type="dxa"/>
                  <w:vAlign w:val="center"/>
                </w:tcPr>
                <w:p>
                  <w:pPr>
                    <w:pStyle w:val="28"/>
                  </w:pPr>
                  <w:r>
                    <w:rPr>
                      <w:rFonts w:hint="eastAsia"/>
                    </w:rPr>
                    <w:t>1</w:t>
                  </w:r>
                  <w:r>
                    <w:t>.</w:t>
                  </w:r>
                  <w:r>
                    <w:rPr>
                      <w:rFonts w:hint="eastAsia"/>
                    </w:rPr>
                    <w:t>马尾松林 Form. Pinus massoniana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vAlign w:val="center"/>
                </w:tcPr>
                <w:p>
                  <w:pPr>
                    <w:pStyle w:val="28"/>
                  </w:pPr>
                </w:p>
              </w:tc>
              <w:tc>
                <w:tcPr>
                  <w:tcW w:w="1237" w:type="dxa"/>
                  <w:vMerge w:val="continue"/>
                  <w:vAlign w:val="center"/>
                </w:tcPr>
                <w:p>
                  <w:pPr>
                    <w:pStyle w:val="28"/>
                  </w:pPr>
                </w:p>
              </w:tc>
              <w:tc>
                <w:tcPr>
                  <w:tcW w:w="6184" w:type="dxa"/>
                  <w:vAlign w:val="center"/>
                </w:tcPr>
                <w:p>
                  <w:pPr>
                    <w:pStyle w:val="28"/>
                  </w:pPr>
                  <w:r>
                    <w:rPr>
                      <w:rFonts w:hint="eastAsia"/>
                    </w:rPr>
                    <w:t>2</w:t>
                  </w:r>
                  <w:r>
                    <w:t>.</w:t>
                  </w:r>
                  <w:r>
                    <w:rPr>
                      <w:rFonts w:hint="eastAsia"/>
                    </w:rPr>
                    <w:t>柏木林 Form. Cupressus funebris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vAlign w:val="center"/>
                </w:tcPr>
                <w:p>
                  <w:pPr>
                    <w:pStyle w:val="28"/>
                  </w:pPr>
                </w:p>
              </w:tc>
              <w:tc>
                <w:tcPr>
                  <w:tcW w:w="1237" w:type="dxa"/>
                  <w:vMerge w:val="restart"/>
                  <w:vAlign w:val="center"/>
                </w:tcPr>
                <w:p>
                  <w:pPr>
                    <w:pStyle w:val="28"/>
                  </w:pPr>
                  <w:r>
                    <w:rPr>
                      <w:rFonts w:hint="eastAsia"/>
                    </w:rPr>
                    <w:t>II. 阔叶林</w:t>
                  </w:r>
                </w:p>
              </w:tc>
              <w:tc>
                <w:tcPr>
                  <w:tcW w:w="6184" w:type="dxa"/>
                  <w:vAlign w:val="center"/>
                </w:tcPr>
                <w:p>
                  <w:pPr>
                    <w:pStyle w:val="28"/>
                  </w:pPr>
                  <w:r>
                    <w:rPr>
                      <w:rFonts w:hint="eastAsia"/>
                      <w:lang w:val="en-US" w:eastAsia="zh-CN"/>
                    </w:rPr>
                    <w:t>3</w:t>
                  </w:r>
                  <w:r>
                    <w:t>.栓皮栎林（Form.Quercus variabilis）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vAlign w:val="center"/>
                </w:tcPr>
                <w:p>
                  <w:pPr>
                    <w:pStyle w:val="28"/>
                  </w:pPr>
                </w:p>
              </w:tc>
              <w:tc>
                <w:tcPr>
                  <w:tcW w:w="1237" w:type="dxa"/>
                  <w:vMerge w:val="restart"/>
                  <w:vAlign w:val="center"/>
                </w:tcPr>
                <w:p>
                  <w:pPr>
                    <w:pStyle w:val="28"/>
                  </w:pPr>
                  <w:r>
                    <w:rPr>
                      <w:rFonts w:hint="eastAsia"/>
                    </w:rPr>
                    <w:t>III.灌丛</w:t>
                  </w:r>
                </w:p>
              </w:tc>
              <w:tc>
                <w:tcPr>
                  <w:tcW w:w="6184" w:type="dxa"/>
                  <w:vAlign w:val="center"/>
                </w:tcPr>
                <w:p>
                  <w:pPr>
                    <w:pStyle w:val="28"/>
                  </w:pPr>
                  <w:r>
                    <w:rPr>
                      <w:rFonts w:hint="eastAsia"/>
                      <w:lang w:val="en-US" w:eastAsia="zh-CN"/>
                    </w:rPr>
                    <w:t>4</w:t>
                  </w:r>
                  <w:r>
                    <w:t>.马桑、火棘灌丛（Form.Coriaria nepalensis,Pyracantha fortuneana）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vAlign w:val="center"/>
                </w:tcPr>
                <w:p>
                  <w:pPr>
                    <w:pStyle w:val="28"/>
                  </w:pPr>
                </w:p>
              </w:tc>
              <w:tc>
                <w:tcPr>
                  <w:tcW w:w="1237" w:type="dxa"/>
                  <w:vMerge w:val="restart"/>
                  <w:vAlign w:val="center"/>
                </w:tcPr>
                <w:p>
                  <w:pPr>
                    <w:pStyle w:val="28"/>
                  </w:pPr>
                  <w:r>
                    <w:t>IV.</w:t>
                  </w:r>
                  <w:r>
                    <w:rPr>
                      <w:rFonts w:hint="eastAsia"/>
                    </w:rPr>
                    <w:t>草丛</w:t>
                  </w:r>
                </w:p>
              </w:tc>
              <w:tc>
                <w:tcPr>
                  <w:tcW w:w="6184" w:type="dxa"/>
                  <w:vAlign w:val="center"/>
                </w:tcPr>
                <w:p>
                  <w:pPr>
                    <w:pStyle w:val="28"/>
                  </w:pPr>
                  <w:r>
                    <w:rPr>
                      <w:rFonts w:hint="eastAsia"/>
                      <w:lang w:val="en-US" w:eastAsia="zh-CN"/>
                    </w:rPr>
                    <w:t>5</w:t>
                  </w:r>
                  <w:r>
                    <w:t>.丝茅草丛（Form.Imperata koenigii）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vAlign w:val="center"/>
                </w:tcPr>
                <w:p>
                  <w:pPr>
                    <w:pStyle w:val="28"/>
                  </w:pPr>
                </w:p>
              </w:tc>
              <w:tc>
                <w:tcPr>
                  <w:tcW w:w="1237" w:type="dxa"/>
                  <w:vMerge w:val="continue"/>
                  <w:vAlign w:val="center"/>
                </w:tcPr>
                <w:p>
                  <w:pPr>
                    <w:pStyle w:val="28"/>
                  </w:pPr>
                </w:p>
              </w:tc>
              <w:tc>
                <w:tcPr>
                  <w:tcW w:w="6184" w:type="dxa"/>
                  <w:vAlign w:val="center"/>
                </w:tcPr>
                <w:p>
                  <w:pPr>
                    <w:pStyle w:val="28"/>
                  </w:pPr>
                  <w:r>
                    <w:rPr>
                      <w:rFonts w:hint="eastAsia"/>
                      <w:lang w:val="en-US" w:eastAsia="zh-CN"/>
                    </w:rPr>
                    <w:t>6</w:t>
                  </w:r>
                  <w:r>
                    <w:t>.芒草丛（Form.Miscanthus sinensis）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Merge w:val="continue"/>
                  <w:vAlign w:val="center"/>
                </w:tcPr>
                <w:p>
                  <w:pPr>
                    <w:pStyle w:val="28"/>
                  </w:pPr>
                </w:p>
              </w:tc>
              <w:tc>
                <w:tcPr>
                  <w:tcW w:w="1237" w:type="dxa"/>
                  <w:vMerge w:val="continue"/>
                  <w:vAlign w:val="center"/>
                </w:tcPr>
                <w:p>
                  <w:pPr>
                    <w:pStyle w:val="28"/>
                  </w:pPr>
                </w:p>
              </w:tc>
              <w:tc>
                <w:tcPr>
                  <w:tcW w:w="6184" w:type="dxa"/>
                  <w:vAlign w:val="center"/>
                </w:tcPr>
                <w:p>
                  <w:pPr>
                    <w:pStyle w:val="28"/>
                  </w:pPr>
                  <w:r>
                    <w:rPr>
                      <w:rFonts w:hint="eastAsia"/>
                      <w:lang w:val="en-US" w:eastAsia="zh-CN"/>
                    </w:rPr>
                    <w:t>7</w:t>
                  </w:r>
                  <w:r>
                    <w:t>.蕨草丛（Form.Pteridium aquilinum var.latiusculum）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dxa"/>
                  <w:vAlign w:val="center"/>
                </w:tcPr>
                <w:p>
                  <w:pPr>
                    <w:pStyle w:val="28"/>
                  </w:pPr>
                  <w:r>
                    <w:rPr>
                      <w:rFonts w:hint="eastAsia"/>
                    </w:rPr>
                    <w:t>栽培植被</w:t>
                  </w:r>
                </w:p>
              </w:tc>
              <w:tc>
                <w:tcPr>
                  <w:tcW w:w="1237" w:type="dxa"/>
                  <w:vAlign w:val="center"/>
                </w:tcPr>
                <w:p>
                  <w:pPr>
                    <w:pStyle w:val="28"/>
                  </w:pPr>
                  <w:r>
                    <w:rPr>
                      <w:rFonts w:hint="eastAsia"/>
                    </w:rPr>
                    <w:t>果园型</w:t>
                  </w:r>
                </w:p>
              </w:tc>
              <w:tc>
                <w:tcPr>
                  <w:tcW w:w="6184" w:type="dxa"/>
                  <w:vAlign w:val="center"/>
                </w:tcPr>
                <w:p>
                  <w:pPr>
                    <w:pStyle w:val="28"/>
                    <w:rPr>
                      <w:rFonts w:hint="default" w:eastAsia="宋体"/>
                      <w:lang w:val="en-US" w:eastAsia="zh-CN"/>
                    </w:rPr>
                  </w:pPr>
                  <w:r>
                    <w:rPr>
                      <w:rFonts w:hint="eastAsia"/>
                    </w:rPr>
                    <w:t>柑橘园</w:t>
                  </w:r>
                  <w:r>
                    <w:rPr>
                      <w:rFonts w:hint="eastAsia"/>
                      <w:lang w:eastAsia="zh-CN"/>
                    </w:rPr>
                    <w:t>、</w:t>
                  </w:r>
                  <w:r>
                    <w:rPr>
                      <w:rFonts w:hint="eastAsia"/>
                      <w:lang w:val="en-US" w:eastAsia="zh-CN"/>
                    </w:rPr>
                    <w:t>茶园、李和油橄榄园等</w:t>
                  </w:r>
                </w:p>
              </w:tc>
            </w:tr>
          </w:tbl>
          <w:p>
            <w:pPr>
              <w:pStyle w:val="29"/>
              <w:ind w:firstLine="480"/>
            </w:pPr>
            <w:r>
              <w:t>评价范围主要植被类型包括针叶林、阔叶林、灌丛、草丛以及栽培植被，其分布情况如下：</w:t>
            </w:r>
          </w:p>
          <w:p>
            <w:pPr>
              <w:pStyle w:val="29"/>
              <w:ind w:firstLine="480"/>
            </w:pPr>
            <w:r>
              <w:t>1）针叶林</w:t>
            </w:r>
          </w:p>
          <w:p>
            <w:pPr>
              <w:pStyle w:val="29"/>
              <w:ind w:firstLine="480"/>
            </w:pPr>
            <w:r>
              <w:t>①马尾松林</w:t>
            </w:r>
          </w:p>
          <w:p>
            <w:pPr>
              <w:pStyle w:val="29"/>
              <w:ind w:firstLine="480"/>
            </w:pPr>
            <w:r>
              <w:t>马尾松是区域内针叶林的主要代表树种，以其为建群种形成的马尾松林较为普遍。</w:t>
            </w:r>
          </w:p>
          <w:p>
            <w:pPr>
              <w:pStyle w:val="29"/>
              <w:ind w:firstLine="480"/>
            </w:pPr>
            <w:r>
              <w:t>马尾松是向阳、喜温暖的树种，多分布于酸性土上，集中分布于海拔1000m以下地区。</w:t>
            </w:r>
          </w:p>
          <w:p>
            <w:pPr>
              <w:pStyle w:val="29"/>
              <w:ind w:firstLine="480"/>
            </w:pPr>
            <w:r>
              <w:t>马尾松林冠疏散，翠绿色，自然整枝良好。在生境条件优越的地方，常与多种阔叶树种生成混交林。马尾松林在区域分布较为广泛，主要分布于两侧山脊、陡坡地带，或在缓坡上与落叶阔叶林镶嵌分布，在山脊线附近有在小面积的马尾松与柏木形成的混交林，但考虑到植被动态及其建群种依然为马尾松，将其一并归入马尾松林群系</w:t>
            </w:r>
            <w:r>
              <w:rPr>
                <w:rFonts w:hint="eastAsia"/>
              </w:rPr>
              <w:t>（</w:t>
            </w:r>
            <w:r>
              <w:t>群落</w:t>
            </w:r>
            <w:r>
              <w:rPr>
                <w:rFonts w:hint="eastAsia"/>
              </w:rPr>
              <w:t>）</w:t>
            </w:r>
            <w:r>
              <w:t>。</w:t>
            </w:r>
          </w:p>
          <w:p>
            <w:pPr>
              <w:pStyle w:val="29"/>
              <w:ind w:firstLine="480"/>
            </w:pPr>
            <w:r>
              <w:t>马尾松是评价范围内针叶林的主要代表树种之一。区域内以马尾松与阔叶树的混交林。群落外貌深绿色，林冠整齐，林内郁闭度通常在0.5~0.7，林下植物种类丰富。马尾松在群落中的盖度可达到60%以上，平均胸径10</w:t>
            </w:r>
            <w:r>
              <w:rPr>
                <w:rFonts w:hint="eastAsia"/>
              </w:rPr>
              <w:t>～</w:t>
            </w:r>
            <w:r>
              <w:t>15cm，高度8</w:t>
            </w:r>
            <w:r>
              <w:rPr>
                <w:rFonts w:hint="eastAsia"/>
              </w:rPr>
              <w:t>～</w:t>
            </w:r>
            <w:r>
              <w:t>12m。郁林内比较通风透光，苔藓等</w:t>
            </w:r>
            <w:r>
              <w:rPr>
                <w:rFonts w:hint="eastAsia"/>
              </w:rPr>
              <w:t>湿地植物</w:t>
            </w:r>
            <w:r>
              <w:t>较少，层次明显，通常分为乔木、灌木、草本三层。除以马尾松占优势外，在阳坡山脊、山顶等地段常伴生有少量的柏木、麻栎等树种。此外马尾松乔木层还常有马桑、黄栌等混生其中。灌木层种类中，马桑占优势地位，其他常见种有乌泡子、小果蔷薇等。草本层植物种类丰富，常见的有白茅、野艾蒿、蜈蚣草、小蓬草等。</w:t>
            </w:r>
          </w:p>
          <w:p>
            <w:pPr>
              <w:pStyle w:val="29"/>
              <w:ind w:firstLine="480"/>
            </w:pPr>
            <w:r>
              <w:t>②柏木林</w:t>
            </w:r>
          </w:p>
          <w:p>
            <w:pPr>
              <w:pStyle w:val="29"/>
              <w:ind w:firstLine="480"/>
            </w:pPr>
            <w:r>
              <w:t>柏木林为暖性针叶林，评价区域分布较为广泛，海拔高低均有分布，常见于民房周围，马尾松林周围等水热条件较好区域。伴生树种主要有马尾松、黄栌等。</w:t>
            </w:r>
          </w:p>
          <w:p>
            <w:pPr>
              <w:pStyle w:val="29"/>
              <w:ind w:firstLine="480"/>
            </w:pPr>
            <w:r>
              <w:t>评价区域内呈疏林小块状分布的人工林。在海拔300</w:t>
            </w:r>
            <w:r>
              <w:rPr>
                <w:rFonts w:hint="eastAsia"/>
              </w:rPr>
              <w:t>～</w:t>
            </w:r>
            <w:r>
              <w:t>1000m之间广泛分布稀疏的柏木林，偶见较大的高大乔木。生长区一般为石灰岩地区的紫色土或黄壤土。群落内种类成分简单，常见伴生的乔木种类有化香、枫杨、油桐、刺槐、麻栎。灌木层有马桑、铁仔、火棘、蔷薇、悬钩子。草本层有狗尾草、白茅、丛毛羊胡子草等。</w:t>
            </w:r>
          </w:p>
          <w:p>
            <w:pPr>
              <w:pStyle w:val="29"/>
              <w:ind w:firstLine="480"/>
            </w:pPr>
            <w:r>
              <w:t>2）阔叶林</w:t>
            </w:r>
          </w:p>
          <w:p>
            <w:pPr>
              <w:pStyle w:val="29"/>
              <w:ind w:firstLine="480"/>
            </w:pPr>
            <w:r>
              <w:t>①栓皮栎林</w:t>
            </w:r>
          </w:p>
          <w:p>
            <w:pPr>
              <w:pStyle w:val="29"/>
              <w:ind w:firstLine="480"/>
            </w:pPr>
            <w:r>
              <w:t>栓皮栎林在评价区内低山、丘陵和山地广为分布。其生态特性与麻栎相似。有很多地段人为影响严重，栓皮栎成为矮林状灌丛。群落外貌黄绿色，结构简单，乔灌木种类成分少而稀疏。乔木层除栓皮栎外，还有茅栗、麻栎、枹栎、短柄枹栎、槲栎、化香、鹅耳枥、四照花、菱叶海桐等。灌木层有映山红、猫儿刺、马桑、盐肤木、胡枝子等。草本层中主要有白茅草、芒、莎草、鼠尾粟。层外植物主要有威灵仙、葛藤、赤爬儿、三叶木通。</w:t>
            </w:r>
          </w:p>
          <w:p>
            <w:pPr>
              <w:pStyle w:val="29"/>
              <w:ind w:firstLine="480"/>
            </w:pPr>
            <w:r>
              <w:t>3）灌丛</w:t>
            </w:r>
          </w:p>
          <w:p>
            <w:pPr>
              <w:pStyle w:val="29"/>
              <w:ind w:firstLine="480"/>
            </w:pPr>
            <w:r>
              <w:t>①马桑、火棘灌丛</w:t>
            </w:r>
          </w:p>
          <w:p>
            <w:pPr>
              <w:pStyle w:val="29"/>
              <w:ind w:firstLine="480"/>
            </w:pPr>
            <w:r>
              <w:t>马桑、火棘灌丛分布于海拔500～1000m，局部分布至海拔1300m的山坡中下部或整个短坡面，在海拔800m以下较常见。地表多有裸露，甚至土壤层被冲刷殆尽，以致岩石突兀，寸草不生。土壤为山地黄褐土，土层厚度不一，腐殖质含量少。群落中以马桑、火棘为绝对优势种，常见的还有香叶子、算盘子、山蚂蝗、矩叶旌节花、竹叶花椒、铁仔等。草本层以蕨为主，常见的种类还有长蕊万寿竹、野蓟、一年蓬、鼠麴草、苦苣菜等。层间植物较丰富，常见的有来江藤、木通等物种。</w:t>
            </w:r>
          </w:p>
          <w:p>
            <w:pPr>
              <w:pStyle w:val="29"/>
              <w:ind w:firstLine="480"/>
            </w:pPr>
            <w:r>
              <w:t>4）草丛</w:t>
            </w:r>
          </w:p>
          <w:p>
            <w:pPr>
              <w:pStyle w:val="29"/>
              <w:ind w:firstLine="480"/>
            </w:pPr>
            <w:r>
              <w:t>①丝茅草丛</w:t>
            </w:r>
          </w:p>
          <w:p>
            <w:pPr>
              <w:pStyle w:val="29"/>
              <w:ind w:firstLine="480"/>
            </w:pPr>
            <w:r>
              <w:t>丝茅草丛主要分布在评价区耕地、林地和荒地附近，且呈零星分布，海拔范围为280～1600m。群落无明显层次，总盖度90%，以丝茅为主，并伴有野青茅、皱叶狗尾草、戟叶堇菜、阴地蒿、小花鬼针草。</w:t>
            </w:r>
          </w:p>
          <w:p>
            <w:pPr>
              <w:pStyle w:val="29"/>
              <w:ind w:firstLine="480"/>
            </w:pPr>
            <w:r>
              <w:t>②芒草丛</w:t>
            </w:r>
          </w:p>
          <w:p>
            <w:pPr>
              <w:pStyle w:val="29"/>
              <w:ind w:firstLine="480"/>
            </w:pPr>
            <w:r>
              <w:t>芒草丛主要分布海拔范围为400～1600m。群落结构较简单，分层明显，总盖度为85%。以芒占主要优势，其他还有野棉花、白车轴草、喜旱莲子草、木贼、井栏边草等。</w:t>
            </w:r>
          </w:p>
          <w:p>
            <w:pPr>
              <w:pStyle w:val="29"/>
              <w:ind w:firstLine="480"/>
            </w:pPr>
            <w:r>
              <w:t>③蕨草丛</w:t>
            </w:r>
          </w:p>
          <w:p>
            <w:pPr>
              <w:pStyle w:val="29"/>
              <w:ind w:firstLine="480"/>
            </w:pPr>
            <w:r>
              <w:t>蕨草丛主要分布在海拔700</w:t>
            </w:r>
            <w:r>
              <w:rPr>
                <w:rFonts w:hint="eastAsia"/>
              </w:rPr>
              <w:t>—</w:t>
            </w:r>
            <w:r>
              <w:t>1500m的林缘、耕地、山坡上，多为撂荒地弃耕地发展而来。群落外貌较整齐，生长均匀，总盖度约80%。草丛可分为两层，第一层以蕨占绝对优势，盖度40%</w:t>
            </w:r>
            <w:r>
              <w:rPr>
                <w:rFonts w:hint="eastAsia"/>
              </w:rPr>
              <w:t>—</w:t>
            </w:r>
            <w:r>
              <w:t>70%；第二层多为双子叶植物。草丛中常见的其他植物为聚叶沙参、头花蓼、虎杖等。</w:t>
            </w:r>
          </w:p>
          <w:p>
            <w:pPr>
              <w:pStyle w:val="29"/>
              <w:ind w:firstLine="480"/>
            </w:pPr>
            <w:r>
              <w:rPr>
                <w:rFonts w:hint="eastAsia"/>
              </w:rPr>
              <w:t>5</w:t>
            </w:r>
            <w:r>
              <w:t>）栽培植被</w:t>
            </w:r>
          </w:p>
          <w:p>
            <w:pPr>
              <w:pStyle w:val="29"/>
              <w:ind w:firstLine="480"/>
            </w:pPr>
            <w:r>
              <w:t>本工程地区农业开发历史悠久，栽培植被以</w:t>
            </w:r>
            <w:r>
              <w:rPr>
                <w:rFonts w:hint="eastAsia"/>
                <w:lang w:val="en-US" w:eastAsia="zh-CN"/>
              </w:rPr>
              <w:t>茶园、</w:t>
            </w:r>
            <w:r>
              <w:t>果树园为主，主要经济作物有橙、橘</w:t>
            </w:r>
            <w:r>
              <w:rPr>
                <w:rFonts w:hint="eastAsia"/>
                <w:lang w:eastAsia="zh-CN"/>
              </w:rPr>
              <w:t>、</w:t>
            </w:r>
            <w:r>
              <w:rPr>
                <w:rFonts w:hint="eastAsia"/>
                <w:lang w:val="en-US" w:eastAsia="zh-CN"/>
              </w:rPr>
              <w:t>茶叶、油橄榄</w:t>
            </w:r>
            <w:r>
              <w:t>等。</w:t>
            </w:r>
          </w:p>
          <w:p>
            <w:pPr>
              <w:pStyle w:val="29"/>
              <w:ind w:firstLine="480"/>
            </w:pPr>
            <w:r>
              <w:t>评价区分布有大面积的果园</w:t>
            </w:r>
            <w:r>
              <w:rPr>
                <w:rFonts w:hint="eastAsia"/>
                <w:lang w:eastAsia="zh-CN"/>
              </w:rPr>
              <w:t>、</w:t>
            </w:r>
            <w:r>
              <w:rPr>
                <w:rFonts w:hint="eastAsia"/>
                <w:lang w:val="en-US" w:eastAsia="zh-CN"/>
              </w:rPr>
              <w:t>茶园</w:t>
            </w:r>
            <w:r>
              <w:rPr>
                <w:rFonts w:hint="eastAsia"/>
              </w:rPr>
              <w:t>、公路和房屋</w:t>
            </w:r>
            <w:r>
              <w:t>，人为干扰影响较大。</w:t>
            </w:r>
          </w:p>
          <w:p>
            <w:pPr>
              <w:pStyle w:val="29"/>
              <w:ind w:firstLine="480"/>
            </w:pPr>
            <w:r>
              <w:rPr>
                <w:rFonts w:hint="eastAsia"/>
              </w:rPr>
              <w:t>（2）</w:t>
            </w:r>
            <w:r>
              <w:t>古树名木</w:t>
            </w:r>
          </w:p>
          <w:p>
            <w:pPr>
              <w:pStyle w:val="29"/>
              <w:ind w:firstLine="480"/>
            </w:pPr>
            <w:r>
              <w:t>根据现场调查，评价范围内</w:t>
            </w:r>
            <w:r>
              <w:rPr>
                <w:rFonts w:hint="eastAsia"/>
                <w:lang w:val="en-US" w:eastAsia="zh-CN"/>
              </w:rPr>
              <w:t>未发现</w:t>
            </w:r>
            <w:r>
              <w:t>古树名木分布。</w:t>
            </w:r>
          </w:p>
          <w:p>
            <w:pPr>
              <w:pStyle w:val="29"/>
              <w:ind w:firstLine="480"/>
            </w:pPr>
            <w:r>
              <w:t>（</w:t>
            </w:r>
            <w:r>
              <w:rPr>
                <w:rFonts w:hint="eastAsia"/>
              </w:rPr>
              <w:t>三</w:t>
            </w:r>
            <w:r>
              <w:t>）动物资源现状</w:t>
            </w:r>
          </w:p>
          <w:p>
            <w:pPr>
              <w:pStyle w:val="29"/>
              <w:ind w:firstLine="480"/>
            </w:pPr>
            <w:r>
              <w:t>奉节县生态环境良好，森林植被茂盛，乔、灌、草相互结合，为野生动物的生存和繁衍提供了得天独厚的条件，孕育了丰富的野生动物资源。据初步统计有19目42科104种，其中两栖类1目4科11种，爬行类2目6科10种，兽类3目7科11种，鸟类13目25科72种。常见的野生动物有金雕、野鸡、猫头鹰、布谷鸟、喜鹊、麻雀、噗趾壁虎、黑背蛇、獐子、麂子、野猪、野山羊、草兔、狗獾、松鼠等，另有大量的昆虫，昆虫中以鳞翅目、鞘翅目、膜翅目、同翅目居多，特别是蝶类品种，有的形态奇特，有的色彩斑斓。</w:t>
            </w:r>
          </w:p>
          <w:p>
            <w:pPr>
              <w:pStyle w:val="29"/>
              <w:ind w:firstLine="480"/>
            </w:pPr>
            <w:r>
              <w:t>根据现场调查以及查询资料，项目区域人为活动频繁，未见重点保护野生动物活动在光伏布板区域的踪迹、足迹、粪便等。调查区域在中国动物地理区划中隶属东洋界中印亚界华中区西部山地高原亚区四川盆地省，农田、亚热带林灌动物群，生态地理动物属于亚热带森林、林灌、草地动物群落，区域内动物主要为鸟类（家燕、麻雀等）、兽类（草兔、小家鼠）、爬行类（蛇）及人工饲养的狗、猫、鸡、鸭等家禽。</w:t>
            </w:r>
          </w:p>
          <w:p>
            <w:pPr>
              <w:pStyle w:val="29"/>
              <w:ind w:firstLine="480"/>
            </w:pPr>
            <w:r>
              <w:rPr>
                <w:rFonts w:hint="eastAsia"/>
              </w:rPr>
              <w:t>（四）</w:t>
            </w:r>
            <w:r>
              <w:t>珍稀濒危及重点保护野生</w:t>
            </w:r>
            <w:r>
              <w:rPr>
                <w:rFonts w:hint="eastAsia"/>
                <w:lang w:val="en-US" w:eastAsia="zh-CN"/>
              </w:rPr>
              <w:t>动</w:t>
            </w:r>
            <w:r>
              <w:t>植物</w:t>
            </w:r>
          </w:p>
          <w:p>
            <w:pPr>
              <w:pStyle w:val="29"/>
              <w:ind w:firstLine="480"/>
            </w:pPr>
            <w:r>
              <w:t>根据现场实地调查并结合区域现有</w:t>
            </w:r>
            <w:r>
              <w:rPr>
                <w:color w:val="000000" w:themeColor="text1"/>
                <w14:textFill>
                  <w14:solidFill>
                    <w14:schemeClr w14:val="tx1"/>
                  </w14:solidFill>
                </w14:textFill>
              </w:rPr>
              <w:t>资料，对照</w:t>
            </w:r>
            <w:r>
              <w:rPr>
                <w:color w:val="000000" w:themeColor="text1"/>
                <w:kern w:val="2"/>
                <w:sz w:val="26"/>
                <w:szCs w:val="26"/>
                <w14:textFill>
                  <w14:solidFill>
                    <w14:schemeClr w14:val="tx1"/>
                  </w14:solidFill>
                </w14:textFill>
              </w:rPr>
              <w:t>《国家重点保护野生动物名录》（2021年版）</w:t>
            </w:r>
            <w:r>
              <w:rPr>
                <w:rFonts w:hint="eastAsia"/>
                <w:color w:val="000000" w:themeColor="text1"/>
                <w:kern w:val="2"/>
                <w:sz w:val="26"/>
                <w:szCs w:val="26"/>
                <w14:textFill>
                  <w14:solidFill>
                    <w14:schemeClr w14:val="tx1"/>
                  </w14:solidFill>
                </w14:textFill>
              </w:rPr>
              <w:t>、</w:t>
            </w:r>
            <w:r>
              <w:rPr>
                <w:rFonts w:hint="eastAsia"/>
                <w:color w:val="000000" w:themeColor="text1"/>
                <w14:textFill>
                  <w14:solidFill>
                    <w14:schemeClr w14:val="tx1"/>
                  </w14:solidFill>
                </w14:textFill>
              </w:rPr>
              <w:t>《重庆市重点保护野生动物名录》、《重庆市重点保护野生植物名录》（渝林规范[2023]2号）和</w:t>
            </w:r>
            <w:r>
              <w:rPr>
                <w:color w:val="000000" w:themeColor="text1"/>
                <w:kern w:val="2"/>
                <w:sz w:val="26"/>
                <w:szCs w:val="26"/>
                <w14:textFill>
                  <w14:solidFill>
                    <w14:schemeClr w14:val="tx1"/>
                  </w14:solidFill>
                </w14:textFill>
              </w:rPr>
              <w:t>《中国物种红色名录》</w:t>
            </w:r>
            <w:r>
              <w:rPr>
                <w:color w:val="000000" w:themeColor="text1"/>
                <w14:textFill>
                  <w14:solidFill>
                    <w14:schemeClr w14:val="tx1"/>
                  </w14:solidFill>
                </w14:textFill>
              </w:rPr>
              <w:t>，本项目用地所在区域人类活动频繁，调查</w:t>
            </w:r>
            <w:r>
              <w:rPr>
                <w:rFonts w:hint="eastAsia"/>
                <w:color w:val="000000" w:themeColor="text1"/>
                <w14:textFill>
                  <w14:solidFill>
                    <w14:schemeClr w14:val="tx1"/>
                  </w14:solidFill>
                </w14:textFill>
              </w:rPr>
              <w:t>期间未发现</w:t>
            </w:r>
            <w:r>
              <w:rPr>
                <w:color w:val="000000" w:themeColor="text1"/>
                <w14:textFill>
                  <w14:solidFill>
                    <w14:schemeClr w14:val="tx1"/>
                  </w14:solidFill>
                </w14:textFill>
              </w:rPr>
              <w:t>珍稀濒危及保护野</w:t>
            </w:r>
            <w:r>
              <w:t>生</w:t>
            </w:r>
            <w:r>
              <w:rPr>
                <w:rFonts w:hint="eastAsia"/>
                <w:lang w:val="en-US" w:eastAsia="zh-CN"/>
              </w:rPr>
              <w:t>动</w:t>
            </w:r>
            <w:r>
              <w:t>植物分布。</w:t>
            </w:r>
          </w:p>
          <w:p>
            <w:pPr>
              <w:pStyle w:val="29"/>
              <w:ind w:firstLine="480"/>
            </w:pPr>
            <w:r>
              <w:t>项目评价范围内仅分布有零星小水塘，项目无涉水工程，施工过程也不会对工程区域内的水塘进行扰动。</w:t>
            </w:r>
          </w:p>
          <w:p>
            <w:pPr>
              <w:pStyle w:val="29"/>
              <w:ind w:firstLine="482"/>
              <w:rPr>
                <w:b/>
                <w:bCs/>
              </w:rPr>
            </w:pPr>
            <w:r>
              <w:rPr>
                <w:rFonts w:hint="eastAsia"/>
                <w:b/>
                <w:bCs/>
              </w:rPr>
              <w:t>3.2 环境现状</w:t>
            </w:r>
          </w:p>
          <w:p>
            <w:pPr>
              <w:pStyle w:val="29"/>
              <w:ind w:firstLine="482"/>
              <w:rPr>
                <w:b/>
                <w:bCs/>
              </w:rPr>
            </w:pPr>
            <w:r>
              <w:rPr>
                <w:rFonts w:hint="eastAsia"/>
                <w:b/>
                <w:bCs/>
              </w:rPr>
              <w:t>3.2.1 环境空气质量现状</w:t>
            </w:r>
          </w:p>
          <w:p>
            <w:pPr>
              <w:pStyle w:val="29"/>
              <w:ind w:firstLine="480"/>
            </w:pPr>
            <w:r>
              <w:rPr>
                <w:rFonts w:hint="eastAsia"/>
              </w:rPr>
              <w:t>根据</w:t>
            </w:r>
            <w:r>
              <w:t>《重庆市环境空气质量功能区划分规定》（渝府发〔2016〕19号）规定，本项目所在区域为空气质量二类功能区，评价标准按《环境空气质量标准》（GB3095-2012）二级标准执行。</w:t>
            </w:r>
          </w:p>
          <w:p>
            <w:pPr>
              <w:pStyle w:val="29"/>
              <w:ind w:firstLine="480"/>
            </w:pPr>
            <w:r>
              <w:t>项目所在区域基本环境污染物（SO</w:t>
            </w:r>
            <w:r>
              <w:rPr>
                <w:vertAlign w:val="subscript"/>
              </w:rPr>
              <w:t>2</w:t>
            </w:r>
            <w:r>
              <w:t>、NO</w:t>
            </w:r>
            <w:r>
              <w:rPr>
                <w:vertAlign w:val="subscript"/>
              </w:rPr>
              <w:t>2</w:t>
            </w:r>
            <w:r>
              <w:t>、PM</w:t>
            </w:r>
            <w:r>
              <w:rPr>
                <w:vertAlign w:val="subscript"/>
              </w:rPr>
              <w:t>10</w:t>
            </w:r>
            <w:r>
              <w:t>、PM</w:t>
            </w:r>
            <w:r>
              <w:rPr>
                <w:vertAlign w:val="subscript"/>
              </w:rPr>
              <w:t>2.5</w:t>
            </w:r>
            <w:r>
              <w:t>、O</w:t>
            </w:r>
            <w:r>
              <w:rPr>
                <w:vertAlign w:val="subscript"/>
              </w:rPr>
              <w:t>3</w:t>
            </w:r>
            <w:r>
              <w:t>、CO）现状数据引用于《202</w:t>
            </w:r>
            <w:r>
              <w:rPr>
                <w:rFonts w:hint="eastAsia"/>
                <w:lang w:val="en-US" w:eastAsia="zh-CN"/>
              </w:rPr>
              <w:t>3</w:t>
            </w:r>
            <w:r>
              <w:t>年重庆市生态环境状况公报》中</w:t>
            </w:r>
            <w:r>
              <w:rPr>
                <w:rFonts w:hint="eastAsia"/>
              </w:rPr>
              <w:t>奉节县</w:t>
            </w:r>
            <w:r>
              <w:t>环境空气质量现状监测值进行评价，评价结果详见表3</w:t>
            </w:r>
            <w:r>
              <w:rPr>
                <w:rFonts w:hint="eastAsia"/>
              </w:rPr>
              <w:t>-2。</w:t>
            </w:r>
          </w:p>
          <w:p>
            <w:pPr>
              <w:pStyle w:val="29"/>
              <w:ind w:firstLine="0" w:firstLineChars="0"/>
              <w:jc w:val="center"/>
            </w:pPr>
            <w:r>
              <w:rPr>
                <w:rFonts w:hint="eastAsia"/>
              </w:rPr>
              <w:t>表3-2  区域空气质量现状评价表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3590"/>
              <w:gridCol w:w="1134"/>
              <w:gridCol w:w="1135"/>
              <w:gridCol w:w="1069"/>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Align w:val="center"/>
                </w:tcPr>
                <w:p>
                  <w:pPr>
                    <w:pStyle w:val="28"/>
                  </w:pPr>
                  <w:r>
                    <w:rPr>
                      <w:rFonts w:hint="eastAsia"/>
                    </w:rPr>
                    <w:t>污染物</w:t>
                  </w:r>
                </w:p>
              </w:tc>
              <w:tc>
                <w:tcPr>
                  <w:tcW w:w="3590" w:type="dxa"/>
                  <w:vAlign w:val="center"/>
                </w:tcPr>
                <w:p>
                  <w:pPr>
                    <w:pStyle w:val="28"/>
                  </w:pPr>
                  <w:r>
                    <w:rPr>
                      <w:rFonts w:hint="eastAsia"/>
                    </w:rPr>
                    <w:t>年评价指标</w:t>
                  </w:r>
                </w:p>
              </w:tc>
              <w:tc>
                <w:tcPr>
                  <w:tcW w:w="1134" w:type="dxa"/>
                  <w:vAlign w:val="center"/>
                </w:tcPr>
                <w:p>
                  <w:pPr>
                    <w:pStyle w:val="28"/>
                  </w:pPr>
                  <w:r>
                    <w:rPr>
                      <w:rFonts w:hint="eastAsia"/>
                    </w:rPr>
                    <w:t>现状浓度（</w:t>
                  </w:r>
                  <w:r>
                    <w:t>μ</w:t>
                  </w:r>
                  <w:r>
                    <w:rPr>
                      <w:rFonts w:hint="eastAsia"/>
                    </w:rPr>
                    <w:t>g/m³）</w:t>
                  </w:r>
                </w:p>
              </w:tc>
              <w:tc>
                <w:tcPr>
                  <w:tcW w:w="1135" w:type="dxa"/>
                  <w:vAlign w:val="center"/>
                </w:tcPr>
                <w:p>
                  <w:pPr>
                    <w:pStyle w:val="28"/>
                  </w:pPr>
                  <w:r>
                    <w:rPr>
                      <w:rFonts w:hint="eastAsia"/>
                    </w:rPr>
                    <w:t>标准值（</w:t>
                  </w:r>
                  <w:r>
                    <w:t>μ</w:t>
                  </w:r>
                  <w:r>
                    <w:rPr>
                      <w:rFonts w:hint="eastAsia"/>
                    </w:rPr>
                    <w:t>g/m³）</w:t>
                  </w:r>
                </w:p>
              </w:tc>
              <w:tc>
                <w:tcPr>
                  <w:tcW w:w="1069" w:type="dxa"/>
                  <w:vAlign w:val="center"/>
                </w:tcPr>
                <w:p>
                  <w:pPr>
                    <w:pStyle w:val="28"/>
                  </w:pPr>
                  <w:r>
                    <w:rPr>
                      <w:rFonts w:hint="eastAsia"/>
                    </w:rPr>
                    <w:t>占标率%</w:t>
                  </w:r>
                </w:p>
              </w:tc>
              <w:tc>
                <w:tcPr>
                  <w:tcW w:w="756" w:type="dxa"/>
                  <w:vAlign w:val="center"/>
                </w:tcPr>
                <w:p>
                  <w:pPr>
                    <w:pStyle w:val="28"/>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Align w:val="center"/>
                </w:tcPr>
                <w:p>
                  <w:pPr>
                    <w:pStyle w:val="28"/>
                  </w:pPr>
                  <w:r>
                    <w:rPr>
                      <w:rFonts w:hint="eastAsia"/>
                    </w:rPr>
                    <w:t>PM</w:t>
                  </w:r>
                  <w:r>
                    <w:rPr>
                      <w:rFonts w:hint="eastAsia"/>
                      <w:vertAlign w:val="subscript"/>
                    </w:rPr>
                    <w:t>10</w:t>
                  </w:r>
                </w:p>
              </w:tc>
              <w:tc>
                <w:tcPr>
                  <w:tcW w:w="3590" w:type="dxa"/>
                  <w:vMerge w:val="restart"/>
                  <w:vAlign w:val="center"/>
                </w:tcPr>
                <w:p>
                  <w:pPr>
                    <w:pStyle w:val="28"/>
                  </w:pPr>
                  <w:r>
                    <w:rPr>
                      <w:rFonts w:hint="eastAsia"/>
                    </w:rPr>
                    <w:t>年平均质量浓度</w:t>
                  </w:r>
                </w:p>
              </w:tc>
              <w:tc>
                <w:tcPr>
                  <w:tcW w:w="1134" w:type="dxa"/>
                  <w:vAlign w:val="center"/>
                </w:tcPr>
                <w:p>
                  <w:pPr>
                    <w:pStyle w:val="28"/>
                    <w:rPr>
                      <w:rFonts w:hint="default" w:eastAsia="宋体"/>
                      <w:lang w:val="en-US" w:eastAsia="zh-CN"/>
                    </w:rPr>
                  </w:pPr>
                  <w:r>
                    <w:rPr>
                      <w:rFonts w:hint="eastAsia"/>
                      <w:lang w:val="en-US" w:eastAsia="zh-CN"/>
                    </w:rPr>
                    <w:t>35</w:t>
                  </w:r>
                </w:p>
              </w:tc>
              <w:tc>
                <w:tcPr>
                  <w:tcW w:w="1135" w:type="dxa"/>
                  <w:vAlign w:val="center"/>
                </w:tcPr>
                <w:p>
                  <w:pPr>
                    <w:pStyle w:val="28"/>
                  </w:pPr>
                  <w:r>
                    <w:rPr>
                      <w:rFonts w:hint="eastAsia"/>
                    </w:rPr>
                    <w:t>70</w:t>
                  </w:r>
                </w:p>
              </w:tc>
              <w:tc>
                <w:tcPr>
                  <w:tcW w:w="1069" w:type="dxa"/>
                  <w:vAlign w:val="center"/>
                </w:tcPr>
                <w:p>
                  <w:pPr>
                    <w:pStyle w:val="28"/>
                    <w:rPr>
                      <w:rFonts w:hint="default" w:eastAsia="宋体"/>
                      <w:lang w:val="en-US" w:eastAsia="zh-CN"/>
                    </w:rPr>
                  </w:pPr>
                  <w:r>
                    <w:rPr>
                      <w:rFonts w:hint="eastAsia"/>
                      <w:lang w:val="en-US" w:eastAsia="zh-CN"/>
                    </w:rPr>
                    <w:t>50.00</w:t>
                  </w:r>
                </w:p>
              </w:tc>
              <w:tc>
                <w:tcPr>
                  <w:tcW w:w="756" w:type="dxa"/>
                  <w:vAlign w:val="center"/>
                </w:tcPr>
                <w:p>
                  <w:pPr>
                    <w:pStyle w:val="28"/>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Align w:val="center"/>
                </w:tcPr>
                <w:p>
                  <w:pPr>
                    <w:pStyle w:val="28"/>
                  </w:pPr>
                  <w:r>
                    <w:rPr>
                      <w:rFonts w:hint="eastAsia"/>
                    </w:rPr>
                    <w:t>PM</w:t>
                  </w:r>
                  <w:r>
                    <w:rPr>
                      <w:rFonts w:hint="eastAsia"/>
                      <w:vertAlign w:val="subscript"/>
                    </w:rPr>
                    <w:t>2.5</w:t>
                  </w:r>
                </w:p>
              </w:tc>
              <w:tc>
                <w:tcPr>
                  <w:tcW w:w="3590" w:type="dxa"/>
                  <w:vMerge w:val="continue"/>
                  <w:vAlign w:val="center"/>
                </w:tcPr>
                <w:p>
                  <w:pPr>
                    <w:pStyle w:val="28"/>
                  </w:pPr>
                </w:p>
              </w:tc>
              <w:tc>
                <w:tcPr>
                  <w:tcW w:w="1134" w:type="dxa"/>
                  <w:vAlign w:val="center"/>
                </w:tcPr>
                <w:p>
                  <w:pPr>
                    <w:pStyle w:val="28"/>
                    <w:rPr>
                      <w:rFonts w:hint="default" w:eastAsia="宋体"/>
                      <w:lang w:val="en-US" w:eastAsia="zh-CN"/>
                    </w:rPr>
                  </w:pPr>
                  <w:r>
                    <w:rPr>
                      <w:rFonts w:hint="eastAsia"/>
                      <w:lang w:val="en-US" w:eastAsia="zh-CN"/>
                    </w:rPr>
                    <w:t>20</w:t>
                  </w:r>
                </w:p>
              </w:tc>
              <w:tc>
                <w:tcPr>
                  <w:tcW w:w="1135" w:type="dxa"/>
                  <w:vAlign w:val="center"/>
                </w:tcPr>
                <w:p>
                  <w:pPr>
                    <w:pStyle w:val="28"/>
                  </w:pPr>
                  <w:r>
                    <w:rPr>
                      <w:rFonts w:hint="eastAsia"/>
                    </w:rPr>
                    <w:t>35</w:t>
                  </w:r>
                </w:p>
              </w:tc>
              <w:tc>
                <w:tcPr>
                  <w:tcW w:w="1069" w:type="dxa"/>
                  <w:vAlign w:val="center"/>
                </w:tcPr>
                <w:p>
                  <w:pPr>
                    <w:pStyle w:val="28"/>
                    <w:rPr>
                      <w:rFonts w:hint="default" w:eastAsia="宋体"/>
                      <w:lang w:val="en-US" w:eastAsia="zh-CN"/>
                    </w:rPr>
                  </w:pPr>
                  <w:r>
                    <w:rPr>
                      <w:rFonts w:hint="eastAsia"/>
                      <w:lang w:val="en-US" w:eastAsia="zh-CN"/>
                    </w:rPr>
                    <w:t>57.14</w:t>
                  </w:r>
                </w:p>
              </w:tc>
              <w:tc>
                <w:tcPr>
                  <w:tcW w:w="756" w:type="dxa"/>
                  <w:vAlign w:val="center"/>
                </w:tcPr>
                <w:p>
                  <w:pPr>
                    <w:pStyle w:val="28"/>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Align w:val="center"/>
                </w:tcPr>
                <w:p>
                  <w:pPr>
                    <w:pStyle w:val="28"/>
                  </w:pPr>
                  <w:r>
                    <w:rPr>
                      <w:rFonts w:hint="eastAsia"/>
                    </w:rPr>
                    <w:t>SO</w:t>
                  </w:r>
                  <w:r>
                    <w:rPr>
                      <w:rFonts w:hint="eastAsia"/>
                      <w:vertAlign w:val="subscript"/>
                    </w:rPr>
                    <w:t>2</w:t>
                  </w:r>
                </w:p>
              </w:tc>
              <w:tc>
                <w:tcPr>
                  <w:tcW w:w="3590" w:type="dxa"/>
                  <w:vMerge w:val="continue"/>
                  <w:vAlign w:val="center"/>
                </w:tcPr>
                <w:p>
                  <w:pPr>
                    <w:pStyle w:val="28"/>
                  </w:pPr>
                </w:p>
              </w:tc>
              <w:tc>
                <w:tcPr>
                  <w:tcW w:w="1134" w:type="dxa"/>
                  <w:vAlign w:val="center"/>
                </w:tcPr>
                <w:p>
                  <w:pPr>
                    <w:pStyle w:val="28"/>
                    <w:rPr>
                      <w:rFonts w:hint="default" w:eastAsia="宋体"/>
                      <w:lang w:val="en-US" w:eastAsia="zh-CN"/>
                    </w:rPr>
                  </w:pPr>
                  <w:r>
                    <w:rPr>
                      <w:rFonts w:hint="eastAsia"/>
                      <w:lang w:val="en-US" w:eastAsia="zh-CN"/>
                    </w:rPr>
                    <w:t>13</w:t>
                  </w:r>
                </w:p>
              </w:tc>
              <w:tc>
                <w:tcPr>
                  <w:tcW w:w="1135" w:type="dxa"/>
                  <w:vAlign w:val="center"/>
                </w:tcPr>
                <w:p>
                  <w:pPr>
                    <w:pStyle w:val="28"/>
                  </w:pPr>
                  <w:r>
                    <w:rPr>
                      <w:rFonts w:hint="eastAsia"/>
                    </w:rPr>
                    <w:t>60</w:t>
                  </w:r>
                </w:p>
              </w:tc>
              <w:tc>
                <w:tcPr>
                  <w:tcW w:w="1069" w:type="dxa"/>
                  <w:vAlign w:val="center"/>
                </w:tcPr>
                <w:p>
                  <w:pPr>
                    <w:pStyle w:val="28"/>
                    <w:rPr>
                      <w:rFonts w:hint="default" w:eastAsia="宋体"/>
                      <w:lang w:val="en-US" w:eastAsia="zh-CN"/>
                    </w:rPr>
                  </w:pPr>
                  <w:r>
                    <w:rPr>
                      <w:rFonts w:hint="eastAsia"/>
                      <w:lang w:val="en-US" w:eastAsia="zh-CN"/>
                    </w:rPr>
                    <w:t>21.60</w:t>
                  </w:r>
                </w:p>
              </w:tc>
              <w:tc>
                <w:tcPr>
                  <w:tcW w:w="756" w:type="dxa"/>
                  <w:vAlign w:val="center"/>
                </w:tcPr>
                <w:p>
                  <w:pPr>
                    <w:pStyle w:val="28"/>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Align w:val="center"/>
                </w:tcPr>
                <w:p>
                  <w:pPr>
                    <w:pStyle w:val="28"/>
                  </w:pPr>
                  <w:r>
                    <w:rPr>
                      <w:rFonts w:hint="eastAsia"/>
                    </w:rPr>
                    <w:t>NO</w:t>
                  </w:r>
                  <w:r>
                    <w:rPr>
                      <w:rFonts w:hint="eastAsia"/>
                      <w:vertAlign w:val="subscript"/>
                    </w:rPr>
                    <w:t>2</w:t>
                  </w:r>
                </w:p>
              </w:tc>
              <w:tc>
                <w:tcPr>
                  <w:tcW w:w="3590" w:type="dxa"/>
                  <w:vMerge w:val="continue"/>
                  <w:vAlign w:val="center"/>
                </w:tcPr>
                <w:p>
                  <w:pPr>
                    <w:pStyle w:val="28"/>
                  </w:pPr>
                </w:p>
              </w:tc>
              <w:tc>
                <w:tcPr>
                  <w:tcW w:w="1134" w:type="dxa"/>
                  <w:vAlign w:val="center"/>
                </w:tcPr>
                <w:p>
                  <w:pPr>
                    <w:pStyle w:val="28"/>
                    <w:rPr>
                      <w:rFonts w:hint="default" w:eastAsia="宋体"/>
                      <w:lang w:val="en-US" w:eastAsia="zh-CN"/>
                    </w:rPr>
                  </w:pPr>
                  <w:r>
                    <w:rPr>
                      <w:rFonts w:hint="eastAsia"/>
                      <w:lang w:val="en-US" w:eastAsia="zh-CN"/>
                    </w:rPr>
                    <w:t>25</w:t>
                  </w:r>
                </w:p>
              </w:tc>
              <w:tc>
                <w:tcPr>
                  <w:tcW w:w="1135" w:type="dxa"/>
                  <w:vAlign w:val="center"/>
                </w:tcPr>
                <w:p>
                  <w:pPr>
                    <w:pStyle w:val="28"/>
                  </w:pPr>
                  <w:r>
                    <w:rPr>
                      <w:rFonts w:hint="eastAsia"/>
                    </w:rPr>
                    <w:t>40</w:t>
                  </w:r>
                </w:p>
              </w:tc>
              <w:tc>
                <w:tcPr>
                  <w:tcW w:w="1069" w:type="dxa"/>
                  <w:vAlign w:val="center"/>
                </w:tcPr>
                <w:p>
                  <w:pPr>
                    <w:pStyle w:val="28"/>
                    <w:rPr>
                      <w:rFonts w:hint="default" w:eastAsia="宋体"/>
                      <w:lang w:val="en-US" w:eastAsia="zh-CN"/>
                    </w:rPr>
                  </w:pPr>
                  <w:r>
                    <w:rPr>
                      <w:rFonts w:hint="eastAsia"/>
                      <w:lang w:val="en-US" w:eastAsia="zh-CN"/>
                    </w:rPr>
                    <w:t>62.50</w:t>
                  </w:r>
                </w:p>
              </w:tc>
              <w:tc>
                <w:tcPr>
                  <w:tcW w:w="756" w:type="dxa"/>
                  <w:vAlign w:val="center"/>
                </w:tcPr>
                <w:p>
                  <w:pPr>
                    <w:pStyle w:val="28"/>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Align w:val="center"/>
                </w:tcPr>
                <w:p>
                  <w:pPr>
                    <w:pStyle w:val="28"/>
                  </w:pPr>
                  <w:r>
                    <w:rPr>
                      <w:rFonts w:hint="eastAsia"/>
                    </w:rPr>
                    <w:t>CO</w:t>
                  </w:r>
                </w:p>
              </w:tc>
              <w:tc>
                <w:tcPr>
                  <w:tcW w:w="3590" w:type="dxa"/>
                  <w:vAlign w:val="center"/>
                </w:tcPr>
                <w:p>
                  <w:pPr>
                    <w:pStyle w:val="28"/>
                  </w:pPr>
                  <w:r>
                    <w:rPr>
                      <w:rFonts w:hint="eastAsia"/>
                    </w:rPr>
                    <w:t>日均浓度的第95百分位数</w:t>
                  </w:r>
                </w:p>
              </w:tc>
              <w:tc>
                <w:tcPr>
                  <w:tcW w:w="1134" w:type="dxa"/>
                  <w:vAlign w:val="center"/>
                </w:tcPr>
                <w:p>
                  <w:pPr>
                    <w:pStyle w:val="28"/>
                  </w:pPr>
                  <w:r>
                    <w:rPr>
                      <w:rFonts w:hint="eastAsia"/>
                    </w:rPr>
                    <w:t>1.</w:t>
                  </w:r>
                  <w:r>
                    <w:rPr>
                      <w:rFonts w:hint="eastAsia"/>
                      <w:lang w:val="en-US" w:eastAsia="zh-CN"/>
                    </w:rPr>
                    <w:t>0</w:t>
                  </w:r>
                  <w:r>
                    <w:rPr>
                      <w:rFonts w:hint="eastAsia"/>
                    </w:rPr>
                    <w:t>mg/m³</w:t>
                  </w:r>
                </w:p>
              </w:tc>
              <w:tc>
                <w:tcPr>
                  <w:tcW w:w="1135" w:type="dxa"/>
                  <w:vAlign w:val="center"/>
                </w:tcPr>
                <w:p>
                  <w:pPr>
                    <w:pStyle w:val="28"/>
                  </w:pPr>
                  <w:r>
                    <w:rPr>
                      <w:rFonts w:hint="eastAsia"/>
                    </w:rPr>
                    <w:t>4mg/m³</w:t>
                  </w:r>
                </w:p>
              </w:tc>
              <w:tc>
                <w:tcPr>
                  <w:tcW w:w="1069" w:type="dxa"/>
                  <w:vAlign w:val="center"/>
                </w:tcPr>
                <w:p>
                  <w:pPr>
                    <w:pStyle w:val="28"/>
                    <w:rPr>
                      <w:rFonts w:hint="default" w:eastAsia="宋体"/>
                      <w:lang w:val="en-US" w:eastAsia="zh-CN"/>
                    </w:rPr>
                  </w:pPr>
                  <w:r>
                    <w:rPr>
                      <w:rFonts w:hint="eastAsia"/>
                      <w:lang w:val="en-US" w:eastAsia="zh-CN"/>
                    </w:rPr>
                    <w:t>25.00</w:t>
                  </w:r>
                </w:p>
              </w:tc>
              <w:tc>
                <w:tcPr>
                  <w:tcW w:w="756" w:type="dxa"/>
                  <w:vAlign w:val="center"/>
                </w:tcPr>
                <w:p>
                  <w:pPr>
                    <w:pStyle w:val="28"/>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Align w:val="center"/>
                </w:tcPr>
                <w:p>
                  <w:pPr>
                    <w:pStyle w:val="28"/>
                  </w:pPr>
                  <w:r>
                    <w:rPr>
                      <w:rFonts w:hint="eastAsia"/>
                    </w:rPr>
                    <w:t>O</w:t>
                  </w:r>
                  <w:r>
                    <w:rPr>
                      <w:rFonts w:hint="eastAsia"/>
                      <w:vertAlign w:val="subscript"/>
                    </w:rPr>
                    <w:t>3</w:t>
                  </w:r>
                </w:p>
              </w:tc>
              <w:tc>
                <w:tcPr>
                  <w:tcW w:w="3590" w:type="dxa"/>
                  <w:vAlign w:val="center"/>
                </w:tcPr>
                <w:p>
                  <w:pPr>
                    <w:pStyle w:val="28"/>
                  </w:pPr>
                  <w:r>
                    <w:rPr>
                      <w:rFonts w:hint="eastAsia"/>
                    </w:rPr>
                    <w:t>日最大8h平均浓度的第90百分位数</w:t>
                  </w:r>
                </w:p>
              </w:tc>
              <w:tc>
                <w:tcPr>
                  <w:tcW w:w="1134" w:type="dxa"/>
                  <w:vAlign w:val="center"/>
                </w:tcPr>
                <w:p>
                  <w:pPr>
                    <w:pStyle w:val="28"/>
                    <w:rPr>
                      <w:rFonts w:hint="default" w:eastAsia="宋体"/>
                      <w:lang w:val="en-US" w:eastAsia="zh-CN"/>
                    </w:rPr>
                  </w:pPr>
                  <w:r>
                    <w:rPr>
                      <w:rFonts w:hint="eastAsia"/>
                      <w:lang w:val="en-US" w:eastAsia="zh-CN"/>
                    </w:rPr>
                    <w:t>125</w:t>
                  </w:r>
                </w:p>
              </w:tc>
              <w:tc>
                <w:tcPr>
                  <w:tcW w:w="1135" w:type="dxa"/>
                  <w:vAlign w:val="center"/>
                </w:tcPr>
                <w:p>
                  <w:pPr>
                    <w:pStyle w:val="28"/>
                  </w:pPr>
                  <w:r>
                    <w:rPr>
                      <w:rFonts w:hint="eastAsia"/>
                    </w:rPr>
                    <w:t>160</w:t>
                  </w:r>
                </w:p>
              </w:tc>
              <w:tc>
                <w:tcPr>
                  <w:tcW w:w="1069" w:type="dxa"/>
                  <w:vAlign w:val="center"/>
                </w:tcPr>
                <w:p>
                  <w:pPr>
                    <w:pStyle w:val="28"/>
                    <w:rPr>
                      <w:rFonts w:hint="default" w:eastAsia="宋体"/>
                      <w:lang w:val="en-US" w:eastAsia="zh-CN"/>
                    </w:rPr>
                  </w:pPr>
                  <w:r>
                    <w:rPr>
                      <w:rFonts w:hint="eastAsia"/>
                      <w:lang w:val="en-US" w:eastAsia="zh-CN"/>
                    </w:rPr>
                    <w:t>78.13</w:t>
                  </w:r>
                </w:p>
              </w:tc>
              <w:tc>
                <w:tcPr>
                  <w:tcW w:w="756" w:type="dxa"/>
                  <w:vAlign w:val="center"/>
                </w:tcPr>
                <w:p>
                  <w:pPr>
                    <w:pStyle w:val="28"/>
                  </w:pPr>
                  <w:r>
                    <w:rPr>
                      <w:rFonts w:hint="eastAsia"/>
                    </w:rPr>
                    <w:t>达标</w:t>
                  </w:r>
                </w:p>
              </w:tc>
            </w:tr>
          </w:tbl>
          <w:p>
            <w:pPr>
              <w:pStyle w:val="29"/>
              <w:ind w:firstLine="480"/>
            </w:pPr>
            <w:r>
              <w:t>由上表可知，区域环境空气中SO</w:t>
            </w:r>
            <w:r>
              <w:rPr>
                <w:vertAlign w:val="subscript"/>
              </w:rPr>
              <w:t>2</w:t>
            </w:r>
            <w:r>
              <w:t>、NO</w:t>
            </w:r>
            <w:r>
              <w:rPr>
                <w:vertAlign w:val="subscript"/>
              </w:rPr>
              <w:t>2</w:t>
            </w:r>
            <w:r>
              <w:t>、PM</w:t>
            </w:r>
            <w:r>
              <w:rPr>
                <w:vertAlign w:val="subscript"/>
              </w:rPr>
              <w:t>10</w:t>
            </w:r>
            <w:r>
              <w:t>、PM</w:t>
            </w:r>
            <w:r>
              <w:rPr>
                <w:vertAlign w:val="subscript"/>
              </w:rPr>
              <w:t>2.5</w:t>
            </w:r>
            <w:r>
              <w:t>、O</w:t>
            </w:r>
            <w:r>
              <w:rPr>
                <w:vertAlign w:val="subscript"/>
              </w:rPr>
              <w:t>3</w:t>
            </w:r>
            <w:r>
              <w:t>、CO浓度均满足《环境空气质量标准》（GB3095-2012）中的二级标准，属于环境空气质量达标区。</w:t>
            </w:r>
          </w:p>
          <w:p>
            <w:pPr>
              <w:pStyle w:val="29"/>
              <w:ind w:firstLine="482"/>
              <w:rPr>
                <w:b/>
                <w:bCs/>
              </w:rPr>
            </w:pPr>
            <w:r>
              <w:rPr>
                <w:b/>
                <w:bCs/>
              </w:rPr>
              <w:t>3.</w:t>
            </w:r>
            <w:r>
              <w:rPr>
                <w:rFonts w:hint="eastAsia"/>
                <w:b/>
                <w:bCs/>
              </w:rPr>
              <w:t xml:space="preserve">2.2 </w:t>
            </w:r>
            <w:r>
              <w:rPr>
                <w:b/>
                <w:bCs/>
              </w:rPr>
              <w:t>地表水环境</w:t>
            </w:r>
          </w:p>
          <w:p>
            <w:pPr>
              <w:pStyle w:val="29"/>
              <w:ind w:firstLine="480"/>
            </w:pPr>
            <w:r>
              <w:t>本工程光伏阵列区、升压站场区</w:t>
            </w:r>
            <w:r>
              <w:rPr>
                <w:rFonts w:hint="eastAsia"/>
                <w:lang w:eastAsia="zh-CN"/>
              </w:rPr>
              <w:t>下游约500m为新民河</w:t>
            </w:r>
            <w:r>
              <w:t>。根据《重庆市人民政府批转重庆市地表水环境功能类别调整方案的通知》（渝府发〔2012〕4号），新民河属于III类水域，执行《地表水环境质量标准》（GB3838-2002）III类标准。</w:t>
            </w:r>
          </w:p>
          <w:p>
            <w:pPr>
              <w:pStyle w:val="29"/>
              <w:ind w:firstLine="480"/>
            </w:pPr>
            <w:r>
              <w:t>根据2023年10月9日奉节县生态环境监测站发布的奉节县地表水环境质量状况报告（网址http://www.cqfj.gov.cn/bm_168/sthjj/zwgk_61627 /zfxxgkml/hjzl/shjzl/202310/t20231009_12410890.html），2023年9月，奉节县生态环境监测站对辖区内的长江及其支流开展了水质监测，各监测断面水质均达到《地表水环境质量标准》（GB 3838-2002）Ⅲ类标准。</w:t>
            </w:r>
          </w:p>
          <w:p>
            <w:pPr>
              <w:pStyle w:val="29"/>
              <w:ind w:firstLine="482"/>
              <w:rPr>
                <w:b/>
                <w:bCs/>
              </w:rPr>
            </w:pPr>
            <w:r>
              <w:rPr>
                <w:rFonts w:hint="eastAsia"/>
                <w:b/>
                <w:bCs/>
              </w:rPr>
              <w:t>3.2.3 声环境质量现状</w:t>
            </w:r>
          </w:p>
          <w:p>
            <w:pPr>
              <w:pStyle w:val="29"/>
              <w:ind w:firstLine="480"/>
            </w:pPr>
            <w:r>
              <w:rPr>
                <w:rFonts w:hint="eastAsia"/>
              </w:rPr>
              <w:t>为了解项目区域声环境质量现状，本评价委托重庆市辐射技术服务中心有限公司、重庆渝辐科技有限公司于2024年4月22日、2024年5月13日对本项目所在区域声环境现状进行了监测，结合项目光伏场区及升压站布置情况和区域声环境敏感点分布情况，本次评价共布设了14个声环境现状监测点位。</w:t>
            </w:r>
          </w:p>
          <w:p>
            <w:pPr>
              <w:pStyle w:val="29"/>
              <w:ind w:firstLine="0" w:firstLineChars="0"/>
              <w:jc w:val="center"/>
            </w:pPr>
            <w:r>
              <w:rPr>
                <w:rFonts w:hint="eastAsia"/>
              </w:rPr>
              <w:t>表3-3  本项目声环境监测点位一览表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693"/>
              <w:gridCol w:w="4417"/>
              <w:gridCol w:w="1826"/>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序号</w:t>
                  </w:r>
                </w:p>
              </w:tc>
              <w:tc>
                <w:tcPr>
                  <w:tcW w:w="402" w:type="pct"/>
                  <w:vAlign w:val="center"/>
                </w:tcPr>
                <w:p>
                  <w:pPr>
                    <w:pStyle w:val="28"/>
                  </w:pPr>
                  <w:r>
                    <w:rPr>
                      <w:rFonts w:hint="eastAsia"/>
                    </w:rPr>
                    <w:t>工程</w:t>
                  </w:r>
                </w:p>
              </w:tc>
              <w:tc>
                <w:tcPr>
                  <w:tcW w:w="2562" w:type="pct"/>
                  <w:vAlign w:val="center"/>
                </w:tcPr>
                <w:p>
                  <w:pPr>
                    <w:pStyle w:val="28"/>
                  </w:pPr>
                  <w:r>
                    <w:rPr>
                      <w:rFonts w:hint="eastAsia"/>
                    </w:rPr>
                    <w:t>监测点位</w:t>
                  </w:r>
                </w:p>
              </w:tc>
              <w:tc>
                <w:tcPr>
                  <w:tcW w:w="1059" w:type="pct"/>
                  <w:vAlign w:val="center"/>
                </w:tcPr>
                <w:p>
                  <w:pPr>
                    <w:pStyle w:val="28"/>
                  </w:pPr>
                  <w:r>
                    <w:rPr>
                      <w:rFonts w:hint="eastAsia"/>
                    </w:rPr>
                    <w:t>坐标</w:t>
                  </w:r>
                </w:p>
              </w:tc>
              <w:tc>
                <w:tcPr>
                  <w:tcW w:w="568" w:type="pct"/>
                  <w:vAlign w:val="center"/>
                </w:tcPr>
                <w:p>
                  <w:pPr>
                    <w:pStyle w:val="28"/>
                  </w:pPr>
                  <w:r>
                    <w:rPr>
                      <w:rFonts w:hint="eastAsia"/>
                    </w:rPr>
                    <w:t>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1</w:t>
                  </w:r>
                </w:p>
              </w:tc>
              <w:tc>
                <w:tcPr>
                  <w:tcW w:w="402" w:type="pct"/>
                  <w:vMerge w:val="restart"/>
                  <w:vAlign w:val="center"/>
                </w:tcPr>
                <w:p>
                  <w:pPr>
                    <w:pStyle w:val="28"/>
                  </w:pPr>
                  <w:r>
                    <w:rPr>
                      <w:rFonts w:hint="eastAsia"/>
                    </w:rPr>
                    <w:t>光伏场区</w:t>
                  </w:r>
                </w:p>
              </w:tc>
              <w:tc>
                <w:tcPr>
                  <w:tcW w:w="2562" w:type="pct"/>
                  <w:vAlign w:val="center"/>
                </w:tcPr>
                <w:p>
                  <w:pPr>
                    <w:pStyle w:val="28"/>
                  </w:pPr>
                  <w:r>
                    <w:rPr>
                      <w:rFonts w:hint="eastAsia"/>
                    </w:rPr>
                    <w:t>1#监测点（新民镇北庄村1#居民点）</w:t>
                  </w:r>
                </w:p>
              </w:tc>
              <w:tc>
                <w:tcPr>
                  <w:tcW w:w="1059" w:type="pct"/>
                  <w:vAlign w:val="center"/>
                </w:tcPr>
                <w:p>
                  <w:pPr>
                    <w:pStyle w:val="28"/>
                  </w:pPr>
                  <w:r>
                    <w:rPr>
                      <w:rFonts w:hint="eastAsia"/>
                    </w:rPr>
                    <w:t>E：</w:t>
                  </w:r>
                  <w:r>
                    <w:t xml:space="preserve">109.43129808, </w:t>
                  </w:r>
                </w:p>
                <w:p>
                  <w:pPr>
                    <w:pStyle w:val="28"/>
                  </w:pPr>
                  <w:r>
                    <w:rPr>
                      <w:rFonts w:hint="eastAsia"/>
                    </w:rPr>
                    <w:t>N：</w:t>
                  </w:r>
                  <w:r>
                    <w:t>30.87752460</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2</w:t>
                  </w:r>
                </w:p>
              </w:tc>
              <w:tc>
                <w:tcPr>
                  <w:tcW w:w="402" w:type="pct"/>
                  <w:vMerge w:val="continue"/>
                  <w:vAlign w:val="center"/>
                </w:tcPr>
                <w:p>
                  <w:pPr>
                    <w:pStyle w:val="28"/>
                  </w:pPr>
                </w:p>
              </w:tc>
              <w:tc>
                <w:tcPr>
                  <w:tcW w:w="2562" w:type="pct"/>
                  <w:vAlign w:val="center"/>
                </w:tcPr>
                <w:p>
                  <w:pPr>
                    <w:pStyle w:val="28"/>
                  </w:pPr>
                  <w:r>
                    <w:rPr>
                      <w:rFonts w:hint="eastAsia"/>
                    </w:rPr>
                    <w:t>2#监测点（新民镇北庄村2#居民点）</w:t>
                  </w:r>
                </w:p>
              </w:tc>
              <w:tc>
                <w:tcPr>
                  <w:tcW w:w="1059" w:type="pct"/>
                  <w:vAlign w:val="center"/>
                </w:tcPr>
                <w:p>
                  <w:pPr>
                    <w:pStyle w:val="28"/>
                  </w:pPr>
                  <w:r>
                    <w:rPr>
                      <w:rFonts w:hint="eastAsia"/>
                    </w:rPr>
                    <w:t>E：</w:t>
                  </w:r>
                  <w:r>
                    <w:t>109.44139123</w:t>
                  </w:r>
                </w:p>
                <w:p>
                  <w:pPr>
                    <w:pStyle w:val="28"/>
                  </w:pPr>
                  <w:r>
                    <w:rPr>
                      <w:rFonts w:hint="eastAsia"/>
                    </w:rPr>
                    <w:t>N：</w:t>
                  </w:r>
                  <w:r>
                    <w:t>30.88536736</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3</w:t>
                  </w:r>
                </w:p>
              </w:tc>
              <w:tc>
                <w:tcPr>
                  <w:tcW w:w="402" w:type="pct"/>
                  <w:vMerge w:val="continue"/>
                  <w:vAlign w:val="center"/>
                </w:tcPr>
                <w:p>
                  <w:pPr>
                    <w:pStyle w:val="28"/>
                  </w:pPr>
                </w:p>
              </w:tc>
              <w:tc>
                <w:tcPr>
                  <w:tcW w:w="2562" w:type="pct"/>
                  <w:vAlign w:val="center"/>
                </w:tcPr>
                <w:p>
                  <w:pPr>
                    <w:pStyle w:val="28"/>
                  </w:pPr>
                  <w:r>
                    <w:rPr>
                      <w:rFonts w:hint="eastAsia"/>
                    </w:rPr>
                    <w:t>3#监测点（新民镇兴坝村1#居民点）</w:t>
                  </w:r>
                </w:p>
              </w:tc>
              <w:tc>
                <w:tcPr>
                  <w:tcW w:w="1059" w:type="pct"/>
                  <w:vAlign w:val="center"/>
                </w:tcPr>
                <w:p>
                  <w:pPr>
                    <w:pStyle w:val="28"/>
                  </w:pPr>
                  <w:r>
                    <w:rPr>
                      <w:rFonts w:hint="eastAsia"/>
                    </w:rPr>
                    <w:t>E：</w:t>
                  </w:r>
                  <w:r>
                    <w:t>109.45217371</w:t>
                  </w:r>
                </w:p>
                <w:p>
                  <w:pPr>
                    <w:pStyle w:val="28"/>
                  </w:pPr>
                  <w:r>
                    <w:rPr>
                      <w:rFonts w:hint="eastAsia"/>
                    </w:rPr>
                    <w:t>N：</w:t>
                  </w:r>
                  <w:r>
                    <w:t>30.88445582</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4</w:t>
                  </w:r>
                </w:p>
              </w:tc>
              <w:tc>
                <w:tcPr>
                  <w:tcW w:w="402" w:type="pct"/>
                  <w:vMerge w:val="continue"/>
                  <w:vAlign w:val="center"/>
                </w:tcPr>
                <w:p>
                  <w:pPr>
                    <w:pStyle w:val="28"/>
                  </w:pPr>
                </w:p>
              </w:tc>
              <w:tc>
                <w:tcPr>
                  <w:tcW w:w="2562" w:type="pct"/>
                  <w:vAlign w:val="center"/>
                </w:tcPr>
                <w:p>
                  <w:pPr>
                    <w:pStyle w:val="28"/>
                  </w:pPr>
                  <w:r>
                    <w:rPr>
                      <w:rFonts w:hint="eastAsia"/>
                    </w:rPr>
                    <w:t>4#监测点（新民镇兴坝村2#居民点）</w:t>
                  </w:r>
                </w:p>
              </w:tc>
              <w:tc>
                <w:tcPr>
                  <w:tcW w:w="1059" w:type="pct"/>
                  <w:vAlign w:val="center"/>
                </w:tcPr>
                <w:p>
                  <w:pPr>
                    <w:pStyle w:val="28"/>
                  </w:pPr>
                  <w:r>
                    <w:rPr>
                      <w:rFonts w:hint="eastAsia"/>
                    </w:rPr>
                    <w:t>E：</w:t>
                  </w:r>
                  <w:r>
                    <w:t>109.45772052</w:t>
                  </w:r>
                </w:p>
                <w:p>
                  <w:pPr>
                    <w:pStyle w:val="28"/>
                  </w:pPr>
                  <w:r>
                    <w:rPr>
                      <w:rFonts w:hint="eastAsia"/>
                    </w:rPr>
                    <w:t>N：</w:t>
                  </w:r>
                  <w:r>
                    <w:t>30.88731471</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5</w:t>
                  </w:r>
                </w:p>
              </w:tc>
              <w:tc>
                <w:tcPr>
                  <w:tcW w:w="402" w:type="pct"/>
                  <w:vMerge w:val="continue"/>
                  <w:vAlign w:val="center"/>
                </w:tcPr>
                <w:p>
                  <w:pPr>
                    <w:pStyle w:val="28"/>
                  </w:pPr>
                </w:p>
              </w:tc>
              <w:tc>
                <w:tcPr>
                  <w:tcW w:w="2562" w:type="pct"/>
                  <w:vAlign w:val="center"/>
                </w:tcPr>
                <w:p>
                  <w:pPr>
                    <w:pStyle w:val="28"/>
                  </w:pPr>
                  <w:r>
                    <w:rPr>
                      <w:rFonts w:hint="eastAsia"/>
                    </w:rPr>
                    <w:t>5#监测点（新民镇兴坝村3#居民点）</w:t>
                  </w:r>
                </w:p>
              </w:tc>
              <w:tc>
                <w:tcPr>
                  <w:tcW w:w="1059" w:type="pct"/>
                  <w:vAlign w:val="center"/>
                </w:tcPr>
                <w:p>
                  <w:pPr>
                    <w:pStyle w:val="28"/>
                  </w:pPr>
                  <w:r>
                    <w:rPr>
                      <w:rFonts w:hint="eastAsia"/>
                    </w:rPr>
                    <w:t>E：</w:t>
                  </w:r>
                  <w:r>
                    <w:t>109.46778148</w:t>
                  </w:r>
                </w:p>
                <w:p>
                  <w:pPr>
                    <w:pStyle w:val="28"/>
                  </w:pPr>
                  <w:r>
                    <w:rPr>
                      <w:rFonts w:hint="eastAsia"/>
                    </w:rPr>
                    <w:t>N：</w:t>
                  </w:r>
                  <w:r>
                    <w:t>30.89000319</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6</w:t>
                  </w:r>
                </w:p>
              </w:tc>
              <w:tc>
                <w:tcPr>
                  <w:tcW w:w="402" w:type="pct"/>
                  <w:vMerge w:val="continue"/>
                  <w:vAlign w:val="center"/>
                </w:tcPr>
                <w:p>
                  <w:pPr>
                    <w:pStyle w:val="28"/>
                  </w:pPr>
                </w:p>
              </w:tc>
              <w:tc>
                <w:tcPr>
                  <w:tcW w:w="2562" w:type="pct"/>
                  <w:vAlign w:val="center"/>
                </w:tcPr>
                <w:p>
                  <w:pPr>
                    <w:pStyle w:val="28"/>
                  </w:pPr>
                  <w:r>
                    <w:rPr>
                      <w:rFonts w:hint="eastAsia"/>
                    </w:rPr>
                    <w:t>6#监测点（新民镇长棚村1#居民点）</w:t>
                  </w:r>
                </w:p>
              </w:tc>
              <w:tc>
                <w:tcPr>
                  <w:tcW w:w="1059" w:type="pct"/>
                  <w:vAlign w:val="center"/>
                </w:tcPr>
                <w:p>
                  <w:pPr>
                    <w:pStyle w:val="28"/>
                  </w:pPr>
                  <w:r>
                    <w:rPr>
                      <w:rFonts w:hint="eastAsia"/>
                    </w:rPr>
                    <w:t>E：</w:t>
                  </w:r>
                  <w:r>
                    <w:t>109.44998503</w:t>
                  </w:r>
                </w:p>
                <w:p>
                  <w:pPr>
                    <w:pStyle w:val="28"/>
                  </w:pPr>
                  <w:r>
                    <w:rPr>
                      <w:rFonts w:hint="eastAsia"/>
                    </w:rPr>
                    <w:t>N：</w:t>
                  </w:r>
                  <w:r>
                    <w:t>30.90713128</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7</w:t>
                  </w:r>
                </w:p>
              </w:tc>
              <w:tc>
                <w:tcPr>
                  <w:tcW w:w="402" w:type="pct"/>
                  <w:vMerge w:val="continue"/>
                  <w:vAlign w:val="center"/>
                </w:tcPr>
                <w:p>
                  <w:pPr>
                    <w:pStyle w:val="28"/>
                  </w:pPr>
                </w:p>
              </w:tc>
              <w:tc>
                <w:tcPr>
                  <w:tcW w:w="2562" w:type="pct"/>
                  <w:vAlign w:val="center"/>
                </w:tcPr>
                <w:p>
                  <w:pPr>
                    <w:pStyle w:val="28"/>
                  </w:pPr>
                  <w:r>
                    <w:rPr>
                      <w:rFonts w:hint="eastAsia"/>
                    </w:rPr>
                    <w:t>7#监测点（新民镇</w:t>
                  </w:r>
                  <w:r>
                    <w:rPr>
                      <w:rFonts w:hint="eastAsia"/>
                      <w:lang w:val="en-US" w:eastAsia="zh-CN"/>
                    </w:rPr>
                    <w:t>柏木村</w:t>
                  </w:r>
                  <w:r>
                    <w:rPr>
                      <w:rFonts w:hint="eastAsia"/>
                    </w:rPr>
                    <w:t>拟新建升压站站址处）</w:t>
                  </w:r>
                </w:p>
              </w:tc>
              <w:tc>
                <w:tcPr>
                  <w:tcW w:w="1059" w:type="pct"/>
                  <w:vAlign w:val="center"/>
                </w:tcPr>
                <w:p>
                  <w:pPr>
                    <w:pStyle w:val="28"/>
                  </w:pPr>
                  <w:r>
                    <w:rPr>
                      <w:rFonts w:hint="eastAsia"/>
                    </w:rPr>
                    <w:t>E：</w:t>
                  </w:r>
                  <w:r>
                    <w:t>109.45045173</w:t>
                  </w:r>
                </w:p>
                <w:p>
                  <w:pPr>
                    <w:pStyle w:val="28"/>
                  </w:pPr>
                  <w:r>
                    <w:rPr>
                      <w:rFonts w:hint="eastAsia"/>
                    </w:rPr>
                    <w:t>N：</w:t>
                  </w:r>
                  <w:r>
                    <w:t>30.91426056</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8</w:t>
                  </w:r>
                </w:p>
              </w:tc>
              <w:tc>
                <w:tcPr>
                  <w:tcW w:w="402" w:type="pct"/>
                  <w:vMerge w:val="continue"/>
                  <w:vAlign w:val="center"/>
                </w:tcPr>
                <w:p>
                  <w:pPr>
                    <w:pStyle w:val="28"/>
                  </w:pPr>
                </w:p>
              </w:tc>
              <w:tc>
                <w:tcPr>
                  <w:tcW w:w="2562" w:type="pct"/>
                  <w:vAlign w:val="center"/>
                </w:tcPr>
                <w:p>
                  <w:pPr>
                    <w:pStyle w:val="28"/>
                  </w:pPr>
                  <w:r>
                    <w:rPr>
                      <w:rFonts w:hint="eastAsia"/>
                    </w:rPr>
                    <w:t>8#监测点（新民镇长棚村3#恒唐山庄居民点）</w:t>
                  </w:r>
                </w:p>
              </w:tc>
              <w:tc>
                <w:tcPr>
                  <w:tcW w:w="1059" w:type="pct"/>
                  <w:vAlign w:val="center"/>
                </w:tcPr>
                <w:p>
                  <w:pPr>
                    <w:pStyle w:val="28"/>
                  </w:pPr>
                  <w:r>
                    <w:rPr>
                      <w:rFonts w:hint="eastAsia"/>
                    </w:rPr>
                    <w:t>E：</w:t>
                  </w:r>
                  <w:r>
                    <w:t>109.44873512</w:t>
                  </w:r>
                </w:p>
                <w:p>
                  <w:pPr>
                    <w:pStyle w:val="28"/>
                  </w:pPr>
                  <w:r>
                    <w:rPr>
                      <w:rFonts w:hint="eastAsia"/>
                    </w:rPr>
                    <w:t>N：</w:t>
                  </w:r>
                  <w:r>
                    <w:t>30.91437102</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9</w:t>
                  </w:r>
                </w:p>
              </w:tc>
              <w:tc>
                <w:tcPr>
                  <w:tcW w:w="402" w:type="pct"/>
                  <w:vMerge w:val="continue"/>
                  <w:vAlign w:val="center"/>
                </w:tcPr>
                <w:p>
                  <w:pPr>
                    <w:pStyle w:val="28"/>
                  </w:pPr>
                </w:p>
              </w:tc>
              <w:tc>
                <w:tcPr>
                  <w:tcW w:w="2562" w:type="pct"/>
                  <w:vAlign w:val="center"/>
                </w:tcPr>
                <w:p>
                  <w:pPr>
                    <w:pStyle w:val="28"/>
                  </w:pPr>
                  <w:r>
                    <w:rPr>
                      <w:rFonts w:hint="eastAsia"/>
                    </w:rPr>
                    <w:t>9#监测点（新民镇龙汇村1#居民点）</w:t>
                  </w:r>
                </w:p>
              </w:tc>
              <w:tc>
                <w:tcPr>
                  <w:tcW w:w="1059" w:type="pct"/>
                  <w:vAlign w:val="center"/>
                </w:tcPr>
                <w:p>
                  <w:pPr>
                    <w:pStyle w:val="28"/>
                  </w:pPr>
                  <w:r>
                    <w:rPr>
                      <w:rFonts w:hint="eastAsia"/>
                    </w:rPr>
                    <w:t>E：</w:t>
                  </w:r>
                  <w:r>
                    <w:t xml:space="preserve">109.47776198, </w:t>
                  </w:r>
                  <w:r>
                    <w:rPr>
                      <w:rFonts w:hint="eastAsia"/>
                    </w:rPr>
                    <w:t>N：</w:t>
                  </w:r>
                  <w:r>
                    <w:t>30.92401471</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10</w:t>
                  </w:r>
                </w:p>
              </w:tc>
              <w:tc>
                <w:tcPr>
                  <w:tcW w:w="402" w:type="pct"/>
                  <w:vMerge w:val="continue"/>
                  <w:vAlign w:val="center"/>
                </w:tcPr>
                <w:p>
                  <w:pPr>
                    <w:pStyle w:val="28"/>
                  </w:pPr>
                </w:p>
              </w:tc>
              <w:tc>
                <w:tcPr>
                  <w:tcW w:w="2562" w:type="pct"/>
                  <w:vAlign w:val="center"/>
                </w:tcPr>
                <w:p>
                  <w:pPr>
                    <w:pStyle w:val="28"/>
                  </w:pPr>
                  <w:r>
                    <w:rPr>
                      <w:rFonts w:hint="eastAsia"/>
                    </w:rPr>
                    <w:t>10#监测点（新民镇龙汇村2#居民点）</w:t>
                  </w:r>
                </w:p>
              </w:tc>
              <w:tc>
                <w:tcPr>
                  <w:tcW w:w="1059" w:type="pct"/>
                  <w:vAlign w:val="center"/>
                </w:tcPr>
                <w:p>
                  <w:pPr>
                    <w:pStyle w:val="28"/>
                  </w:pPr>
                  <w:r>
                    <w:rPr>
                      <w:rFonts w:hint="eastAsia"/>
                    </w:rPr>
                    <w:t>E：</w:t>
                  </w:r>
                  <w:r>
                    <w:t xml:space="preserve">109.48731601, </w:t>
                  </w:r>
                  <w:r>
                    <w:rPr>
                      <w:rFonts w:hint="eastAsia"/>
                    </w:rPr>
                    <w:t>N：</w:t>
                  </w:r>
                  <w:r>
                    <w:t>30.92834957</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11</w:t>
                  </w:r>
                </w:p>
              </w:tc>
              <w:tc>
                <w:tcPr>
                  <w:tcW w:w="402" w:type="pct"/>
                  <w:vMerge w:val="continue"/>
                  <w:vAlign w:val="center"/>
                </w:tcPr>
                <w:p>
                  <w:pPr>
                    <w:pStyle w:val="28"/>
                  </w:pPr>
                </w:p>
              </w:tc>
              <w:tc>
                <w:tcPr>
                  <w:tcW w:w="2562" w:type="pct"/>
                  <w:vAlign w:val="center"/>
                </w:tcPr>
                <w:p>
                  <w:pPr>
                    <w:pStyle w:val="28"/>
                  </w:pPr>
                  <w:r>
                    <w:rPr>
                      <w:rFonts w:hint="eastAsia"/>
                    </w:rPr>
                    <w:t>11#监测点（新民镇龙汇村3#居民点）</w:t>
                  </w:r>
                </w:p>
              </w:tc>
              <w:tc>
                <w:tcPr>
                  <w:tcW w:w="1059" w:type="pct"/>
                  <w:vAlign w:val="center"/>
                </w:tcPr>
                <w:p>
                  <w:pPr>
                    <w:pStyle w:val="28"/>
                  </w:pPr>
                  <w:r>
                    <w:rPr>
                      <w:rFonts w:hint="eastAsia"/>
                    </w:rPr>
                    <w:t>E：</w:t>
                  </w:r>
                  <w:r>
                    <w:t xml:space="preserve">109.49756205, </w:t>
                  </w:r>
                  <w:r>
                    <w:rPr>
                      <w:rFonts w:hint="eastAsia"/>
                    </w:rPr>
                    <w:t>N：</w:t>
                  </w:r>
                  <w:r>
                    <w:t>30.93269573</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12</w:t>
                  </w:r>
                </w:p>
              </w:tc>
              <w:tc>
                <w:tcPr>
                  <w:tcW w:w="402" w:type="pct"/>
                  <w:vMerge w:val="continue"/>
                  <w:vAlign w:val="center"/>
                </w:tcPr>
                <w:p>
                  <w:pPr>
                    <w:pStyle w:val="28"/>
                  </w:pPr>
                </w:p>
              </w:tc>
              <w:tc>
                <w:tcPr>
                  <w:tcW w:w="2562" w:type="pct"/>
                  <w:vAlign w:val="center"/>
                </w:tcPr>
                <w:p>
                  <w:pPr>
                    <w:pStyle w:val="28"/>
                  </w:pPr>
                  <w:r>
                    <w:rPr>
                      <w:rFonts w:hint="eastAsia"/>
                    </w:rPr>
                    <w:t>12#监测点（新民镇龙汇村4#居民点）</w:t>
                  </w:r>
                </w:p>
              </w:tc>
              <w:tc>
                <w:tcPr>
                  <w:tcW w:w="1059" w:type="pct"/>
                  <w:vAlign w:val="center"/>
                </w:tcPr>
                <w:p>
                  <w:pPr>
                    <w:pStyle w:val="28"/>
                  </w:pPr>
                  <w:r>
                    <w:rPr>
                      <w:rFonts w:hint="eastAsia"/>
                    </w:rPr>
                    <w:t>E：</w:t>
                  </w:r>
                  <w:r>
                    <w:t xml:space="preserve">109.47290719, </w:t>
                  </w:r>
                  <w:r>
                    <w:rPr>
                      <w:rFonts w:hint="eastAsia"/>
                    </w:rPr>
                    <w:t>N：</w:t>
                  </w:r>
                  <w:r>
                    <w:t>30.93409916</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13</w:t>
                  </w:r>
                </w:p>
              </w:tc>
              <w:tc>
                <w:tcPr>
                  <w:tcW w:w="402" w:type="pct"/>
                  <w:vMerge w:val="continue"/>
                  <w:vAlign w:val="center"/>
                </w:tcPr>
                <w:p>
                  <w:pPr>
                    <w:pStyle w:val="28"/>
                  </w:pPr>
                </w:p>
              </w:tc>
              <w:tc>
                <w:tcPr>
                  <w:tcW w:w="2562" w:type="pct"/>
                  <w:vAlign w:val="center"/>
                </w:tcPr>
                <w:p>
                  <w:pPr>
                    <w:pStyle w:val="28"/>
                  </w:pPr>
                  <w:r>
                    <w:rPr>
                      <w:rFonts w:hint="eastAsia"/>
                    </w:rPr>
                    <w:t>13#监测点（新民镇龙汇村5#居民点）</w:t>
                  </w:r>
                </w:p>
              </w:tc>
              <w:tc>
                <w:tcPr>
                  <w:tcW w:w="1059" w:type="pct"/>
                  <w:vAlign w:val="center"/>
                </w:tcPr>
                <w:p>
                  <w:pPr>
                    <w:pStyle w:val="28"/>
                  </w:pPr>
                  <w:r>
                    <w:rPr>
                      <w:rFonts w:hint="eastAsia"/>
                    </w:rPr>
                    <w:t>E：</w:t>
                  </w:r>
                  <w:r>
                    <w:t xml:space="preserve">109.47127104, </w:t>
                  </w:r>
                  <w:r>
                    <w:rPr>
                      <w:rFonts w:hint="eastAsia"/>
                    </w:rPr>
                    <w:t>N：</w:t>
                  </w:r>
                  <w:r>
                    <w:t>30.93771118</w:t>
                  </w:r>
                </w:p>
              </w:tc>
              <w:tc>
                <w:tcPr>
                  <w:tcW w:w="568" w:type="pct"/>
                  <w:vAlign w:val="center"/>
                </w:tcPr>
                <w:p>
                  <w:pPr>
                    <w:pStyle w:val="28"/>
                  </w:pPr>
                  <w:r>
                    <w:rPr>
                      <w:rFonts w:hint="eastAsia"/>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28"/>
                  </w:pPr>
                  <w:r>
                    <w:rPr>
                      <w:rFonts w:hint="eastAsia"/>
                    </w:rPr>
                    <w:t>14</w:t>
                  </w:r>
                </w:p>
              </w:tc>
              <w:tc>
                <w:tcPr>
                  <w:tcW w:w="402" w:type="pct"/>
                  <w:vMerge w:val="continue"/>
                  <w:vAlign w:val="center"/>
                </w:tcPr>
                <w:p>
                  <w:pPr>
                    <w:pStyle w:val="28"/>
                  </w:pPr>
                </w:p>
              </w:tc>
              <w:tc>
                <w:tcPr>
                  <w:tcW w:w="2562" w:type="pct"/>
                  <w:vAlign w:val="center"/>
                </w:tcPr>
                <w:p>
                  <w:pPr>
                    <w:pStyle w:val="28"/>
                  </w:pPr>
                  <w:r>
                    <w:rPr>
                      <w:rFonts w:hint="eastAsia"/>
                    </w:rPr>
                    <w:t>14#监测点（新民镇柏木村拟新建升压站西侧敏感点）</w:t>
                  </w:r>
                </w:p>
              </w:tc>
              <w:tc>
                <w:tcPr>
                  <w:tcW w:w="1059" w:type="pct"/>
                  <w:vAlign w:val="center"/>
                </w:tcPr>
                <w:p>
                  <w:pPr>
                    <w:pStyle w:val="28"/>
                  </w:pPr>
                  <w:r>
                    <w:rPr>
                      <w:rFonts w:hint="eastAsia"/>
                    </w:rPr>
                    <w:t>E：109.49272871</w:t>
                  </w:r>
                </w:p>
                <w:p>
                  <w:pPr>
                    <w:pStyle w:val="28"/>
                  </w:pPr>
                  <w:r>
                    <w:rPr>
                      <w:rFonts w:hint="eastAsia"/>
                    </w:rPr>
                    <w:t>N：30.92727047</w:t>
                  </w:r>
                </w:p>
              </w:tc>
              <w:tc>
                <w:tcPr>
                  <w:tcW w:w="568" w:type="pct"/>
                  <w:vAlign w:val="center"/>
                </w:tcPr>
                <w:p>
                  <w:pPr>
                    <w:pStyle w:val="28"/>
                  </w:pPr>
                  <w:r>
                    <w:rPr>
                      <w:rFonts w:hint="eastAsia"/>
                    </w:rPr>
                    <w:t>2类标准</w:t>
                  </w:r>
                </w:p>
              </w:tc>
            </w:tr>
          </w:tbl>
          <w:p>
            <w:pPr>
              <w:pStyle w:val="29"/>
              <w:ind w:firstLine="0" w:firstLineChars="0"/>
              <w:jc w:val="center"/>
            </w:pPr>
            <w:r>
              <w:rPr>
                <w:rFonts w:hint="eastAsia"/>
              </w:rPr>
              <w:t>表3-4  声环境现状监测评价结果表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699"/>
              <w:gridCol w:w="1855"/>
              <w:gridCol w:w="2109"/>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Merge w:val="restart"/>
                  <w:vAlign w:val="center"/>
                </w:tcPr>
                <w:p>
                  <w:pPr>
                    <w:pStyle w:val="28"/>
                  </w:pPr>
                  <w:r>
                    <w:rPr>
                      <w:rFonts w:hint="eastAsia"/>
                    </w:rPr>
                    <w:t>点位</w:t>
                  </w:r>
                </w:p>
              </w:tc>
              <w:tc>
                <w:tcPr>
                  <w:tcW w:w="2061" w:type="pct"/>
                  <w:gridSpan w:val="2"/>
                  <w:vAlign w:val="center"/>
                </w:tcPr>
                <w:p>
                  <w:pPr>
                    <w:pStyle w:val="28"/>
                  </w:pPr>
                  <w:r>
                    <w:rPr>
                      <w:rFonts w:hint="eastAsia"/>
                    </w:rPr>
                    <w:t>昼间（Leq）</w:t>
                  </w:r>
                </w:p>
              </w:tc>
              <w:tc>
                <w:tcPr>
                  <w:tcW w:w="2415" w:type="pct"/>
                  <w:gridSpan w:val="2"/>
                  <w:vAlign w:val="center"/>
                </w:tcPr>
                <w:p>
                  <w:pPr>
                    <w:pStyle w:val="28"/>
                  </w:pPr>
                  <w:r>
                    <w:rPr>
                      <w:rFonts w:hint="eastAsia"/>
                    </w:rPr>
                    <w:t>夜间（Leq）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Merge w:val="continue"/>
                  <w:vAlign w:val="center"/>
                </w:tcPr>
                <w:p>
                  <w:pPr>
                    <w:pStyle w:val="28"/>
                  </w:pPr>
                </w:p>
              </w:tc>
              <w:tc>
                <w:tcPr>
                  <w:tcW w:w="985" w:type="pct"/>
                  <w:vAlign w:val="center"/>
                </w:tcPr>
                <w:p>
                  <w:pPr>
                    <w:pStyle w:val="28"/>
                  </w:pPr>
                  <w:r>
                    <w:rPr>
                      <w:rFonts w:hint="eastAsia"/>
                    </w:rPr>
                    <w:t>测量值</w:t>
                  </w:r>
                </w:p>
              </w:tc>
              <w:tc>
                <w:tcPr>
                  <w:tcW w:w="1075" w:type="pct"/>
                  <w:vAlign w:val="center"/>
                </w:tcPr>
                <w:p>
                  <w:pPr>
                    <w:pStyle w:val="28"/>
                  </w:pPr>
                  <w:r>
                    <w:rPr>
                      <w:rFonts w:hint="eastAsia"/>
                    </w:rPr>
                    <w:t>监测结果</w:t>
                  </w:r>
                </w:p>
              </w:tc>
              <w:tc>
                <w:tcPr>
                  <w:tcW w:w="1224" w:type="pct"/>
                  <w:vAlign w:val="center"/>
                </w:tcPr>
                <w:p>
                  <w:pPr>
                    <w:pStyle w:val="28"/>
                  </w:pPr>
                  <w:r>
                    <w:rPr>
                      <w:rFonts w:hint="eastAsia"/>
                    </w:rPr>
                    <w:t>测量值</w:t>
                  </w:r>
                </w:p>
              </w:tc>
              <w:tc>
                <w:tcPr>
                  <w:tcW w:w="1190" w:type="pct"/>
                  <w:vAlign w:val="center"/>
                </w:tcPr>
                <w:p>
                  <w:pPr>
                    <w:pStyle w:val="28"/>
                  </w:pPr>
                  <w:r>
                    <w:rPr>
                      <w:rFonts w:hint="eastAsia"/>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1</w:t>
                  </w:r>
                </w:p>
              </w:tc>
              <w:tc>
                <w:tcPr>
                  <w:tcW w:w="985" w:type="pct"/>
                  <w:vAlign w:val="center"/>
                </w:tcPr>
                <w:p>
                  <w:pPr>
                    <w:pStyle w:val="28"/>
                  </w:pPr>
                  <w:r>
                    <w:rPr>
                      <w:rFonts w:hint="eastAsia"/>
                    </w:rPr>
                    <w:t>43.0</w:t>
                  </w:r>
                </w:p>
              </w:tc>
              <w:tc>
                <w:tcPr>
                  <w:tcW w:w="1854" w:type="dxa"/>
                  <w:vAlign w:val="center"/>
                </w:tcPr>
                <w:p>
                  <w:pPr>
                    <w:pStyle w:val="28"/>
                  </w:pPr>
                  <w:r>
                    <w:rPr>
                      <w:rFonts w:hint="eastAsia"/>
                    </w:rPr>
                    <w:t>43</w:t>
                  </w:r>
                </w:p>
              </w:tc>
              <w:tc>
                <w:tcPr>
                  <w:tcW w:w="1224" w:type="pct"/>
                  <w:vAlign w:val="center"/>
                </w:tcPr>
                <w:p>
                  <w:pPr>
                    <w:pStyle w:val="28"/>
                  </w:pPr>
                  <w:r>
                    <w:rPr>
                      <w:rFonts w:hint="eastAsia"/>
                    </w:rPr>
                    <w:t>35.1</w:t>
                  </w:r>
                </w:p>
              </w:tc>
              <w:tc>
                <w:tcPr>
                  <w:tcW w:w="1190" w:type="pct"/>
                  <w:vAlign w:val="center"/>
                </w:tcPr>
                <w:p>
                  <w:pPr>
                    <w:pStyle w:val="28"/>
                  </w:pPr>
                  <w:r>
                    <w:rPr>
                      <w:rFonts w:hint="eastAsi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2</w:t>
                  </w:r>
                </w:p>
              </w:tc>
              <w:tc>
                <w:tcPr>
                  <w:tcW w:w="985" w:type="pct"/>
                  <w:vAlign w:val="center"/>
                </w:tcPr>
                <w:p>
                  <w:pPr>
                    <w:pStyle w:val="28"/>
                  </w:pPr>
                  <w:r>
                    <w:rPr>
                      <w:rFonts w:hint="eastAsia"/>
                    </w:rPr>
                    <w:t>45.0</w:t>
                  </w:r>
                </w:p>
              </w:tc>
              <w:tc>
                <w:tcPr>
                  <w:tcW w:w="1854" w:type="dxa"/>
                  <w:vAlign w:val="center"/>
                </w:tcPr>
                <w:p>
                  <w:pPr>
                    <w:pStyle w:val="28"/>
                  </w:pPr>
                  <w:r>
                    <w:rPr>
                      <w:rFonts w:hint="eastAsia"/>
                    </w:rPr>
                    <w:t>45</w:t>
                  </w:r>
                </w:p>
              </w:tc>
              <w:tc>
                <w:tcPr>
                  <w:tcW w:w="1224" w:type="pct"/>
                  <w:vAlign w:val="center"/>
                </w:tcPr>
                <w:p>
                  <w:pPr>
                    <w:pStyle w:val="28"/>
                  </w:pPr>
                  <w:r>
                    <w:rPr>
                      <w:rFonts w:hint="eastAsia"/>
                    </w:rPr>
                    <w:t>37.2</w:t>
                  </w:r>
                </w:p>
              </w:tc>
              <w:tc>
                <w:tcPr>
                  <w:tcW w:w="1190" w:type="pct"/>
                  <w:vAlign w:val="center"/>
                </w:tcPr>
                <w:p>
                  <w:pPr>
                    <w:pStyle w:val="28"/>
                  </w:pPr>
                  <w:r>
                    <w:rPr>
                      <w:rFonts w:hint="eastAsi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3</w:t>
                  </w:r>
                </w:p>
              </w:tc>
              <w:tc>
                <w:tcPr>
                  <w:tcW w:w="985" w:type="pct"/>
                  <w:vAlign w:val="center"/>
                </w:tcPr>
                <w:p>
                  <w:pPr>
                    <w:pStyle w:val="28"/>
                  </w:pPr>
                  <w:r>
                    <w:rPr>
                      <w:rFonts w:hint="eastAsia"/>
                    </w:rPr>
                    <w:t>40.2</w:t>
                  </w:r>
                </w:p>
              </w:tc>
              <w:tc>
                <w:tcPr>
                  <w:tcW w:w="1854" w:type="dxa"/>
                  <w:vAlign w:val="center"/>
                </w:tcPr>
                <w:p>
                  <w:pPr>
                    <w:pStyle w:val="28"/>
                  </w:pPr>
                  <w:r>
                    <w:rPr>
                      <w:rFonts w:hint="eastAsia"/>
                    </w:rPr>
                    <w:t>40</w:t>
                  </w:r>
                </w:p>
              </w:tc>
              <w:tc>
                <w:tcPr>
                  <w:tcW w:w="1224" w:type="pct"/>
                  <w:vAlign w:val="center"/>
                </w:tcPr>
                <w:p>
                  <w:pPr>
                    <w:pStyle w:val="28"/>
                  </w:pPr>
                  <w:r>
                    <w:rPr>
                      <w:rFonts w:hint="eastAsia"/>
                    </w:rPr>
                    <w:t>36.3</w:t>
                  </w:r>
                </w:p>
              </w:tc>
              <w:tc>
                <w:tcPr>
                  <w:tcW w:w="1190" w:type="pct"/>
                  <w:vAlign w:val="center"/>
                </w:tcPr>
                <w:p>
                  <w:pPr>
                    <w:pStyle w:val="28"/>
                  </w:pPr>
                  <w:r>
                    <w:rPr>
                      <w:rFonts w:hint="eastAsi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4</w:t>
                  </w:r>
                </w:p>
              </w:tc>
              <w:tc>
                <w:tcPr>
                  <w:tcW w:w="985" w:type="pct"/>
                  <w:vAlign w:val="center"/>
                </w:tcPr>
                <w:p>
                  <w:pPr>
                    <w:pStyle w:val="28"/>
                  </w:pPr>
                  <w:r>
                    <w:rPr>
                      <w:rFonts w:hint="eastAsia"/>
                    </w:rPr>
                    <w:t>46.3</w:t>
                  </w:r>
                </w:p>
              </w:tc>
              <w:tc>
                <w:tcPr>
                  <w:tcW w:w="1854" w:type="dxa"/>
                  <w:vAlign w:val="center"/>
                </w:tcPr>
                <w:p>
                  <w:pPr>
                    <w:pStyle w:val="28"/>
                  </w:pPr>
                  <w:r>
                    <w:rPr>
                      <w:rFonts w:hint="eastAsia"/>
                    </w:rPr>
                    <w:t>46</w:t>
                  </w:r>
                </w:p>
              </w:tc>
              <w:tc>
                <w:tcPr>
                  <w:tcW w:w="1224" w:type="pct"/>
                  <w:vAlign w:val="center"/>
                </w:tcPr>
                <w:p>
                  <w:pPr>
                    <w:pStyle w:val="28"/>
                  </w:pPr>
                  <w:r>
                    <w:rPr>
                      <w:rFonts w:hint="eastAsia"/>
                    </w:rPr>
                    <w:t>36.7</w:t>
                  </w:r>
                </w:p>
              </w:tc>
              <w:tc>
                <w:tcPr>
                  <w:tcW w:w="1190" w:type="pct"/>
                  <w:vAlign w:val="center"/>
                </w:tcPr>
                <w:p>
                  <w:pPr>
                    <w:pStyle w:val="28"/>
                  </w:pPr>
                  <w:r>
                    <w:rPr>
                      <w:rFonts w:hint="eastAsi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5</w:t>
                  </w:r>
                </w:p>
              </w:tc>
              <w:tc>
                <w:tcPr>
                  <w:tcW w:w="985" w:type="pct"/>
                  <w:vAlign w:val="center"/>
                </w:tcPr>
                <w:p>
                  <w:pPr>
                    <w:pStyle w:val="28"/>
                  </w:pPr>
                  <w:r>
                    <w:rPr>
                      <w:rFonts w:hint="eastAsia"/>
                    </w:rPr>
                    <w:t>45.7</w:t>
                  </w:r>
                </w:p>
              </w:tc>
              <w:tc>
                <w:tcPr>
                  <w:tcW w:w="1854" w:type="dxa"/>
                  <w:vAlign w:val="center"/>
                </w:tcPr>
                <w:p>
                  <w:pPr>
                    <w:pStyle w:val="28"/>
                  </w:pPr>
                  <w:r>
                    <w:rPr>
                      <w:rFonts w:hint="eastAsia"/>
                    </w:rPr>
                    <w:t>46</w:t>
                  </w:r>
                </w:p>
              </w:tc>
              <w:tc>
                <w:tcPr>
                  <w:tcW w:w="1224" w:type="pct"/>
                  <w:vAlign w:val="center"/>
                </w:tcPr>
                <w:p>
                  <w:pPr>
                    <w:pStyle w:val="28"/>
                  </w:pPr>
                  <w:r>
                    <w:rPr>
                      <w:rFonts w:hint="eastAsia"/>
                    </w:rPr>
                    <w:t>38.0</w:t>
                  </w:r>
                </w:p>
              </w:tc>
              <w:tc>
                <w:tcPr>
                  <w:tcW w:w="1190" w:type="pct"/>
                  <w:vAlign w:val="center"/>
                </w:tcPr>
                <w:p>
                  <w:pPr>
                    <w:pStyle w:val="28"/>
                  </w:pPr>
                  <w:r>
                    <w:rPr>
                      <w:rFonts w:hint="eastAsia"/>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6</w:t>
                  </w:r>
                </w:p>
              </w:tc>
              <w:tc>
                <w:tcPr>
                  <w:tcW w:w="985" w:type="pct"/>
                  <w:vAlign w:val="center"/>
                </w:tcPr>
                <w:p>
                  <w:pPr>
                    <w:pStyle w:val="28"/>
                  </w:pPr>
                  <w:r>
                    <w:rPr>
                      <w:rFonts w:hint="eastAsia"/>
                    </w:rPr>
                    <w:t>43.2</w:t>
                  </w:r>
                </w:p>
              </w:tc>
              <w:tc>
                <w:tcPr>
                  <w:tcW w:w="1854" w:type="dxa"/>
                  <w:vAlign w:val="center"/>
                </w:tcPr>
                <w:p>
                  <w:pPr>
                    <w:pStyle w:val="28"/>
                  </w:pPr>
                  <w:r>
                    <w:rPr>
                      <w:rFonts w:hint="eastAsia"/>
                    </w:rPr>
                    <w:t>43</w:t>
                  </w:r>
                </w:p>
              </w:tc>
              <w:tc>
                <w:tcPr>
                  <w:tcW w:w="1224" w:type="pct"/>
                  <w:vAlign w:val="center"/>
                </w:tcPr>
                <w:p>
                  <w:pPr>
                    <w:pStyle w:val="28"/>
                  </w:pPr>
                  <w:r>
                    <w:rPr>
                      <w:rFonts w:hint="eastAsia"/>
                    </w:rPr>
                    <w:t>38.2</w:t>
                  </w:r>
                </w:p>
              </w:tc>
              <w:tc>
                <w:tcPr>
                  <w:tcW w:w="1190" w:type="pct"/>
                  <w:vAlign w:val="center"/>
                </w:tcPr>
                <w:p>
                  <w:pPr>
                    <w:pStyle w:val="28"/>
                  </w:pPr>
                  <w:r>
                    <w:rPr>
                      <w:rFonts w:hint="eastAsia"/>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7</w:t>
                  </w:r>
                </w:p>
              </w:tc>
              <w:tc>
                <w:tcPr>
                  <w:tcW w:w="1699" w:type="dxa"/>
                  <w:vAlign w:val="center"/>
                </w:tcPr>
                <w:p>
                  <w:pPr>
                    <w:pStyle w:val="28"/>
                  </w:pPr>
                  <w:r>
                    <w:rPr>
                      <w:rFonts w:hint="eastAsia"/>
                    </w:rPr>
                    <w:t>45.0</w:t>
                  </w:r>
                </w:p>
              </w:tc>
              <w:tc>
                <w:tcPr>
                  <w:tcW w:w="1854" w:type="dxa"/>
                  <w:vAlign w:val="center"/>
                </w:tcPr>
                <w:p>
                  <w:pPr>
                    <w:pStyle w:val="28"/>
                  </w:pPr>
                  <w:r>
                    <w:rPr>
                      <w:rFonts w:hint="eastAsia"/>
                    </w:rPr>
                    <w:t>45</w:t>
                  </w:r>
                </w:p>
              </w:tc>
              <w:tc>
                <w:tcPr>
                  <w:tcW w:w="2111" w:type="dxa"/>
                  <w:vAlign w:val="center"/>
                </w:tcPr>
                <w:p>
                  <w:pPr>
                    <w:pStyle w:val="28"/>
                  </w:pPr>
                  <w:r>
                    <w:rPr>
                      <w:rFonts w:hint="eastAsia"/>
                    </w:rPr>
                    <w:t>40.4</w:t>
                  </w:r>
                </w:p>
              </w:tc>
              <w:tc>
                <w:tcPr>
                  <w:tcW w:w="2052" w:type="dxa"/>
                  <w:vAlign w:val="center"/>
                </w:tcPr>
                <w:p>
                  <w:pPr>
                    <w:pStyle w:val="28"/>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8</w:t>
                  </w:r>
                </w:p>
              </w:tc>
              <w:tc>
                <w:tcPr>
                  <w:tcW w:w="985" w:type="pct"/>
                  <w:vAlign w:val="center"/>
                </w:tcPr>
                <w:p>
                  <w:pPr>
                    <w:pStyle w:val="28"/>
                  </w:pPr>
                  <w:r>
                    <w:rPr>
                      <w:rFonts w:hint="eastAsia"/>
                    </w:rPr>
                    <w:t>40.2</w:t>
                  </w:r>
                </w:p>
              </w:tc>
              <w:tc>
                <w:tcPr>
                  <w:tcW w:w="1854" w:type="dxa"/>
                  <w:vAlign w:val="center"/>
                </w:tcPr>
                <w:p>
                  <w:pPr>
                    <w:pStyle w:val="28"/>
                  </w:pPr>
                  <w:r>
                    <w:rPr>
                      <w:rFonts w:hint="eastAsia"/>
                    </w:rPr>
                    <w:t>40</w:t>
                  </w:r>
                </w:p>
              </w:tc>
              <w:tc>
                <w:tcPr>
                  <w:tcW w:w="1224" w:type="pct"/>
                  <w:vAlign w:val="center"/>
                </w:tcPr>
                <w:p>
                  <w:pPr>
                    <w:pStyle w:val="28"/>
                  </w:pPr>
                  <w:r>
                    <w:rPr>
                      <w:rFonts w:hint="eastAsia"/>
                    </w:rPr>
                    <w:t>37.2</w:t>
                  </w:r>
                </w:p>
              </w:tc>
              <w:tc>
                <w:tcPr>
                  <w:tcW w:w="1190" w:type="pct"/>
                  <w:vAlign w:val="center"/>
                </w:tcPr>
                <w:p>
                  <w:pPr>
                    <w:pStyle w:val="28"/>
                  </w:pPr>
                  <w:r>
                    <w:rPr>
                      <w:rFonts w:hint="eastAsi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9</w:t>
                  </w:r>
                </w:p>
              </w:tc>
              <w:tc>
                <w:tcPr>
                  <w:tcW w:w="985" w:type="pct"/>
                  <w:vAlign w:val="center"/>
                </w:tcPr>
                <w:p>
                  <w:pPr>
                    <w:pStyle w:val="28"/>
                  </w:pPr>
                  <w:r>
                    <w:rPr>
                      <w:rFonts w:hint="eastAsia"/>
                    </w:rPr>
                    <w:t>44.1</w:t>
                  </w:r>
                </w:p>
              </w:tc>
              <w:tc>
                <w:tcPr>
                  <w:tcW w:w="1854" w:type="dxa"/>
                  <w:vAlign w:val="center"/>
                </w:tcPr>
                <w:p>
                  <w:pPr>
                    <w:pStyle w:val="28"/>
                  </w:pPr>
                  <w:r>
                    <w:rPr>
                      <w:rFonts w:hint="eastAsia"/>
                    </w:rPr>
                    <w:t>44</w:t>
                  </w:r>
                </w:p>
              </w:tc>
              <w:tc>
                <w:tcPr>
                  <w:tcW w:w="1224" w:type="pct"/>
                  <w:vAlign w:val="center"/>
                </w:tcPr>
                <w:p>
                  <w:pPr>
                    <w:pStyle w:val="28"/>
                  </w:pPr>
                  <w:r>
                    <w:rPr>
                      <w:rFonts w:hint="eastAsia"/>
                    </w:rPr>
                    <w:t>41.2</w:t>
                  </w:r>
                </w:p>
              </w:tc>
              <w:tc>
                <w:tcPr>
                  <w:tcW w:w="1190" w:type="pct"/>
                  <w:vAlign w:val="center"/>
                </w:tcPr>
                <w:p>
                  <w:pPr>
                    <w:pStyle w:val="28"/>
                  </w:pPr>
                  <w:r>
                    <w:rPr>
                      <w:rFonts w:hint="eastAsi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10</w:t>
                  </w:r>
                </w:p>
              </w:tc>
              <w:tc>
                <w:tcPr>
                  <w:tcW w:w="985" w:type="pct"/>
                  <w:vAlign w:val="center"/>
                </w:tcPr>
                <w:p>
                  <w:pPr>
                    <w:pStyle w:val="28"/>
                  </w:pPr>
                  <w:r>
                    <w:rPr>
                      <w:rFonts w:hint="eastAsia"/>
                    </w:rPr>
                    <w:t>45.5</w:t>
                  </w:r>
                </w:p>
              </w:tc>
              <w:tc>
                <w:tcPr>
                  <w:tcW w:w="1854" w:type="dxa"/>
                  <w:vAlign w:val="center"/>
                </w:tcPr>
                <w:p>
                  <w:pPr>
                    <w:pStyle w:val="28"/>
                  </w:pPr>
                  <w:r>
                    <w:rPr>
                      <w:rFonts w:hint="eastAsia"/>
                    </w:rPr>
                    <w:t>46</w:t>
                  </w:r>
                </w:p>
              </w:tc>
              <w:tc>
                <w:tcPr>
                  <w:tcW w:w="1224" w:type="pct"/>
                  <w:vAlign w:val="center"/>
                </w:tcPr>
                <w:p>
                  <w:pPr>
                    <w:pStyle w:val="28"/>
                  </w:pPr>
                  <w:r>
                    <w:rPr>
                      <w:rFonts w:hint="eastAsia"/>
                    </w:rPr>
                    <w:t>41.6</w:t>
                  </w:r>
                </w:p>
              </w:tc>
              <w:tc>
                <w:tcPr>
                  <w:tcW w:w="1190" w:type="pct"/>
                  <w:vAlign w:val="center"/>
                </w:tcPr>
                <w:p>
                  <w:pPr>
                    <w:pStyle w:val="28"/>
                  </w:pPr>
                  <w:r>
                    <w:rPr>
                      <w:rFonts w:hint="eastAsia"/>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11</w:t>
                  </w:r>
                </w:p>
              </w:tc>
              <w:tc>
                <w:tcPr>
                  <w:tcW w:w="985" w:type="pct"/>
                  <w:vAlign w:val="center"/>
                </w:tcPr>
                <w:p>
                  <w:pPr>
                    <w:pStyle w:val="28"/>
                  </w:pPr>
                  <w:r>
                    <w:rPr>
                      <w:rFonts w:hint="eastAsia"/>
                    </w:rPr>
                    <w:t>41.6</w:t>
                  </w:r>
                </w:p>
              </w:tc>
              <w:tc>
                <w:tcPr>
                  <w:tcW w:w="1854" w:type="dxa"/>
                  <w:vAlign w:val="center"/>
                </w:tcPr>
                <w:p>
                  <w:pPr>
                    <w:pStyle w:val="28"/>
                  </w:pPr>
                  <w:r>
                    <w:rPr>
                      <w:rFonts w:hint="eastAsia"/>
                    </w:rPr>
                    <w:t>42</w:t>
                  </w:r>
                </w:p>
              </w:tc>
              <w:tc>
                <w:tcPr>
                  <w:tcW w:w="1224" w:type="pct"/>
                  <w:vAlign w:val="center"/>
                </w:tcPr>
                <w:p>
                  <w:pPr>
                    <w:pStyle w:val="28"/>
                  </w:pPr>
                  <w:r>
                    <w:rPr>
                      <w:rFonts w:hint="eastAsia"/>
                    </w:rPr>
                    <w:t>38.9</w:t>
                  </w:r>
                </w:p>
              </w:tc>
              <w:tc>
                <w:tcPr>
                  <w:tcW w:w="1190" w:type="pct"/>
                  <w:vAlign w:val="center"/>
                </w:tcPr>
                <w:p>
                  <w:pPr>
                    <w:pStyle w:val="28"/>
                  </w:pPr>
                  <w:r>
                    <w:rPr>
                      <w:rFonts w:hint="eastAsia"/>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12</w:t>
                  </w:r>
                </w:p>
              </w:tc>
              <w:tc>
                <w:tcPr>
                  <w:tcW w:w="985" w:type="pct"/>
                  <w:vAlign w:val="center"/>
                </w:tcPr>
                <w:p>
                  <w:pPr>
                    <w:pStyle w:val="28"/>
                  </w:pPr>
                  <w:r>
                    <w:rPr>
                      <w:rFonts w:hint="eastAsia"/>
                    </w:rPr>
                    <w:t>43.3</w:t>
                  </w:r>
                </w:p>
              </w:tc>
              <w:tc>
                <w:tcPr>
                  <w:tcW w:w="1854" w:type="dxa"/>
                  <w:vAlign w:val="center"/>
                </w:tcPr>
                <w:p>
                  <w:pPr>
                    <w:pStyle w:val="28"/>
                  </w:pPr>
                  <w:r>
                    <w:rPr>
                      <w:rFonts w:hint="eastAsia"/>
                    </w:rPr>
                    <w:t>43</w:t>
                  </w:r>
                </w:p>
              </w:tc>
              <w:tc>
                <w:tcPr>
                  <w:tcW w:w="1224" w:type="pct"/>
                  <w:vAlign w:val="center"/>
                </w:tcPr>
                <w:p>
                  <w:pPr>
                    <w:pStyle w:val="28"/>
                  </w:pPr>
                  <w:r>
                    <w:rPr>
                      <w:rFonts w:hint="eastAsia"/>
                    </w:rPr>
                    <w:t>39.7</w:t>
                  </w:r>
                </w:p>
              </w:tc>
              <w:tc>
                <w:tcPr>
                  <w:tcW w:w="1190" w:type="pct"/>
                  <w:vAlign w:val="center"/>
                </w:tcPr>
                <w:p>
                  <w:pPr>
                    <w:pStyle w:val="28"/>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2" w:type="pct"/>
                  <w:vAlign w:val="center"/>
                </w:tcPr>
                <w:p>
                  <w:pPr>
                    <w:pStyle w:val="28"/>
                  </w:pPr>
                  <w:r>
                    <w:rPr>
                      <w:rFonts w:hint="eastAsia"/>
                    </w:rPr>
                    <w:t>13</w:t>
                  </w:r>
                </w:p>
              </w:tc>
              <w:tc>
                <w:tcPr>
                  <w:tcW w:w="985" w:type="pct"/>
                  <w:vAlign w:val="center"/>
                </w:tcPr>
                <w:p>
                  <w:pPr>
                    <w:pStyle w:val="28"/>
                  </w:pPr>
                  <w:r>
                    <w:rPr>
                      <w:rFonts w:hint="eastAsia"/>
                    </w:rPr>
                    <w:t>45.2</w:t>
                  </w:r>
                </w:p>
              </w:tc>
              <w:tc>
                <w:tcPr>
                  <w:tcW w:w="1854" w:type="dxa"/>
                  <w:vAlign w:val="center"/>
                </w:tcPr>
                <w:p>
                  <w:pPr>
                    <w:pStyle w:val="28"/>
                  </w:pPr>
                  <w:r>
                    <w:rPr>
                      <w:rFonts w:hint="eastAsia"/>
                    </w:rPr>
                    <w:t>45</w:t>
                  </w:r>
                </w:p>
              </w:tc>
              <w:tc>
                <w:tcPr>
                  <w:tcW w:w="1224" w:type="pct"/>
                  <w:vAlign w:val="center"/>
                </w:tcPr>
                <w:p>
                  <w:pPr>
                    <w:pStyle w:val="28"/>
                  </w:pPr>
                  <w:r>
                    <w:rPr>
                      <w:rFonts w:hint="eastAsia"/>
                    </w:rPr>
                    <w:t>39.9</w:t>
                  </w:r>
                </w:p>
              </w:tc>
              <w:tc>
                <w:tcPr>
                  <w:tcW w:w="1190" w:type="pct"/>
                  <w:vAlign w:val="center"/>
                </w:tcPr>
                <w:p>
                  <w:pPr>
                    <w:pStyle w:val="28"/>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1" w:type="dxa"/>
                  <w:vAlign w:val="center"/>
                </w:tcPr>
                <w:p>
                  <w:pPr>
                    <w:pStyle w:val="28"/>
                  </w:pPr>
                  <w:r>
                    <w:rPr>
                      <w:rFonts w:hint="eastAsia"/>
                    </w:rPr>
                    <w:t>14</w:t>
                  </w:r>
                </w:p>
              </w:tc>
              <w:tc>
                <w:tcPr>
                  <w:tcW w:w="1699" w:type="dxa"/>
                  <w:vAlign w:val="center"/>
                </w:tcPr>
                <w:p>
                  <w:pPr>
                    <w:pStyle w:val="28"/>
                  </w:pPr>
                  <w:r>
                    <w:rPr>
                      <w:rFonts w:hint="eastAsia"/>
                    </w:rPr>
                    <w:t>43.4</w:t>
                  </w:r>
                </w:p>
              </w:tc>
              <w:tc>
                <w:tcPr>
                  <w:tcW w:w="1854" w:type="dxa"/>
                  <w:vAlign w:val="center"/>
                </w:tcPr>
                <w:p>
                  <w:pPr>
                    <w:pStyle w:val="28"/>
                  </w:pPr>
                  <w:r>
                    <w:rPr>
                      <w:rFonts w:hint="eastAsia"/>
                    </w:rPr>
                    <w:t>43</w:t>
                  </w:r>
                </w:p>
              </w:tc>
              <w:tc>
                <w:tcPr>
                  <w:tcW w:w="2111" w:type="dxa"/>
                  <w:vAlign w:val="center"/>
                </w:tcPr>
                <w:p>
                  <w:pPr>
                    <w:pStyle w:val="28"/>
                  </w:pPr>
                  <w:r>
                    <w:rPr>
                      <w:rFonts w:hint="eastAsia"/>
                    </w:rPr>
                    <w:t>38.2</w:t>
                  </w:r>
                </w:p>
              </w:tc>
              <w:tc>
                <w:tcPr>
                  <w:tcW w:w="2052" w:type="dxa"/>
                  <w:vAlign w:val="center"/>
                </w:tcPr>
                <w:p>
                  <w:pPr>
                    <w:pStyle w:val="28"/>
                  </w:pPr>
                  <w:r>
                    <w:rPr>
                      <w:rFonts w:hint="eastAsia"/>
                    </w:rPr>
                    <w:t>38</w:t>
                  </w:r>
                </w:p>
              </w:tc>
            </w:tr>
          </w:tbl>
          <w:p>
            <w:pPr>
              <w:pStyle w:val="29"/>
              <w:ind w:firstLine="480"/>
            </w:pPr>
            <w:r>
              <w:t>由表</w:t>
            </w:r>
            <w:r>
              <w:rPr>
                <w:rFonts w:hint="eastAsia"/>
              </w:rPr>
              <w:t>3-4</w:t>
            </w:r>
            <w:r>
              <w:t>监测结果表明，项目所在区域各声环境质量昼间和夜间均分别满足《声环境质量标准》</w:t>
            </w:r>
            <w:r>
              <w:rPr>
                <w:rFonts w:hint="eastAsia"/>
              </w:rPr>
              <w:t>（</w:t>
            </w:r>
            <w:r>
              <w:t>GB3096-2008</w:t>
            </w:r>
            <w:r>
              <w:rPr>
                <w:rFonts w:hint="eastAsia"/>
              </w:rPr>
              <w:t>）</w:t>
            </w:r>
            <w:r>
              <w:t>中的</w:t>
            </w:r>
            <w:r>
              <w:rPr>
                <w:rFonts w:hint="eastAsia"/>
              </w:rPr>
              <w:t>2</w:t>
            </w:r>
            <w:r>
              <w:t>类标准。项目所在区域声环境质量良好。</w:t>
            </w:r>
          </w:p>
          <w:p>
            <w:pPr>
              <w:pStyle w:val="29"/>
              <w:ind w:firstLine="482"/>
              <w:rPr>
                <w:b/>
                <w:bCs/>
              </w:rPr>
            </w:pPr>
            <w:r>
              <w:rPr>
                <w:rFonts w:hint="eastAsia"/>
                <w:b/>
                <w:bCs/>
              </w:rPr>
              <w:t>3.2.4 电磁环境质量现状</w:t>
            </w:r>
          </w:p>
          <w:p>
            <w:pPr>
              <w:pStyle w:val="29"/>
              <w:ind w:firstLine="480"/>
            </w:pPr>
            <w:r>
              <w:t>为了解项目区域电磁环境质量现状，本评价委托</w:t>
            </w:r>
            <w:r>
              <w:rPr>
                <w:rFonts w:hint="eastAsia"/>
              </w:rPr>
              <w:t>重庆渝辐科技有限公司于</w:t>
            </w:r>
            <w:r>
              <w:t>202</w:t>
            </w:r>
            <w:r>
              <w:rPr>
                <w:rFonts w:hint="eastAsia"/>
              </w:rPr>
              <w:t>4</w:t>
            </w:r>
            <w:r>
              <w:t>年</w:t>
            </w:r>
            <w:r>
              <w:rPr>
                <w:rFonts w:hint="eastAsia"/>
              </w:rPr>
              <w:t>5</w:t>
            </w:r>
            <w:r>
              <w:t>月</w:t>
            </w:r>
            <w:r>
              <w:rPr>
                <w:rFonts w:hint="eastAsia"/>
              </w:rPr>
              <w:t>13</w:t>
            </w:r>
            <w:r>
              <w:t>日对本项目所在区域电磁环境现状进行了监测，根据《环境影响评价技术导则 输变电工程》（HJ24-2020）的现状监测布点原则：站址的布点方法以围墙四周均匀布点监测为主，如新建站址附近无其他电磁设施，则布点可简化，视情况在围墙四周布点或仅在站址中心布点监测</w:t>
            </w:r>
            <w:r>
              <w:rPr>
                <w:rFonts w:hint="eastAsia"/>
              </w:rPr>
              <w:t>，</w:t>
            </w:r>
            <w:r>
              <w:rPr>
                <w:rFonts w:hint="eastAsia"/>
                <w:lang w:val="en-US" w:eastAsia="zh-CN"/>
              </w:rPr>
              <w:t>本项目周边无其他电磁源，故</w:t>
            </w:r>
            <w:r>
              <w:t>本次评价共布设了</w:t>
            </w:r>
            <w:r>
              <w:rPr>
                <w:rFonts w:hint="eastAsia"/>
              </w:rPr>
              <w:t>1</w:t>
            </w:r>
            <w:r>
              <w:t>个电磁环境现状监测点位。详见表</w:t>
            </w:r>
            <w:r>
              <w:rPr>
                <w:rFonts w:hint="eastAsia"/>
              </w:rPr>
              <w:t>3-5。</w:t>
            </w:r>
          </w:p>
          <w:p>
            <w:pPr>
              <w:pStyle w:val="29"/>
              <w:ind w:firstLine="0" w:firstLineChars="0"/>
              <w:jc w:val="center"/>
            </w:pPr>
            <w:r>
              <w:rPr>
                <w:rFonts w:hint="eastAsia"/>
              </w:rPr>
              <w:t>表3-5  电磁环境现状监测数据</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0" w:type="dxa"/>
                <w:right w:w="108" w:type="dxa"/>
              </w:tblCellMar>
            </w:tblPr>
            <w:tblGrid>
              <w:gridCol w:w="913"/>
              <w:gridCol w:w="2843"/>
              <w:gridCol w:w="1100"/>
              <w:gridCol w:w="1088"/>
              <w:gridCol w:w="1415"/>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340" w:hRule="atLeast"/>
                <w:jc w:val="center"/>
              </w:trPr>
              <w:tc>
                <w:tcPr>
                  <w:tcW w:w="913" w:type="dxa"/>
                  <w:vAlign w:val="center"/>
                </w:tcPr>
                <w:p>
                  <w:pPr>
                    <w:pStyle w:val="28"/>
                  </w:pPr>
                  <w:r>
                    <w:t>点位</w:t>
                  </w:r>
                </w:p>
              </w:tc>
              <w:tc>
                <w:tcPr>
                  <w:tcW w:w="2843" w:type="dxa"/>
                  <w:vAlign w:val="center"/>
                </w:tcPr>
                <w:p>
                  <w:pPr>
                    <w:pStyle w:val="28"/>
                  </w:pPr>
                  <w:r>
                    <w:t>点位描述</w:t>
                  </w:r>
                </w:p>
              </w:tc>
              <w:tc>
                <w:tcPr>
                  <w:tcW w:w="1100" w:type="dxa"/>
                  <w:vAlign w:val="center"/>
                </w:tcPr>
                <w:p>
                  <w:pPr>
                    <w:pStyle w:val="28"/>
                  </w:pPr>
                  <w:r>
                    <w:t>温度（</w:t>
                  </w:r>
                  <w:r>
                    <w:rPr>
                      <w:rFonts w:hint="eastAsia"/>
                    </w:rPr>
                    <w:t>℃）</w:t>
                  </w:r>
                </w:p>
              </w:tc>
              <w:tc>
                <w:tcPr>
                  <w:tcW w:w="1088" w:type="dxa"/>
                  <w:vAlign w:val="center"/>
                </w:tcPr>
                <w:p>
                  <w:pPr>
                    <w:pStyle w:val="28"/>
                  </w:pPr>
                  <w:r>
                    <w:t>湿度（%）</w:t>
                  </w:r>
                </w:p>
              </w:tc>
              <w:tc>
                <w:tcPr>
                  <w:tcW w:w="1415" w:type="dxa"/>
                  <w:vAlign w:val="center"/>
                </w:tcPr>
                <w:p>
                  <w:pPr>
                    <w:pStyle w:val="28"/>
                  </w:pPr>
                  <w:r>
                    <w:t>工频电场强度（V/m）</w:t>
                  </w:r>
                </w:p>
              </w:tc>
              <w:tc>
                <w:tcPr>
                  <w:tcW w:w="1258" w:type="dxa"/>
                  <w:vAlign w:val="center"/>
                </w:tcPr>
                <w:p>
                  <w:pPr>
                    <w:pStyle w:val="28"/>
                  </w:pPr>
                  <w:r>
                    <w:t>磁感应强度（µT）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340" w:hRule="atLeast"/>
                <w:jc w:val="center"/>
              </w:trPr>
              <w:tc>
                <w:tcPr>
                  <w:tcW w:w="913" w:type="dxa"/>
                  <w:vAlign w:val="center"/>
                </w:tcPr>
                <w:p>
                  <w:pPr>
                    <w:pStyle w:val="28"/>
                  </w:pPr>
                  <w:r>
                    <w:t>E1</w:t>
                  </w:r>
                </w:p>
              </w:tc>
              <w:tc>
                <w:tcPr>
                  <w:tcW w:w="2843" w:type="dxa"/>
                  <w:vAlign w:val="center"/>
                </w:tcPr>
                <w:p>
                  <w:pPr>
                    <w:pStyle w:val="28"/>
                  </w:pPr>
                  <w:r>
                    <w:rPr>
                      <w:rFonts w:hint="eastAsia"/>
                    </w:rPr>
                    <w:t>1#监测点（新民镇柏木村拟新建升压站站址中心处）</w:t>
                  </w:r>
                </w:p>
              </w:tc>
              <w:tc>
                <w:tcPr>
                  <w:tcW w:w="1100" w:type="dxa"/>
                  <w:vAlign w:val="center"/>
                </w:tcPr>
                <w:p>
                  <w:pPr>
                    <w:pStyle w:val="28"/>
                  </w:pPr>
                  <w:r>
                    <w:rPr>
                      <w:rFonts w:hint="eastAsia"/>
                    </w:rPr>
                    <w:t>32.3~33.3</w:t>
                  </w:r>
                </w:p>
              </w:tc>
              <w:tc>
                <w:tcPr>
                  <w:tcW w:w="1088" w:type="dxa"/>
                  <w:vAlign w:val="center"/>
                </w:tcPr>
                <w:p>
                  <w:pPr>
                    <w:pStyle w:val="28"/>
                  </w:pPr>
                  <w:r>
                    <w:rPr>
                      <w:rFonts w:hint="eastAsia"/>
                    </w:rPr>
                    <w:t>65~68</w:t>
                  </w:r>
                </w:p>
              </w:tc>
              <w:tc>
                <w:tcPr>
                  <w:tcW w:w="1415" w:type="dxa"/>
                  <w:vAlign w:val="center"/>
                </w:tcPr>
                <w:p>
                  <w:pPr>
                    <w:pStyle w:val="28"/>
                  </w:pPr>
                  <w:r>
                    <w:rPr>
                      <w:rFonts w:hint="eastAsia"/>
                    </w:rPr>
                    <w:t>0.332</w:t>
                  </w:r>
                </w:p>
              </w:tc>
              <w:tc>
                <w:tcPr>
                  <w:tcW w:w="1258" w:type="dxa"/>
                  <w:vAlign w:val="center"/>
                </w:tcPr>
                <w:p>
                  <w:pPr>
                    <w:pStyle w:val="28"/>
                  </w:pPr>
                  <w:r>
                    <w:rPr>
                      <w:rFonts w:hint="eastAsia"/>
                    </w:rPr>
                    <w:t>0.009</w:t>
                  </w:r>
                </w:p>
              </w:tc>
            </w:tr>
          </w:tbl>
          <w:p>
            <w:pPr>
              <w:pStyle w:val="29"/>
              <w:ind w:firstLine="480"/>
            </w:pPr>
            <w:r>
              <w:t>由上可知，升压站站址</w:t>
            </w:r>
            <w:r>
              <w:rPr>
                <w:rFonts w:hint="eastAsia"/>
              </w:rPr>
              <w:t>中心</w:t>
            </w:r>
            <w:r>
              <w:t>电磁环境敏感点的工频电场强度测值为</w:t>
            </w:r>
            <w:r>
              <w:rPr>
                <w:rFonts w:hint="eastAsia"/>
              </w:rPr>
              <w:t>0.332</w:t>
            </w:r>
            <w:r>
              <w:t>V/m，磁感应强度测值为</w:t>
            </w:r>
            <w:r>
              <w:rPr>
                <w:rFonts w:hint="eastAsia"/>
              </w:rPr>
              <w:t>0.009</w:t>
            </w:r>
            <w:r>
              <w:t>μT，满足《电磁环境控制限值》（GB 8702-2014）的限值要求</w:t>
            </w:r>
            <w:r>
              <w:rPr>
                <w:rFonts w:hint="eastAsia"/>
              </w:rPr>
              <w:t>（</w:t>
            </w:r>
            <w:r>
              <w:t>工频电场强度＜4000V/m、磁感应强度＜100μT</w:t>
            </w:r>
            <w:r>
              <w:rPr>
                <w:rFonts w:hint="eastAsia"/>
              </w:rPr>
              <w:t>）</w:t>
            </w:r>
            <w:r>
              <w:t>，本项目升压站站址和评价范围内电磁环境敏感目标的电磁环境良好。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bCs/>
                <w:szCs w:val="21"/>
              </w:rPr>
              <w:t>与项目有关的原有环境污染和生态破坏问题</w:t>
            </w:r>
          </w:p>
        </w:tc>
        <w:tc>
          <w:tcPr>
            <w:tcW w:w="8843" w:type="dxa"/>
            <w:vAlign w:val="center"/>
          </w:tcPr>
          <w:p>
            <w:pPr>
              <w:pStyle w:val="29"/>
              <w:ind w:firstLine="480"/>
            </w:pPr>
            <w:r>
              <w:t>根据现场调查，项目光伏发电阵列位于</w:t>
            </w:r>
            <w:r>
              <w:rPr>
                <w:rFonts w:hint="eastAsia"/>
                <w:lang w:val="en-US" w:eastAsia="zh-CN"/>
              </w:rPr>
              <w:t>奉节县新民镇</w:t>
            </w:r>
            <w:r>
              <w:t>境内，项目区域地处农村山区环境，周围没有其他工业污染源，项目为新建，用地均</w:t>
            </w:r>
            <w:r>
              <w:rPr>
                <w:rFonts w:hint="eastAsia"/>
                <w:lang w:val="en-US" w:eastAsia="zh-CN"/>
              </w:rPr>
              <w:t>园地、草地</w:t>
            </w:r>
            <w:r>
              <w:t>，不涉及占用生态</w:t>
            </w:r>
            <w:r>
              <w:rPr>
                <w:rFonts w:hint="eastAsia"/>
                <w:lang w:val="en-US" w:eastAsia="zh-CN"/>
              </w:rPr>
              <w:t>保护</w:t>
            </w:r>
            <w:r>
              <w:t>红线、永久基本农田、自然保护区等生态敏感区，不存在原有污染源问题，无历史环境遗留问题。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生态环境保护目标</w:t>
            </w:r>
          </w:p>
        </w:tc>
        <w:tc>
          <w:tcPr>
            <w:tcW w:w="8843" w:type="dxa"/>
            <w:vAlign w:val="center"/>
          </w:tcPr>
          <w:p>
            <w:pPr>
              <w:pStyle w:val="29"/>
              <w:ind w:firstLine="482"/>
              <w:rPr>
                <w:b/>
                <w:bCs/>
              </w:rPr>
            </w:pPr>
            <w:r>
              <w:rPr>
                <w:rFonts w:hint="eastAsia"/>
                <w:b/>
                <w:bCs/>
              </w:rPr>
              <w:t>3.3</w:t>
            </w:r>
            <w:r>
              <w:rPr>
                <w:rFonts w:hint="eastAsia"/>
                <w:b/>
                <w:bCs/>
                <w:lang w:val="en-US" w:eastAsia="zh-CN"/>
              </w:rPr>
              <w:t xml:space="preserve"> </w:t>
            </w:r>
            <w:r>
              <w:rPr>
                <w:rFonts w:hint="eastAsia"/>
                <w:b/>
                <w:bCs/>
              </w:rPr>
              <w:t>环境保护目标</w:t>
            </w:r>
          </w:p>
          <w:p>
            <w:pPr>
              <w:pStyle w:val="29"/>
              <w:ind w:firstLine="482"/>
              <w:rPr>
                <w:b/>
                <w:bCs/>
              </w:rPr>
            </w:pPr>
            <w:r>
              <w:rPr>
                <w:rFonts w:hint="eastAsia"/>
                <w:b/>
                <w:bCs/>
              </w:rPr>
              <w:t>3.3.1</w:t>
            </w:r>
            <w:r>
              <w:rPr>
                <w:rFonts w:hint="eastAsia"/>
                <w:b/>
                <w:bCs/>
                <w:lang w:val="en-US" w:eastAsia="zh-CN"/>
              </w:rPr>
              <w:t xml:space="preserve"> </w:t>
            </w:r>
            <w:r>
              <w:rPr>
                <w:rFonts w:hint="eastAsia"/>
                <w:b/>
                <w:bCs/>
              </w:rPr>
              <w:t>生态环境</w:t>
            </w:r>
            <w:r>
              <w:rPr>
                <w:rFonts w:hint="eastAsia"/>
                <w:b/>
                <w:bCs/>
                <w:lang w:val="en-US" w:eastAsia="zh-CN"/>
              </w:rPr>
              <w:t>保护</w:t>
            </w:r>
            <w:r>
              <w:rPr>
                <w:rFonts w:hint="eastAsia"/>
                <w:b/>
                <w:bCs/>
              </w:rPr>
              <w:t>目标</w:t>
            </w:r>
          </w:p>
          <w:p>
            <w:pPr>
              <w:pStyle w:val="29"/>
              <w:ind w:firstLine="48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生态红线</w:t>
            </w:r>
          </w:p>
          <w:p>
            <w:pPr>
              <w:pStyle w:val="29"/>
              <w:ind w:firstLine="480"/>
              <w:rPr>
                <w:rFonts w:hint="eastAsia"/>
                <w:lang w:val="en-US" w:eastAsia="zh-CN"/>
              </w:rPr>
            </w:pPr>
            <w:r>
              <w:rPr>
                <w:rFonts w:hint="eastAsia"/>
                <w:lang w:val="en-US" w:eastAsia="zh-CN"/>
              </w:rPr>
              <w:t>根据《空间检测分析报告》（重庆市规划和自然资源局用途管制红线智检服务网站），本项目选址用地范围不涉及生态保护红线。</w:t>
            </w:r>
          </w:p>
          <w:p>
            <w:pPr>
              <w:pStyle w:val="29"/>
              <w:ind w:firstLine="480"/>
              <w:rPr>
                <w:rFonts w:hint="eastAsia"/>
                <w:lang w:val="en-US" w:eastAsia="zh-CN"/>
              </w:rPr>
            </w:pPr>
            <w:r>
              <w:rPr>
                <w:rFonts w:hint="eastAsia"/>
                <w:lang w:val="en-US" w:eastAsia="zh-CN"/>
              </w:rPr>
              <w:t>（2）环境敏感区位置关系</w:t>
            </w:r>
          </w:p>
          <w:p>
            <w:pPr>
              <w:pStyle w:val="29"/>
              <w:ind w:firstLine="480"/>
            </w:pPr>
            <w:r>
              <w:rPr>
                <w:rFonts w:hint="default"/>
                <w:lang w:val="en-US" w:eastAsia="zh-CN"/>
              </w:rPr>
              <w:t>本项目选址时避让了《建设项目环境影响评价分类管理名录》（2021年版）中环境敏感区，即第三条（一）中的全部区域，包括国家公园、自然保护区、风景名胜区、世界文化和自然遗产地、海洋特别保护区、饮用水水源保护区；不涉及第三条（三）中的全部区域，包括以居住、医疗卫生、文化教育、科研、行政办公等为主要功能的区域，以及文物保护单位。项目建设不涉及生态红线、自然保护区、风景名胜区、湿地公园、森林公园、文物保护单位等生态敏感区。</w:t>
            </w:r>
          </w:p>
          <w:p>
            <w:pPr>
              <w:pStyle w:val="29"/>
              <w:ind w:firstLine="482"/>
              <w:rPr>
                <w:b/>
                <w:bCs/>
              </w:rPr>
            </w:pPr>
            <w:r>
              <w:rPr>
                <w:rFonts w:hint="eastAsia"/>
                <w:b/>
                <w:bCs/>
              </w:rPr>
              <w:t>3.3.2 水环境保护目标</w:t>
            </w:r>
          </w:p>
          <w:p>
            <w:pPr>
              <w:pStyle w:val="29"/>
              <w:ind w:firstLine="480"/>
            </w:pPr>
            <w:r>
              <w:rPr>
                <w:rFonts w:hint="eastAsia"/>
              </w:rPr>
              <w:t>本工程光伏阵列区、升压站场区下游约500m</w:t>
            </w:r>
            <w:r>
              <w:rPr>
                <w:rFonts w:hint="eastAsia"/>
                <w:lang w:val="en-US" w:eastAsia="zh-CN"/>
              </w:rPr>
              <w:t>为</w:t>
            </w:r>
            <w:r>
              <w:rPr>
                <w:rFonts w:hint="eastAsia"/>
              </w:rPr>
              <w:t>新民河。根据《重庆市人民政府办公厅关于调整万州区等31个区县（自治县）集中式饮用水源保护区的通知》（渝府办〔2013〕40号）、《关于调整万州区等36个区县（自治县）集中式饮用</w:t>
            </w:r>
            <w:r>
              <w:t>水水源保护区的通知》（渝府办发[2016]19号）、《重庆市人民政府办公厅关于印发万州区等18个区县（开发区）集中式饮用水水源地保护区划分及调整方案的通知》（渝府办[2017]21号）</w:t>
            </w:r>
            <w:r>
              <w:rPr>
                <w:rFonts w:hint="eastAsia"/>
                <w:lang w:eastAsia="zh-CN"/>
              </w:rPr>
              <w:t>、《</w:t>
            </w:r>
            <w:r>
              <w:rPr>
                <w:rFonts w:hint="eastAsia"/>
                <w:lang w:val="en-US" w:eastAsia="zh-CN"/>
              </w:rPr>
              <w:t>奉节县生态环境局关于核实奉节新民永乐光伏发电项目拟选地块区域与饮用水源保护区位置关系情况的函</w:t>
            </w:r>
            <w:r>
              <w:rPr>
                <w:rFonts w:hint="eastAsia"/>
                <w:lang w:eastAsia="zh-CN"/>
              </w:rPr>
              <w:t>》（</w:t>
            </w:r>
            <w:r>
              <w:rPr>
                <w:rFonts w:hint="eastAsia"/>
                <w:lang w:val="en-US" w:eastAsia="zh-CN"/>
              </w:rPr>
              <w:t>奉节环函[2023]62号</w:t>
            </w:r>
            <w:r>
              <w:rPr>
                <w:rFonts w:hint="eastAsia"/>
                <w:lang w:eastAsia="zh-CN"/>
              </w:rPr>
              <w:t>）</w:t>
            </w:r>
            <w:r>
              <w:rPr>
                <w:rFonts w:hint="eastAsia"/>
              </w:rPr>
              <w:t>等</w:t>
            </w:r>
            <w:r>
              <w:t>相关文件，本项目评价范围内无集中式饮用水源保护区分布。</w:t>
            </w:r>
          </w:p>
          <w:p>
            <w:pPr>
              <w:pStyle w:val="29"/>
              <w:ind w:firstLine="482"/>
              <w:rPr>
                <w:b/>
                <w:bCs/>
              </w:rPr>
            </w:pPr>
            <w:r>
              <w:rPr>
                <w:rFonts w:hint="eastAsia"/>
                <w:b/>
                <w:bCs/>
              </w:rPr>
              <w:t>3.3.3</w:t>
            </w:r>
            <w:r>
              <w:rPr>
                <w:rFonts w:hint="eastAsia"/>
                <w:b/>
                <w:bCs/>
                <w:lang w:val="en-US" w:eastAsia="zh-CN"/>
              </w:rPr>
              <w:t xml:space="preserve"> </w:t>
            </w:r>
            <w:r>
              <w:rPr>
                <w:rFonts w:hint="eastAsia"/>
                <w:b/>
                <w:bCs/>
              </w:rPr>
              <w:t>环境空气保护目标</w:t>
            </w:r>
          </w:p>
          <w:p>
            <w:pPr>
              <w:pStyle w:val="29"/>
              <w:ind w:firstLine="480"/>
              <w:rPr>
                <w:color w:val="auto"/>
                <w:kern w:val="0"/>
                <w:sz w:val="24"/>
                <w:highlight w:val="none"/>
              </w:rPr>
            </w:pPr>
            <w:r>
              <w:rPr>
                <w:rFonts w:hint="eastAsia"/>
                <w:lang w:val="en-US" w:eastAsia="zh-CN"/>
              </w:rPr>
              <w:t>本项目废气主要为食堂废气，</w:t>
            </w:r>
            <w:r>
              <w:rPr>
                <w:rFonts w:hint="eastAsia"/>
              </w:rPr>
              <w:t>本项目所在区域为农村区域，环境空气为二类区</w:t>
            </w:r>
            <w:r>
              <w:rPr>
                <w:rFonts w:hint="eastAsia"/>
                <w:lang w:val="en-US" w:eastAsia="zh-CN"/>
              </w:rPr>
              <w:t>，</w:t>
            </w:r>
            <w:r>
              <w:rPr>
                <w:rFonts w:hint="eastAsia"/>
                <w:color w:val="auto"/>
                <w:sz w:val="24"/>
                <w:highlight w:val="none"/>
              </w:rPr>
              <w:t>主要大气环境保护目标为</w:t>
            </w:r>
            <w:r>
              <w:rPr>
                <w:color w:val="auto"/>
                <w:kern w:val="0"/>
                <w:sz w:val="24"/>
                <w:highlight w:val="none"/>
              </w:rPr>
              <w:t>周边散居农户</w:t>
            </w:r>
            <w:r>
              <w:rPr>
                <w:rFonts w:hint="eastAsia"/>
                <w:color w:val="auto"/>
                <w:kern w:val="0"/>
                <w:sz w:val="24"/>
                <w:highlight w:val="none"/>
              </w:rPr>
              <w:t>。</w:t>
            </w:r>
            <w:r>
              <w:rPr>
                <w:color w:val="auto"/>
                <w:kern w:val="0"/>
                <w:sz w:val="24"/>
                <w:highlight w:val="none"/>
              </w:rPr>
              <w:t>根据现场调查，项目</w:t>
            </w:r>
            <w:r>
              <w:rPr>
                <w:rFonts w:hint="eastAsia"/>
                <w:color w:val="auto"/>
                <w:kern w:val="0"/>
                <w:sz w:val="24"/>
                <w:highlight w:val="none"/>
              </w:rPr>
              <w:t>光伏场区及升压站</w:t>
            </w:r>
            <w:r>
              <w:rPr>
                <w:color w:val="auto"/>
                <w:kern w:val="0"/>
                <w:sz w:val="24"/>
                <w:highlight w:val="none"/>
              </w:rPr>
              <w:t>周边500m范围内主要分布少量散居农户，周围500m范围内不涉及自然保护区、风景名胜区、文化区等环境保护目标。</w:t>
            </w:r>
          </w:p>
          <w:p>
            <w:pPr>
              <w:pStyle w:val="29"/>
              <w:ind w:firstLine="0" w:firstLineChars="0"/>
              <w:jc w:val="center"/>
            </w:pPr>
            <w:r>
              <w:rPr>
                <w:rFonts w:hint="eastAsia"/>
              </w:rPr>
              <w:t xml:space="preserve">表3-6  </w:t>
            </w:r>
            <w:r>
              <w:rPr>
                <w:rFonts w:hint="eastAsia"/>
                <w:lang w:val="en-US" w:eastAsia="zh-CN"/>
              </w:rPr>
              <w:t>大气</w:t>
            </w:r>
            <w:r>
              <w:rPr>
                <w:rFonts w:hint="eastAsia"/>
              </w:rPr>
              <w:t>环境保护目标统计表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094"/>
              <w:gridCol w:w="685"/>
              <w:gridCol w:w="1321"/>
              <w:gridCol w:w="707"/>
              <w:gridCol w:w="707"/>
              <w:gridCol w:w="707"/>
              <w:gridCol w:w="2306"/>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4" w:type="dxa"/>
                  <w:vMerge w:val="restart"/>
                  <w:vAlign w:val="center"/>
                </w:tcPr>
                <w:p>
                  <w:pPr>
                    <w:pStyle w:val="28"/>
                  </w:pPr>
                  <w:r>
                    <w:t>序号</w:t>
                  </w:r>
                </w:p>
              </w:tc>
              <w:tc>
                <w:tcPr>
                  <w:tcW w:w="1094" w:type="dxa"/>
                  <w:vMerge w:val="restart"/>
                  <w:vAlign w:val="center"/>
                </w:tcPr>
                <w:p>
                  <w:pPr>
                    <w:pStyle w:val="28"/>
                  </w:pPr>
                  <w:r>
                    <w:t>敏感</w:t>
                  </w:r>
                </w:p>
                <w:p>
                  <w:pPr>
                    <w:pStyle w:val="28"/>
                  </w:pPr>
                  <w:r>
                    <w:t>目标</w:t>
                  </w:r>
                </w:p>
              </w:tc>
              <w:tc>
                <w:tcPr>
                  <w:tcW w:w="4127" w:type="dxa"/>
                  <w:gridSpan w:val="5"/>
                  <w:vAlign w:val="center"/>
                </w:tcPr>
                <w:p>
                  <w:pPr>
                    <w:pStyle w:val="28"/>
                  </w:pPr>
                  <w:r>
                    <w:rPr>
                      <w:rFonts w:hint="eastAsia"/>
                    </w:rPr>
                    <w:t>与升压站相对位置关系</w:t>
                  </w:r>
                </w:p>
              </w:tc>
              <w:tc>
                <w:tcPr>
                  <w:tcW w:w="2306" w:type="dxa"/>
                  <w:vMerge w:val="restart"/>
                  <w:vAlign w:val="center"/>
                </w:tcPr>
                <w:p>
                  <w:pPr>
                    <w:pStyle w:val="28"/>
                  </w:pPr>
                  <w:r>
                    <w:rPr>
                      <w:rFonts w:hint="eastAsia"/>
                    </w:rPr>
                    <w:t>环境特征</w:t>
                  </w:r>
                </w:p>
              </w:tc>
              <w:tc>
                <w:tcPr>
                  <w:tcW w:w="676" w:type="dxa"/>
                  <w:vMerge w:val="restart"/>
                  <w:vAlign w:val="center"/>
                </w:tcPr>
                <w:p>
                  <w:pPr>
                    <w:pStyle w:val="28"/>
                  </w:pPr>
                  <w:r>
                    <w:rPr>
                      <w:rFonts w:hint="eastAsia"/>
                    </w:rPr>
                    <w:t>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4" w:type="dxa"/>
                  <w:vMerge w:val="continue"/>
                  <w:vAlign w:val="center"/>
                </w:tcPr>
                <w:p>
                  <w:pPr>
                    <w:pStyle w:val="28"/>
                  </w:pPr>
                </w:p>
              </w:tc>
              <w:tc>
                <w:tcPr>
                  <w:tcW w:w="1094" w:type="dxa"/>
                  <w:vMerge w:val="continue"/>
                  <w:vAlign w:val="center"/>
                </w:tcPr>
                <w:p>
                  <w:pPr>
                    <w:pStyle w:val="28"/>
                  </w:pPr>
                </w:p>
              </w:tc>
              <w:tc>
                <w:tcPr>
                  <w:tcW w:w="685" w:type="dxa"/>
                  <w:vAlign w:val="center"/>
                </w:tcPr>
                <w:p>
                  <w:pPr>
                    <w:pStyle w:val="28"/>
                  </w:pPr>
                  <w:r>
                    <w:rPr>
                      <w:rFonts w:hint="eastAsia"/>
                    </w:rPr>
                    <w:t>方位</w:t>
                  </w:r>
                </w:p>
              </w:tc>
              <w:tc>
                <w:tcPr>
                  <w:tcW w:w="1321" w:type="dxa"/>
                  <w:vAlign w:val="center"/>
                </w:tcPr>
                <w:p>
                  <w:pPr>
                    <w:pStyle w:val="28"/>
                  </w:pPr>
                  <w:r>
                    <w:rPr>
                      <w:rFonts w:hint="eastAsia"/>
                    </w:rPr>
                    <w:t>最近水平距离（m）</w:t>
                  </w:r>
                </w:p>
              </w:tc>
              <w:tc>
                <w:tcPr>
                  <w:tcW w:w="707" w:type="dxa"/>
                  <w:vAlign w:val="center"/>
                </w:tcPr>
                <w:p>
                  <w:pPr>
                    <w:pStyle w:val="28"/>
                  </w:pPr>
                  <w:r>
                    <w:rPr>
                      <w:rFonts w:hint="eastAsia"/>
                    </w:rPr>
                    <w:t>X</w:t>
                  </w:r>
                </w:p>
              </w:tc>
              <w:tc>
                <w:tcPr>
                  <w:tcW w:w="707" w:type="dxa"/>
                  <w:vAlign w:val="center"/>
                </w:tcPr>
                <w:p>
                  <w:pPr>
                    <w:pStyle w:val="28"/>
                  </w:pPr>
                  <w:r>
                    <w:rPr>
                      <w:rFonts w:hint="eastAsia"/>
                    </w:rPr>
                    <w:t>Y</w:t>
                  </w:r>
                </w:p>
              </w:tc>
              <w:tc>
                <w:tcPr>
                  <w:tcW w:w="707" w:type="dxa"/>
                  <w:vAlign w:val="center"/>
                </w:tcPr>
                <w:p>
                  <w:pPr>
                    <w:pStyle w:val="28"/>
                    <w:rPr>
                      <w:rFonts w:hint="default" w:eastAsia="宋体"/>
                      <w:lang w:val="en-US" w:eastAsia="zh-CN"/>
                    </w:rPr>
                  </w:pPr>
                  <w:r>
                    <w:rPr>
                      <w:rFonts w:hint="eastAsia"/>
                      <w:lang w:val="en-US" w:eastAsia="zh-CN"/>
                    </w:rPr>
                    <w:t>Z</w:t>
                  </w:r>
                </w:p>
              </w:tc>
              <w:tc>
                <w:tcPr>
                  <w:tcW w:w="2306" w:type="dxa"/>
                  <w:vMerge w:val="continue"/>
                  <w:vAlign w:val="center"/>
                </w:tcPr>
                <w:p>
                  <w:pPr>
                    <w:pStyle w:val="28"/>
                  </w:pPr>
                </w:p>
              </w:tc>
              <w:tc>
                <w:tcPr>
                  <w:tcW w:w="676"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4" w:type="dxa"/>
                  <w:vAlign w:val="center"/>
                </w:tcPr>
                <w:p>
                  <w:pPr>
                    <w:pStyle w:val="28"/>
                  </w:pPr>
                  <w:r>
                    <w:rPr>
                      <w:rFonts w:hint="eastAsia"/>
                    </w:rPr>
                    <w:t>1</w:t>
                  </w:r>
                </w:p>
              </w:tc>
              <w:tc>
                <w:tcPr>
                  <w:tcW w:w="1094" w:type="dxa"/>
                  <w:vAlign w:val="center"/>
                </w:tcPr>
                <w:p>
                  <w:pPr>
                    <w:pStyle w:val="28"/>
                  </w:pPr>
                  <w:r>
                    <w:rPr>
                      <w:rFonts w:hint="eastAsia"/>
                    </w:rPr>
                    <w:t>1#散户</w:t>
                  </w:r>
                </w:p>
              </w:tc>
              <w:tc>
                <w:tcPr>
                  <w:tcW w:w="685" w:type="dxa"/>
                  <w:vAlign w:val="center"/>
                </w:tcPr>
                <w:p>
                  <w:pPr>
                    <w:pStyle w:val="28"/>
                  </w:pPr>
                  <w:r>
                    <w:t>N</w:t>
                  </w:r>
                  <w:r>
                    <w:rPr>
                      <w:rFonts w:hint="eastAsia"/>
                    </w:rPr>
                    <w:t>W</w:t>
                  </w:r>
                </w:p>
              </w:tc>
              <w:tc>
                <w:tcPr>
                  <w:tcW w:w="1321" w:type="dxa"/>
                  <w:vAlign w:val="center"/>
                </w:tcPr>
                <w:p>
                  <w:pPr>
                    <w:pStyle w:val="28"/>
                  </w:pPr>
                  <w:r>
                    <w:rPr>
                      <w:rFonts w:hint="eastAsia"/>
                    </w:rPr>
                    <w:t>130</w:t>
                  </w:r>
                </w:p>
              </w:tc>
              <w:tc>
                <w:tcPr>
                  <w:tcW w:w="707" w:type="dxa"/>
                  <w:vAlign w:val="center"/>
                </w:tcPr>
                <w:p>
                  <w:pPr>
                    <w:pStyle w:val="28"/>
                  </w:pPr>
                  <w:r>
                    <w:rPr>
                      <w:rFonts w:hint="eastAsia"/>
                    </w:rPr>
                    <w:t>-117</w:t>
                  </w:r>
                </w:p>
              </w:tc>
              <w:tc>
                <w:tcPr>
                  <w:tcW w:w="707" w:type="dxa"/>
                  <w:vAlign w:val="center"/>
                </w:tcPr>
                <w:p>
                  <w:pPr>
                    <w:pStyle w:val="28"/>
                  </w:pPr>
                  <w:r>
                    <w:rPr>
                      <w:rFonts w:hint="eastAsia"/>
                    </w:rPr>
                    <w:t>148</w:t>
                  </w:r>
                </w:p>
              </w:tc>
              <w:tc>
                <w:tcPr>
                  <w:tcW w:w="707" w:type="dxa"/>
                  <w:vAlign w:val="center"/>
                </w:tcPr>
                <w:p>
                  <w:pPr>
                    <w:pStyle w:val="28"/>
                  </w:pPr>
                  <w:r>
                    <w:rPr>
                      <w:rFonts w:hint="eastAsia"/>
                    </w:rPr>
                    <w:t>3</w:t>
                  </w:r>
                </w:p>
              </w:tc>
              <w:tc>
                <w:tcPr>
                  <w:tcW w:w="2306" w:type="dxa"/>
                  <w:vAlign w:val="center"/>
                </w:tcPr>
                <w:p>
                  <w:pPr>
                    <w:pStyle w:val="28"/>
                  </w:pPr>
                  <w:r>
                    <w:rPr>
                      <w:rFonts w:hint="eastAsia"/>
                    </w:rPr>
                    <w:t>散户居民，2户，6人</w:t>
                  </w:r>
                </w:p>
              </w:tc>
              <w:tc>
                <w:tcPr>
                  <w:tcW w:w="676" w:type="dxa"/>
                  <w:vMerge w:val="restart"/>
                  <w:vAlign w:val="center"/>
                </w:tcPr>
                <w:p>
                  <w:pPr>
                    <w:pStyle w:val="28"/>
                    <w:rPr>
                      <w:rFonts w:hint="default" w:eastAsia="宋体"/>
                      <w:lang w:val="en-US" w:eastAsia="zh-CN"/>
                    </w:rPr>
                  </w:pPr>
                  <w:r>
                    <w:rPr>
                      <w:rFonts w:hint="eastAsia"/>
                      <w:lang w:val="en-US" w:eastAsia="zh-CN"/>
                    </w:rPr>
                    <w:t>环境空气2</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4" w:type="dxa"/>
                  <w:vAlign w:val="center"/>
                </w:tcPr>
                <w:p>
                  <w:pPr>
                    <w:pStyle w:val="28"/>
                  </w:pPr>
                  <w:r>
                    <w:rPr>
                      <w:rFonts w:hint="eastAsia"/>
                    </w:rPr>
                    <w:t>2</w:t>
                  </w:r>
                </w:p>
              </w:tc>
              <w:tc>
                <w:tcPr>
                  <w:tcW w:w="1094" w:type="dxa"/>
                  <w:vAlign w:val="center"/>
                </w:tcPr>
                <w:p>
                  <w:pPr>
                    <w:pStyle w:val="28"/>
                  </w:pPr>
                  <w:r>
                    <w:rPr>
                      <w:rFonts w:hint="eastAsia"/>
                    </w:rPr>
                    <w:t>2#散户</w:t>
                  </w:r>
                </w:p>
              </w:tc>
              <w:tc>
                <w:tcPr>
                  <w:tcW w:w="685" w:type="dxa"/>
                  <w:vAlign w:val="center"/>
                </w:tcPr>
                <w:p>
                  <w:pPr>
                    <w:pStyle w:val="28"/>
                  </w:pPr>
                  <w:r>
                    <w:rPr>
                      <w:rFonts w:hint="eastAsia"/>
                    </w:rPr>
                    <w:t>W</w:t>
                  </w:r>
                </w:p>
              </w:tc>
              <w:tc>
                <w:tcPr>
                  <w:tcW w:w="1321" w:type="dxa"/>
                  <w:vAlign w:val="center"/>
                </w:tcPr>
                <w:p>
                  <w:pPr>
                    <w:pStyle w:val="28"/>
                  </w:pPr>
                  <w:r>
                    <w:rPr>
                      <w:rFonts w:hint="eastAsia"/>
                    </w:rPr>
                    <w:t>130</w:t>
                  </w:r>
                </w:p>
              </w:tc>
              <w:tc>
                <w:tcPr>
                  <w:tcW w:w="707" w:type="dxa"/>
                  <w:vAlign w:val="center"/>
                </w:tcPr>
                <w:p>
                  <w:pPr>
                    <w:pStyle w:val="28"/>
                  </w:pPr>
                  <w:r>
                    <w:rPr>
                      <w:rFonts w:hint="eastAsia"/>
                    </w:rPr>
                    <w:t>-203</w:t>
                  </w:r>
                </w:p>
              </w:tc>
              <w:tc>
                <w:tcPr>
                  <w:tcW w:w="707" w:type="dxa"/>
                  <w:vAlign w:val="center"/>
                </w:tcPr>
                <w:p>
                  <w:pPr>
                    <w:pStyle w:val="28"/>
                  </w:pPr>
                  <w:r>
                    <w:rPr>
                      <w:rFonts w:hint="eastAsia"/>
                    </w:rPr>
                    <w:t>8</w:t>
                  </w:r>
                </w:p>
              </w:tc>
              <w:tc>
                <w:tcPr>
                  <w:tcW w:w="707" w:type="dxa"/>
                  <w:vAlign w:val="center"/>
                </w:tcPr>
                <w:p>
                  <w:pPr>
                    <w:pStyle w:val="28"/>
                  </w:pPr>
                  <w:r>
                    <w:rPr>
                      <w:rFonts w:hint="eastAsia"/>
                    </w:rPr>
                    <w:t>-</w:t>
                  </w:r>
                  <w:r>
                    <w:t>65</w:t>
                  </w:r>
                </w:p>
              </w:tc>
              <w:tc>
                <w:tcPr>
                  <w:tcW w:w="2306" w:type="dxa"/>
                  <w:vAlign w:val="center"/>
                </w:tcPr>
                <w:p>
                  <w:pPr>
                    <w:pStyle w:val="28"/>
                  </w:pPr>
                  <w:r>
                    <w:rPr>
                      <w:rFonts w:hint="eastAsia"/>
                    </w:rPr>
                    <w:t>散户居民5户，15人</w:t>
                  </w:r>
                </w:p>
              </w:tc>
              <w:tc>
                <w:tcPr>
                  <w:tcW w:w="676"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4" w:type="dxa"/>
                  <w:vAlign w:val="center"/>
                </w:tcPr>
                <w:p>
                  <w:pPr>
                    <w:pStyle w:val="28"/>
                  </w:pPr>
                  <w:r>
                    <w:rPr>
                      <w:rFonts w:hint="eastAsia"/>
                    </w:rPr>
                    <w:t>3</w:t>
                  </w:r>
                </w:p>
              </w:tc>
              <w:tc>
                <w:tcPr>
                  <w:tcW w:w="1094" w:type="dxa"/>
                  <w:vAlign w:val="center"/>
                </w:tcPr>
                <w:p>
                  <w:pPr>
                    <w:pStyle w:val="28"/>
                  </w:pPr>
                  <w:r>
                    <w:rPr>
                      <w:rFonts w:hint="eastAsia"/>
                    </w:rPr>
                    <w:t>柏木村龙汇小学</w:t>
                  </w:r>
                </w:p>
              </w:tc>
              <w:tc>
                <w:tcPr>
                  <w:tcW w:w="685" w:type="dxa"/>
                  <w:vAlign w:val="center"/>
                </w:tcPr>
                <w:p>
                  <w:pPr>
                    <w:pStyle w:val="28"/>
                  </w:pPr>
                  <w:r>
                    <w:rPr>
                      <w:rFonts w:hint="eastAsia"/>
                    </w:rPr>
                    <w:t>W</w:t>
                  </w:r>
                </w:p>
              </w:tc>
              <w:tc>
                <w:tcPr>
                  <w:tcW w:w="1321" w:type="dxa"/>
                  <w:vAlign w:val="center"/>
                </w:tcPr>
                <w:p>
                  <w:pPr>
                    <w:pStyle w:val="28"/>
                  </w:pPr>
                  <w:r>
                    <w:rPr>
                      <w:rFonts w:hint="eastAsia"/>
                    </w:rPr>
                    <w:t>150</w:t>
                  </w:r>
                </w:p>
              </w:tc>
              <w:tc>
                <w:tcPr>
                  <w:tcW w:w="707" w:type="dxa"/>
                  <w:vAlign w:val="center"/>
                </w:tcPr>
                <w:p>
                  <w:pPr>
                    <w:pStyle w:val="28"/>
                  </w:pPr>
                  <w:r>
                    <w:rPr>
                      <w:rFonts w:hint="eastAsia"/>
                    </w:rPr>
                    <w:t>-199</w:t>
                  </w:r>
                </w:p>
              </w:tc>
              <w:tc>
                <w:tcPr>
                  <w:tcW w:w="707" w:type="dxa"/>
                  <w:vAlign w:val="center"/>
                </w:tcPr>
                <w:p>
                  <w:pPr>
                    <w:pStyle w:val="28"/>
                  </w:pPr>
                  <w:r>
                    <w:rPr>
                      <w:rFonts w:hint="eastAsia"/>
                    </w:rPr>
                    <w:t>-88</w:t>
                  </w:r>
                </w:p>
              </w:tc>
              <w:tc>
                <w:tcPr>
                  <w:tcW w:w="707" w:type="dxa"/>
                  <w:vAlign w:val="center"/>
                </w:tcPr>
                <w:p>
                  <w:pPr>
                    <w:pStyle w:val="28"/>
                  </w:pPr>
                  <w:r>
                    <w:t>28</w:t>
                  </w:r>
                </w:p>
              </w:tc>
              <w:tc>
                <w:tcPr>
                  <w:tcW w:w="2306" w:type="dxa"/>
                  <w:vAlign w:val="center"/>
                </w:tcPr>
                <w:p>
                  <w:pPr>
                    <w:pStyle w:val="28"/>
                  </w:pPr>
                  <w:r>
                    <w:rPr>
                      <w:rFonts w:hint="eastAsia"/>
                    </w:rPr>
                    <w:t>学校，师生40人</w:t>
                  </w:r>
                </w:p>
              </w:tc>
              <w:tc>
                <w:tcPr>
                  <w:tcW w:w="676"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4" w:type="dxa"/>
                  <w:vAlign w:val="center"/>
                </w:tcPr>
                <w:p>
                  <w:pPr>
                    <w:pStyle w:val="28"/>
                  </w:pPr>
                  <w:r>
                    <w:rPr>
                      <w:rFonts w:hint="eastAsia"/>
                    </w:rPr>
                    <w:t>4</w:t>
                  </w:r>
                </w:p>
              </w:tc>
              <w:tc>
                <w:tcPr>
                  <w:tcW w:w="1094" w:type="dxa"/>
                  <w:vAlign w:val="center"/>
                </w:tcPr>
                <w:p>
                  <w:pPr>
                    <w:pStyle w:val="28"/>
                  </w:pPr>
                  <w:r>
                    <w:rPr>
                      <w:rFonts w:hint="eastAsia"/>
                    </w:rPr>
                    <w:t>3#散户</w:t>
                  </w:r>
                </w:p>
              </w:tc>
              <w:tc>
                <w:tcPr>
                  <w:tcW w:w="685" w:type="dxa"/>
                  <w:vAlign w:val="center"/>
                </w:tcPr>
                <w:p>
                  <w:pPr>
                    <w:pStyle w:val="28"/>
                  </w:pPr>
                  <w:r>
                    <w:rPr>
                      <w:rFonts w:hint="eastAsia"/>
                    </w:rPr>
                    <w:t>WS</w:t>
                  </w:r>
                </w:p>
              </w:tc>
              <w:tc>
                <w:tcPr>
                  <w:tcW w:w="1321" w:type="dxa"/>
                  <w:vAlign w:val="center"/>
                </w:tcPr>
                <w:p>
                  <w:pPr>
                    <w:pStyle w:val="28"/>
                  </w:pPr>
                  <w:r>
                    <w:t>155</w:t>
                  </w:r>
                </w:p>
              </w:tc>
              <w:tc>
                <w:tcPr>
                  <w:tcW w:w="707" w:type="dxa"/>
                  <w:vAlign w:val="center"/>
                </w:tcPr>
                <w:p>
                  <w:pPr>
                    <w:pStyle w:val="28"/>
                  </w:pPr>
                  <w:r>
                    <w:rPr>
                      <w:rFonts w:hint="eastAsia"/>
                    </w:rPr>
                    <w:t>-174</w:t>
                  </w:r>
                </w:p>
              </w:tc>
              <w:tc>
                <w:tcPr>
                  <w:tcW w:w="707" w:type="dxa"/>
                  <w:vAlign w:val="center"/>
                </w:tcPr>
                <w:p>
                  <w:pPr>
                    <w:pStyle w:val="28"/>
                  </w:pPr>
                  <w:r>
                    <w:rPr>
                      <w:rFonts w:hint="eastAsia"/>
                    </w:rPr>
                    <w:t>-185</w:t>
                  </w:r>
                </w:p>
              </w:tc>
              <w:tc>
                <w:tcPr>
                  <w:tcW w:w="707" w:type="dxa"/>
                  <w:vAlign w:val="center"/>
                </w:tcPr>
                <w:p>
                  <w:pPr>
                    <w:pStyle w:val="28"/>
                  </w:pPr>
                  <w:r>
                    <w:rPr>
                      <w:rFonts w:hint="eastAsia"/>
                    </w:rPr>
                    <w:t>-</w:t>
                  </w:r>
                  <w:r>
                    <w:t>23</w:t>
                  </w:r>
                </w:p>
              </w:tc>
              <w:tc>
                <w:tcPr>
                  <w:tcW w:w="2306" w:type="dxa"/>
                  <w:vAlign w:val="center"/>
                </w:tcPr>
                <w:p>
                  <w:pPr>
                    <w:pStyle w:val="28"/>
                  </w:pPr>
                  <w:r>
                    <w:rPr>
                      <w:rFonts w:hint="eastAsia"/>
                    </w:rPr>
                    <w:t>散户居民10户，30人</w:t>
                  </w:r>
                </w:p>
              </w:tc>
              <w:tc>
                <w:tcPr>
                  <w:tcW w:w="676" w:type="dxa"/>
                  <w:vMerge w:val="continue"/>
                  <w:vAlign w:val="center"/>
                </w:tcPr>
                <w:p>
                  <w:pPr>
                    <w:pStyle w:val="28"/>
                  </w:pPr>
                </w:p>
              </w:tc>
            </w:tr>
          </w:tbl>
          <w:p>
            <w:pPr>
              <w:pStyle w:val="29"/>
              <w:ind w:firstLine="482"/>
              <w:rPr>
                <w:b/>
                <w:bCs/>
              </w:rPr>
            </w:pPr>
            <w:r>
              <w:rPr>
                <w:rFonts w:hint="eastAsia"/>
                <w:b/>
                <w:bCs/>
              </w:rPr>
              <w:t>3.3.4</w:t>
            </w:r>
            <w:r>
              <w:rPr>
                <w:rFonts w:hint="eastAsia"/>
                <w:b/>
                <w:bCs/>
                <w:lang w:val="en-US" w:eastAsia="zh-CN"/>
              </w:rPr>
              <w:t xml:space="preserve"> </w:t>
            </w:r>
            <w:r>
              <w:rPr>
                <w:rFonts w:hint="eastAsia"/>
                <w:b/>
                <w:bCs/>
              </w:rPr>
              <w:t>声环境保护目标</w:t>
            </w:r>
          </w:p>
          <w:p>
            <w:pPr>
              <w:pStyle w:val="29"/>
              <w:ind w:firstLine="480"/>
              <w:rPr>
                <w:rFonts w:hint="default" w:eastAsia="宋体"/>
                <w:lang w:val="en-US" w:eastAsia="zh-CN"/>
              </w:rPr>
            </w:pPr>
            <w:r>
              <w:rPr>
                <w:rFonts w:hint="eastAsia"/>
              </w:rPr>
              <w:t>本项目噪声源仅在升压站，本次重点调查升压站周边200m范围内的声环境保护目标。</w:t>
            </w:r>
            <w:r>
              <w:rPr>
                <w:rFonts w:hint="eastAsia"/>
                <w:lang w:val="en-US" w:eastAsia="zh-CN"/>
              </w:rPr>
              <w:t>升压站周边200m内分布零散居民点以及柏木村龙汇小学。</w:t>
            </w:r>
          </w:p>
          <w:p>
            <w:pPr>
              <w:pStyle w:val="29"/>
              <w:ind w:firstLine="0" w:firstLineChars="0"/>
              <w:jc w:val="center"/>
            </w:pPr>
            <w:r>
              <w:rPr>
                <w:rFonts w:hint="eastAsia"/>
              </w:rPr>
              <w:t>表3-</w:t>
            </w:r>
            <w:r>
              <w:rPr>
                <w:rFonts w:hint="eastAsia"/>
                <w:lang w:val="en-US" w:eastAsia="zh-CN"/>
              </w:rPr>
              <w:t>7</w:t>
            </w:r>
            <w:r>
              <w:rPr>
                <w:rFonts w:hint="eastAsia"/>
              </w:rPr>
              <w:t xml:space="preserve">  </w:t>
            </w:r>
            <w:r>
              <w:rPr>
                <w:rFonts w:hint="eastAsia"/>
                <w:lang w:val="en-US" w:eastAsia="zh-CN"/>
              </w:rPr>
              <w:t>声</w:t>
            </w:r>
            <w:r>
              <w:rPr>
                <w:rFonts w:hint="eastAsia"/>
              </w:rPr>
              <w:t>环境保护目标统计表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094"/>
              <w:gridCol w:w="694"/>
              <w:gridCol w:w="1303"/>
              <w:gridCol w:w="710"/>
              <w:gridCol w:w="710"/>
              <w:gridCol w:w="710"/>
              <w:gridCol w:w="2294"/>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vMerge w:val="restart"/>
                  <w:vAlign w:val="center"/>
                </w:tcPr>
                <w:p>
                  <w:pPr>
                    <w:pStyle w:val="28"/>
                  </w:pPr>
                  <w:bookmarkStart w:id="5" w:name="_Hlk159853792"/>
                  <w:r>
                    <w:t>序号</w:t>
                  </w:r>
                </w:p>
              </w:tc>
              <w:tc>
                <w:tcPr>
                  <w:tcW w:w="1094" w:type="dxa"/>
                  <w:vMerge w:val="restart"/>
                  <w:vAlign w:val="center"/>
                </w:tcPr>
                <w:p>
                  <w:pPr>
                    <w:pStyle w:val="28"/>
                  </w:pPr>
                  <w:r>
                    <w:t>敏感</w:t>
                  </w:r>
                </w:p>
                <w:p>
                  <w:pPr>
                    <w:pStyle w:val="28"/>
                  </w:pPr>
                  <w:r>
                    <w:t>目标</w:t>
                  </w:r>
                </w:p>
              </w:tc>
              <w:tc>
                <w:tcPr>
                  <w:tcW w:w="4127" w:type="dxa"/>
                  <w:gridSpan w:val="5"/>
                  <w:vAlign w:val="center"/>
                </w:tcPr>
                <w:p>
                  <w:pPr>
                    <w:pStyle w:val="28"/>
                  </w:pPr>
                  <w:r>
                    <w:rPr>
                      <w:rFonts w:hint="eastAsia"/>
                    </w:rPr>
                    <w:t>与升压站相对位置关系</w:t>
                  </w:r>
                </w:p>
              </w:tc>
              <w:tc>
                <w:tcPr>
                  <w:tcW w:w="2294" w:type="dxa"/>
                  <w:vMerge w:val="restart"/>
                  <w:vAlign w:val="center"/>
                </w:tcPr>
                <w:p>
                  <w:pPr>
                    <w:pStyle w:val="28"/>
                  </w:pPr>
                  <w:r>
                    <w:rPr>
                      <w:rFonts w:hint="eastAsia"/>
                    </w:rPr>
                    <w:t>环境特征</w:t>
                  </w:r>
                </w:p>
              </w:tc>
              <w:tc>
                <w:tcPr>
                  <w:tcW w:w="688" w:type="dxa"/>
                  <w:vMerge w:val="restart"/>
                  <w:vAlign w:val="center"/>
                </w:tcPr>
                <w:p>
                  <w:pPr>
                    <w:pStyle w:val="28"/>
                  </w:pPr>
                  <w:r>
                    <w:rPr>
                      <w:rFonts w:hint="eastAsia"/>
                    </w:rPr>
                    <w:t>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vMerge w:val="continue"/>
                  <w:vAlign w:val="center"/>
                </w:tcPr>
                <w:p>
                  <w:pPr>
                    <w:pStyle w:val="28"/>
                  </w:pPr>
                </w:p>
              </w:tc>
              <w:tc>
                <w:tcPr>
                  <w:tcW w:w="1094" w:type="dxa"/>
                  <w:vMerge w:val="continue"/>
                  <w:vAlign w:val="center"/>
                </w:tcPr>
                <w:p>
                  <w:pPr>
                    <w:pStyle w:val="28"/>
                  </w:pPr>
                </w:p>
              </w:tc>
              <w:tc>
                <w:tcPr>
                  <w:tcW w:w="694" w:type="dxa"/>
                  <w:vAlign w:val="center"/>
                </w:tcPr>
                <w:p>
                  <w:pPr>
                    <w:pStyle w:val="28"/>
                  </w:pPr>
                  <w:r>
                    <w:rPr>
                      <w:rFonts w:hint="eastAsia"/>
                    </w:rPr>
                    <w:t>方位</w:t>
                  </w:r>
                </w:p>
              </w:tc>
              <w:tc>
                <w:tcPr>
                  <w:tcW w:w="1303" w:type="dxa"/>
                  <w:vAlign w:val="center"/>
                </w:tcPr>
                <w:p>
                  <w:pPr>
                    <w:pStyle w:val="28"/>
                  </w:pPr>
                  <w:r>
                    <w:rPr>
                      <w:rFonts w:hint="eastAsia"/>
                    </w:rPr>
                    <w:t>最近水平距离（m）</w:t>
                  </w:r>
                </w:p>
              </w:tc>
              <w:tc>
                <w:tcPr>
                  <w:tcW w:w="710" w:type="dxa"/>
                  <w:vAlign w:val="center"/>
                </w:tcPr>
                <w:p>
                  <w:pPr>
                    <w:pStyle w:val="28"/>
                  </w:pPr>
                  <w:r>
                    <w:rPr>
                      <w:rFonts w:hint="eastAsia"/>
                    </w:rPr>
                    <w:t>X</w:t>
                  </w:r>
                </w:p>
              </w:tc>
              <w:tc>
                <w:tcPr>
                  <w:tcW w:w="710" w:type="dxa"/>
                  <w:vAlign w:val="center"/>
                </w:tcPr>
                <w:p>
                  <w:pPr>
                    <w:pStyle w:val="28"/>
                  </w:pPr>
                  <w:r>
                    <w:rPr>
                      <w:rFonts w:hint="eastAsia"/>
                    </w:rPr>
                    <w:t>Y</w:t>
                  </w:r>
                </w:p>
              </w:tc>
              <w:tc>
                <w:tcPr>
                  <w:tcW w:w="710" w:type="dxa"/>
                  <w:vAlign w:val="center"/>
                </w:tcPr>
                <w:p>
                  <w:pPr>
                    <w:pStyle w:val="28"/>
                  </w:pPr>
                  <w:r>
                    <w:rPr>
                      <w:rFonts w:hint="eastAsia"/>
                      <w:lang w:val="en-US" w:eastAsia="zh-CN"/>
                    </w:rPr>
                    <w:t>Z</w:t>
                  </w:r>
                </w:p>
              </w:tc>
              <w:tc>
                <w:tcPr>
                  <w:tcW w:w="2294" w:type="dxa"/>
                  <w:vMerge w:val="continue"/>
                  <w:vAlign w:val="center"/>
                </w:tcPr>
                <w:p>
                  <w:pPr>
                    <w:pStyle w:val="28"/>
                  </w:pPr>
                </w:p>
              </w:tc>
              <w:tc>
                <w:tcPr>
                  <w:tcW w:w="688"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vAlign w:val="center"/>
                </w:tcPr>
                <w:p>
                  <w:pPr>
                    <w:pStyle w:val="28"/>
                  </w:pPr>
                  <w:r>
                    <w:rPr>
                      <w:rFonts w:hint="eastAsia"/>
                    </w:rPr>
                    <w:t>1</w:t>
                  </w:r>
                </w:p>
              </w:tc>
              <w:tc>
                <w:tcPr>
                  <w:tcW w:w="1094" w:type="dxa"/>
                  <w:vAlign w:val="center"/>
                </w:tcPr>
                <w:p>
                  <w:pPr>
                    <w:pStyle w:val="28"/>
                  </w:pPr>
                  <w:r>
                    <w:rPr>
                      <w:rFonts w:hint="eastAsia"/>
                    </w:rPr>
                    <w:t>1#散户</w:t>
                  </w:r>
                </w:p>
              </w:tc>
              <w:tc>
                <w:tcPr>
                  <w:tcW w:w="694" w:type="dxa"/>
                  <w:vAlign w:val="center"/>
                </w:tcPr>
                <w:p>
                  <w:pPr>
                    <w:pStyle w:val="28"/>
                  </w:pPr>
                  <w:r>
                    <w:t>N</w:t>
                  </w:r>
                  <w:r>
                    <w:rPr>
                      <w:rFonts w:hint="eastAsia"/>
                    </w:rPr>
                    <w:t>W</w:t>
                  </w:r>
                </w:p>
              </w:tc>
              <w:tc>
                <w:tcPr>
                  <w:tcW w:w="1303" w:type="dxa"/>
                  <w:vAlign w:val="center"/>
                </w:tcPr>
                <w:p>
                  <w:pPr>
                    <w:pStyle w:val="28"/>
                  </w:pPr>
                  <w:r>
                    <w:rPr>
                      <w:rFonts w:hint="eastAsia"/>
                    </w:rPr>
                    <w:t>130</w:t>
                  </w:r>
                </w:p>
              </w:tc>
              <w:tc>
                <w:tcPr>
                  <w:tcW w:w="710" w:type="dxa"/>
                  <w:vAlign w:val="center"/>
                </w:tcPr>
                <w:p>
                  <w:pPr>
                    <w:pStyle w:val="28"/>
                  </w:pPr>
                  <w:r>
                    <w:rPr>
                      <w:rFonts w:hint="eastAsia"/>
                    </w:rPr>
                    <w:t>-117</w:t>
                  </w:r>
                </w:p>
              </w:tc>
              <w:tc>
                <w:tcPr>
                  <w:tcW w:w="710" w:type="dxa"/>
                  <w:vAlign w:val="center"/>
                </w:tcPr>
                <w:p>
                  <w:pPr>
                    <w:pStyle w:val="28"/>
                  </w:pPr>
                  <w:r>
                    <w:rPr>
                      <w:rFonts w:hint="eastAsia"/>
                    </w:rPr>
                    <w:t>148</w:t>
                  </w:r>
                </w:p>
              </w:tc>
              <w:tc>
                <w:tcPr>
                  <w:tcW w:w="710" w:type="dxa"/>
                  <w:vAlign w:val="center"/>
                </w:tcPr>
                <w:p>
                  <w:pPr>
                    <w:pStyle w:val="28"/>
                  </w:pPr>
                  <w:r>
                    <w:rPr>
                      <w:rFonts w:hint="eastAsia"/>
                    </w:rPr>
                    <w:t>3</w:t>
                  </w:r>
                </w:p>
              </w:tc>
              <w:tc>
                <w:tcPr>
                  <w:tcW w:w="2294" w:type="dxa"/>
                  <w:vAlign w:val="center"/>
                </w:tcPr>
                <w:p>
                  <w:pPr>
                    <w:pStyle w:val="28"/>
                  </w:pPr>
                  <w:r>
                    <w:rPr>
                      <w:rFonts w:hint="eastAsia"/>
                    </w:rPr>
                    <w:t>散户居民，2户，6人</w:t>
                  </w:r>
                </w:p>
              </w:tc>
              <w:tc>
                <w:tcPr>
                  <w:tcW w:w="688" w:type="dxa"/>
                  <w:vMerge w:val="restart"/>
                  <w:vAlign w:val="center"/>
                </w:tcPr>
                <w:p>
                  <w:pPr>
                    <w:pStyle w:val="28"/>
                    <w:rPr>
                      <w:rFonts w:hint="default" w:eastAsia="宋体"/>
                      <w:lang w:val="en-US" w:eastAsia="zh-CN"/>
                    </w:rPr>
                  </w:pPr>
                  <w:r>
                    <w:rPr>
                      <w:rFonts w:hint="eastAsia"/>
                      <w:lang w:val="en-US" w:eastAsia="zh-CN"/>
                    </w:rPr>
                    <w:t>声功能2类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vAlign w:val="center"/>
                </w:tcPr>
                <w:p>
                  <w:pPr>
                    <w:pStyle w:val="28"/>
                  </w:pPr>
                  <w:r>
                    <w:rPr>
                      <w:rFonts w:hint="eastAsia"/>
                    </w:rPr>
                    <w:t>2</w:t>
                  </w:r>
                </w:p>
              </w:tc>
              <w:tc>
                <w:tcPr>
                  <w:tcW w:w="1094" w:type="dxa"/>
                  <w:vAlign w:val="center"/>
                </w:tcPr>
                <w:p>
                  <w:pPr>
                    <w:pStyle w:val="28"/>
                  </w:pPr>
                  <w:r>
                    <w:rPr>
                      <w:rFonts w:hint="eastAsia"/>
                    </w:rPr>
                    <w:t>2#散户</w:t>
                  </w:r>
                </w:p>
              </w:tc>
              <w:tc>
                <w:tcPr>
                  <w:tcW w:w="694" w:type="dxa"/>
                  <w:vAlign w:val="center"/>
                </w:tcPr>
                <w:p>
                  <w:pPr>
                    <w:pStyle w:val="28"/>
                  </w:pPr>
                  <w:r>
                    <w:rPr>
                      <w:rFonts w:hint="eastAsia"/>
                    </w:rPr>
                    <w:t>W</w:t>
                  </w:r>
                </w:p>
              </w:tc>
              <w:tc>
                <w:tcPr>
                  <w:tcW w:w="1303" w:type="dxa"/>
                  <w:vAlign w:val="center"/>
                </w:tcPr>
                <w:p>
                  <w:pPr>
                    <w:pStyle w:val="28"/>
                  </w:pPr>
                  <w:r>
                    <w:rPr>
                      <w:rFonts w:hint="eastAsia"/>
                    </w:rPr>
                    <w:t>130</w:t>
                  </w:r>
                </w:p>
              </w:tc>
              <w:tc>
                <w:tcPr>
                  <w:tcW w:w="710" w:type="dxa"/>
                  <w:vAlign w:val="center"/>
                </w:tcPr>
                <w:p>
                  <w:pPr>
                    <w:pStyle w:val="28"/>
                  </w:pPr>
                  <w:r>
                    <w:rPr>
                      <w:rFonts w:hint="eastAsia"/>
                    </w:rPr>
                    <w:t>-203</w:t>
                  </w:r>
                </w:p>
              </w:tc>
              <w:tc>
                <w:tcPr>
                  <w:tcW w:w="710" w:type="dxa"/>
                  <w:vAlign w:val="center"/>
                </w:tcPr>
                <w:p>
                  <w:pPr>
                    <w:pStyle w:val="28"/>
                  </w:pPr>
                  <w:r>
                    <w:rPr>
                      <w:rFonts w:hint="eastAsia"/>
                    </w:rPr>
                    <w:t>8</w:t>
                  </w:r>
                </w:p>
              </w:tc>
              <w:tc>
                <w:tcPr>
                  <w:tcW w:w="710" w:type="dxa"/>
                  <w:vAlign w:val="center"/>
                </w:tcPr>
                <w:p>
                  <w:pPr>
                    <w:pStyle w:val="28"/>
                  </w:pPr>
                  <w:r>
                    <w:rPr>
                      <w:rFonts w:hint="eastAsia"/>
                    </w:rPr>
                    <w:t>-</w:t>
                  </w:r>
                  <w:r>
                    <w:t>65</w:t>
                  </w:r>
                </w:p>
              </w:tc>
              <w:tc>
                <w:tcPr>
                  <w:tcW w:w="2294" w:type="dxa"/>
                  <w:vAlign w:val="center"/>
                </w:tcPr>
                <w:p>
                  <w:pPr>
                    <w:pStyle w:val="28"/>
                  </w:pPr>
                  <w:r>
                    <w:rPr>
                      <w:rFonts w:hint="eastAsia"/>
                    </w:rPr>
                    <w:t>散户居民5户，15人</w:t>
                  </w:r>
                </w:p>
              </w:tc>
              <w:tc>
                <w:tcPr>
                  <w:tcW w:w="688"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vAlign w:val="center"/>
                </w:tcPr>
                <w:p>
                  <w:pPr>
                    <w:pStyle w:val="28"/>
                  </w:pPr>
                  <w:r>
                    <w:rPr>
                      <w:rFonts w:hint="eastAsia"/>
                    </w:rPr>
                    <w:t>3</w:t>
                  </w:r>
                </w:p>
              </w:tc>
              <w:tc>
                <w:tcPr>
                  <w:tcW w:w="1094" w:type="dxa"/>
                  <w:vAlign w:val="center"/>
                </w:tcPr>
                <w:p>
                  <w:pPr>
                    <w:pStyle w:val="28"/>
                  </w:pPr>
                  <w:r>
                    <w:rPr>
                      <w:rFonts w:hint="eastAsia"/>
                    </w:rPr>
                    <w:t>柏木村龙汇小学</w:t>
                  </w:r>
                </w:p>
              </w:tc>
              <w:tc>
                <w:tcPr>
                  <w:tcW w:w="694" w:type="dxa"/>
                  <w:vAlign w:val="center"/>
                </w:tcPr>
                <w:p>
                  <w:pPr>
                    <w:pStyle w:val="28"/>
                  </w:pPr>
                  <w:r>
                    <w:rPr>
                      <w:rFonts w:hint="eastAsia"/>
                    </w:rPr>
                    <w:t>W</w:t>
                  </w:r>
                </w:p>
              </w:tc>
              <w:tc>
                <w:tcPr>
                  <w:tcW w:w="1303" w:type="dxa"/>
                  <w:vAlign w:val="center"/>
                </w:tcPr>
                <w:p>
                  <w:pPr>
                    <w:pStyle w:val="28"/>
                  </w:pPr>
                  <w:r>
                    <w:rPr>
                      <w:rFonts w:hint="eastAsia"/>
                    </w:rPr>
                    <w:t>150</w:t>
                  </w:r>
                </w:p>
              </w:tc>
              <w:tc>
                <w:tcPr>
                  <w:tcW w:w="710" w:type="dxa"/>
                  <w:vAlign w:val="center"/>
                </w:tcPr>
                <w:p>
                  <w:pPr>
                    <w:pStyle w:val="28"/>
                  </w:pPr>
                  <w:r>
                    <w:rPr>
                      <w:rFonts w:hint="eastAsia"/>
                    </w:rPr>
                    <w:t>-199</w:t>
                  </w:r>
                </w:p>
              </w:tc>
              <w:tc>
                <w:tcPr>
                  <w:tcW w:w="710" w:type="dxa"/>
                  <w:vAlign w:val="center"/>
                </w:tcPr>
                <w:p>
                  <w:pPr>
                    <w:pStyle w:val="28"/>
                  </w:pPr>
                  <w:r>
                    <w:rPr>
                      <w:rFonts w:hint="eastAsia"/>
                    </w:rPr>
                    <w:t>-88</w:t>
                  </w:r>
                </w:p>
              </w:tc>
              <w:tc>
                <w:tcPr>
                  <w:tcW w:w="710" w:type="dxa"/>
                  <w:vAlign w:val="center"/>
                </w:tcPr>
                <w:p>
                  <w:pPr>
                    <w:pStyle w:val="28"/>
                  </w:pPr>
                  <w:r>
                    <w:t>28</w:t>
                  </w:r>
                </w:p>
              </w:tc>
              <w:tc>
                <w:tcPr>
                  <w:tcW w:w="2294" w:type="dxa"/>
                  <w:vAlign w:val="center"/>
                </w:tcPr>
                <w:p>
                  <w:pPr>
                    <w:pStyle w:val="28"/>
                  </w:pPr>
                  <w:r>
                    <w:rPr>
                      <w:rFonts w:hint="eastAsia"/>
                    </w:rPr>
                    <w:t>学校，师生40人</w:t>
                  </w:r>
                </w:p>
              </w:tc>
              <w:tc>
                <w:tcPr>
                  <w:tcW w:w="688"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dxa"/>
                  <w:vAlign w:val="center"/>
                </w:tcPr>
                <w:p>
                  <w:pPr>
                    <w:pStyle w:val="28"/>
                  </w:pPr>
                  <w:r>
                    <w:rPr>
                      <w:rFonts w:hint="eastAsia"/>
                    </w:rPr>
                    <w:t>4</w:t>
                  </w:r>
                </w:p>
              </w:tc>
              <w:tc>
                <w:tcPr>
                  <w:tcW w:w="1094" w:type="dxa"/>
                  <w:vAlign w:val="center"/>
                </w:tcPr>
                <w:p>
                  <w:pPr>
                    <w:pStyle w:val="28"/>
                  </w:pPr>
                  <w:r>
                    <w:rPr>
                      <w:rFonts w:hint="eastAsia"/>
                    </w:rPr>
                    <w:t>3#散户</w:t>
                  </w:r>
                </w:p>
              </w:tc>
              <w:tc>
                <w:tcPr>
                  <w:tcW w:w="694" w:type="dxa"/>
                  <w:vAlign w:val="center"/>
                </w:tcPr>
                <w:p>
                  <w:pPr>
                    <w:pStyle w:val="28"/>
                  </w:pPr>
                  <w:r>
                    <w:rPr>
                      <w:rFonts w:hint="eastAsia"/>
                    </w:rPr>
                    <w:t>WS</w:t>
                  </w:r>
                </w:p>
              </w:tc>
              <w:tc>
                <w:tcPr>
                  <w:tcW w:w="1303" w:type="dxa"/>
                  <w:vAlign w:val="center"/>
                </w:tcPr>
                <w:p>
                  <w:pPr>
                    <w:pStyle w:val="28"/>
                  </w:pPr>
                  <w:r>
                    <w:t>155</w:t>
                  </w:r>
                </w:p>
              </w:tc>
              <w:tc>
                <w:tcPr>
                  <w:tcW w:w="710" w:type="dxa"/>
                  <w:vAlign w:val="center"/>
                </w:tcPr>
                <w:p>
                  <w:pPr>
                    <w:pStyle w:val="28"/>
                  </w:pPr>
                  <w:r>
                    <w:rPr>
                      <w:rFonts w:hint="eastAsia"/>
                    </w:rPr>
                    <w:t>-174</w:t>
                  </w:r>
                </w:p>
              </w:tc>
              <w:tc>
                <w:tcPr>
                  <w:tcW w:w="710" w:type="dxa"/>
                  <w:vAlign w:val="center"/>
                </w:tcPr>
                <w:p>
                  <w:pPr>
                    <w:pStyle w:val="28"/>
                  </w:pPr>
                  <w:r>
                    <w:rPr>
                      <w:rFonts w:hint="eastAsia"/>
                    </w:rPr>
                    <w:t>-185</w:t>
                  </w:r>
                </w:p>
              </w:tc>
              <w:tc>
                <w:tcPr>
                  <w:tcW w:w="710" w:type="dxa"/>
                  <w:vAlign w:val="center"/>
                </w:tcPr>
                <w:p>
                  <w:pPr>
                    <w:pStyle w:val="28"/>
                  </w:pPr>
                  <w:r>
                    <w:rPr>
                      <w:rFonts w:hint="eastAsia"/>
                    </w:rPr>
                    <w:t>-</w:t>
                  </w:r>
                  <w:r>
                    <w:t>23</w:t>
                  </w:r>
                </w:p>
              </w:tc>
              <w:tc>
                <w:tcPr>
                  <w:tcW w:w="2294" w:type="dxa"/>
                  <w:vAlign w:val="center"/>
                </w:tcPr>
                <w:p>
                  <w:pPr>
                    <w:pStyle w:val="28"/>
                  </w:pPr>
                  <w:r>
                    <w:rPr>
                      <w:rFonts w:hint="eastAsia"/>
                    </w:rPr>
                    <w:t>散户居民10户，30人</w:t>
                  </w:r>
                </w:p>
              </w:tc>
              <w:tc>
                <w:tcPr>
                  <w:tcW w:w="688" w:type="dxa"/>
                  <w:vMerge w:val="continue"/>
                  <w:vAlign w:val="center"/>
                </w:tcPr>
                <w:p>
                  <w:pPr>
                    <w:pStyle w:val="28"/>
                  </w:pPr>
                </w:p>
              </w:tc>
            </w:tr>
            <w:bookmarkEnd w:id="5"/>
          </w:tbl>
          <w:p>
            <w:pPr>
              <w:pStyle w:val="29"/>
              <w:ind w:firstLine="482"/>
              <w:rPr>
                <w:b/>
                <w:bCs/>
              </w:rPr>
            </w:pPr>
            <w:r>
              <w:rPr>
                <w:rFonts w:hint="eastAsia"/>
                <w:b/>
                <w:bCs/>
              </w:rPr>
              <w:t>3.3.5 电磁环境敏感目标</w:t>
            </w:r>
          </w:p>
          <w:p>
            <w:pPr>
              <w:pStyle w:val="29"/>
              <w:ind w:firstLine="480"/>
            </w:pPr>
            <w:r>
              <w:rPr>
                <w:rFonts w:hint="eastAsia"/>
              </w:rPr>
              <w:t>根据现场调查，拟建110kV升压站四侧围墙外30m电磁环境影响评价范围内无电磁环境保护目标。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评价</w:t>
            </w:r>
          </w:p>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标准</w:t>
            </w:r>
          </w:p>
        </w:tc>
        <w:tc>
          <w:tcPr>
            <w:tcW w:w="8843" w:type="dxa"/>
            <w:vAlign w:val="center"/>
          </w:tcPr>
          <w:p>
            <w:pPr>
              <w:pStyle w:val="29"/>
              <w:ind w:firstLine="482"/>
              <w:rPr>
                <w:b/>
                <w:bCs/>
              </w:rPr>
            </w:pPr>
            <w:r>
              <w:rPr>
                <w:rFonts w:hint="eastAsia"/>
                <w:b/>
                <w:bCs/>
              </w:rPr>
              <w:t>3.</w:t>
            </w:r>
            <w:r>
              <w:rPr>
                <w:b/>
                <w:bCs/>
              </w:rPr>
              <w:t>4 环境质量标准</w:t>
            </w:r>
          </w:p>
          <w:p>
            <w:pPr>
              <w:pStyle w:val="29"/>
              <w:ind w:firstLine="482"/>
              <w:rPr>
                <w:b/>
                <w:bCs/>
              </w:rPr>
            </w:pPr>
            <w:r>
              <w:rPr>
                <w:rFonts w:hint="eastAsia"/>
                <w:b/>
                <w:bCs/>
              </w:rPr>
              <w:t>3.</w:t>
            </w:r>
            <w:r>
              <w:rPr>
                <w:b/>
                <w:bCs/>
              </w:rPr>
              <w:t>4.1</w:t>
            </w:r>
            <w:r>
              <w:rPr>
                <w:rFonts w:hint="eastAsia"/>
                <w:b/>
                <w:bCs/>
                <w:lang w:val="en-US" w:eastAsia="zh-CN"/>
              </w:rPr>
              <w:t xml:space="preserve"> </w:t>
            </w:r>
            <w:r>
              <w:rPr>
                <w:b/>
                <w:bCs/>
              </w:rPr>
              <w:t>环境空气质量标准</w:t>
            </w:r>
          </w:p>
          <w:p>
            <w:pPr>
              <w:pStyle w:val="29"/>
              <w:ind w:firstLine="480"/>
            </w:pPr>
            <w:r>
              <w:t>根据《重庆市人民政府关于印发环境空气质量功能区划分规定的通知》（渝府发[2016]19号），本项目所在区域属于二类区，执行《环境空气质量标准》（GB3095-2012）中二级标准，标准值详细表</w:t>
            </w:r>
            <w:r>
              <w:rPr>
                <w:rFonts w:hint="eastAsia"/>
              </w:rPr>
              <w:t>3-7</w:t>
            </w:r>
            <w:r>
              <w:t>。</w:t>
            </w:r>
          </w:p>
          <w:p>
            <w:pPr>
              <w:pStyle w:val="29"/>
              <w:ind w:firstLine="0" w:firstLineChars="0"/>
              <w:jc w:val="center"/>
            </w:pPr>
            <w:r>
              <w:t>表</w:t>
            </w:r>
            <w:r>
              <w:rPr>
                <w:rFonts w:hint="eastAsia"/>
              </w:rPr>
              <w:t>3-7</w:t>
            </w:r>
            <w:r>
              <w:t xml:space="preserve">  《环境空气质量标准》（GB3095—2012）  μg/</w:t>
            </w:r>
            <w:r>
              <w:rPr>
                <w:rFonts w:hint="eastAsia"/>
              </w:rPr>
              <w:t>m³</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1843"/>
              <w:gridCol w:w="2999"/>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restart"/>
                  <w:vAlign w:val="center"/>
                </w:tcPr>
                <w:p>
                  <w:pPr>
                    <w:spacing w:line="240" w:lineRule="auto"/>
                    <w:ind w:firstLine="0" w:firstLineChars="0"/>
                    <w:jc w:val="center"/>
                    <w:rPr>
                      <w:snapToGrid w:val="0"/>
                      <w:kern w:val="0"/>
                      <w:sz w:val="21"/>
                      <w:szCs w:val="21"/>
                    </w:rPr>
                  </w:pPr>
                  <w:r>
                    <w:rPr>
                      <w:snapToGrid w:val="0"/>
                      <w:kern w:val="0"/>
                      <w:sz w:val="21"/>
                      <w:szCs w:val="21"/>
                    </w:rPr>
                    <w:t>污染物名称</w:t>
                  </w:r>
                </w:p>
              </w:tc>
              <w:tc>
                <w:tcPr>
                  <w:tcW w:w="5558" w:type="dxa"/>
                  <w:gridSpan w:val="3"/>
                  <w:vAlign w:val="center"/>
                </w:tcPr>
                <w:p>
                  <w:pPr>
                    <w:spacing w:line="240" w:lineRule="auto"/>
                    <w:ind w:firstLine="0" w:firstLineChars="0"/>
                    <w:jc w:val="center"/>
                    <w:rPr>
                      <w:snapToGrid w:val="0"/>
                      <w:kern w:val="0"/>
                      <w:sz w:val="21"/>
                      <w:szCs w:val="21"/>
                    </w:rPr>
                  </w:pPr>
                  <w:r>
                    <w:rPr>
                      <w:snapToGrid w:val="0"/>
                      <w:kern w:val="0"/>
                      <w:sz w:val="21"/>
                      <w:szCs w:val="21"/>
                    </w:rPr>
                    <w:t>二级标准浓度限值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Merge w:val="continue"/>
                  <w:vAlign w:val="center"/>
                </w:tcPr>
                <w:p>
                  <w:pPr>
                    <w:spacing w:line="240" w:lineRule="auto"/>
                    <w:ind w:firstLine="0" w:firstLineChars="0"/>
                    <w:jc w:val="center"/>
                    <w:rPr>
                      <w:snapToGrid w:val="0"/>
                      <w:kern w:val="0"/>
                      <w:sz w:val="21"/>
                      <w:szCs w:val="21"/>
                    </w:rPr>
                  </w:pPr>
                </w:p>
              </w:tc>
              <w:tc>
                <w:tcPr>
                  <w:tcW w:w="1600" w:type="dxa"/>
                  <w:vAlign w:val="center"/>
                </w:tcPr>
                <w:p>
                  <w:pPr>
                    <w:spacing w:line="240" w:lineRule="auto"/>
                    <w:ind w:firstLine="0" w:firstLineChars="0"/>
                    <w:jc w:val="center"/>
                    <w:rPr>
                      <w:snapToGrid w:val="0"/>
                      <w:kern w:val="0"/>
                      <w:sz w:val="21"/>
                      <w:szCs w:val="21"/>
                    </w:rPr>
                  </w:pPr>
                  <w:r>
                    <w:rPr>
                      <w:snapToGrid w:val="0"/>
                      <w:kern w:val="0"/>
                      <w:sz w:val="21"/>
                      <w:szCs w:val="21"/>
                    </w:rPr>
                    <w:t>1小时平均</w:t>
                  </w:r>
                </w:p>
              </w:tc>
              <w:tc>
                <w:tcPr>
                  <w:tcW w:w="2603" w:type="dxa"/>
                  <w:vAlign w:val="center"/>
                </w:tcPr>
                <w:p>
                  <w:pPr>
                    <w:spacing w:line="240" w:lineRule="auto"/>
                    <w:ind w:firstLine="0" w:firstLineChars="0"/>
                    <w:jc w:val="center"/>
                    <w:rPr>
                      <w:snapToGrid w:val="0"/>
                      <w:kern w:val="0"/>
                      <w:sz w:val="21"/>
                      <w:szCs w:val="21"/>
                    </w:rPr>
                  </w:pPr>
                  <w:r>
                    <w:rPr>
                      <w:snapToGrid w:val="0"/>
                      <w:kern w:val="0"/>
                      <w:sz w:val="21"/>
                      <w:szCs w:val="21"/>
                    </w:rPr>
                    <w:t>24小时平均</w:t>
                  </w:r>
                </w:p>
              </w:tc>
              <w:tc>
                <w:tcPr>
                  <w:tcW w:w="1355" w:type="dxa"/>
                  <w:vAlign w:val="center"/>
                </w:tcPr>
                <w:p>
                  <w:pPr>
                    <w:spacing w:line="240" w:lineRule="auto"/>
                    <w:ind w:firstLine="0" w:firstLineChars="0"/>
                    <w:jc w:val="center"/>
                    <w:rPr>
                      <w:snapToGrid w:val="0"/>
                      <w:kern w:val="0"/>
                      <w:sz w:val="21"/>
                      <w:szCs w:val="21"/>
                    </w:rPr>
                  </w:pPr>
                  <w:r>
                    <w:rPr>
                      <w:snapToGrid w:val="0"/>
                      <w:kern w:val="0"/>
                      <w:sz w:val="21"/>
                      <w:szCs w:val="21"/>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Align w:val="center"/>
                </w:tcPr>
                <w:p>
                  <w:pPr>
                    <w:spacing w:line="240" w:lineRule="auto"/>
                    <w:ind w:firstLine="0" w:firstLineChars="0"/>
                    <w:jc w:val="center"/>
                    <w:rPr>
                      <w:snapToGrid w:val="0"/>
                      <w:kern w:val="0"/>
                      <w:sz w:val="21"/>
                      <w:szCs w:val="21"/>
                    </w:rPr>
                  </w:pPr>
                  <w:r>
                    <w:rPr>
                      <w:snapToGrid w:val="0"/>
                      <w:kern w:val="0"/>
                      <w:sz w:val="21"/>
                      <w:szCs w:val="21"/>
                    </w:rPr>
                    <w:t>PM</w:t>
                  </w:r>
                  <w:r>
                    <w:rPr>
                      <w:snapToGrid w:val="0"/>
                      <w:kern w:val="0"/>
                      <w:sz w:val="21"/>
                      <w:szCs w:val="21"/>
                      <w:vertAlign w:val="subscript"/>
                    </w:rPr>
                    <w:t>10</w:t>
                  </w:r>
                </w:p>
              </w:tc>
              <w:tc>
                <w:tcPr>
                  <w:tcW w:w="1600" w:type="dxa"/>
                  <w:vAlign w:val="center"/>
                </w:tcPr>
                <w:p>
                  <w:pPr>
                    <w:spacing w:line="240" w:lineRule="auto"/>
                    <w:ind w:firstLine="0" w:firstLineChars="0"/>
                    <w:jc w:val="center"/>
                    <w:rPr>
                      <w:snapToGrid w:val="0"/>
                      <w:kern w:val="0"/>
                      <w:sz w:val="21"/>
                      <w:szCs w:val="21"/>
                    </w:rPr>
                  </w:pPr>
                  <w:r>
                    <w:rPr>
                      <w:snapToGrid w:val="0"/>
                      <w:kern w:val="0"/>
                      <w:sz w:val="21"/>
                      <w:szCs w:val="21"/>
                    </w:rPr>
                    <w:t>/</w:t>
                  </w:r>
                </w:p>
              </w:tc>
              <w:tc>
                <w:tcPr>
                  <w:tcW w:w="2603" w:type="dxa"/>
                  <w:vAlign w:val="center"/>
                </w:tcPr>
                <w:p>
                  <w:pPr>
                    <w:spacing w:line="240" w:lineRule="auto"/>
                    <w:ind w:firstLine="0" w:firstLineChars="0"/>
                    <w:jc w:val="center"/>
                    <w:rPr>
                      <w:snapToGrid w:val="0"/>
                      <w:kern w:val="0"/>
                      <w:sz w:val="21"/>
                      <w:szCs w:val="21"/>
                    </w:rPr>
                  </w:pPr>
                  <w:r>
                    <w:rPr>
                      <w:snapToGrid w:val="0"/>
                      <w:kern w:val="0"/>
                      <w:sz w:val="21"/>
                      <w:szCs w:val="21"/>
                    </w:rPr>
                    <w:t>150</w:t>
                  </w:r>
                </w:p>
              </w:tc>
              <w:tc>
                <w:tcPr>
                  <w:tcW w:w="1355" w:type="dxa"/>
                  <w:vAlign w:val="center"/>
                </w:tcPr>
                <w:p>
                  <w:pPr>
                    <w:spacing w:line="240" w:lineRule="auto"/>
                    <w:ind w:firstLine="0" w:firstLineChars="0"/>
                    <w:jc w:val="center"/>
                    <w:rPr>
                      <w:snapToGrid w:val="0"/>
                      <w:kern w:val="0"/>
                      <w:sz w:val="21"/>
                      <w:szCs w:val="21"/>
                    </w:rPr>
                  </w:pPr>
                  <w:r>
                    <w:rPr>
                      <w:snapToGrid w:val="0"/>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Align w:val="center"/>
                </w:tcPr>
                <w:p>
                  <w:pPr>
                    <w:spacing w:line="240" w:lineRule="auto"/>
                    <w:ind w:firstLine="0" w:firstLineChars="0"/>
                    <w:jc w:val="center"/>
                    <w:rPr>
                      <w:snapToGrid w:val="0"/>
                      <w:kern w:val="0"/>
                      <w:sz w:val="21"/>
                      <w:szCs w:val="21"/>
                    </w:rPr>
                  </w:pPr>
                  <w:r>
                    <w:rPr>
                      <w:snapToGrid w:val="0"/>
                      <w:kern w:val="0"/>
                      <w:sz w:val="21"/>
                      <w:szCs w:val="21"/>
                    </w:rPr>
                    <w:t>PM</w:t>
                  </w:r>
                  <w:r>
                    <w:rPr>
                      <w:snapToGrid w:val="0"/>
                      <w:kern w:val="0"/>
                      <w:sz w:val="21"/>
                      <w:szCs w:val="21"/>
                      <w:vertAlign w:val="subscript"/>
                    </w:rPr>
                    <w:t>2.5</w:t>
                  </w:r>
                </w:p>
              </w:tc>
              <w:tc>
                <w:tcPr>
                  <w:tcW w:w="1600" w:type="dxa"/>
                  <w:vAlign w:val="center"/>
                </w:tcPr>
                <w:p>
                  <w:pPr>
                    <w:spacing w:line="240" w:lineRule="auto"/>
                    <w:ind w:firstLine="0" w:firstLineChars="0"/>
                    <w:jc w:val="center"/>
                    <w:rPr>
                      <w:snapToGrid w:val="0"/>
                      <w:kern w:val="0"/>
                      <w:sz w:val="21"/>
                      <w:szCs w:val="21"/>
                    </w:rPr>
                  </w:pPr>
                  <w:r>
                    <w:rPr>
                      <w:snapToGrid w:val="0"/>
                      <w:kern w:val="0"/>
                      <w:sz w:val="21"/>
                      <w:szCs w:val="21"/>
                    </w:rPr>
                    <w:t>/</w:t>
                  </w:r>
                </w:p>
              </w:tc>
              <w:tc>
                <w:tcPr>
                  <w:tcW w:w="2603" w:type="dxa"/>
                  <w:vAlign w:val="center"/>
                </w:tcPr>
                <w:p>
                  <w:pPr>
                    <w:spacing w:line="240" w:lineRule="auto"/>
                    <w:ind w:firstLine="0" w:firstLineChars="0"/>
                    <w:jc w:val="center"/>
                    <w:rPr>
                      <w:snapToGrid w:val="0"/>
                      <w:kern w:val="0"/>
                      <w:sz w:val="21"/>
                      <w:szCs w:val="21"/>
                    </w:rPr>
                  </w:pPr>
                  <w:r>
                    <w:rPr>
                      <w:snapToGrid w:val="0"/>
                      <w:kern w:val="0"/>
                      <w:sz w:val="21"/>
                      <w:szCs w:val="21"/>
                    </w:rPr>
                    <w:t>75</w:t>
                  </w:r>
                </w:p>
              </w:tc>
              <w:tc>
                <w:tcPr>
                  <w:tcW w:w="1355" w:type="dxa"/>
                  <w:vAlign w:val="center"/>
                </w:tcPr>
                <w:p>
                  <w:pPr>
                    <w:spacing w:line="240" w:lineRule="auto"/>
                    <w:ind w:firstLine="0" w:firstLineChars="0"/>
                    <w:jc w:val="center"/>
                    <w:rPr>
                      <w:snapToGrid w:val="0"/>
                      <w:kern w:val="0"/>
                      <w:sz w:val="21"/>
                      <w:szCs w:val="21"/>
                    </w:rPr>
                  </w:pPr>
                  <w:r>
                    <w:rPr>
                      <w:snapToGrid w:val="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Align w:val="center"/>
                </w:tcPr>
                <w:p>
                  <w:pPr>
                    <w:spacing w:line="240" w:lineRule="auto"/>
                    <w:ind w:firstLine="0" w:firstLineChars="0"/>
                    <w:jc w:val="center"/>
                    <w:rPr>
                      <w:snapToGrid w:val="0"/>
                      <w:kern w:val="0"/>
                      <w:sz w:val="21"/>
                      <w:szCs w:val="21"/>
                    </w:rPr>
                  </w:pPr>
                  <w:r>
                    <w:rPr>
                      <w:snapToGrid w:val="0"/>
                      <w:kern w:val="0"/>
                      <w:sz w:val="21"/>
                      <w:szCs w:val="21"/>
                    </w:rPr>
                    <w:t>NO</w:t>
                  </w:r>
                  <w:r>
                    <w:rPr>
                      <w:snapToGrid w:val="0"/>
                      <w:kern w:val="0"/>
                      <w:sz w:val="21"/>
                      <w:szCs w:val="21"/>
                      <w:vertAlign w:val="subscript"/>
                    </w:rPr>
                    <w:t>2</w:t>
                  </w:r>
                </w:p>
              </w:tc>
              <w:tc>
                <w:tcPr>
                  <w:tcW w:w="1600" w:type="dxa"/>
                  <w:vAlign w:val="center"/>
                </w:tcPr>
                <w:p>
                  <w:pPr>
                    <w:spacing w:line="240" w:lineRule="auto"/>
                    <w:ind w:firstLine="0" w:firstLineChars="0"/>
                    <w:jc w:val="center"/>
                    <w:rPr>
                      <w:snapToGrid w:val="0"/>
                      <w:kern w:val="0"/>
                      <w:sz w:val="21"/>
                      <w:szCs w:val="21"/>
                    </w:rPr>
                  </w:pPr>
                  <w:r>
                    <w:rPr>
                      <w:snapToGrid w:val="0"/>
                      <w:kern w:val="0"/>
                      <w:sz w:val="21"/>
                      <w:szCs w:val="21"/>
                    </w:rPr>
                    <w:t>200</w:t>
                  </w:r>
                </w:p>
              </w:tc>
              <w:tc>
                <w:tcPr>
                  <w:tcW w:w="2603" w:type="dxa"/>
                  <w:vAlign w:val="center"/>
                </w:tcPr>
                <w:p>
                  <w:pPr>
                    <w:spacing w:line="240" w:lineRule="auto"/>
                    <w:ind w:firstLine="0" w:firstLineChars="0"/>
                    <w:jc w:val="center"/>
                    <w:rPr>
                      <w:snapToGrid w:val="0"/>
                      <w:kern w:val="0"/>
                      <w:sz w:val="21"/>
                      <w:szCs w:val="21"/>
                    </w:rPr>
                  </w:pPr>
                  <w:r>
                    <w:rPr>
                      <w:snapToGrid w:val="0"/>
                      <w:kern w:val="0"/>
                      <w:sz w:val="21"/>
                      <w:szCs w:val="21"/>
                    </w:rPr>
                    <w:t>80</w:t>
                  </w:r>
                </w:p>
              </w:tc>
              <w:tc>
                <w:tcPr>
                  <w:tcW w:w="1355" w:type="dxa"/>
                  <w:vAlign w:val="center"/>
                </w:tcPr>
                <w:p>
                  <w:pPr>
                    <w:spacing w:line="240" w:lineRule="auto"/>
                    <w:ind w:firstLine="0" w:firstLineChars="0"/>
                    <w:jc w:val="center"/>
                    <w:rPr>
                      <w:snapToGrid w:val="0"/>
                      <w:kern w:val="0"/>
                      <w:sz w:val="21"/>
                      <w:szCs w:val="21"/>
                    </w:rPr>
                  </w:pPr>
                  <w:r>
                    <w:rPr>
                      <w:snapToGrid w:val="0"/>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Align w:val="center"/>
                </w:tcPr>
                <w:p>
                  <w:pPr>
                    <w:spacing w:line="240" w:lineRule="auto"/>
                    <w:ind w:firstLine="0" w:firstLineChars="0"/>
                    <w:jc w:val="center"/>
                    <w:rPr>
                      <w:snapToGrid w:val="0"/>
                      <w:kern w:val="0"/>
                      <w:sz w:val="21"/>
                      <w:szCs w:val="21"/>
                    </w:rPr>
                  </w:pPr>
                  <w:r>
                    <w:rPr>
                      <w:snapToGrid w:val="0"/>
                      <w:kern w:val="0"/>
                      <w:sz w:val="21"/>
                      <w:szCs w:val="21"/>
                    </w:rPr>
                    <w:t>SO</w:t>
                  </w:r>
                  <w:r>
                    <w:rPr>
                      <w:snapToGrid w:val="0"/>
                      <w:kern w:val="0"/>
                      <w:sz w:val="21"/>
                      <w:szCs w:val="21"/>
                      <w:vertAlign w:val="subscript"/>
                    </w:rPr>
                    <w:t>2</w:t>
                  </w:r>
                </w:p>
              </w:tc>
              <w:tc>
                <w:tcPr>
                  <w:tcW w:w="1600" w:type="dxa"/>
                  <w:vAlign w:val="center"/>
                </w:tcPr>
                <w:p>
                  <w:pPr>
                    <w:spacing w:line="240" w:lineRule="auto"/>
                    <w:ind w:firstLine="0" w:firstLineChars="0"/>
                    <w:jc w:val="center"/>
                    <w:rPr>
                      <w:snapToGrid w:val="0"/>
                      <w:kern w:val="0"/>
                      <w:sz w:val="21"/>
                      <w:szCs w:val="21"/>
                    </w:rPr>
                  </w:pPr>
                  <w:r>
                    <w:rPr>
                      <w:snapToGrid w:val="0"/>
                      <w:kern w:val="0"/>
                      <w:sz w:val="21"/>
                      <w:szCs w:val="21"/>
                    </w:rPr>
                    <w:t>500</w:t>
                  </w:r>
                </w:p>
              </w:tc>
              <w:tc>
                <w:tcPr>
                  <w:tcW w:w="2603" w:type="dxa"/>
                  <w:vAlign w:val="center"/>
                </w:tcPr>
                <w:p>
                  <w:pPr>
                    <w:spacing w:line="240" w:lineRule="auto"/>
                    <w:ind w:firstLine="0" w:firstLineChars="0"/>
                    <w:jc w:val="center"/>
                    <w:rPr>
                      <w:snapToGrid w:val="0"/>
                      <w:kern w:val="0"/>
                      <w:sz w:val="21"/>
                      <w:szCs w:val="21"/>
                    </w:rPr>
                  </w:pPr>
                  <w:r>
                    <w:rPr>
                      <w:snapToGrid w:val="0"/>
                      <w:kern w:val="0"/>
                      <w:sz w:val="21"/>
                      <w:szCs w:val="21"/>
                    </w:rPr>
                    <w:t>150</w:t>
                  </w:r>
                </w:p>
              </w:tc>
              <w:tc>
                <w:tcPr>
                  <w:tcW w:w="1355" w:type="dxa"/>
                  <w:vAlign w:val="center"/>
                </w:tcPr>
                <w:p>
                  <w:pPr>
                    <w:spacing w:line="240" w:lineRule="auto"/>
                    <w:ind w:firstLine="0" w:firstLineChars="0"/>
                    <w:jc w:val="center"/>
                    <w:rPr>
                      <w:snapToGrid w:val="0"/>
                      <w:kern w:val="0"/>
                      <w:sz w:val="21"/>
                      <w:szCs w:val="21"/>
                    </w:rPr>
                  </w:pPr>
                  <w:r>
                    <w:rPr>
                      <w:snapToGrid w:val="0"/>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Align w:val="center"/>
                </w:tcPr>
                <w:p>
                  <w:pPr>
                    <w:spacing w:line="240" w:lineRule="auto"/>
                    <w:ind w:firstLine="0" w:firstLineChars="0"/>
                    <w:jc w:val="center"/>
                    <w:rPr>
                      <w:sz w:val="21"/>
                      <w:szCs w:val="21"/>
                    </w:rPr>
                  </w:pPr>
                  <w:r>
                    <w:rPr>
                      <w:sz w:val="21"/>
                      <w:szCs w:val="21"/>
                    </w:rPr>
                    <w:t>O</w:t>
                  </w:r>
                  <w:r>
                    <w:rPr>
                      <w:sz w:val="21"/>
                      <w:szCs w:val="21"/>
                      <w:vertAlign w:val="subscript"/>
                    </w:rPr>
                    <w:t>3</w:t>
                  </w:r>
                </w:p>
              </w:tc>
              <w:tc>
                <w:tcPr>
                  <w:tcW w:w="1600" w:type="dxa"/>
                  <w:vAlign w:val="center"/>
                </w:tcPr>
                <w:p>
                  <w:pPr>
                    <w:spacing w:line="240" w:lineRule="auto"/>
                    <w:ind w:firstLine="0" w:firstLineChars="0"/>
                    <w:jc w:val="center"/>
                    <w:rPr>
                      <w:sz w:val="21"/>
                      <w:szCs w:val="21"/>
                    </w:rPr>
                  </w:pPr>
                  <w:r>
                    <w:rPr>
                      <w:sz w:val="21"/>
                      <w:szCs w:val="21"/>
                    </w:rPr>
                    <w:t>/</w:t>
                  </w:r>
                </w:p>
              </w:tc>
              <w:tc>
                <w:tcPr>
                  <w:tcW w:w="2603" w:type="dxa"/>
                  <w:vAlign w:val="center"/>
                </w:tcPr>
                <w:p>
                  <w:pPr>
                    <w:spacing w:line="240" w:lineRule="auto"/>
                    <w:ind w:firstLine="0" w:firstLineChars="0"/>
                    <w:jc w:val="center"/>
                    <w:rPr>
                      <w:sz w:val="21"/>
                      <w:szCs w:val="21"/>
                    </w:rPr>
                  </w:pPr>
                  <w:r>
                    <w:rPr>
                      <w:sz w:val="21"/>
                      <w:szCs w:val="21"/>
                    </w:rPr>
                    <w:t>160</w:t>
                  </w:r>
                  <w:r>
                    <w:rPr>
                      <w:rFonts w:hint="eastAsia"/>
                      <w:sz w:val="21"/>
                      <w:szCs w:val="21"/>
                    </w:rPr>
                    <w:t>（</w:t>
                  </w:r>
                  <w:r>
                    <w:rPr>
                      <w:sz w:val="21"/>
                      <w:szCs w:val="21"/>
                    </w:rPr>
                    <w:t>日最大8小时浓度）</w:t>
                  </w:r>
                </w:p>
              </w:tc>
              <w:tc>
                <w:tcPr>
                  <w:tcW w:w="1355" w:type="dxa"/>
                  <w:vAlign w:val="center"/>
                </w:tcPr>
                <w:p>
                  <w:pPr>
                    <w:spacing w:line="240" w:lineRule="auto"/>
                    <w:ind w:firstLine="0" w:firstLineChars="0"/>
                    <w:jc w:val="center"/>
                    <w:rPr>
                      <w:sz w:val="21"/>
                      <w:szCs w:val="21"/>
                    </w:rPr>
                  </w:pPr>
                  <w:r>
                    <w:rPr>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dxa"/>
                  <w:vAlign w:val="center"/>
                </w:tcPr>
                <w:p>
                  <w:pPr>
                    <w:spacing w:line="240" w:lineRule="auto"/>
                    <w:ind w:firstLine="0" w:firstLineChars="0"/>
                    <w:jc w:val="center"/>
                    <w:rPr>
                      <w:sz w:val="21"/>
                      <w:szCs w:val="21"/>
                    </w:rPr>
                  </w:pPr>
                  <w:r>
                    <w:rPr>
                      <w:sz w:val="21"/>
                      <w:szCs w:val="21"/>
                    </w:rPr>
                    <w:t>CO</w:t>
                  </w:r>
                </w:p>
              </w:tc>
              <w:tc>
                <w:tcPr>
                  <w:tcW w:w="1600" w:type="dxa"/>
                  <w:vAlign w:val="center"/>
                </w:tcPr>
                <w:p>
                  <w:pPr>
                    <w:spacing w:line="240" w:lineRule="auto"/>
                    <w:ind w:firstLine="0" w:firstLineChars="0"/>
                    <w:jc w:val="center"/>
                    <w:rPr>
                      <w:sz w:val="21"/>
                      <w:szCs w:val="21"/>
                    </w:rPr>
                  </w:pPr>
                  <w:r>
                    <w:rPr>
                      <w:sz w:val="21"/>
                      <w:szCs w:val="21"/>
                    </w:rPr>
                    <w:t>/</w:t>
                  </w:r>
                </w:p>
              </w:tc>
              <w:tc>
                <w:tcPr>
                  <w:tcW w:w="2603" w:type="dxa"/>
                  <w:vAlign w:val="center"/>
                </w:tcPr>
                <w:p>
                  <w:pPr>
                    <w:spacing w:line="240" w:lineRule="auto"/>
                    <w:ind w:firstLine="0" w:firstLineChars="0"/>
                    <w:jc w:val="center"/>
                    <w:rPr>
                      <w:sz w:val="21"/>
                      <w:szCs w:val="21"/>
                    </w:rPr>
                  </w:pPr>
                  <w:r>
                    <w:rPr>
                      <w:sz w:val="21"/>
                      <w:szCs w:val="21"/>
                    </w:rPr>
                    <w:t>4（mg/</w:t>
                  </w:r>
                  <w:r>
                    <w:rPr>
                      <w:rFonts w:hint="eastAsia"/>
                      <w:sz w:val="21"/>
                      <w:szCs w:val="21"/>
                    </w:rPr>
                    <w:t>m³</w:t>
                  </w:r>
                  <w:r>
                    <w:rPr>
                      <w:sz w:val="21"/>
                      <w:szCs w:val="21"/>
                    </w:rPr>
                    <w:t>）</w:t>
                  </w:r>
                </w:p>
              </w:tc>
              <w:tc>
                <w:tcPr>
                  <w:tcW w:w="1355" w:type="dxa"/>
                  <w:vAlign w:val="center"/>
                </w:tcPr>
                <w:p>
                  <w:pPr>
                    <w:spacing w:line="240" w:lineRule="auto"/>
                    <w:ind w:firstLine="0" w:firstLineChars="0"/>
                    <w:jc w:val="center"/>
                    <w:rPr>
                      <w:sz w:val="21"/>
                      <w:szCs w:val="21"/>
                    </w:rPr>
                  </w:pPr>
                  <w:r>
                    <w:rPr>
                      <w:sz w:val="21"/>
                      <w:szCs w:val="21"/>
                    </w:rPr>
                    <w:t>10（mg/</w:t>
                  </w:r>
                  <w:r>
                    <w:rPr>
                      <w:rFonts w:hint="eastAsia"/>
                      <w:sz w:val="21"/>
                      <w:szCs w:val="21"/>
                    </w:rPr>
                    <w:t>m³</w:t>
                  </w:r>
                  <w:r>
                    <w:rPr>
                      <w:sz w:val="21"/>
                      <w:szCs w:val="21"/>
                    </w:rPr>
                    <w:t>）</w:t>
                  </w:r>
                </w:p>
              </w:tc>
            </w:tr>
          </w:tbl>
          <w:p>
            <w:pPr>
              <w:pStyle w:val="29"/>
              <w:ind w:firstLine="482"/>
              <w:rPr>
                <w:b/>
                <w:bCs/>
              </w:rPr>
            </w:pPr>
            <w:r>
              <w:rPr>
                <w:rFonts w:hint="eastAsia"/>
                <w:b/>
                <w:bCs/>
              </w:rPr>
              <w:t>3.</w:t>
            </w:r>
            <w:r>
              <w:rPr>
                <w:b/>
                <w:bCs/>
              </w:rPr>
              <w:t>4</w:t>
            </w:r>
            <w:r>
              <w:rPr>
                <w:rFonts w:hint="eastAsia"/>
                <w:b/>
                <w:bCs/>
              </w:rPr>
              <w:t xml:space="preserve">.2 </w:t>
            </w:r>
            <w:r>
              <w:rPr>
                <w:b/>
                <w:bCs/>
              </w:rPr>
              <w:t>地表水环境</w:t>
            </w:r>
          </w:p>
          <w:p>
            <w:pPr>
              <w:pStyle w:val="29"/>
              <w:ind w:firstLine="480"/>
            </w:pPr>
            <w:r>
              <w:t>根据《重庆市人民政府批转重庆市地表水环境功能类别调整方案的通知》（渝府发[2012]4号）、《重庆市人民政府关于批转重庆市地表水环境功能类别局部调整方案的通知》（渝府发[2016]43号）规定，</w:t>
            </w:r>
            <w:r>
              <w:rPr>
                <w:rFonts w:hint="eastAsia"/>
                <w:lang w:val="en-US" w:eastAsia="zh-CN"/>
              </w:rPr>
              <w:t>本项目位于新民河流域内</w:t>
            </w:r>
            <w:r>
              <w:rPr>
                <w:rFonts w:hint="eastAsia"/>
              </w:rPr>
              <w:t>，</w:t>
            </w:r>
            <w:r>
              <w:t>水域功能区划为Ⅲ类，其水质执行《地表水环境质量标准》（GB3838-2002）Ⅲ类水域标准。相关标准见表</w:t>
            </w:r>
            <w:r>
              <w:rPr>
                <w:rFonts w:hint="eastAsia"/>
              </w:rPr>
              <w:t>3-8</w:t>
            </w:r>
            <w:r>
              <w:t>。</w:t>
            </w:r>
          </w:p>
          <w:p>
            <w:pPr>
              <w:pStyle w:val="29"/>
              <w:ind w:firstLine="0" w:firstLineChars="0"/>
              <w:jc w:val="center"/>
            </w:pPr>
            <w:r>
              <w:t>表</w:t>
            </w:r>
            <w:r>
              <w:rPr>
                <w:rFonts w:hint="eastAsia"/>
              </w:rPr>
              <w:t>3-8</w:t>
            </w:r>
            <w:r>
              <w:t xml:space="preserve">  地表水环境质量标准</w:t>
            </w:r>
            <w:r>
              <w:rPr>
                <w:rFonts w:hint="eastAsia"/>
              </w:rPr>
              <w:t xml:space="preserve"> </w:t>
            </w:r>
            <w:r>
              <w:t xml:space="preserve"> 单位：mg/L（pH除外）</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2298"/>
              <w:gridCol w:w="1110"/>
              <w:gridCol w:w="1208"/>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vAlign w:val="center"/>
                </w:tcPr>
                <w:p>
                  <w:pPr>
                    <w:pStyle w:val="28"/>
                  </w:pPr>
                  <w:r>
                    <w:t>项目</w:t>
                  </w:r>
                </w:p>
              </w:tc>
              <w:tc>
                <w:tcPr>
                  <w:tcW w:w="1989" w:type="dxa"/>
                  <w:vAlign w:val="center"/>
                </w:tcPr>
                <w:p>
                  <w:pPr>
                    <w:pStyle w:val="28"/>
                  </w:pPr>
                  <w:r>
                    <w:t>pH（无量纲）</w:t>
                  </w:r>
                </w:p>
              </w:tc>
              <w:tc>
                <w:tcPr>
                  <w:tcW w:w="961" w:type="dxa"/>
                  <w:vAlign w:val="center"/>
                </w:tcPr>
                <w:p>
                  <w:pPr>
                    <w:pStyle w:val="28"/>
                  </w:pPr>
                  <w:r>
                    <w:t>COD</w:t>
                  </w:r>
                </w:p>
              </w:tc>
              <w:tc>
                <w:tcPr>
                  <w:tcW w:w="1046" w:type="dxa"/>
                  <w:vAlign w:val="center"/>
                </w:tcPr>
                <w:p>
                  <w:pPr>
                    <w:pStyle w:val="28"/>
                  </w:pPr>
                  <w:r>
                    <w:t>氨氮</w:t>
                  </w:r>
                </w:p>
              </w:tc>
              <w:tc>
                <w:tcPr>
                  <w:tcW w:w="1269" w:type="dxa"/>
                  <w:vAlign w:val="center"/>
                </w:tcPr>
                <w:p>
                  <w:pPr>
                    <w:pStyle w:val="28"/>
                  </w:pPr>
                  <w: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vAlign w:val="center"/>
                </w:tcPr>
                <w:p>
                  <w:pPr>
                    <w:pStyle w:val="28"/>
                  </w:pPr>
                  <w:r>
                    <w:t>III类标准限值</w:t>
                  </w:r>
                </w:p>
              </w:tc>
              <w:tc>
                <w:tcPr>
                  <w:tcW w:w="1989" w:type="dxa"/>
                  <w:vAlign w:val="center"/>
                </w:tcPr>
                <w:p>
                  <w:pPr>
                    <w:pStyle w:val="28"/>
                  </w:pPr>
                  <w:r>
                    <w:t>6~9</w:t>
                  </w:r>
                </w:p>
              </w:tc>
              <w:tc>
                <w:tcPr>
                  <w:tcW w:w="961" w:type="dxa"/>
                  <w:vAlign w:val="center"/>
                </w:tcPr>
                <w:p>
                  <w:pPr>
                    <w:pStyle w:val="28"/>
                  </w:pPr>
                  <w:r>
                    <w:t>20.0</w:t>
                  </w:r>
                </w:p>
              </w:tc>
              <w:tc>
                <w:tcPr>
                  <w:tcW w:w="1046" w:type="dxa"/>
                  <w:vAlign w:val="center"/>
                </w:tcPr>
                <w:p>
                  <w:pPr>
                    <w:pStyle w:val="28"/>
                  </w:pPr>
                  <w:r>
                    <w:t>1.0</w:t>
                  </w:r>
                </w:p>
              </w:tc>
              <w:tc>
                <w:tcPr>
                  <w:tcW w:w="1269" w:type="dxa"/>
                  <w:vAlign w:val="center"/>
                </w:tcPr>
                <w:p>
                  <w:pPr>
                    <w:pStyle w:val="28"/>
                  </w:pPr>
                  <w:r>
                    <w:t>0.05</w:t>
                  </w:r>
                </w:p>
              </w:tc>
            </w:tr>
          </w:tbl>
          <w:p>
            <w:pPr>
              <w:pStyle w:val="29"/>
              <w:ind w:firstLine="482"/>
              <w:rPr>
                <w:b/>
                <w:bCs/>
              </w:rPr>
            </w:pPr>
            <w:r>
              <w:rPr>
                <w:rFonts w:hint="eastAsia"/>
                <w:b/>
                <w:bCs/>
              </w:rPr>
              <w:t>3.</w:t>
            </w:r>
            <w:r>
              <w:rPr>
                <w:b/>
                <w:bCs/>
              </w:rPr>
              <w:t>4.3</w:t>
            </w:r>
            <w:r>
              <w:rPr>
                <w:rFonts w:hint="eastAsia"/>
                <w:b/>
                <w:bCs/>
              </w:rPr>
              <w:t xml:space="preserve"> </w:t>
            </w:r>
            <w:r>
              <w:rPr>
                <w:b/>
                <w:bCs/>
              </w:rPr>
              <w:t>声环境</w:t>
            </w:r>
          </w:p>
          <w:p>
            <w:pPr>
              <w:pStyle w:val="29"/>
              <w:ind w:firstLine="480"/>
            </w:pPr>
            <w:r>
              <w:rPr>
                <w:rFonts w:hint="eastAsia"/>
              </w:rPr>
              <w:t>根据《奉节县人民政府办公室关于印发奉节县“十四五”声环境功能区划分调整方案的通知》（奉节府办发〔2023〕42号），本项目所在地</w:t>
            </w:r>
            <w:r>
              <w:t>执行</w:t>
            </w:r>
            <w:r>
              <w:rPr>
                <w:rFonts w:hint="eastAsia"/>
              </w:rPr>
              <w:t>2类标准</w:t>
            </w:r>
            <w:r>
              <w:t>。具体标准见表</w:t>
            </w:r>
            <w:r>
              <w:rPr>
                <w:rFonts w:hint="eastAsia"/>
              </w:rPr>
              <w:t>3-9。</w:t>
            </w:r>
          </w:p>
          <w:p>
            <w:pPr>
              <w:pStyle w:val="29"/>
              <w:ind w:firstLine="0" w:firstLineChars="0"/>
              <w:jc w:val="center"/>
            </w:pPr>
            <w:r>
              <w:t>表</w:t>
            </w:r>
            <w:r>
              <w:rPr>
                <w:rFonts w:hint="eastAsia"/>
              </w:rPr>
              <w:t>3-9</w:t>
            </w:r>
            <w:r>
              <w:t xml:space="preserve">  声环境质量标准（GB3096-2008）  单位：dB（A）</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9"/>
              <w:gridCol w:w="3020"/>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980" w:type="dxa"/>
                  <w:vAlign w:val="center"/>
                </w:tcPr>
                <w:p>
                  <w:pPr>
                    <w:pStyle w:val="28"/>
                  </w:pPr>
                  <w:r>
                    <w:t>类别</w:t>
                  </w:r>
                </w:p>
              </w:tc>
              <w:tc>
                <w:tcPr>
                  <w:tcW w:w="2813" w:type="dxa"/>
                  <w:vAlign w:val="center"/>
                </w:tcPr>
                <w:p>
                  <w:pPr>
                    <w:pStyle w:val="28"/>
                  </w:pPr>
                  <w:r>
                    <w:t>昼间</w:t>
                  </w:r>
                </w:p>
              </w:tc>
              <w:tc>
                <w:tcPr>
                  <w:tcW w:w="2234" w:type="dxa"/>
                  <w:vAlign w:val="center"/>
                </w:tcPr>
                <w:p>
                  <w:pPr>
                    <w:pStyle w:val="28"/>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980" w:type="dxa"/>
                  <w:vAlign w:val="center"/>
                </w:tcPr>
                <w:p>
                  <w:pPr>
                    <w:pStyle w:val="28"/>
                  </w:pPr>
                  <w:r>
                    <w:rPr>
                      <w:rFonts w:hint="eastAsia"/>
                    </w:rPr>
                    <w:t>2类</w:t>
                  </w:r>
                </w:p>
              </w:tc>
              <w:tc>
                <w:tcPr>
                  <w:tcW w:w="2813" w:type="dxa"/>
                  <w:vAlign w:val="center"/>
                </w:tcPr>
                <w:p>
                  <w:pPr>
                    <w:pStyle w:val="28"/>
                  </w:pPr>
                  <w:r>
                    <w:rPr>
                      <w:rFonts w:hint="eastAsia"/>
                    </w:rPr>
                    <w:t>60</w:t>
                  </w:r>
                </w:p>
              </w:tc>
              <w:tc>
                <w:tcPr>
                  <w:tcW w:w="2234" w:type="dxa"/>
                  <w:vAlign w:val="center"/>
                </w:tcPr>
                <w:p>
                  <w:pPr>
                    <w:pStyle w:val="28"/>
                  </w:pPr>
                  <w:r>
                    <w:rPr>
                      <w:rFonts w:hint="eastAsia"/>
                    </w:rPr>
                    <w:t>50</w:t>
                  </w:r>
                </w:p>
              </w:tc>
            </w:tr>
          </w:tbl>
          <w:p>
            <w:pPr>
              <w:pStyle w:val="29"/>
              <w:ind w:firstLine="482"/>
              <w:rPr>
                <w:b/>
                <w:bCs/>
              </w:rPr>
            </w:pPr>
            <w:r>
              <w:rPr>
                <w:rFonts w:hint="eastAsia"/>
                <w:b/>
                <w:bCs/>
              </w:rPr>
              <w:t>3.</w:t>
            </w:r>
            <w:r>
              <w:rPr>
                <w:b/>
                <w:bCs/>
              </w:rPr>
              <w:t>4</w:t>
            </w:r>
            <w:r>
              <w:rPr>
                <w:rFonts w:hint="eastAsia"/>
                <w:b/>
                <w:bCs/>
              </w:rPr>
              <w:t>.</w:t>
            </w:r>
            <w:r>
              <w:rPr>
                <w:b/>
                <w:bCs/>
              </w:rPr>
              <w:t>4</w:t>
            </w:r>
            <w:r>
              <w:rPr>
                <w:rFonts w:hint="eastAsia"/>
                <w:b/>
                <w:bCs/>
              </w:rPr>
              <w:t xml:space="preserve"> 电磁环境控制限值</w:t>
            </w:r>
          </w:p>
          <w:p>
            <w:pPr>
              <w:autoSpaceDN w:val="0"/>
              <w:spacing w:line="360" w:lineRule="auto"/>
              <w:ind w:firstLine="480" w:firstLineChars="200"/>
              <w:rPr>
                <w:color w:val="auto"/>
                <w:sz w:val="24"/>
                <w:highlight w:val="none"/>
              </w:rPr>
            </w:pPr>
            <w:r>
              <w:rPr>
                <w:color w:val="auto"/>
                <w:sz w:val="24"/>
                <w:highlight w:val="none"/>
              </w:rPr>
              <w:t>《电磁环境控制限值》（GB8702-2014）表1中给出了不同频率下电场、磁场所致公众</w:t>
            </w:r>
            <w:r>
              <w:rPr>
                <w:rFonts w:hint="eastAsia"/>
                <w:color w:val="auto"/>
                <w:sz w:val="24"/>
                <w:highlight w:val="none"/>
                <w:lang w:eastAsia="zh-CN"/>
              </w:rPr>
              <w:t>曝露</w:t>
            </w:r>
            <w:r>
              <w:rPr>
                <w:color w:val="auto"/>
                <w:sz w:val="24"/>
                <w:highlight w:val="none"/>
              </w:rPr>
              <w:t>控制限值，本项目为50Hz交流电，具体标准限值见表3.3-4</w:t>
            </w:r>
            <w:r>
              <w:rPr>
                <w:rFonts w:hint="eastAsia"/>
                <w:color w:val="auto"/>
                <w:sz w:val="24"/>
                <w:highlight w:val="none"/>
                <w:lang w:eastAsia="zh-CN"/>
              </w:rPr>
              <w:t>、</w:t>
            </w:r>
            <w:r>
              <w:rPr>
                <w:color w:val="auto"/>
                <w:sz w:val="24"/>
                <w:highlight w:val="none"/>
              </w:rPr>
              <w:t>表3.3-5。</w:t>
            </w:r>
          </w:p>
          <w:p>
            <w:pPr>
              <w:spacing w:line="440" w:lineRule="exact"/>
              <w:ind w:firstLine="480" w:firstLineChars="200"/>
              <w:jc w:val="center"/>
              <w:rPr>
                <w:bCs/>
                <w:color w:val="auto"/>
                <w:sz w:val="24"/>
                <w:highlight w:val="none"/>
              </w:rPr>
            </w:pPr>
            <w:r>
              <w:rPr>
                <w:bCs/>
                <w:color w:val="auto"/>
                <w:sz w:val="24"/>
                <w:highlight w:val="none"/>
              </w:rPr>
              <w:t>表</w:t>
            </w:r>
            <w:r>
              <w:rPr>
                <w:rFonts w:hint="eastAsia"/>
                <w:bCs/>
                <w:color w:val="auto"/>
                <w:sz w:val="24"/>
                <w:highlight w:val="none"/>
                <w:lang w:val="en-US" w:eastAsia="zh-CN"/>
              </w:rPr>
              <w:t xml:space="preserve">3-10  </w:t>
            </w:r>
            <w:r>
              <w:rPr>
                <w:bCs/>
                <w:color w:val="auto"/>
                <w:sz w:val="24"/>
                <w:highlight w:val="none"/>
              </w:rPr>
              <w:t>电磁环境公众</w:t>
            </w:r>
            <w:r>
              <w:rPr>
                <w:rFonts w:hint="eastAsia"/>
                <w:bCs/>
                <w:color w:val="auto"/>
                <w:sz w:val="24"/>
                <w:highlight w:val="none"/>
                <w:lang w:eastAsia="zh-CN"/>
              </w:rPr>
              <w:t>曝露</w:t>
            </w:r>
            <w:r>
              <w:rPr>
                <w:bCs/>
                <w:color w:val="auto"/>
                <w:sz w:val="24"/>
                <w:highlight w:val="none"/>
              </w:rPr>
              <w:t>控制限值</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0"/>
              <w:gridCol w:w="2871"/>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28"/>
                    <w:bidi w:val="0"/>
                  </w:pPr>
                  <w:r>
                    <w:t>频率范围</w:t>
                  </w:r>
                </w:p>
              </w:tc>
              <w:tc>
                <w:tcPr>
                  <w:tcW w:w="1666" w:type="pct"/>
                  <w:vAlign w:val="center"/>
                </w:tcPr>
                <w:p>
                  <w:pPr>
                    <w:pStyle w:val="28"/>
                    <w:bidi w:val="0"/>
                  </w:pPr>
                  <w:r>
                    <w:t>电场强度E</w:t>
                  </w:r>
                  <w:sdt>
                    <w:sdtPr>
                      <w:alias w:val="标点符号检查"/>
                      <w:id w:val="3000732"/>
                    </w:sdtPr>
                    <w:sdtContent>
                      <w:bookmarkStart w:id="6" w:name="bkReivew3000732"/>
                      <w:r>
                        <w:t>（</w:t>
                      </w:r>
                      <w:bookmarkEnd w:id="6"/>
                    </w:sdtContent>
                  </w:sdt>
                  <w:r>
                    <w:t>v/m）</w:t>
                  </w:r>
                </w:p>
              </w:tc>
              <w:tc>
                <w:tcPr>
                  <w:tcW w:w="1666" w:type="pct"/>
                  <w:vAlign w:val="center"/>
                </w:tcPr>
                <w:p>
                  <w:pPr>
                    <w:pStyle w:val="28"/>
                    <w:bidi w:val="0"/>
                  </w:pPr>
                  <w:r>
                    <w:t>磁感应强度B（μT）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28"/>
                    <w:bidi w:val="0"/>
                  </w:pPr>
                  <w:r>
                    <w:t>0.025kHz~1.2kHz</w:t>
                  </w:r>
                </w:p>
              </w:tc>
              <w:tc>
                <w:tcPr>
                  <w:tcW w:w="1666" w:type="pct"/>
                  <w:vAlign w:val="center"/>
                </w:tcPr>
                <w:p>
                  <w:pPr>
                    <w:pStyle w:val="28"/>
                    <w:bidi w:val="0"/>
                  </w:pPr>
                  <w:r>
                    <w:t>200/f</w:t>
                  </w:r>
                </w:p>
              </w:tc>
              <w:tc>
                <w:tcPr>
                  <w:tcW w:w="1666" w:type="pct"/>
                  <w:vAlign w:val="center"/>
                </w:tcPr>
                <w:p>
                  <w:pPr>
                    <w:pStyle w:val="28"/>
                    <w:bidi w:val="0"/>
                  </w:pPr>
                  <w:r>
                    <w:t>5/f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Pr>
                <w:p>
                  <w:pPr>
                    <w:pStyle w:val="28"/>
                    <w:bidi w:val="0"/>
                  </w:pPr>
                  <w:r>
                    <w:t>注1：频率f的单位为所在行中第一栏的单位；注</w:t>
                  </w:r>
                  <w:sdt>
                    <w:sdtPr>
                      <w:alias w:val="标点符号检查"/>
                      <w:id w:val="3082046"/>
                    </w:sdtPr>
                    <w:sdtContent>
                      <w:bookmarkStart w:id="7" w:name="bkReivew3082046"/>
                      <w:r>
                        <w:t>2：0</w:t>
                      </w:r>
                      <w:bookmarkEnd w:id="7"/>
                    </w:sdtContent>
                  </w:sdt>
                  <w:r>
                    <w:t>.1MHz~300HHz，场量参数是任意连续6分钟内的方均根值；注</w:t>
                  </w:r>
                  <w:sdt>
                    <w:sdtPr>
                      <w:alias w:val="标点符号检查"/>
                      <w:id w:val="1131645"/>
                    </w:sdtPr>
                    <w:sdtContent>
                      <w:bookmarkStart w:id="8" w:name="bkReivew1131645"/>
                      <w:r>
                        <w:t>3</w:t>
                      </w:r>
                      <w:r>
                        <w:rPr>
                          <w:rFonts w:hint="eastAsia"/>
                          <w:lang w:eastAsia="zh-CN"/>
                        </w:rPr>
                        <w:t>：</w:t>
                      </w:r>
                      <w:r>
                        <w:t>1000</w:t>
                      </w:r>
                      <w:bookmarkEnd w:id="8"/>
                    </w:sdtContent>
                  </w:sdt>
                  <w:r>
                    <w:t>kHz以下，需同时限制电场强度和磁感应强度。</w:t>
                  </w:r>
                </w:p>
              </w:tc>
            </w:tr>
          </w:tbl>
          <w:p>
            <w:pPr>
              <w:snapToGrid w:val="0"/>
              <w:spacing w:line="360" w:lineRule="auto"/>
              <w:ind w:firstLine="420"/>
              <w:jc w:val="center"/>
              <w:rPr>
                <w:color w:val="auto"/>
                <w:kern w:val="0"/>
                <w:sz w:val="24"/>
                <w:highlight w:val="none"/>
                <w:lang w:bidi="en-US"/>
              </w:rPr>
            </w:pPr>
            <w:r>
              <w:rPr>
                <w:color w:val="auto"/>
                <w:kern w:val="0"/>
                <w:sz w:val="24"/>
                <w:highlight w:val="none"/>
                <w:lang w:bidi="en-US"/>
              </w:rPr>
              <w:t>表</w:t>
            </w:r>
            <w:r>
              <w:rPr>
                <w:rFonts w:hint="eastAsia"/>
                <w:color w:val="auto"/>
                <w:kern w:val="0"/>
                <w:sz w:val="24"/>
                <w:highlight w:val="none"/>
                <w:lang w:val="en-US" w:eastAsia="zh-CN" w:bidi="en-US"/>
              </w:rPr>
              <w:t xml:space="preserve">3-11  </w:t>
            </w:r>
            <w:r>
              <w:rPr>
                <w:color w:val="auto"/>
                <w:kern w:val="0"/>
                <w:sz w:val="24"/>
                <w:highlight w:val="none"/>
                <w:lang w:bidi="en-US"/>
              </w:rPr>
              <w:t>项目所在区域执行的电磁环境质量标准</w:t>
            </w:r>
          </w:p>
          <w:tbl>
            <w:tblPr>
              <w:tblStyle w:val="14"/>
              <w:tblW w:w="86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9"/>
              <w:gridCol w:w="1140"/>
              <w:gridCol w:w="1710"/>
              <w:gridCol w:w="1290"/>
              <w:gridCol w:w="2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396" w:type="pct"/>
                  <w:vMerge w:val="restart"/>
                  <w:vAlign w:val="center"/>
                </w:tcPr>
                <w:p>
                  <w:pPr>
                    <w:pStyle w:val="28"/>
                    <w:bidi w:val="0"/>
                  </w:pPr>
                  <w:r>
                    <w:t>标准名称</w:t>
                  </w:r>
                </w:p>
              </w:tc>
              <w:tc>
                <w:tcPr>
                  <w:tcW w:w="660" w:type="pct"/>
                  <w:vMerge w:val="restart"/>
                  <w:vAlign w:val="center"/>
                </w:tcPr>
                <w:p>
                  <w:pPr>
                    <w:pStyle w:val="28"/>
                    <w:bidi w:val="0"/>
                  </w:pPr>
                  <w:r>
                    <w:t>适用类别</w:t>
                  </w:r>
                </w:p>
              </w:tc>
              <w:tc>
                <w:tcPr>
                  <w:tcW w:w="1739" w:type="pct"/>
                  <w:gridSpan w:val="2"/>
                  <w:vAlign w:val="center"/>
                </w:tcPr>
                <w:p>
                  <w:pPr>
                    <w:pStyle w:val="28"/>
                    <w:bidi w:val="0"/>
                  </w:pPr>
                  <w:r>
                    <w:t>标准限值</w:t>
                  </w:r>
                </w:p>
              </w:tc>
              <w:tc>
                <w:tcPr>
                  <w:tcW w:w="1203" w:type="pct"/>
                  <w:vMerge w:val="restart"/>
                  <w:vAlign w:val="center"/>
                </w:tcPr>
                <w:p>
                  <w:pPr>
                    <w:pStyle w:val="28"/>
                    <w:bidi w:val="0"/>
                  </w:pPr>
                  <w:r>
                    <w:t>评价对象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396" w:type="pct"/>
                  <w:vMerge w:val="continue"/>
                  <w:vAlign w:val="center"/>
                </w:tcPr>
                <w:p>
                  <w:pPr>
                    <w:pStyle w:val="28"/>
                    <w:bidi w:val="0"/>
                  </w:pPr>
                </w:p>
              </w:tc>
              <w:tc>
                <w:tcPr>
                  <w:tcW w:w="660" w:type="pct"/>
                  <w:vMerge w:val="continue"/>
                  <w:vAlign w:val="center"/>
                </w:tcPr>
                <w:p>
                  <w:pPr>
                    <w:pStyle w:val="28"/>
                    <w:bidi w:val="0"/>
                  </w:pPr>
                </w:p>
              </w:tc>
              <w:tc>
                <w:tcPr>
                  <w:tcW w:w="991" w:type="pct"/>
                  <w:vAlign w:val="center"/>
                </w:tcPr>
                <w:p>
                  <w:pPr>
                    <w:pStyle w:val="28"/>
                    <w:bidi w:val="0"/>
                  </w:pPr>
                  <w:r>
                    <w:t>参数名称</w:t>
                  </w:r>
                </w:p>
              </w:tc>
              <w:tc>
                <w:tcPr>
                  <w:tcW w:w="747" w:type="pct"/>
                  <w:vAlign w:val="center"/>
                </w:tcPr>
                <w:p>
                  <w:pPr>
                    <w:pStyle w:val="28"/>
                    <w:bidi w:val="0"/>
                  </w:pPr>
                  <w:r>
                    <w:t>浓度限值</w:t>
                  </w:r>
                </w:p>
              </w:tc>
              <w:tc>
                <w:tcPr>
                  <w:tcW w:w="1203" w:type="pct"/>
                  <w:vMerge w:val="continue"/>
                  <w:vAlign w:val="center"/>
                </w:tcPr>
                <w:p>
                  <w:pPr>
                    <w:pStyle w:val="28"/>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396" w:type="pct"/>
                  <w:vMerge w:val="restart"/>
                  <w:vAlign w:val="center"/>
                </w:tcPr>
                <w:p>
                  <w:pPr>
                    <w:pStyle w:val="28"/>
                    <w:bidi w:val="0"/>
                  </w:pPr>
                  <w:r>
                    <w:t>《电磁环境控制限值》（GB8702-2014）</w:t>
                  </w:r>
                </w:p>
              </w:tc>
              <w:tc>
                <w:tcPr>
                  <w:tcW w:w="660" w:type="pct"/>
                  <w:vMerge w:val="restart"/>
                  <w:vAlign w:val="center"/>
                </w:tcPr>
                <w:p>
                  <w:pPr>
                    <w:pStyle w:val="28"/>
                    <w:bidi w:val="0"/>
                  </w:pPr>
                  <w:r>
                    <w:t>50Hz</w:t>
                  </w:r>
                </w:p>
              </w:tc>
              <w:tc>
                <w:tcPr>
                  <w:tcW w:w="991" w:type="pct"/>
                  <w:vAlign w:val="center"/>
                </w:tcPr>
                <w:p>
                  <w:pPr>
                    <w:pStyle w:val="28"/>
                    <w:bidi w:val="0"/>
                  </w:pPr>
                  <w:r>
                    <w:t>工频电场强度</w:t>
                  </w:r>
                </w:p>
              </w:tc>
              <w:tc>
                <w:tcPr>
                  <w:tcW w:w="747" w:type="pct"/>
                  <w:vAlign w:val="center"/>
                </w:tcPr>
                <w:p>
                  <w:pPr>
                    <w:pStyle w:val="28"/>
                    <w:bidi w:val="0"/>
                  </w:pPr>
                  <w:r>
                    <w:t>4000V/m</w:t>
                  </w:r>
                </w:p>
              </w:tc>
              <w:tc>
                <w:tcPr>
                  <w:tcW w:w="1203" w:type="pct"/>
                  <w:vMerge w:val="restart"/>
                  <w:vAlign w:val="center"/>
                </w:tcPr>
                <w:p>
                  <w:pPr>
                    <w:pStyle w:val="28"/>
                    <w:bidi w:val="0"/>
                  </w:pPr>
                  <w:r>
                    <w:t>电磁评价范围内公众曝露控制限值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396" w:type="pct"/>
                  <w:vMerge w:val="continue"/>
                  <w:vAlign w:val="center"/>
                </w:tcPr>
                <w:p>
                  <w:pPr>
                    <w:pStyle w:val="28"/>
                    <w:bidi w:val="0"/>
                  </w:pPr>
                </w:p>
              </w:tc>
              <w:tc>
                <w:tcPr>
                  <w:tcW w:w="660" w:type="pct"/>
                  <w:vMerge w:val="continue"/>
                  <w:vAlign w:val="center"/>
                </w:tcPr>
                <w:p>
                  <w:pPr>
                    <w:pStyle w:val="28"/>
                    <w:bidi w:val="0"/>
                  </w:pPr>
                </w:p>
              </w:tc>
              <w:tc>
                <w:tcPr>
                  <w:tcW w:w="991" w:type="pct"/>
                  <w:vAlign w:val="center"/>
                </w:tcPr>
                <w:p>
                  <w:pPr>
                    <w:pStyle w:val="28"/>
                    <w:bidi w:val="0"/>
                  </w:pPr>
                  <w:r>
                    <w:t>工频磁感应强度</w:t>
                  </w:r>
                </w:p>
              </w:tc>
              <w:tc>
                <w:tcPr>
                  <w:tcW w:w="747" w:type="pct"/>
                  <w:vAlign w:val="center"/>
                </w:tcPr>
                <w:p>
                  <w:pPr>
                    <w:pStyle w:val="28"/>
                    <w:bidi w:val="0"/>
                  </w:pPr>
                  <w:r>
                    <w:t>100μT</w:t>
                  </w:r>
                </w:p>
              </w:tc>
              <w:tc>
                <w:tcPr>
                  <w:tcW w:w="1203" w:type="pct"/>
                  <w:vMerge w:val="continue"/>
                  <w:vAlign w:val="center"/>
                </w:tcPr>
                <w:p>
                  <w:pPr>
                    <w:pStyle w:val="28"/>
                    <w:bidi w:val="0"/>
                  </w:pPr>
                </w:p>
              </w:tc>
            </w:tr>
          </w:tbl>
          <w:p>
            <w:pPr>
              <w:pStyle w:val="29"/>
              <w:ind w:firstLine="482"/>
              <w:rPr>
                <w:b/>
                <w:bCs/>
              </w:rPr>
            </w:pPr>
            <w:r>
              <w:rPr>
                <w:rFonts w:hint="eastAsia"/>
                <w:b/>
                <w:bCs/>
              </w:rPr>
              <w:t>3.</w:t>
            </w:r>
            <w:r>
              <w:rPr>
                <w:b/>
                <w:bCs/>
              </w:rPr>
              <w:t>5</w:t>
            </w:r>
            <w:r>
              <w:rPr>
                <w:rFonts w:hint="eastAsia"/>
                <w:b/>
                <w:bCs/>
                <w:lang w:val="en-US" w:eastAsia="zh-CN"/>
              </w:rPr>
              <w:t xml:space="preserve"> </w:t>
            </w:r>
            <w:r>
              <w:rPr>
                <w:b/>
                <w:bCs/>
              </w:rPr>
              <w:t>污染物排放标准</w:t>
            </w:r>
          </w:p>
          <w:p>
            <w:pPr>
              <w:pStyle w:val="29"/>
              <w:ind w:firstLine="482"/>
              <w:rPr>
                <w:b/>
                <w:bCs/>
              </w:rPr>
            </w:pPr>
            <w:r>
              <w:rPr>
                <w:rFonts w:hint="eastAsia"/>
                <w:b/>
                <w:bCs/>
              </w:rPr>
              <w:t>3.</w:t>
            </w:r>
            <w:r>
              <w:rPr>
                <w:b/>
                <w:bCs/>
              </w:rPr>
              <w:t>5.1</w:t>
            </w:r>
            <w:r>
              <w:rPr>
                <w:rFonts w:hint="eastAsia"/>
                <w:b/>
                <w:bCs/>
                <w:lang w:val="en-US" w:eastAsia="zh-CN"/>
              </w:rPr>
              <w:t xml:space="preserve"> </w:t>
            </w:r>
            <w:r>
              <w:rPr>
                <w:rFonts w:hint="eastAsia"/>
                <w:b/>
                <w:bCs/>
              </w:rPr>
              <w:t>废气</w:t>
            </w:r>
          </w:p>
          <w:p>
            <w:pPr>
              <w:pStyle w:val="29"/>
              <w:ind w:firstLine="480"/>
            </w:pPr>
            <w:r>
              <w:rPr>
                <w:rFonts w:hint="eastAsia"/>
              </w:rPr>
              <w:t>施工期大气污染物排放执行重庆市《大气污染物综合排放标准》（DB50/418-2016）中其他区域限值。</w:t>
            </w:r>
          </w:p>
          <w:p>
            <w:pPr>
              <w:pStyle w:val="29"/>
              <w:ind w:firstLine="480"/>
            </w:pPr>
            <w:r>
              <w:rPr>
                <w:rFonts w:hint="eastAsia"/>
              </w:rPr>
              <w:t>运营期食堂油烟废气</w:t>
            </w:r>
            <w:r>
              <w:rPr>
                <w:rFonts w:hint="eastAsia"/>
                <w:lang w:val="en-US" w:eastAsia="zh-CN"/>
              </w:rPr>
              <w:t>经油烟净化器处理后通过专用管道引至楼顶排放</w:t>
            </w:r>
            <w:r>
              <w:rPr>
                <w:rFonts w:hint="eastAsia"/>
              </w:rPr>
              <w:t>。</w:t>
            </w:r>
          </w:p>
          <w:p>
            <w:pPr>
              <w:pStyle w:val="29"/>
              <w:ind w:firstLine="482"/>
              <w:rPr>
                <w:b/>
                <w:bCs/>
              </w:rPr>
            </w:pPr>
            <w:r>
              <w:rPr>
                <w:rFonts w:hint="eastAsia"/>
                <w:b/>
                <w:bCs/>
              </w:rPr>
              <w:t>3.</w:t>
            </w:r>
            <w:r>
              <w:rPr>
                <w:b/>
                <w:bCs/>
              </w:rPr>
              <w:t>5.2</w:t>
            </w:r>
            <w:r>
              <w:rPr>
                <w:rFonts w:hint="eastAsia"/>
                <w:b/>
                <w:bCs/>
                <w:lang w:val="en-US" w:eastAsia="zh-CN"/>
              </w:rPr>
              <w:t xml:space="preserve"> </w:t>
            </w:r>
            <w:r>
              <w:rPr>
                <w:rFonts w:hint="eastAsia"/>
                <w:b/>
                <w:bCs/>
              </w:rPr>
              <w:t>废水</w:t>
            </w:r>
          </w:p>
          <w:p>
            <w:pPr>
              <w:pStyle w:val="29"/>
              <w:ind w:firstLine="480"/>
            </w:pPr>
            <w:r>
              <w:rPr>
                <w:rFonts w:hint="eastAsia"/>
              </w:rPr>
              <w:t>运行期升压站废水经化粪池及一体化污水处理设施</w:t>
            </w:r>
            <w:r>
              <w:rPr>
                <w:rFonts w:hint="eastAsia"/>
                <w:lang w:eastAsia="zh-CN"/>
              </w:rPr>
              <w:t>处理后用作周边农肥，不外排</w:t>
            </w:r>
            <w:r>
              <w:rPr>
                <w:rFonts w:hint="eastAsia"/>
              </w:rPr>
              <w:t>。</w:t>
            </w:r>
          </w:p>
          <w:p>
            <w:pPr>
              <w:pStyle w:val="29"/>
              <w:ind w:firstLine="482"/>
              <w:rPr>
                <w:b/>
                <w:bCs/>
              </w:rPr>
            </w:pPr>
            <w:r>
              <w:rPr>
                <w:rFonts w:hint="eastAsia"/>
                <w:b/>
                <w:bCs/>
              </w:rPr>
              <w:t>3.</w:t>
            </w:r>
            <w:r>
              <w:rPr>
                <w:b/>
                <w:bCs/>
              </w:rPr>
              <w:t>5</w:t>
            </w:r>
            <w:r>
              <w:rPr>
                <w:rFonts w:hint="eastAsia"/>
                <w:b/>
                <w:bCs/>
              </w:rPr>
              <w:t>.</w:t>
            </w:r>
            <w:r>
              <w:rPr>
                <w:b/>
                <w:bCs/>
              </w:rPr>
              <w:t>3</w:t>
            </w:r>
            <w:r>
              <w:rPr>
                <w:rFonts w:hint="eastAsia"/>
                <w:b/>
                <w:bCs/>
                <w:lang w:val="en-US" w:eastAsia="zh-CN"/>
              </w:rPr>
              <w:t xml:space="preserve"> </w:t>
            </w:r>
            <w:r>
              <w:rPr>
                <w:b/>
                <w:bCs/>
              </w:rPr>
              <w:t>噪声</w:t>
            </w:r>
          </w:p>
          <w:p>
            <w:pPr>
              <w:pStyle w:val="29"/>
              <w:ind w:firstLine="480"/>
            </w:pPr>
            <w:r>
              <w:t>施工期噪声执行《建筑施工场界环境噪声排放标准》（GB12523-2011）</w:t>
            </w:r>
            <w:r>
              <w:rPr>
                <w:rFonts w:hint="eastAsia"/>
              </w:rPr>
              <w:t>，</w:t>
            </w:r>
            <w:r>
              <w:rPr>
                <w:rFonts w:hint="eastAsia"/>
                <w:lang w:val="en-US" w:eastAsia="zh-CN"/>
              </w:rPr>
              <w:t>运营期</w:t>
            </w:r>
            <w:r>
              <w:rPr>
                <w:rFonts w:hint="eastAsia"/>
              </w:rPr>
              <w:t>升压站噪声执行《工业企业厂界环境噪声排放标准》（</w:t>
            </w:r>
            <w:r>
              <w:t>GB12348-2008</w:t>
            </w:r>
            <w:r>
              <w:rPr>
                <w:rFonts w:hint="eastAsia"/>
              </w:rPr>
              <w:t>）2类标准</w:t>
            </w:r>
            <w:r>
              <w:rPr>
                <w:rFonts w:hint="eastAsia"/>
                <w:lang w:eastAsia="zh-CN"/>
              </w:rPr>
              <w:t>，</w:t>
            </w:r>
            <w:r>
              <w:t>光伏</w:t>
            </w:r>
            <w:r>
              <w:rPr>
                <w:rFonts w:hint="eastAsia"/>
              </w:rPr>
              <w:t>列阵</w:t>
            </w:r>
            <w:r>
              <w:t>本身没有机械传动机构或运动部件，运行</w:t>
            </w:r>
            <w:r>
              <w:rPr>
                <w:rFonts w:hint="eastAsia"/>
              </w:rPr>
              <w:t>期间</w:t>
            </w:r>
            <w:r>
              <w:t>没有噪声产生</w:t>
            </w:r>
            <w:r>
              <w:rPr>
                <w:rFonts w:hint="eastAsia"/>
              </w:rPr>
              <w:t>。</w:t>
            </w:r>
          </w:p>
          <w:p>
            <w:pPr>
              <w:pStyle w:val="29"/>
              <w:ind w:firstLine="0" w:firstLineChars="0"/>
              <w:jc w:val="center"/>
            </w:pPr>
            <w:r>
              <w:t>表</w:t>
            </w:r>
            <w:r>
              <w:rPr>
                <w:rFonts w:hint="eastAsia"/>
              </w:rPr>
              <w:t>3-1</w:t>
            </w:r>
            <w:r>
              <w:rPr>
                <w:rFonts w:hint="eastAsia"/>
                <w:lang w:val="en-US" w:eastAsia="zh-CN"/>
              </w:rPr>
              <w:t>2</w:t>
            </w:r>
            <w:r>
              <w:t xml:space="preserve">  </w:t>
            </w:r>
            <w:r>
              <w:rPr>
                <w:rFonts w:hint="eastAsia"/>
              </w:rPr>
              <w:t>噪声排</w:t>
            </w:r>
            <w:r>
              <w:t>放标准</w:t>
            </w:r>
            <w:r>
              <w:rPr>
                <w:rFonts w:hint="eastAsia"/>
              </w:rPr>
              <w:t>限值</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936"/>
              <w:gridCol w:w="719"/>
              <w:gridCol w:w="1396"/>
              <w:gridCol w:w="1568"/>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要素</w:t>
                  </w:r>
                </w:p>
                <w:p>
                  <w:pPr>
                    <w:pStyle w:val="28"/>
                  </w:pPr>
                  <w:r>
                    <w:t>分类</w:t>
                  </w:r>
                </w:p>
              </w:tc>
              <w:tc>
                <w:tcPr>
                  <w:tcW w:w="170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标准名称</w:t>
                  </w:r>
                </w:p>
              </w:tc>
              <w:tc>
                <w:tcPr>
                  <w:tcW w:w="4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适用</w:t>
                  </w:r>
                </w:p>
                <w:p>
                  <w:pPr>
                    <w:pStyle w:val="28"/>
                  </w:pPr>
                  <w:r>
                    <w:t>类别</w:t>
                  </w:r>
                </w:p>
              </w:tc>
              <w:tc>
                <w:tcPr>
                  <w:tcW w:w="172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标准值</w:t>
                  </w:r>
                </w:p>
              </w:tc>
              <w:tc>
                <w:tcPr>
                  <w:tcW w:w="74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评价对象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pPr>
                </w:p>
              </w:tc>
              <w:tc>
                <w:tcPr>
                  <w:tcW w:w="17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pPr>
                </w:p>
              </w:tc>
              <w:tc>
                <w:tcPr>
                  <w:tcW w:w="4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参数名称</w:t>
                  </w:r>
                </w:p>
              </w:tc>
              <w:tc>
                <w:tcPr>
                  <w:tcW w:w="9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限值</w:t>
                  </w:r>
                </w:p>
              </w:tc>
              <w:tc>
                <w:tcPr>
                  <w:tcW w:w="7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施工噪声</w:t>
                  </w:r>
                </w:p>
              </w:tc>
              <w:tc>
                <w:tcPr>
                  <w:tcW w:w="17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《建筑施工场界环境噪声排放标准》（GB12523-2011）</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等效连续A声级Leq</w:t>
                  </w:r>
                </w:p>
              </w:tc>
              <w:tc>
                <w:tcPr>
                  <w:tcW w:w="9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昼间70dB(A)</w:t>
                  </w:r>
                </w:p>
                <w:p>
                  <w:pPr>
                    <w:pStyle w:val="28"/>
                  </w:pPr>
                  <w:r>
                    <w:t>夜间55dB(A)</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t>施工期场界噪声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rPr>
                      <w:rFonts w:hint="eastAsia"/>
                    </w:rPr>
                    <w:t>厂界</w:t>
                  </w:r>
                </w:p>
                <w:p>
                  <w:pPr>
                    <w:pStyle w:val="28"/>
                  </w:pPr>
                  <w:r>
                    <w:rPr>
                      <w:rFonts w:hint="eastAsia"/>
                    </w:rPr>
                    <w:t>噪声</w:t>
                  </w:r>
                </w:p>
              </w:tc>
              <w:tc>
                <w:tcPr>
                  <w:tcW w:w="17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rPr>
                      <w:rFonts w:hint="eastAsia"/>
                    </w:rPr>
                    <w:t>《工业企业厂界环境噪声排放标准》（</w:t>
                  </w:r>
                  <w:r>
                    <w:t>GB12348-2008</w:t>
                  </w:r>
                  <w:r>
                    <w:rPr>
                      <w:rFonts w:hint="eastAsia"/>
                    </w:rPr>
                    <w:t>）</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rPr>
                      <w:rFonts w:hint="eastAsia"/>
                    </w:rPr>
                    <w:t>2类</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rPr>
                      <w:rFonts w:hint="eastAsia"/>
                    </w:rPr>
                    <w:t>等效连续</w:t>
                  </w:r>
                  <w:r>
                    <w:t>A</w:t>
                  </w:r>
                  <w:r>
                    <w:rPr>
                      <w:rFonts w:hint="eastAsia"/>
                    </w:rPr>
                    <w:t>声级</w:t>
                  </w:r>
                  <w:r>
                    <w:t>Leq</w:t>
                  </w:r>
                </w:p>
              </w:tc>
              <w:tc>
                <w:tcPr>
                  <w:tcW w:w="9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rPr>
                      <w:rFonts w:hint="eastAsia"/>
                    </w:rPr>
                    <w:t>昼间60</w:t>
                  </w:r>
                  <w:r>
                    <w:t>dB(A)</w:t>
                  </w:r>
                </w:p>
                <w:p>
                  <w:pPr>
                    <w:pStyle w:val="28"/>
                  </w:pPr>
                  <w:r>
                    <w:rPr>
                      <w:rFonts w:hint="eastAsia"/>
                    </w:rPr>
                    <w:t>夜间50</w:t>
                  </w:r>
                  <w:r>
                    <w:t>dB(A)</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pPr>
                  <w:r>
                    <w:rPr>
                      <w:rFonts w:hint="eastAsia"/>
                    </w:rPr>
                    <w:t>升压站四周</w:t>
                  </w:r>
                </w:p>
              </w:tc>
            </w:tr>
          </w:tbl>
          <w:p>
            <w:pPr>
              <w:pStyle w:val="29"/>
              <w:ind w:firstLine="482"/>
              <w:rPr>
                <w:b/>
                <w:bCs/>
              </w:rPr>
            </w:pPr>
            <w:r>
              <w:rPr>
                <w:rFonts w:hint="eastAsia"/>
                <w:b/>
                <w:bCs/>
              </w:rPr>
              <w:t>3.5.4</w:t>
            </w:r>
            <w:r>
              <w:rPr>
                <w:rFonts w:hint="eastAsia"/>
                <w:b/>
                <w:bCs/>
                <w:lang w:val="en-US" w:eastAsia="zh-CN"/>
              </w:rPr>
              <w:t xml:space="preserve"> </w:t>
            </w:r>
            <w:r>
              <w:rPr>
                <w:rFonts w:hint="eastAsia"/>
                <w:b/>
                <w:bCs/>
              </w:rPr>
              <w:t>固体废物</w:t>
            </w:r>
          </w:p>
          <w:p>
            <w:pPr>
              <w:pStyle w:val="29"/>
              <w:ind w:firstLine="480"/>
            </w:pPr>
            <w:r>
              <w:t>一般工业固体废物：</w:t>
            </w:r>
            <w:r>
              <w:rPr>
                <w:rFonts w:hint="eastAsia"/>
              </w:rPr>
              <w:t>根据《一般工业固体废物贮存和填埋污染控制标准》（GB18599-2020），</w:t>
            </w:r>
            <w:r>
              <w:t>贮存过程满足防渗漏、防雨淋、防扬尘等环境保护要求</w:t>
            </w:r>
            <w:r>
              <w:rPr>
                <w:rFonts w:hint="eastAsia"/>
              </w:rPr>
              <w:t>。</w:t>
            </w:r>
          </w:p>
          <w:p>
            <w:pPr>
              <w:pStyle w:val="29"/>
              <w:ind w:firstLine="480"/>
            </w:pPr>
            <w:r>
              <w:rPr>
                <w:rFonts w:hint="eastAsia"/>
              </w:rPr>
              <w:t>危险废物</w:t>
            </w:r>
            <w:r>
              <w:rPr>
                <w:rFonts w:hint="eastAsia"/>
                <w:lang w:eastAsia="zh-CN"/>
              </w:rPr>
              <w:t>：</w:t>
            </w:r>
            <w:r>
              <w:rPr>
                <w:rFonts w:hint="eastAsia"/>
              </w:rPr>
              <w:t>执行《危险废物贮存污染控制标准》（GB18597-2023）及《危险废物转移管理办法》（部令第23号）中相关要求。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其他</w:t>
            </w:r>
          </w:p>
        </w:tc>
        <w:tc>
          <w:tcPr>
            <w:tcW w:w="8843" w:type="dxa"/>
            <w:vAlign w:val="center"/>
          </w:tcPr>
          <w:p>
            <w:pPr>
              <w:pStyle w:val="29"/>
              <w:ind w:firstLine="480"/>
              <w:rPr>
                <w:rFonts w:hint="eastAsia"/>
                <w:color w:val="auto"/>
                <w:kern w:val="0"/>
                <w:sz w:val="24"/>
                <w:highlight w:val="none"/>
                <w:lang w:eastAsia="zh-CN"/>
              </w:rPr>
            </w:pPr>
            <w:r>
              <w:rPr>
                <w:color w:val="auto"/>
                <w:kern w:val="0"/>
                <w:sz w:val="24"/>
                <w:highlight w:val="none"/>
              </w:rPr>
              <w:t>本项目为光伏发电工程，运营期员工值守生活污水经收集处理</w:t>
            </w:r>
            <w:r>
              <w:rPr>
                <w:rFonts w:hint="eastAsia"/>
                <w:lang w:eastAsia="zh-CN"/>
              </w:rPr>
              <w:t>后用作周边农肥；</w:t>
            </w:r>
            <w:r>
              <w:rPr>
                <w:color w:val="auto"/>
                <w:kern w:val="0"/>
                <w:sz w:val="24"/>
                <w:highlight w:val="none"/>
              </w:rPr>
              <w:t>主要环境影响因子为工频电场、工频磁场和噪声，均不属于国家总量控制指标。故本项目光伏发电工程环境影响因子在满足国家相应控制标准的前提下，不需再进行总量控制</w:t>
            </w:r>
            <w:r>
              <w:rPr>
                <w:rFonts w:hint="eastAsia"/>
                <w:color w:val="auto"/>
                <w:kern w:val="0"/>
                <w:sz w:val="24"/>
                <w:highlight w:val="none"/>
                <w:lang w:eastAsia="zh-CN"/>
              </w:rPr>
              <w:t>。</w:t>
            </w:r>
          </w:p>
        </w:tc>
      </w:tr>
    </w:tbl>
    <w:p>
      <w:pPr>
        <w:pStyle w:val="12"/>
        <w:adjustRightInd w:val="0"/>
        <w:snapToGrid w:val="0"/>
        <w:spacing w:before="0" w:beforeAutospacing="0" w:after="0" w:afterAutospacing="0" w:line="14" w:lineRule="auto"/>
        <w:jc w:val="center"/>
        <w:outlineLvl w:val="0"/>
        <w:rPr>
          <w:rFonts w:ascii="黑体" w:hAnsi="黑体" w:eastAsia="黑体"/>
          <w:snapToGrid w:val="0"/>
          <w:kern w:val="2"/>
          <w:sz w:val="36"/>
          <w:szCs w:val="36"/>
        </w:rPr>
      </w:pPr>
    </w:p>
    <w:p>
      <w:pPr>
        <w:pStyle w:val="12"/>
        <w:jc w:val="center"/>
        <w:outlineLvl w:val="0"/>
        <w:rPr>
          <w:rFonts w:ascii="黑体" w:hAnsi="黑体" w:eastAsia="黑体"/>
          <w:snapToGrid w:val="0"/>
          <w:sz w:val="30"/>
          <w:szCs w:val="30"/>
        </w:rPr>
      </w:pPr>
      <w:r>
        <w:rPr>
          <w:rFonts w:ascii="黑体" w:hAnsi="黑体" w:eastAsia="黑体"/>
          <w:snapToGrid w:val="0"/>
          <w:kern w:val="2"/>
          <w:sz w:val="36"/>
          <w:szCs w:val="36"/>
        </w:rPr>
        <w:br w:type="page"/>
      </w:r>
      <w:r>
        <w:rPr>
          <w:rFonts w:hint="eastAsia" w:ascii="黑体" w:hAnsi="黑体" w:eastAsia="黑体"/>
          <w:snapToGrid w:val="0"/>
          <w:sz w:val="30"/>
          <w:szCs w:val="30"/>
        </w:rPr>
        <w:t>四、生态环境影响分析</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tcMar>
              <w:left w:w="28" w:type="dxa"/>
              <w:right w:w="28" w:type="dxa"/>
            </w:tcMar>
            <w:vAlign w:val="center"/>
          </w:tcPr>
          <w:p>
            <w:pPr>
              <w:pStyle w:val="12"/>
              <w:adjustRightInd w:val="0"/>
              <w:snapToGrid w:val="0"/>
              <w:spacing w:before="0" w:beforeAutospacing="0" w:after="0" w:afterAutospacing="0" w:line="240" w:lineRule="auto"/>
              <w:ind w:firstLine="0" w:firstLineChars="0"/>
              <w:jc w:val="center"/>
              <w:rPr>
                <w:rFonts w:cs="宋体"/>
                <w:bCs/>
                <w:kern w:val="2"/>
              </w:rPr>
            </w:pPr>
            <w:bookmarkStart w:id="9" w:name="_Hlk49796138"/>
            <w:r>
              <w:rPr>
                <w:rFonts w:hint="eastAsia" w:cs="宋体"/>
                <w:bCs/>
                <w:spacing w:val="10"/>
                <w:kern w:val="2"/>
              </w:rPr>
              <w:t>施工期生态环境影响分析</w:t>
            </w:r>
            <w:bookmarkEnd w:id="9"/>
          </w:p>
        </w:tc>
        <w:tc>
          <w:tcPr>
            <w:tcW w:w="8871" w:type="dxa"/>
          </w:tcPr>
          <w:p>
            <w:pPr>
              <w:pStyle w:val="29"/>
              <w:ind w:firstLine="482"/>
              <w:rPr>
                <w:b/>
                <w:bCs/>
              </w:rPr>
            </w:pPr>
            <w:r>
              <w:rPr>
                <w:b/>
                <w:bCs/>
              </w:rPr>
              <w:t>4.1</w:t>
            </w:r>
            <w:r>
              <w:rPr>
                <w:rFonts w:hint="eastAsia"/>
                <w:b/>
                <w:bCs/>
              </w:rPr>
              <w:t xml:space="preserve"> 施工期生态环境影响分析</w:t>
            </w:r>
          </w:p>
          <w:p>
            <w:pPr>
              <w:pStyle w:val="29"/>
              <w:ind w:firstLine="480"/>
            </w:pPr>
            <w:r>
              <w:rPr>
                <w:rFonts w:hint="eastAsia"/>
              </w:rPr>
              <w:t>本工程的生态环境影响主要集中在施工期。施工过程中进行土石方挖填，包括升压站施工、道路工程、设施基础施工等，一方面要挖除现有地表植被以及农作物，进行基础混凝土浇筑；另一方面，施工机械和人员的活动也会对地表植被和农作物造成破坏，引起土壤侵蚀及水土流失。光伏项目建设在一定程度上将改变原有动物栖息环境，惊扰动物正常活动。</w:t>
            </w:r>
          </w:p>
          <w:p>
            <w:pPr>
              <w:pStyle w:val="29"/>
              <w:ind w:firstLine="480"/>
            </w:pPr>
            <w:r>
              <w:rPr>
                <w:rFonts w:hint="eastAsia"/>
              </w:rPr>
              <w:t>施工期对区域生态环境的影响主要表现在土壤扰动后，随着地表植被的破坏，可能造成水土流失；施工噪声对当地野生动物及鸟类栖息环境的影响。</w:t>
            </w:r>
          </w:p>
          <w:p>
            <w:pPr>
              <w:pStyle w:val="29"/>
              <w:ind w:firstLine="482"/>
              <w:rPr>
                <w:b/>
                <w:bCs/>
              </w:rPr>
            </w:pPr>
            <w:r>
              <w:rPr>
                <w:rFonts w:hint="eastAsia"/>
                <w:b/>
                <w:bCs/>
              </w:rPr>
              <w:t>4</w:t>
            </w:r>
            <w:r>
              <w:rPr>
                <w:b/>
                <w:bCs/>
              </w:rPr>
              <w:t>.1</w:t>
            </w:r>
            <w:r>
              <w:rPr>
                <w:rFonts w:hint="eastAsia"/>
                <w:b/>
                <w:bCs/>
              </w:rPr>
              <w:t>.</w:t>
            </w:r>
            <w:r>
              <w:rPr>
                <w:b/>
                <w:bCs/>
              </w:rPr>
              <w:t>1</w:t>
            </w:r>
            <w:r>
              <w:rPr>
                <w:rFonts w:hint="eastAsia"/>
                <w:b/>
                <w:bCs/>
              </w:rPr>
              <w:t xml:space="preserve"> 对土地利用的影响</w:t>
            </w:r>
          </w:p>
          <w:p>
            <w:pPr>
              <w:pStyle w:val="29"/>
              <w:ind w:firstLine="480"/>
              <w:rPr>
                <w:rFonts w:hint="eastAsia"/>
              </w:rPr>
            </w:pPr>
            <w:r>
              <w:rPr>
                <w:rFonts w:hint="eastAsia"/>
              </w:rPr>
              <w:t>项目建设对评价区域的影响主要</w:t>
            </w:r>
            <w:r>
              <w:rPr>
                <w:rFonts w:hint="eastAsia"/>
                <w:lang w:eastAsia="zh-CN"/>
              </w:rPr>
              <w:t>来自</w:t>
            </w:r>
            <w:r>
              <w:rPr>
                <w:rFonts w:hint="eastAsia"/>
              </w:rPr>
              <w:t>工程永久和临时占地，项目占地将改变原有土地利用类型，尤其是永久占地。</w:t>
            </w:r>
            <w:r>
              <w:rPr>
                <w:rFonts w:hint="eastAsia"/>
                <w:lang w:val="en-US" w:eastAsia="zh-CN"/>
              </w:rPr>
              <w:t>经勘查核实，本项目场址占地不涉及永久基本农田、生态保护红线及国家及重庆市公益林。</w:t>
            </w:r>
          </w:p>
          <w:p>
            <w:pPr>
              <w:pStyle w:val="29"/>
              <w:ind w:firstLine="480"/>
              <w:rPr>
                <w:rFonts w:hint="eastAsia"/>
                <w:lang w:eastAsia="zh-CN"/>
              </w:rPr>
            </w:pPr>
            <w:r>
              <w:rPr>
                <w:rFonts w:hint="eastAsia"/>
              </w:rPr>
              <w:t>临时占地在施工结束后将恢复原有土地利用类型，对环境的影响较小。项目</w:t>
            </w:r>
            <w:r>
              <w:rPr>
                <w:rFonts w:hint="eastAsia"/>
                <w:lang w:val="en-US" w:eastAsia="zh-CN"/>
              </w:rPr>
              <w:t>临时</w:t>
            </w:r>
            <w:r>
              <w:rPr>
                <w:rFonts w:hint="eastAsia"/>
              </w:rPr>
              <w:t>占地包括光伏板基础、箱变基础和进站道路</w:t>
            </w:r>
            <w:r>
              <w:rPr>
                <w:rFonts w:hint="eastAsia"/>
                <w:lang w:val="en-US" w:eastAsia="zh-CN"/>
              </w:rPr>
              <w:t>等，项目永久占地主要为升压站建设</w:t>
            </w:r>
            <w:r>
              <w:rPr>
                <w:rFonts w:hint="eastAsia"/>
                <w:lang w:eastAsia="zh-CN"/>
              </w:rPr>
              <w:t>。</w:t>
            </w:r>
            <w:r>
              <w:rPr>
                <w:rFonts w:hint="eastAsia"/>
                <w:lang w:val="en-US" w:eastAsia="zh-CN"/>
              </w:rPr>
              <w:t>临时</w:t>
            </w:r>
            <w:r>
              <w:rPr>
                <w:rFonts w:hint="eastAsia"/>
              </w:rPr>
              <w:t>占</w:t>
            </w:r>
            <w:r>
              <w:rPr>
                <w:rFonts w:hint="eastAsia"/>
                <w:lang w:val="en-US" w:eastAsia="zh-CN"/>
              </w:rPr>
              <w:t>地</w:t>
            </w:r>
            <w:r>
              <w:rPr>
                <w:rFonts w:hint="eastAsia"/>
              </w:rPr>
              <w:t>的土地类型主要是园地、草地</w:t>
            </w:r>
            <w:r>
              <w:rPr>
                <w:rFonts w:hint="eastAsia"/>
                <w:lang w:eastAsia="zh-CN"/>
              </w:rPr>
              <w:t>，</w:t>
            </w:r>
            <w:r>
              <w:rPr>
                <w:rFonts w:hint="eastAsia"/>
                <w:lang w:val="en-US" w:eastAsia="zh-CN"/>
              </w:rPr>
              <w:t>永久占地的土地类型主要为园地</w:t>
            </w:r>
            <w:r>
              <w:rPr>
                <w:rFonts w:hint="eastAsia"/>
                <w:lang w:eastAsia="zh-CN"/>
              </w:rPr>
              <w:t>。</w:t>
            </w:r>
          </w:p>
          <w:p>
            <w:pPr>
              <w:rPr>
                <w:rFonts w:hint="eastAsia"/>
                <w:lang w:val="en-US" w:eastAsia="zh-CN"/>
              </w:rPr>
            </w:pPr>
            <w:r>
              <w:rPr>
                <w:rFonts w:hint="eastAsia"/>
                <w:lang w:val="en-US" w:eastAsia="zh-CN"/>
              </w:rPr>
              <w:t>根据农林光互补方案中的要求，</w:t>
            </w:r>
            <w:r>
              <w:rPr>
                <w:lang w:val="en-US" w:eastAsia="zh-CN"/>
              </w:rPr>
              <w:t>本项目光伏阵列投影面积约为</w:t>
            </w:r>
            <w:r>
              <w:rPr>
                <w:rFonts w:hint="default"/>
                <w:lang w:val="en-US" w:eastAsia="zh-CN"/>
              </w:rPr>
              <w:t>28.0592公顷，占总用地面积比例为17.01%。虽然光伏阵列投影面积占总体拟用地面积的比例较低，但光伏板的存在对板下及周边植株还是存在一定影响。可通过修枝整形、合理布局等措施尽可能降低对板下及周边植株生长发育的影响。</w:t>
            </w:r>
            <w:r>
              <w:rPr>
                <w:rFonts w:hint="eastAsia"/>
                <w:lang w:val="en-US" w:eastAsia="zh-CN"/>
              </w:rPr>
              <w:t>项目光伏板安装高度要符合报告中的相关规定，本项目涉及的园地要让植株顶端到光伏板最低点距离应不小于1米，本项目光伏板最低点距离地面3米，由果树经营单位对柑橘、李等植株进行修枝整形，控制其生长高度不超过2米，使植株向四周扩散生长。并对这些植株进行疏剪，增加植株的通风透光性。光伏板距离地面最低点高于植株的平均高度，并留有足够空间供板下植株的生长发育，保证不改变土地属性和用途性质，综合利用土地。</w:t>
            </w:r>
          </w:p>
          <w:p>
            <w:pPr>
              <w:pStyle w:val="29"/>
              <w:ind w:firstLine="480"/>
            </w:pPr>
            <w:r>
              <w:rPr>
                <w:rFonts w:hint="eastAsia"/>
              </w:rPr>
              <w:t>本项目占地尤其是永久占地使得区域上述土地类型的面积减少，建设用地增加；临时用地中的光伏板占地区下方可恢复至</w:t>
            </w:r>
            <w:r>
              <w:rPr>
                <w:rFonts w:hint="eastAsia"/>
                <w:lang w:val="en-US" w:eastAsia="zh-CN"/>
              </w:rPr>
              <w:t>园地</w:t>
            </w:r>
            <w:r>
              <w:rPr>
                <w:rFonts w:hint="eastAsia"/>
              </w:rPr>
              <w:t>，其余临时占地区可逐渐恢复至原有用地性质。</w:t>
            </w:r>
          </w:p>
          <w:p>
            <w:pPr>
              <w:pStyle w:val="29"/>
              <w:ind w:firstLine="482"/>
              <w:rPr>
                <w:b/>
                <w:bCs/>
              </w:rPr>
            </w:pPr>
            <w:bookmarkStart w:id="10" w:name="_Toc500106848"/>
            <w:r>
              <w:rPr>
                <w:rFonts w:hint="eastAsia"/>
                <w:b/>
                <w:bCs/>
              </w:rPr>
              <w:t>4.1</w:t>
            </w:r>
            <w:r>
              <w:rPr>
                <w:b/>
                <w:bCs/>
              </w:rPr>
              <w:t>.2</w:t>
            </w:r>
            <w:r>
              <w:rPr>
                <w:rFonts w:hint="eastAsia"/>
                <w:b/>
                <w:bCs/>
              </w:rPr>
              <w:t xml:space="preserve"> 对植被及植物资源的影响</w:t>
            </w:r>
            <w:bookmarkEnd w:id="10"/>
          </w:p>
          <w:p>
            <w:pPr>
              <w:pStyle w:val="29"/>
              <w:ind w:firstLine="480"/>
              <w:rPr>
                <w:rFonts w:hint="eastAsia"/>
              </w:rPr>
            </w:pPr>
            <w:r>
              <w:rPr>
                <w:rFonts w:hint="eastAsia"/>
              </w:rPr>
              <w:t>从植物种类来看，项目区域以园地、草地为主，在施工过程中只需</w:t>
            </w:r>
            <w:r>
              <w:rPr>
                <w:rFonts w:hint="eastAsia"/>
                <w:lang w:val="en-US" w:eastAsia="zh-CN"/>
              </w:rPr>
              <w:t>修剪</w:t>
            </w:r>
            <w:r>
              <w:rPr>
                <w:rFonts w:hint="eastAsia"/>
              </w:rPr>
              <w:t>部分较高并可能遮挡光伏组件的植物，</w:t>
            </w:r>
            <w:r>
              <w:rPr>
                <w:rFonts w:hint="eastAsia"/>
                <w:lang w:val="en-US" w:eastAsia="zh-CN"/>
              </w:rPr>
              <w:t>修剪</w:t>
            </w:r>
            <w:r>
              <w:rPr>
                <w:rFonts w:hint="eastAsia"/>
              </w:rPr>
              <w:t>植被均为当地常见物种，无濒危、珍稀保护植物及名木古树。</w:t>
            </w:r>
          </w:p>
          <w:p>
            <w:pPr>
              <w:pStyle w:val="29"/>
              <w:ind w:firstLine="480"/>
              <w:rPr>
                <w:rFonts w:hint="eastAsia"/>
              </w:rPr>
            </w:pPr>
            <w:r>
              <w:rPr>
                <w:rFonts w:hint="eastAsia"/>
              </w:rPr>
              <w:t>清理过程中会造成区域内植被生物量损失，但不会减少当地植被物种数量，不存在因局部植物物种的破坏而导致植物物种多样性减少</w:t>
            </w:r>
            <w:r>
              <w:rPr>
                <w:rFonts w:hint="eastAsia"/>
                <w:lang w:eastAsia="zh-CN"/>
              </w:rPr>
              <w:t>。</w:t>
            </w:r>
            <w:r>
              <w:rPr>
                <w:rFonts w:hint="eastAsia"/>
                <w:lang w:val="en-US" w:eastAsia="zh-CN"/>
              </w:rPr>
              <w:t>若</w:t>
            </w:r>
            <w:r>
              <w:rPr>
                <w:rFonts w:hint="eastAsia" w:ascii="宋体" w:hAnsi="宋体" w:eastAsia="宋体" w:cs="宋体"/>
                <w:color w:val="000000"/>
                <w:kern w:val="0"/>
                <w:sz w:val="24"/>
                <w:szCs w:val="24"/>
                <w:lang w:val="en-US" w:eastAsia="zh-CN" w:bidi="ar"/>
              </w:rPr>
              <w:t>建设过程中如发现野生保护植物应立即上报，并优先考虑予以避让，对</w:t>
            </w:r>
            <w:r>
              <w:rPr>
                <w:rFonts w:hint="eastAsia"/>
                <w:lang w:val="en-US" w:eastAsia="zh-CN"/>
              </w:rPr>
              <w:t>确实不能避让的，需请专业技术人员对其进行移植，并保证其成活率</w:t>
            </w:r>
            <w:r>
              <w:rPr>
                <w:rFonts w:hint="eastAsia"/>
              </w:rPr>
              <w:t>。</w:t>
            </w:r>
          </w:p>
          <w:p>
            <w:pPr>
              <w:pStyle w:val="29"/>
              <w:ind w:firstLine="480"/>
            </w:pPr>
            <w:r>
              <w:rPr>
                <w:rFonts w:hint="eastAsia"/>
              </w:rPr>
              <w:t>施工结束后对裸露区域进行植被恢复，采用当地物种，可减少植被生物量损失。项目施工过程严格限制施工活动范围，禁止破坏施工用地红线范围外的植被，本项目施工期对占地范围外的植被的影响很小。</w:t>
            </w:r>
          </w:p>
          <w:p>
            <w:pPr>
              <w:pStyle w:val="29"/>
              <w:ind w:firstLine="482"/>
              <w:rPr>
                <w:b/>
                <w:bCs/>
              </w:rPr>
            </w:pPr>
            <w:r>
              <w:rPr>
                <w:rFonts w:hint="eastAsia"/>
                <w:b/>
                <w:bCs/>
              </w:rPr>
              <w:t>4</w:t>
            </w:r>
            <w:r>
              <w:rPr>
                <w:b/>
                <w:bCs/>
              </w:rPr>
              <w:t>.1.3</w:t>
            </w:r>
            <w:r>
              <w:rPr>
                <w:rFonts w:hint="eastAsia"/>
                <w:b/>
                <w:bCs/>
              </w:rPr>
              <w:t xml:space="preserve"> 对动物多样性的影响分析</w:t>
            </w:r>
          </w:p>
          <w:p>
            <w:pPr>
              <w:pStyle w:val="29"/>
              <w:ind w:firstLine="480"/>
            </w:pPr>
            <w:r>
              <w:rPr>
                <w:rFonts w:hint="eastAsia"/>
              </w:rPr>
              <w:t>（1）施工占地对野生动物栖息地的影响</w:t>
            </w:r>
          </w:p>
          <w:p>
            <w:pPr>
              <w:pStyle w:val="29"/>
              <w:ind w:firstLine="480"/>
            </w:pPr>
            <w:r>
              <w:rPr>
                <w:rFonts w:hint="eastAsia"/>
              </w:rPr>
              <w:t>施工期光伏区进行清表作业和升压站修建对植被的清除，将导致生活在其中的动物栖息地丧失，特别是荒坡灌丛、灌草丛动物群的动物所赖以生存的环境遭到破坏后，爬行动物中的多种蛇类、鸟类及鼠类等，因为其生存环境的破坏而失去隐蔽场所和食物来源被迫</w:t>
            </w:r>
            <w:r>
              <w:rPr>
                <w:rFonts w:hint="eastAsia"/>
                <w:lang w:eastAsia="zh-CN"/>
              </w:rPr>
              <w:t>转移他处</w:t>
            </w:r>
            <w:r>
              <w:rPr>
                <w:rFonts w:hint="eastAsia"/>
              </w:rPr>
              <w:t>。施工中车辆和机械的往来对于活动能力较差的爬行类、两栖类可能造成直接的个体碾压伤害，工程占地区植被清理和土石开挖活动可能破坏小型动物和灌丛中鸟类的巢穴，对部分动物个体造成影响；施工区域及附近几十米范围内未受破坏生境中的野生动物也会因施工人员活动的增加而受到干扰。一些不能适应这些变化的动物将被迫离开原栖息地而迁往邻近区域。对于活动性较差的两栖类、爬行类，将受到较大的影响；而鸟类、哺乳类等活动能力较强，它们可以很快迁到邻近地区寻找可利用的生境，影响相对较小。在施工结束临时占地区植被逐渐恢复后施工期对动物栖息地产生的不利影响大多将逐渐消失，如在施工中采取合理保护措施可进一步降低此类不利影响。</w:t>
            </w:r>
          </w:p>
          <w:p>
            <w:pPr>
              <w:pStyle w:val="29"/>
              <w:ind w:firstLine="480"/>
            </w:pPr>
            <w:r>
              <w:rPr>
                <w:rFonts w:hint="eastAsia"/>
              </w:rPr>
              <w:t>（2）施工噪声对野生动物的影响</w:t>
            </w:r>
          </w:p>
          <w:p>
            <w:pPr>
              <w:pStyle w:val="29"/>
              <w:ind w:firstLine="480"/>
            </w:pPr>
            <w:r>
              <w:rPr>
                <w:rFonts w:hint="eastAsia"/>
                <w:lang w:val="en-US" w:eastAsia="zh-CN"/>
              </w:rPr>
              <w:t>类比其他同类项目施工中的噪声影响</w:t>
            </w:r>
            <w:r>
              <w:rPr>
                <w:rFonts w:hint="eastAsia"/>
              </w:rPr>
              <w:t>，在紧挨道路、噪声水平高达70dB（A）和离公路数百米、噪声水平大约在40dB（A）之间的区域内，鸟类种群会减少，超出这一范围后没有发现鸟类再有明显响应。对听力较差的爬行类来说，感应地面振动尤为重要。在工程施工期间，由于运输车辆增加、挖掘、堆砌、施工人员活动频繁等因素使得各种施工噪声和振动增多，影响栖息于周边生物的正常生活和繁殖活动，对野生动物造成一定的惊扰。</w:t>
            </w:r>
          </w:p>
          <w:p>
            <w:pPr>
              <w:pStyle w:val="29"/>
              <w:ind w:firstLine="480"/>
            </w:pPr>
            <w:r>
              <w:rPr>
                <w:rFonts w:hint="eastAsia"/>
              </w:rPr>
              <w:t>（3）施工人员活动对野生动物的影响</w:t>
            </w:r>
          </w:p>
          <w:p>
            <w:pPr>
              <w:pStyle w:val="29"/>
              <w:ind w:firstLine="480"/>
            </w:pPr>
            <w:r>
              <w:rPr>
                <w:rFonts w:hint="eastAsia"/>
              </w:rPr>
              <w:t>施工人员的活动对动物的日常行为会产生一定的干扰，施工人员可能会捕捉野生动物用以食用，尤其是蛙、蛇类等两栖爬行动物和竹鼠、野兔等哺乳动物，常被作为食用对象，很容易造成施工区部分野生动物数量的减少。</w:t>
            </w:r>
          </w:p>
          <w:p>
            <w:pPr>
              <w:pStyle w:val="29"/>
              <w:ind w:firstLine="480"/>
            </w:pPr>
            <w:r>
              <w:rPr>
                <w:rFonts w:hint="eastAsia"/>
              </w:rPr>
              <w:t>（4）对保护动物的影响</w:t>
            </w:r>
          </w:p>
          <w:p>
            <w:pPr>
              <w:pStyle w:val="29"/>
              <w:ind w:firstLine="480"/>
            </w:pPr>
            <w:r>
              <w:rPr>
                <w:rFonts w:hint="eastAsia"/>
              </w:rPr>
              <w:t>现场踏勘期间，本项目用地所在区域内调查期间未发现重点保护野生动物分布。但由于野生动物活动的不确定性，评价要求施工单位在施工时严格做到文明施工，加强宣传教育和管理，认真全面地贯彻执行《中华人民共和国野生动物保护法》等法律、法规，严禁非法猎捕野生动物。一旦发现</w:t>
            </w:r>
            <w:r>
              <w:rPr>
                <w:rFonts w:hint="eastAsia"/>
                <w:lang w:val="en-US" w:eastAsia="zh-CN"/>
              </w:rPr>
              <w:t>国家及重庆市</w:t>
            </w:r>
            <w:r>
              <w:rPr>
                <w:rFonts w:hint="eastAsia"/>
              </w:rPr>
              <w:t>保护野生动物，应采取保护措施，并及时报告当地主管部门。</w:t>
            </w:r>
          </w:p>
          <w:p>
            <w:pPr>
              <w:pStyle w:val="29"/>
              <w:ind w:firstLine="482"/>
              <w:rPr>
                <w:b/>
                <w:bCs/>
              </w:rPr>
            </w:pPr>
            <w:r>
              <w:rPr>
                <w:rFonts w:hint="eastAsia"/>
                <w:b/>
                <w:bCs/>
              </w:rPr>
              <w:t>4</w:t>
            </w:r>
            <w:r>
              <w:rPr>
                <w:b/>
                <w:bCs/>
              </w:rPr>
              <w:t>.1.4</w:t>
            </w:r>
            <w:r>
              <w:rPr>
                <w:rFonts w:hint="eastAsia"/>
                <w:b/>
                <w:bCs/>
              </w:rPr>
              <w:t xml:space="preserve"> 对</w:t>
            </w:r>
            <w:r>
              <w:rPr>
                <w:rFonts w:hint="eastAsia"/>
                <w:b/>
                <w:bCs/>
                <w:lang w:val="en-US" w:eastAsia="zh-CN"/>
              </w:rPr>
              <w:t>动</w:t>
            </w:r>
            <w:r>
              <w:rPr>
                <w:rFonts w:hint="eastAsia"/>
                <w:b/>
                <w:bCs/>
              </w:rPr>
              <w:t>植物多样性影响分析</w:t>
            </w:r>
          </w:p>
          <w:p>
            <w:pPr>
              <w:pStyle w:val="29"/>
              <w:ind w:firstLine="480"/>
            </w:pPr>
            <w:r>
              <w:rPr>
                <w:rFonts w:hint="eastAsia"/>
              </w:rPr>
              <w:t>本项目占地类型主要为园地、草地，施工过程中升压站的建设、施工临时场地的布设、场内道路等的实施，不可避免的会对植被造成破坏，对</w:t>
            </w:r>
            <w:r>
              <w:rPr>
                <w:rFonts w:hint="eastAsia"/>
                <w:lang w:val="en-US" w:eastAsia="zh-CN"/>
              </w:rPr>
              <w:t>园地</w:t>
            </w:r>
            <w:r>
              <w:rPr>
                <w:rFonts w:hint="eastAsia"/>
              </w:rPr>
              <w:t>、草地生态系统及野生动物栖息地产生一定的影响。但评价区域内动植物类型均为区域常见种和广布种，无珍稀、濒危保护动植物分布，对生态系统的多样性基本无影响。项目结束后，通过采取植被恢复措施，可减少对植物种类的多样性和植被类型的多样性的影响；随着施工人员与施工机械的撤出，动物也会随之返回原地。</w:t>
            </w:r>
          </w:p>
          <w:p>
            <w:pPr>
              <w:pStyle w:val="29"/>
              <w:ind w:firstLine="482"/>
              <w:rPr>
                <w:b/>
                <w:bCs/>
              </w:rPr>
            </w:pPr>
            <w:r>
              <w:rPr>
                <w:b/>
                <w:bCs/>
              </w:rPr>
              <w:t>4.1.5</w:t>
            </w:r>
            <w:r>
              <w:rPr>
                <w:rFonts w:hint="eastAsia"/>
                <w:b/>
                <w:bCs/>
              </w:rPr>
              <w:t xml:space="preserve"> 对水土流失的影响分析</w:t>
            </w:r>
          </w:p>
          <w:p>
            <w:pPr>
              <w:pStyle w:val="29"/>
              <w:ind w:firstLine="480"/>
            </w:pPr>
            <w:r>
              <w:rPr>
                <w:rFonts w:hint="eastAsia"/>
              </w:rPr>
              <w:t>项目建设期间水土流失影响因素包括自然因素和人为因素两部分，自然因素包括地形地貌、土壤、植被、气候等，人为因素包括土石方开挖与回填、堆土堆料等施工活动，其中人为因素是建设期间产生水土流失的主要因素。项目建设对水土流失影响因素主要包括以下几个方面：</w:t>
            </w:r>
          </w:p>
          <w:p>
            <w:pPr>
              <w:pStyle w:val="29"/>
              <w:ind w:firstLine="480"/>
            </w:pPr>
            <w:r>
              <w:rPr>
                <w:rFonts w:hint="eastAsia"/>
              </w:rPr>
              <w:t>（1）项目占地造成的水土流失影响</w:t>
            </w:r>
          </w:p>
          <w:p>
            <w:pPr>
              <w:pStyle w:val="29"/>
              <w:ind w:firstLine="480"/>
            </w:pPr>
            <w:r>
              <w:rPr>
                <w:rFonts w:hint="eastAsia"/>
              </w:rPr>
              <w:t>项目建设过程中升压站、光伏阵列支架、道路和施工生产生活区等的修建、占地，将改变原有地貌，损坏或压埋原有植被，对原有水土保持设施造成破坏，使地表土层抗蚀能力减弱，降低其水土保持功效。</w:t>
            </w:r>
          </w:p>
          <w:p>
            <w:pPr>
              <w:pStyle w:val="29"/>
              <w:ind w:firstLine="480"/>
            </w:pPr>
            <w:r>
              <w:rPr>
                <w:rFonts w:hint="eastAsia"/>
              </w:rPr>
              <w:t>（2）基础开挖带来的水土流失影响</w:t>
            </w:r>
          </w:p>
          <w:p>
            <w:pPr>
              <w:pStyle w:val="29"/>
              <w:ind w:firstLine="480"/>
            </w:pPr>
            <w:r>
              <w:rPr>
                <w:rFonts w:hint="eastAsia"/>
              </w:rPr>
              <w:t>项目建设期间升压站的修建、光伏支架安装、道路的修建等，土石方工程历经整个施工期，在土石方开挖、堆放和回填过程中，松散土体及开挖裸露面在降雨作用下将产生水土流失。</w:t>
            </w:r>
          </w:p>
          <w:p>
            <w:pPr>
              <w:pStyle w:val="29"/>
              <w:ind w:firstLine="480"/>
            </w:pPr>
            <w:r>
              <w:rPr>
                <w:rFonts w:hint="eastAsia"/>
              </w:rPr>
              <w:t>（3）施工临时工程水土流失影响</w:t>
            </w:r>
          </w:p>
          <w:p>
            <w:pPr>
              <w:pStyle w:val="29"/>
              <w:ind w:firstLine="480"/>
            </w:pPr>
            <w:r>
              <w:rPr>
                <w:rFonts w:hint="eastAsia"/>
              </w:rPr>
              <w:t>本项目临时工程主要有综合加工厂、材料及设备仓库、小型修配厂等临时生产设施和生活建筑设施，临时工程占地范围内的植被和土壤结构造成一定程度的破坏，为水土流失的发生和加剧创造条件</w:t>
            </w:r>
            <w:r>
              <w:t>。</w:t>
            </w:r>
          </w:p>
          <w:p>
            <w:pPr>
              <w:pStyle w:val="29"/>
              <w:ind w:firstLine="482"/>
              <w:rPr>
                <w:b/>
                <w:bCs/>
              </w:rPr>
            </w:pPr>
            <w:r>
              <w:rPr>
                <w:b/>
                <w:bCs/>
              </w:rPr>
              <w:t>4.2</w:t>
            </w:r>
            <w:r>
              <w:rPr>
                <w:rFonts w:hint="eastAsia"/>
                <w:b/>
                <w:bCs/>
              </w:rPr>
              <w:t xml:space="preserve"> 施工期地表水环境影响</w:t>
            </w:r>
          </w:p>
          <w:p>
            <w:pPr>
              <w:pStyle w:val="29"/>
              <w:ind w:firstLine="480"/>
            </w:pPr>
            <w:r>
              <w:rPr>
                <w:rFonts w:hint="eastAsia"/>
              </w:rPr>
              <w:t>施工废水主要为施工人员生活污水和施工作业废水。</w:t>
            </w:r>
          </w:p>
          <w:p>
            <w:pPr>
              <w:pStyle w:val="29"/>
              <w:ind w:firstLine="480"/>
            </w:pPr>
            <w:r>
              <w:rPr>
                <w:rFonts w:hint="eastAsia"/>
              </w:rPr>
              <w:t>本项目平均施工人数约80人，施工生活污水量约8.64m³/d。项目周边人为活动频繁，生活污水可利用当地居民原有的污水处理设施处理后用于周边农用，不会对水环境造成影响。</w:t>
            </w:r>
          </w:p>
          <w:p>
            <w:pPr>
              <w:pStyle w:val="29"/>
              <w:ind w:firstLine="480"/>
            </w:pPr>
            <w:r>
              <w:rPr>
                <w:rFonts w:hint="eastAsia"/>
              </w:rPr>
              <w:t>本项目的施工废水主要产生于光伏阵列及升压站基础施工等，施工废水量约</w:t>
            </w:r>
            <w:r>
              <w:rPr>
                <w:rFonts w:hint="eastAsia"/>
                <w:lang w:val="en-US" w:eastAsia="zh-CN"/>
              </w:rPr>
              <w:t>为</w:t>
            </w:r>
            <w:r>
              <w:rPr>
                <w:rFonts w:hint="eastAsia"/>
              </w:rPr>
              <w:t>10m³/d。与大多数建筑工程相同，本项目施工废水不含有毒物质，主要是泥沙悬浮物含量较大，其次是混凝土工程废水pH值偏高。根据国内外同类工程施工废水监测资料，由于不同工程采用的施工工艺不同，各类施工废水所含的悬浮物浓度和pH值也较大：混凝土拌和废水悬浮物浓度200～8000mg/L，pH值9～12，混凝土养护废水悬浮物浓度800～2000mg/L，pH值9～12。参照其他项目土建施工过程中施工废水的处理情况，一般施工废水进行沉淀处理后即可回用于施工过程。如施工机械及车辆需修理维护可运至县城解决，不会在施工区产生维修含油废水。</w:t>
            </w:r>
          </w:p>
          <w:p>
            <w:pPr>
              <w:pStyle w:val="29"/>
              <w:ind w:firstLine="480"/>
            </w:pPr>
            <w:r>
              <w:rPr>
                <w:rFonts w:hint="eastAsia"/>
              </w:rPr>
              <w:t>因此，施工期废水不会对水环境产生明显的不利影响。</w:t>
            </w:r>
          </w:p>
          <w:p>
            <w:pPr>
              <w:pStyle w:val="29"/>
              <w:ind w:firstLine="482"/>
              <w:rPr>
                <w:b/>
                <w:bCs/>
              </w:rPr>
            </w:pPr>
            <w:r>
              <w:rPr>
                <w:rFonts w:hint="eastAsia"/>
                <w:b/>
                <w:bCs/>
              </w:rPr>
              <w:t>4.3 施工期大气环境影响</w:t>
            </w:r>
          </w:p>
          <w:p>
            <w:pPr>
              <w:pStyle w:val="29"/>
              <w:ind w:firstLine="480"/>
            </w:pPr>
            <w:r>
              <w:rPr>
                <w:rFonts w:hint="eastAsia"/>
              </w:rPr>
              <w:t>（1）施工扬尘</w:t>
            </w:r>
          </w:p>
          <w:p>
            <w:pPr>
              <w:pStyle w:val="29"/>
              <w:ind w:firstLine="480"/>
            </w:pPr>
            <w:r>
              <w:rPr>
                <w:rFonts w:hint="eastAsia"/>
              </w:rPr>
              <w:t>施工扬尘主要源于土石方开挖、车辆运输等过程，将对周边居民点产生不利影响。根据同类型施工场区类比分析可知，产生的扬尘影响范围主要是施工场地周围20m，而施工场地下风向影响范围增加至30～50m，同时车辆运输产生扬尘将影响道路两侧的环境空气，路面积尘量在0.1kg/m</w:t>
            </w:r>
            <w:r>
              <w:rPr>
                <w:rFonts w:hint="eastAsia"/>
                <w:vertAlign w:val="superscript"/>
              </w:rPr>
              <w:t>2</w:t>
            </w:r>
            <w:r>
              <w:rPr>
                <w:rFonts w:hint="eastAsia"/>
              </w:rPr>
              <w:t>时，道路扬尘影响范围约为10～20m。</w:t>
            </w:r>
          </w:p>
          <w:p>
            <w:pPr>
              <w:pStyle w:val="29"/>
              <w:ind w:firstLine="480"/>
            </w:pPr>
            <w:r>
              <w:rPr>
                <w:rFonts w:hint="eastAsia"/>
              </w:rPr>
              <w:t>由于本工程施工期较短，产生扬尘的施工活动较少，且施工扬尘为暂时性影响，在施工结束后将消失。</w:t>
            </w:r>
          </w:p>
          <w:p>
            <w:pPr>
              <w:pStyle w:val="29"/>
              <w:ind w:firstLine="480"/>
            </w:pPr>
            <w:r>
              <w:rPr>
                <w:rFonts w:hint="eastAsia"/>
              </w:rPr>
              <w:t>但本工程施工场地与居民点距离较近，因此本次评价要求施工单位在施工过程中严格做好施工场地的降尘措施，对积尘较大的施工区和施工场地外的运输道路进行洒水，减少扬尘对附近环境空气的影响。</w:t>
            </w:r>
          </w:p>
          <w:p>
            <w:pPr>
              <w:pStyle w:val="29"/>
              <w:ind w:firstLine="480"/>
            </w:pPr>
            <w:r>
              <w:rPr>
                <w:rFonts w:hint="eastAsia"/>
              </w:rPr>
              <w:t>（2）燃油废气</w:t>
            </w:r>
          </w:p>
          <w:p>
            <w:pPr>
              <w:pStyle w:val="29"/>
              <w:ind w:firstLine="480"/>
            </w:pPr>
            <w:r>
              <w:rPr>
                <w:rFonts w:hint="eastAsia"/>
              </w:rPr>
              <w:t>废气源于燃油机械设备与汽车尾气，污染物为SO</w:t>
            </w:r>
            <w:r>
              <w:rPr>
                <w:rFonts w:hint="eastAsia"/>
                <w:vertAlign w:val="subscript"/>
              </w:rPr>
              <w:t>2</w:t>
            </w:r>
            <w:r>
              <w:rPr>
                <w:rFonts w:hint="eastAsia"/>
              </w:rPr>
              <w:t>、NOx和CO。由于排放量小而分散，排放方式为间断，故影响主要局限于施工作业场区，不利影响有限。</w:t>
            </w:r>
          </w:p>
          <w:p>
            <w:pPr>
              <w:pStyle w:val="29"/>
              <w:ind w:firstLine="482"/>
              <w:rPr>
                <w:b/>
                <w:bCs/>
              </w:rPr>
            </w:pPr>
            <w:r>
              <w:rPr>
                <w:rFonts w:hint="eastAsia"/>
                <w:b/>
                <w:bCs/>
              </w:rPr>
              <w:t>4.4 施工期声环境影响分析</w:t>
            </w:r>
          </w:p>
          <w:p>
            <w:pPr>
              <w:pStyle w:val="29"/>
              <w:ind w:firstLine="480"/>
            </w:pPr>
            <w:r>
              <w:rPr>
                <w:rFonts w:hint="eastAsia"/>
              </w:rPr>
              <w:t>施工期施工噪声包括固定机械施工产生的固定噪声源，各种运输车辆等产生的流动噪声源等。施工期噪声具有短期性、暂时性的特点，施工结束后，施工噪声对周围环境的影响也将随之结束。</w:t>
            </w:r>
          </w:p>
          <w:p>
            <w:pPr>
              <w:pStyle w:val="29"/>
              <w:ind w:firstLine="480"/>
            </w:pPr>
            <w:r>
              <w:rPr>
                <w:rFonts w:hint="eastAsia"/>
              </w:rPr>
              <w:t>（1）光伏场区施工噪声</w:t>
            </w:r>
          </w:p>
          <w:p>
            <w:pPr>
              <w:pStyle w:val="29"/>
              <w:ind w:firstLine="480"/>
            </w:pPr>
            <w:r>
              <w:rPr>
                <w:rFonts w:hint="eastAsia"/>
              </w:rPr>
              <w:t>主要来源于光伏板支架施工、箱变基础施工及施工场地，不同阶段设备类型、数量及位置均不固定。噪声源强详见表4-1。</w:t>
            </w:r>
          </w:p>
          <w:p>
            <w:pPr>
              <w:pStyle w:val="29"/>
              <w:ind w:firstLine="0" w:firstLineChars="0"/>
              <w:jc w:val="center"/>
            </w:pPr>
            <w:r>
              <w:rPr>
                <w:rFonts w:hint="eastAsia"/>
              </w:rPr>
              <w:t>表4-1  光伏场区主要施工机械噪声源强一览表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547"/>
              <w:gridCol w:w="2530"/>
              <w:gridCol w:w="2291"/>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t>序号</w:t>
                  </w:r>
                </w:p>
              </w:tc>
              <w:tc>
                <w:tcPr>
                  <w:tcW w:w="1547" w:type="dxa"/>
                  <w:vAlign w:val="center"/>
                </w:tcPr>
                <w:p>
                  <w:pPr>
                    <w:pStyle w:val="28"/>
                  </w:pPr>
                  <w:r>
                    <w:rPr>
                      <w:rFonts w:hint="eastAsia"/>
                    </w:rPr>
                    <w:t>机械类型</w:t>
                  </w:r>
                </w:p>
              </w:tc>
              <w:tc>
                <w:tcPr>
                  <w:tcW w:w="2530" w:type="dxa"/>
                  <w:vAlign w:val="center"/>
                </w:tcPr>
                <w:p>
                  <w:pPr>
                    <w:pStyle w:val="28"/>
                  </w:pPr>
                  <w:r>
                    <w:t>测点距施工机具距离</w:t>
                  </w:r>
                  <w:r>
                    <w:rPr>
                      <w:rFonts w:hint="eastAsia"/>
                    </w:rPr>
                    <w:t>（</w:t>
                  </w:r>
                  <w:r>
                    <w:t>m</w:t>
                  </w:r>
                  <w:r>
                    <w:rPr>
                      <w:rFonts w:hint="eastAsia"/>
                      <w:lang w:eastAsia="zh-CN"/>
                    </w:rPr>
                    <w:t>）</w:t>
                  </w:r>
                </w:p>
              </w:tc>
              <w:tc>
                <w:tcPr>
                  <w:tcW w:w="2291" w:type="dxa"/>
                  <w:vAlign w:val="center"/>
                </w:tcPr>
                <w:p>
                  <w:pPr>
                    <w:pStyle w:val="28"/>
                  </w:pPr>
                  <w:r>
                    <w:t>测点最大声级</w:t>
                  </w:r>
                  <w:r>
                    <w:rPr>
                      <w:rFonts w:hint="eastAsia"/>
                    </w:rPr>
                    <w:t>（</w:t>
                  </w:r>
                  <w:r>
                    <w:t>dB(A)</w:t>
                  </w:r>
                  <w:r>
                    <w:rPr>
                      <w:rFonts w:hint="eastAsia"/>
                      <w:lang w:eastAsia="zh-CN"/>
                    </w:rPr>
                    <w:t>）</w:t>
                  </w:r>
                </w:p>
              </w:tc>
              <w:tc>
                <w:tcPr>
                  <w:tcW w:w="1404" w:type="dxa"/>
                  <w:vAlign w:val="center"/>
                </w:tcPr>
                <w:p>
                  <w:pPr>
                    <w:pStyle w:val="28"/>
                  </w:pPr>
                  <w:r>
                    <w:rPr>
                      <w:rFonts w:hint="eastAsia"/>
                    </w:rPr>
                    <w:t>噪声源类型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t>1</w:t>
                  </w:r>
                </w:p>
              </w:tc>
              <w:tc>
                <w:tcPr>
                  <w:tcW w:w="1547" w:type="dxa"/>
                  <w:vAlign w:val="center"/>
                </w:tcPr>
                <w:p>
                  <w:pPr>
                    <w:pStyle w:val="28"/>
                  </w:pPr>
                  <w:r>
                    <w:rPr>
                      <w:rFonts w:hint="eastAsia"/>
                    </w:rPr>
                    <w:t>汽车</w:t>
                  </w:r>
                  <w:r>
                    <w:t>起重机</w:t>
                  </w:r>
                </w:p>
              </w:tc>
              <w:tc>
                <w:tcPr>
                  <w:tcW w:w="2530" w:type="dxa"/>
                  <w:vAlign w:val="center"/>
                </w:tcPr>
                <w:p>
                  <w:pPr>
                    <w:pStyle w:val="28"/>
                  </w:pPr>
                  <w:r>
                    <w:t>5</w:t>
                  </w:r>
                </w:p>
              </w:tc>
              <w:tc>
                <w:tcPr>
                  <w:tcW w:w="2291" w:type="dxa"/>
                  <w:vAlign w:val="center"/>
                </w:tcPr>
                <w:p>
                  <w:pPr>
                    <w:pStyle w:val="28"/>
                  </w:pPr>
                  <w:r>
                    <w:rPr>
                      <w:rFonts w:hint="eastAsia"/>
                    </w:rPr>
                    <w:t>≤</w:t>
                  </w:r>
                  <w:r>
                    <w:t>80</w:t>
                  </w:r>
                </w:p>
              </w:tc>
              <w:tc>
                <w:tcPr>
                  <w:tcW w:w="1404" w:type="dxa"/>
                  <w:vAlign w:val="center"/>
                </w:tcPr>
                <w:p>
                  <w:pPr>
                    <w:pStyle w:val="28"/>
                  </w:pPr>
                  <w:r>
                    <w:rPr>
                      <w:rFonts w:hint="eastAsia"/>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t>2</w:t>
                  </w:r>
                </w:p>
              </w:tc>
              <w:tc>
                <w:tcPr>
                  <w:tcW w:w="1547" w:type="dxa"/>
                  <w:vAlign w:val="center"/>
                </w:tcPr>
                <w:p>
                  <w:pPr>
                    <w:pStyle w:val="28"/>
                  </w:pPr>
                  <w:r>
                    <w:rPr>
                      <w:rFonts w:hint="eastAsia"/>
                    </w:rPr>
                    <w:t>挖掘机</w:t>
                  </w:r>
                </w:p>
              </w:tc>
              <w:tc>
                <w:tcPr>
                  <w:tcW w:w="2530" w:type="dxa"/>
                  <w:vAlign w:val="center"/>
                </w:tcPr>
                <w:p>
                  <w:pPr>
                    <w:pStyle w:val="28"/>
                  </w:pPr>
                  <w:r>
                    <w:t>5</w:t>
                  </w:r>
                </w:p>
              </w:tc>
              <w:tc>
                <w:tcPr>
                  <w:tcW w:w="2291" w:type="dxa"/>
                  <w:vAlign w:val="center"/>
                </w:tcPr>
                <w:p>
                  <w:pPr>
                    <w:pStyle w:val="28"/>
                  </w:pPr>
                  <w:r>
                    <w:rPr>
                      <w:rFonts w:hint="eastAsia"/>
                    </w:rPr>
                    <w:t>≤</w:t>
                  </w:r>
                  <w:r>
                    <w:t>80</w:t>
                  </w:r>
                </w:p>
              </w:tc>
              <w:tc>
                <w:tcPr>
                  <w:tcW w:w="1404" w:type="dxa"/>
                  <w:vAlign w:val="center"/>
                </w:tcPr>
                <w:p>
                  <w:pPr>
                    <w:pStyle w:val="28"/>
                  </w:pPr>
                  <w:r>
                    <w:rPr>
                      <w:rFonts w:hint="eastAsia"/>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t>3</w:t>
                  </w:r>
                </w:p>
              </w:tc>
              <w:tc>
                <w:tcPr>
                  <w:tcW w:w="1547" w:type="dxa"/>
                  <w:vAlign w:val="center"/>
                </w:tcPr>
                <w:p>
                  <w:pPr>
                    <w:pStyle w:val="28"/>
                  </w:pPr>
                  <w:r>
                    <w:rPr>
                      <w:rFonts w:hint="eastAsia"/>
                    </w:rPr>
                    <w:t>装载机</w:t>
                  </w:r>
                </w:p>
              </w:tc>
              <w:tc>
                <w:tcPr>
                  <w:tcW w:w="2530" w:type="dxa"/>
                  <w:vAlign w:val="center"/>
                </w:tcPr>
                <w:p>
                  <w:pPr>
                    <w:pStyle w:val="28"/>
                  </w:pPr>
                  <w:r>
                    <w:t>5</w:t>
                  </w:r>
                </w:p>
              </w:tc>
              <w:tc>
                <w:tcPr>
                  <w:tcW w:w="2291" w:type="dxa"/>
                  <w:vAlign w:val="center"/>
                </w:tcPr>
                <w:p>
                  <w:pPr>
                    <w:pStyle w:val="28"/>
                  </w:pPr>
                  <w:r>
                    <w:rPr>
                      <w:rFonts w:hint="eastAsia"/>
                    </w:rPr>
                    <w:t>≤</w:t>
                  </w:r>
                  <w:r>
                    <w:t>90</w:t>
                  </w:r>
                </w:p>
              </w:tc>
              <w:tc>
                <w:tcPr>
                  <w:tcW w:w="1404" w:type="dxa"/>
                  <w:vAlign w:val="center"/>
                </w:tcPr>
                <w:p>
                  <w:pPr>
                    <w:pStyle w:val="28"/>
                  </w:pPr>
                  <w:r>
                    <w:rPr>
                      <w:rFonts w:hint="eastAsia"/>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4</w:t>
                  </w:r>
                </w:p>
              </w:tc>
              <w:tc>
                <w:tcPr>
                  <w:tcW w:w="1547" w:type="dxa"/>
                  <w:vAlign w:val="center"/>
                </w:tcPr>
                <w:p>
                  <w:pPr>
                    <w:pStyle w:val="28"/>
                  </w:pPr>
                  <w:r>
                    <w:rPr>
                      <w:rFonts w:hint="eastAsia"/>
                    </w:rPr>
                    <w:t>推土机</w:t>
                  </w:r>
                </w:p>
              </w:tc>
              <w:tc>
                <w:tcPr>
                  <w:tcW w:w="2530" w:type="dxa"/>
                  <w:vAlign w:val="center"/>
                </w:tcPr>
                <w:p>
                  <w:pPr>
                    <w:pStyle w:val="28"/>
                  </w:pPr>
                  <w:r>
                    <w:t>5</w:t>
                  </w:r>
                </w:p>
              </w:tc>
              <w:tc>
                <w:tcPr>
                  <w:tcW w:w="2291" w:type="dxa"/>
                  <w:vAlign w:val="center"/>
                </w:tcPr>
                <w:p>
                  <w:pPr>
                    <w:pStyle w:val="28"/>
                  </w:pPr>
                  <w:r>
                    <w:rPr>
                      <w:rFonts w:hint="eastAsia"/>
                    </w:rPr>
                    <w:t>≤85</w:t>
                  </w:r>
                </w:p>
              </w:tc>
              <w:tc>
                <w:tcPr>
                  <w:tcW w:w="1404" w:type="dxa"/>
                  <w:vAlign w:val="center"/>
                </w:tcPr>
                <w:p>
                  <w:pPr>
                    <w:pStyle w:val="28"/>
                  </w:pPr>
                  <w:r>
                    <w:rPr>
                      <w:rFonts w:hint="eastAsia"/>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5</w:t>
                  </w:r>
                </w:p>
              </w:tc>
              <w:tc>
                <w:tcPr>
                  <w:tcW w:w="1547" w:type="dxa"/>
                  <w:vAlign w:val="center"/>
                </w:tcPr>
                <w:p>
                  <w:pPr>
                    <w:pStyle w:val="28"/>
                  </w:pPr>
                  <w:r>
                    <w:rPr>
                      <w:rFonts w:hint="eastAsia"/>
                    </w:rPr>
                    <w:t>压路机</w:t>
                  </w:r>
                </w:p>
              </w:tc>
              <w:tc>
                <w:tcPr>
                  <w:tcW w:w="2530" w:type="dxa"/>
                  <w:vAlign w:val="center"/>
                </w:tcPr>
                <w:p>
                  <w:pPr>
                    <w:pStyle w:val="28"/>
                  </w:pPr>
                  <w:r>
                    <w:t>5</w:t>
                  </w:r>
                </w:p>
              </w:tc>
              <w:tc>
                <w:tcPr>
                  <w:tcW w:w="2291" w:type="dxa"/>
                  <w:vAlign w:val="center"/>
                </w:tcPr>
                <w:p>
                  <w:pPr>
                    <w:pStyle w:val="28"/>
                  </w:pPr>
                  <w:r>
                    <w:rPr>
                      <w:rFonts w:hint="eastAsia"/>
                    </w:rPr>
                    <w:t>≤</w:t>
                  </w:r>
                  <w:r>
                    <w:t>80</w:t>
                  </w:r>
                </w:p>
              </w:tc>
              <w:tc>
                <w:tcPr>
                  <w:tcW w:w="1404" w:type="dxa"/>
                  <w:vAlign w:val="center"/>
                </w:tcPr>
                <w:p>
                  <w:pPr>
                    <w:pStyle w:val="28"/>
                  </w:pPr>
                  <w:r>
                    <w:rPr>
                      <w:rFonts w:hint="eastAsia"/>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6</w:t>
                  </w:r>
                </w:p>
              </w:tc>
              <w:tc>
                <w:tcPr>
                  <w:tcW w:w="1547" w:type="dxa"/>
                  <w:vAlign w:val="center"/>
                </w:tcPr>
                <w:p>
                  <w:pPr>
                    <w:pStyle w:val="28"/>
                  </w:pPr>
                  <w:r>
                    <w:rPr>
                      <w:rFonts w:hint="eastAsia"/>
                    </w:rPr>
                    <w:t>平地机</w:t>
                  </w:r>
                </w:p>
              </w:tc>
              <w:tc>
                <w:tcPr>
                  <w:tcW w:w="2530" w:type="dxa"/>
                  <w:vAlign w:val="center"/>
                </w:tcPr>
                <w:p>
                  <w:pPr>
                    <w:pStyle w:val="28"/>
                  </w:pPr>
                  <w:r>
                    <w:t>5</w:t>
                  </w:r>
                </w:p>
              </w:tc>
              <w:tc>
                <w:tcPr>
                  <w:tcW w:w="2291" w:type="dxa"/>
                  <w:vAlign w:val="center"/>
                </w:tcPr>
                <w:p>
                  <w:pPr>
                    <w:pStyle w:val="28"/>
                  </w:pPr>
                  <w:r>
                    <w:rPr>
                      <w:rFonts w:hint="eastAsia"/>
                    </w:rPr>
                    <w:t>≤80</w:t>
                  </w:r>
                </w:p>
              </w:tc>
              <w:tc>
                <w:tcPr>
                  <w:tcW w:w="1404" w:type="dxa"/>
                  <w:vAlign w:val="center"/>
                </w:tcPr>
                <w:p>
                  <w:pPr>
                    <w:pStyle w:val="28"/>
                  </w:pPr>
                  <w:r>
                    <w:rPr>
                      <w:rFonts w:hint="eastAsia"/>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7</w:t>
                  </w:r>
                </w:p>
              </w:tc>
              <w:tc>
                <w:tcPr>
                  <w:tcW w:w="1547" w:type="dxa"/>
                  <w:vAlign w:val="center"/>
                </w:tcPr>
                <w:p>
                  <w:pPr>
                    <w:pStyle w:val="28"/>
                  </w:pPr>
                  <w:r>
                    <w:rPr>
                      <w:rFonts w:hint="eastAsia"/>
                    </w:rPr>
                    <w:t>柴油发电机</w:t>
                  </w:r>
                </w:p>
              </w:tc>
              <w:tc>
                <w:tcPr>
                  <w:tcW w:w="2530" w:type="dxa"/>
                  <w:vAlign w:val="center"/>
                </w:tcPr>
                <w:p>
                  <w:pPr>
                    <w:pStyle w:val="28"/>
                  </w:pPr>
                  <w:r>
                    <w:t>5</w:t>
                  </w:r>
                </w:p>
              </w:tc>
              <w:tc>
                <w:tcPr>
                  <w:tcW w:w="2291" w:type="dxa"/>
                  <w:vAlign w:val="center"/>
                </w:tcPr>
                <w:p>
                  <w:pPr>
                    <w:pStyle w:val="28"/>
                  </w:pPr>
                  <w:r>
                    <w:rPr>
                      <w:rFonts w:hint="eastAsia"/>
                    </w:rPr>
                    <w:t>≤95</w:t>
                  </w:r>
                </w:p>
              </w:tc>
              <w:tc>
                <w:tcPr>
                  <w:tcW w:w="1404" w:type="dxa"/>
                  <w:vAlign w:val="center"/>
                </w:tcPr>
                <w:p>
                  <w:pPr>
                    <w:pStyle w:val="28"/>
                  </w:pPr>
                  <w:r>
                    <w:rPr>
                      <w:rFonts w:hint="eastAsia"/>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8</w:t>
                  </w:r>
                </w:p>
              </w:tc>
              <w:tc>
                <w:tcPr>
                  <w:tcW w:w="1547" w:type="dxa"/>
                  <w:vAlign w:val="center"/>
                </w:tcPr>
                <w:p>
                  <w:pPr>
                    <w:pStyle w:val="28"/>
                  </w:pPr>
                  <w:r>
                    <w:rPr>
                      <w:rFonts w:hint="eastAsia"/>
                    </w:rPr>
                    <w:t>低架车</w:t>
                  </w:r>
                </w:p>
              </w:tc>
              <w:tc>
                <w:tcPr>
                  <w:tcW w:w="2530" w:type="dxa"/>
                  <w:vAlign w:val="center"/>
                </w:tcPr>
                <w:p>
                  <w:pPr>
                    <w:pStyle w:val="28"/>
                  </w:pPr>
                  <w:r>
                    <w:t>5</w:t>
                  </w:r>
                </w:p>
              </w:tc>
              <w:tc>
                <w:tcPr>
                  <w:tcW w:w="2291" w:type="dxa"/>
                  <w:vAlign w:val="center"/>
                </w:tcPr>
                <w:p>
                  <w:pPr>
                    <w:pStyle w:val="28"/>
                  </w:pPr>
                  <w:r>
                    <w:rPr>
                      <w:rFonts w:hint="eastAsia"/>
                    </w:rPr>
                    <w:t>≤90</w:t>
                  </w:r>
                </w:p>
              </w:tc>
              <w:tc>
                <w:tcPr>
                  <w:tcW w:w="1404"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9</w:t>
                  </w:r>
                </w:p>
              </w:tc>
              <w:tc>
                <w:tcPr>
                  <w:tcW w:w="1547" w:type="dxa"/>
                  <w:vAlign w:val="center"/>
                </w:tcPr>
                <w:p>
                  <w:pPr>
                    <w:pStyle w:val="28"/>
                  </w:pPr>
                  <w:r>
                    <w:rPr>
                      <w:rFonts w:hint="eastAsia"/>
                    </w:rPr>
                    <w:t>平板车</w:t>
                  </w:r>
                </w:p>
              </w:tc>
              <w:tc>
                <w:tcPr>
                  <w:tcW w:w="2530" w:type="dxa"/>
                  <w:vAlign w:val="center"/>
                </w:tcPr>
                <w:p>
                  <w:pPr>
                    <w:pStyle w:val="28"/>
                  </w:pPr>
                  <w:r>
                    <w:t>5</w:t>
                  </w:r>
                </w:p>
              </w:tc>
              <w:tc>
                <w:tcPr>
                  <w:tcW w:w="2291" w:type="dxa"/>
                  <w:vAlign w:val="center"/>
                </w:tcPr>
                <w:p>
                  <w:pPr>
                    <w:pStyle w:val="28"/>
                  </w:pPr>
                  <w:r>
                    <w:rPr>
                      <w:rFonts w:hint="eastAsia"/>
                    </w:rPr>
                    <w:t>≤85</w:t>
                  </w:r>
                </w:p>
              </w:tc>
              <w:tc>
                <w:tcPr>
                  <w:tcW w:w="1404"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1</w:t>
                  </w:r>
                  <w:r>
                    <w:t>0</w:t>
                  </w:r>
                </w:p>
              </w:tc>
              <w:tc>
                <w:tcPr>
                  <w:tcW w:w="1547" w:type="dxa"/>
                  <w:vAlign w:val="center"/>
                </w:tcPr>
                <w:p>
                  <w:pPr>
                    <w:pStyle w:val="28"/>
                  </w:pPr>
                  <w:r>
                    <w:rPr>
                      <w:rFonts w:hint="eastAsia"/>
                    </w:rPr>
                    <w:t>翻斗车</w:t>
                  </w:r>
                </w:p>
              </w:tc>
              <w:tc>
                <w:tcPr>
                  <w:tcW w:w="2530" w:type="dxa"/>
                  <w:vAlign w:val="center"/>
                </w:tcPr>
                <w:p>
                  <w:pPr>
                    <w:pStyle w:val="28"/>
                  </w:pPr>
                  <w:r>
                    <w:t>5</w:t>
                  </w:r>
                </w:p>
              </w:tc>
              <w:tc>
                <w:tcPr>
                  <w:tcW w:w="2291" w:type="dxa"/>
                  <w:vAlign w:val="center"/>
                </w:tcPr>
                <w:p>
                  <w:pPr>
                    <w:pStyle w:val="28"/>
                  </w:pPr>
                  <w:r>
                    <w:rPr>
                      <w:rFonts w:hint="eastAsia"/>
                    </w:rPr>
                    <w:t>≤90</w:t>
                  </w:r>
                </w:p>
              </w:tc>
              <w:tc>
                <w:tcPr>
                  <w:tcW w:w="1404"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1</w:t>
                  </w:r>
                  <w:r>
                    <w:t>1</w:t>
                  </w:r>
                </w:p>
              </w:tc>
              <w:tc>
                <w:tcPr>
                  <w:tcW w:w="1547" w:type="dxa"/>
                  <w:vAlign w:val="center"/>
                </w:tcPr>
                <w:p>
                  <w:pPr>
                    <w:pStyle w:val="28"/>
                  </w:pPr>
                  <w:r>
                    <w:rPr>
                      <w:rFonts w:hint="eastAsia"/>
                    </w:rPr>
                    <w:t>洒水车</w:t>
                  </w:r>
                </w:p>
              </w:tc>
              <w:tc>
                <w:tcPr>
                  <w:tcW w:w="2530" w:type="dxa"/>
                  <w:vAlign w:val="center"/>
                </w:tcPr>
                <w:p>
                  <w:pPr>
                    <w:pStyle w:val="28"/>
                  </w:pPr>
                  <w:r>
                    <w:t>5</w:t>
                  </w:r>
                </w:p>
              </w:tc>
              <w:tc>
                <w:tcPr>
                  <w:tcW w:w="2291" w:type="dxa"/>
                  <w:vAlign w:val="center"/>
                </w:tcPr>
                <w:p>
                  <w:pPr>
                    <w:pStyle w:val="28"/>
                  </w:pPr>
                  <w:r>
                    <w:rPr>
                      <w:rFonts w:hint="eastAsia"/>
                    </w:rPr>
                    <w:t>≤90</w:t>
                  </w:r>
                </w:p>
              </w:tc>
              <w:tc>
                <w:tcPr>
                  <w:tcW w:w="1404"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1</w:t>
                  </w:r>
                  <w:r>
                    <w:t>2</w:t>
                  </w:r>
                </w:p>
              </w:tc>
              <w:tc>
                <w:tcPr>
                  <w:tcW w:w="1547" w:type="dxa"/>
                  <w:vAlign w:val="center"/>
                </w:tcPr>
                <w:p>
                  <w:pPr>
                    <w:pStyle w:val="28"/>
                  </w:pPr>
                  <w:r>
                    <w:rPr>
                      <w:rFonts w:hint="eastAsia"/>
                    </w:rPr>
                    <w:t>运水罐车</w:t>
                  </w:r>
                </w:p>
              </w:tc>
              <w:tc>
                <w:tcPr>
                  <w:tcW w:w="2530" w:type="dxa"/>
                  <w:vAlign w:val="center"/>
                </w:tcPr>
                <w:p>
                  <w:pPr>
                    <w:pStyle w:val="28"/>
                  </w:pPr>
                  <w:r>
                    <w:t>5</w:t>
                  </w:r>
                </w:p>
              </w:tc>
              <w:tc>
                <w:tcPr>
                  <w:tcW w:w="2291" w:type="dxa"/>
                  <w:vAlign w:val="center"/>
                </w:tcPr>
                <w:p>
                  <w:pPr>
                    <w:pStyle w:val="28"/>
                  </w:pPr>
                  <w:r>
                    <w:rPr>
                      <w:rFonts w:hint="eastAsia"/>
                    </w:rPr>
                    <w:t>≤85</w:t>
                  </w:r>
                </w:p>
              </w:tc>
              <w:tc>
                <w:tcPr>
                  <w:tcW w:w="1404"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t>13</w:t>
                  </w:r>
                </w:p>
              </w:tc>
              <w:tc>
                <w:tcPr>
                  <w:tcW w:w="1547" w:type="dxa"/>
                  <w:vAlign w:val="center"/>
                </w:tcPr>
                <w:p>
                  <w:pPr>
                    <w:pStyle w:val="28"/>
                  </w:pPr>
                  <w:r>
                    <w:rPr>
                      <w:rFonts w:hint="eastAsia"/>
                    </w:rPr>
                    <w:t>钢筋调直机</w:t>
                  </w:r>
                </w:p>
              </w:tc>
              <w:tc>
                <w:tcPr>
                  <w:tcW w:w="2530" w:type="dxa"/>
                  <w:vAlign w:val="center"/>
                </w:tcPr>
                <w:p>
                  <w:pPr>
                    <w:pStyle w:val="28"/>
                  </w:pPr>
                  <w:r>
                    <w:t>5</w:t>
                  </w:r>
                </w:p>
              </w:tc>
              <w:tc>
                <w:tcPr>
                  <w:tcW w:w="2291" w:type="dxa"/>
                  <w:vAlign w:val="center"/>
                </w:tcPr>
                <w:p>
                  <w:pPr>
                    <w:pStyle w:val="28"/>
                  </w:pPr>
                  <w:r>
                    <w:rPr>
                      <w:rFonts w:hint="eastAsia"/>
                    </w:rPr>
                    <w:t>≤</w:t>
                  </w:r>
                  <w:r>
                    <w:t>85</w:t>
                  </w:r>
                </w:p>
              </w:tc>
              <w:tc>
                <w:tcPr>
                  <w:tcW w:w="1404"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1</w:t>
                  </w:r>
                  <w:r>
                    <w:t>4</w:t>
                  </w:r>
                </w:p>
              </w:tc>
              <w:tc>
                <w:tcPr>
                  <w:tcW w:w="1547" w:type="dxa"/>
                  <w:vAlign w:val="center"/>
                </w:tcPr>
                <w:p>
                  <w:pPr>
                    <w:pStyle w:val="28"/>
                  </w:pPr>
                  <w:r>
                    <w:rPr>
                      <w:rFonts w:hint="eastAsia"/>
                    </w:rPr>
                    <w:t>钢筋切断机</w:t>
                  </w:r>
                </w:p>
              </w:tc>
              <w:tc>
                <w:tcPr>
                  <w:tcW w:w="2530" w:type="dxa"/>
                  <w:vAlign w:val="center"/>
                </w:tcPr>
                <w:p>
                  <w:pPr>
                    <w:pStyle w:val="28"/>
                  </w:pPr>
                  <w:r>
                    <w:t>5</w:t>
                  </w:r>
                </w:p>
              </w:tc>
              <w:tc>
                <w:tcPr>
                  <w:tcW w:w="2291" w:type="dxa"/>
                  <w:vAlign w:val="center"/>
                </w:tcPr>
                <w:p>
                  <w:pPr>
                    <w:pStyle w:val="28"/>
                  </w:pPr>
                  <w:r>
                    <w:rPr>
                      <w:rFonts w:hint="eastAsia"/>
                    </w:rPr>
                    <w:t>≤</w:t>
                  </w:r>
                  <w:r>
                    <w:t>85</w:t>
                  </w:r>
                </w:p>
              </w:tc>
              <w:tc>
                <w:tcPr>
                  <w:tcW w:w="1404"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pPr>
                    <w:pStyle w:val="28"/>
                  </w:pPr>
                  <w:r>
                    <w:rPr>
                      <w:rFonts w:hint="eastAsia"/>
                    </w:rPr>
                    <w:t>1</w:t>
                  </w:r>
                  <w:r>
                    <w:t>5</w:t>
                  </w:r>
                </w:p>
              </w:tc>
              <w:tc>
                <w:tcPr>
                  <w:tcW w:w="1547" w:type="dxa"/>
                  <w:vAlign w:val="center"/>
                </w:tcPr>
                <w:p>
                  <w:pPr>
                    <w:pStyle w:val="28"/>
                  </w:pPr>
                  <w:r>
                    <w:rPr>
                      <w:rFonts w:hint="eastAsia"/>
                    </w:rPr>
                    <w:t>钢筋弯曲机</w:t>
                  </w:r>
                </w:p>
              </w:tc>
              <w:tc>
                <w:tcPr>
                  <w:tcW w:w="2530" w:type="dxa"/>
                  <w:vAlign w:val="center"/>
                </w:tcPr>
                <w:p>
                  <w:pPr>
                    <w:pStyle w:val="28"/>
                  </w:pPr>
                  <w:r>
                    <w:t>5</w:t>
                  </w:r>
                </w:p>
              </w:tc>
              <w:tc>
                <w:tcPr>
                  <w:tcW w:w="2291" w:type="dxa"/>
                  <w:vAlign w:val="center"/>
                </w:tcPr>
                <w:p>
                  <w:pPr>
                    <w:pStyle w:val="28"/>
                  </w:pPr>
                  <w:r>
                    <w:rPr>
                      <w:rFonts w:hint="eastAsia"/>
                    </w:rPr>
                    <w:t>≤</w:t>
                  </w:r>
                  <w:r>
                    <w:t>80</w:t>
                  </w:r>
                </w:p>
              </w:tc>
              <w:tc>
                <w:tcPr>
                  <w:tcW w:w="1404" w:type="dxa"/>
                  <w:vAlign w:val="center"/>
                </w:tcPr>
                <w:p>
                  <w:pPr>
                    <w:pStyle w:val="28"/>
                  </w:pPr>
                  <w:r>
                    <w:rPr>
                      <w:rFonts w:hint="eastAsia"/>
                    </w:rPr>
                    <w:t>瞬时噪声</w:t>
                  </w:r>
                </w:p>
              </w:tc>
            </w:tr>
          </w:tbl>
          <w:p>
            <w:pPr>
              <w:pStyle w:val="29"/>
              <w:ind w:firstLine="480"/>
            </w:pPr>
            <w:r>
              <w:t>（2）升压站施工噪声</w:t>
            </w:r>
          </w:p>
          <w:p>
            <w:pPr>
              <w:pStyle w:val="29"/>
              <w:ind w:firstLine="480"/>
            </w:pPr>
            <w:r>
              <w:t>升压站施工期主要噪声为土建工程施工、设备安装等以及运输车辆行驶产生的噪声。噪声源设备主要有自卸卡车、挖掘机、切割机、钻机、电锤、吊车等，施工期间不存在突发噪声。</w:t>
            </w:r>
          </w:p>
          <w:p>
            <w:pPr>
              <w:pStyle w:val="29"/>
              <w:ind w:firstLine="0" w:firstLineChars="0"/>
              <w:jc w:val="center"/>
            </w:pPr>
            <w:r>
              <w:rPr>
                <w:rFonts w:hint="eastAsia"/>
              </w:rPr>
              <w:t>表4-2  升压站主要施工机械噪声源强一览表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526"/>
              <w:gridCol w:w="2550"/>
              <w:gridCol w:w="2282"/>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Align w:val="center"/>
                </w:tcPr>
                <w:p>
                  <w:pPr>
                    <w:pStyle w:val="28"/>
                  </w:pPr>
                  <w:r>
                    <w:t>序号</w:t>
                  </w:r>
                </w:p>
              </w:tc>
              <w:tc>
                <w:tcPr>
                  <w:tcW w:w="1526" w:type="dxa"/>
                  <w:vAlign w:val="center"/>
                </w:tcPr>
                <w:p>
                  <w:pPr>
                    <w:pStyle w:val="28"/>
                  </w:pPr>
                  <w:r>
                    <w:rPr>
                      <w:rFonts w:hint="eastAsia"/>
                    </w:rPr>
                    <w:t>机械类型</w:t>
                  </w:r>
                </w:p>
              </w:tc>
              <w:tc>
                <w:tcPr>
                  <w:tcW w:w="2550" w:type="dxa"/>
                  <w:vAlign w:val="center"/>
                </w:tcPr>
                <w:p>
                  <w:pPr>
                    <w:pStyle w:val="28"/>
                  </w:pPr>
                  <w:r>
                    <w:t>测点距施工机具距离</w:t>
                  </w:r>
                  <w:r>
                    <w:rPr>
                      <w:rFonts w:hint="eastAsia"/>
                    </w:rPr>
                    <w:t>（</w:t>
                  </w:r>
                  <w:r>
                    <w:t>m</w:t>
                  </w:r>
                  <w:r>
                    <w:rPr>
                      <w:rFonts w:hint="eastAsia"/>
                      <w:lang w:eastAsia="zh-CN"/>
                    </w:rPr>
                    <w:t>）</w:t>
                  </w:r>
                </w:p>
              </w:tc>
              <w:tc>
                <w:tcPr>
                  <w:tcW w:w="2282" w:type="dxa"/>
                  <w:vAlign w:val="center"/>
                </w:tcPr>
                <w:p>
                  <w:pPr>
                    <w:pStyle w:val="28"/>
                  </w:pPr>
                  <w:r>
                    <w:t>测点最大声级</w:t>
                  </w:r>
                  <w:r>
                    <w:rPr>
                      <w:rFonts w:hint="eastAsia"/>
                    </w:rPr>
                    <w:t>（</w:t>
                  </w:r>
                  <w:r>
                    <w:t>dB(A)</w:t>
                  </w:r>
                  <w:r>
                    <w:rPr>
                      <w:rFonts w:hint="eastAsia"/>
                      <w:lang w:eastAsia="zh-CN"/>
                    </w:rPr>
                    <w:t>）</w:t>
                  </w:r>
                </w:p>
              </w:tc>
              <w:tc>
                <w:tcPr>
                  <w:tcW w:w="1413" w:type="dxa"/>
                  <w:vAlign w:val="center"/>
                </w:tcPr>
                <w:p>
                  <w:pPr>
                    <w:pStyle w:val="28"/>
                  </w:pPr>
                  <w:r>
                    <w:rPr>
                      <w:rFonts w:hint="eastAsia"/>
                    </w:rPr>
                    <w:t>噪声源类型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Align w:val="center"/>
                </w:tcPr>
                <w:p>
                  <w:pPr>
                    <w:pStyle w:val="28"/>
                  </w:pPr>
                  <w:r>
                    <w:t>1</w:t>
                  </w:r>
                </w:p>
              </w:tc>
              <w:tc>
                <w:tcPr>
                  <w:tcW w:w="1526" w:type="dxa"/>
                  <w:vAlign w:val="center"/>
                </w:tcPr>
                <w:p>
                  <w:pPr>
                    <w:pStyle w:val="28"/>
                  </w:pPr>
                  <w:r>
                    <w:rPr>
                      <w:rFonts w:hint="eastAsia"/>
                    </w:rPr>
                    <w:t>自卸卡车</w:t>
                  </w:r>
                </w:p>
              </w:tc>
              <w:tc>
                <w:tcPr>
                  <w:tcW w:w="2550" w:type="dxa"/>
                  <w:vAlign w:val="center"/>
                </w:tcPr>
                <w:p>
                  <w:pPr>
                    <w:pStyle w:val="28"/>
                  </w:pPr>
                  <w:r>
                    <w:t>5</w:t>
                  </w:r>
                </w:p>
              </w:tc>
              <w:tc>
                <w:tcPr>
                  <w:tcW w:w="2282" w:type="dxa"/>
                  <w:vAlign w:val="center"/>
                </w:tcPr>
                <w:p>
                  <w:pPr>
                    <w:pStyle w:val="28"/>
                  </w:pPr>
                  <w:r>
                    <w:rPr>
                      <w:rFonts w:hint="eastAsia"/>
                    </w:rPr>
                    <w:t>≤</w:t>
                  </w:r>
                  <w:r>
                    <w:t>80</w:t>
                  </w:r>
                </w:p>
              </w:tc>
              <w:tc>
                <w:tcPr>
                  <w:tcW w:w="1413"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Align w:val="center"/>
                </w:tcPr>
                <w:p>
                  <w:pPr>
                    <w:pStyle w:val="28"/>
                  </w:pPr>
                  <w:r>
                    <w:t>2</w:t>
                  </w:r>
                </w:p>
              </w:tc>
              <w:tc>
                <w:tcPr>
                  <w:tcW w:w="1526" w:type="dxa"/>
                  <w:vAlign w:val="center"/>
                </w:tcPr>
                <w:p>
                  <w:pPr>
                    <w:pStyle w:val="28"/>
                  </w:pPr>
                  <w:r>
                    <w:rPr>
                      <w:rFonts w:hint="eastAsia"/>
                    </w:rPr>
                    <w:t>挖掘机</w:t>
                  </w:r>
                </w:p>
              </w:tc>
              <w:tc>
                <w:tcPr>
                  <w:tcW w:w="2550" w:type="dxa"/>
                  <w:vAlign w:val="center"/>
                </w:tcPr>
                <w:p>
                  <w:pPr>
                    <w:pStyle w:val="28"/>
                  </w:pPr>
                  <w:r>
                    <w:t>5</w:t>
                  </w:r>
                </w:p>
              </w:tc>
              <w:tc>
                <w:tcPr>
                  <w:tcW w:w="2282" w:type="dxa"/>
                  <w:vAlign w:val="center"/>
                </w:tcPr>
                <w:p>
                  <w:pPr>
                    <w:pStyle w:val="28"/>
                  </w:pPr>
                  <w:r>
                    <w:rPr>
                      <w:rFonts w:hint="eastAsia"/>
                    </w:rPr>
                    <w:t>≤</w:t>
                  </w:r>
                  <w:r>
                    <w:t>80</w:t>
                  </w:r>
                </w:p>
              </w:tc>
              <w:tc>
                <w:tcPr>
                  <w:tcW w:w="1413"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Align w:val="center"/>
                </w:tcPr>
                <w:p>
                  <w:pPr>
                    <w:pStyle w:val="28"/>
                  </w:pPr>
                  <w:r>
                    <w:t>3</w:t>
                  </w:r>
                </w:p>
              </w:tc>
              <w:tc>
                <w:tcPr>
                  <w:tcW w:w="1526" w:type="dxa"/>
                  <w:vAlign w:val="center"/>
                </w:tcPr>
                <w:p>
                  <w:pPr>
                    <w:pStyle w:val="28"/>
                  </w:pPr>
                  <w:r>
                    <w:rPr>
                      <w:rFonts w:hint="eastAsia"/>
                    </w:rPr>
                    <w:t>切割机</w:t>
                  </w:r>
                </w:p>
              </w:tc>
              <w:tc>
                <w:tcPr>
                  <w:tcW w:w="2550" w:type="dxa"/>
                  <w:vAlign w:val="center"/>
                </w:tcPr>
                <w:p>
                  <w:pPr>
                    <w:pStyle w:val="28"/>
                  </w:pPr>
                  <w:r>
                    <w:t>5</w:t>
                  </w:r>
                </w:p>
              </w:tc>
              <w:tc>
                <w:tcPr>
                  <w:tcW w:w="2282" w:type="dxa"/>
                  <w:vAlign w:val="center"/>
                </w:tcPr>
                <w:p>
                  <w:pPr>
                    <w:pStyle w:val="28"/>
                  </w:pPr>
                  <w:r>
                    <w:rPr>
                      <w:rFonts w:hint="eastAsia"/>
                    </w:rPr>
                    <w:t>≤</w:t>
                  </w:r>
                  <w:r>
                    <w:t>90</w:t>
                  </w:r>
                </w:p>
              </w:tc>
              <w:tc>
                <w:tcPr>
                  <w:tcW w:w="1413"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Align w:val="center"/>
                </w:tcPr>
                <w:p>
                  <w:pPr>
                    <w:pStyle w:val="28"/>
                  </w:pPr>
                  <w:r>
                    <w:rPr>
                      <w:rFonts w:hint="eastAsia"/>
                    </w:rPr>
                    <w:t>4</w:t>
                  </w:r>
                </w:p>
              </w:tc>
              <w:tc>
                <w:tcPr>
                  <w:tcW w:w="1526" w:type="dxa"/>
                  <w:vAlign w:val="center"/>
                </w:tcPr>
                <w:p>
                  <w:pPr>
                    <w:pStyle w:val="28"/>
                  </w:pPr>
                  <w:r>
                    <w:rPr>
                      <w:rFonts w:hint="eastAsia"/>
                    </w:rPr>
                    <w:t>钻机</w:t>
                  </w:r>
                </w:p>
              </w:tc>
              <w:tc>
                <w:tcPr>
                  <w:tcW w:w="2550" w:type="dxa"/>
                  <w:vAlign w:val="center"/>
                </w:tcPr>
                <w:p>
                  <w:pPr>
                    <w:pStyle w:val="28"/>
                  </w:pPr>
                  <w:r>
                    <w:t>5</w:t>
                  </w:r>
                </w:p>
              </w:tc>
              <w:tc>
                <w:tcPr>
                  <w:tcW w:w="2282" w:type="dxa"/>
                  <w:vAlign w:val="center"/>
                </w:tcPr>
                <w:p>
                  <w:pPr>
                    <w:pStyle w:val="28"/>
                  </w:pPr>
                  <w:r>
                    <w:rPr>
                      <w:rFonts w:hint="eastAsia"/>
                    </w:rPr>
                    <w:t>≤85</w:t>
                  </w:r>
                </w:p>
              </w:tc>
              <w:tc>
                <w:tcPr>
                  <w:tcW w:w="1413"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Align w:val="center"/>
                </w:tcPr>
                <w:p>
                  <w:pPr>
                    <w:pStyle w:val="28"/>
                  </w:pPr>
                  <w:r>
                    <w:rPr>
                      <w:rFonts w:hint="eastAsia"/>
                    </w:rPr>
                    <w:t>5</w:t>
                  </w:r>
                </w:p>
              </w:tc>
              <w:tc>
                <w:tcPr>
                  <w:tcW w:w="1526" w:type="dxa"/>
                  <w:vAlign w:val="center"/>
                </w:tcPr>
                <w:p>
                  <w:pPr>
                    <w:pStyle w:val="28"/>
                  </w:pPr>
                  <w:r>
                    <w:rPr>
                      <w:rFonts w:hint="eastAsia"/>
                    </w:rPr>
                    <w:t>电锤</w:t>
                  </w:r>
                </w:p>
              </w:tc>
              <w:tc>
                <w:tcPr>
                  <w:tcW w:w="2550" w:type="dxa"/>
                  <w:vAlign w:val="center"/>
                </w:tcPr>
                <w:p>
                  <w:pPr>
                    <w:pStyle w:val="28"/>
                  </w:pPr>
                  <w:r>
                    <w:t>5</w:t>
                  </w:r>
                </w:p>
              </w:tc>
              <w:tc>
                <w:tcPr>
                  <w:tcW w:w="2282" w:type="dxa"/>
                  <w:vAlign w:val="center"/>
                </w:tcPr>
                <w:p>
                  <w:pPr>
                    <w:pStyle w:val="28"/>
                  </w:pPr>
                  <w:r>
                    <w:rPr>
                      <w:rFonts w:hint="eastAsia"/>
                    </w:rPr>
                    <w:t>≤</w:t>
                  </w:r>
                  <w:r>
                    <w:t>85</w:t>
                  </w:r>
                </w:p>
              </w:tc>
              <w:tc>
                <w:tcPr>
                  <w:tcW w:w="1413" w:type="dxa"/>
                  <w:vAlign w:val="center"/>
                </w:tcPr>
                <w:p>
                  <w:pPr>
                    <w:pStyle w:val="28"/>
                  </w:pPr>
                  <w:r>
                    <w:rPr>
                      <w:rFonts w:hint="eastAsia"/>
                    </w:rPr>
                    <w:t>瞬时噪声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Align w:val="center"/>
                </w:tcPr>
                <w:p>
                  <w:pPr>
                    <w:pStyle w:val="28"/>
                  </w:pPr>
                  <w:r>
                    <w:rPr>
                      <w:rFonts w:hint="eastAsia"/>
                    </w:rPr>
                    <w:t>6</w:t>
                  </w:r>
                </w:p>
              </w:tc>
              <w:tc>
                <w:tcPr>
                  <w:tcW w:w="1526" w:type="dxa"/>
                  <w:vAlign w:val="center"/>
                </w:tcPr>
                <w:p>
                  <w:pPr>
                    <w:pStyle w:val="28"/>
                  </w:pPr>
                  <w:r>
                    <w:rPr>
                      <w:rFonts w:hint="eastAsia"/>
                    </w:rPr>
                    <w:t>吊车</w:t>
                  </w:r>
                </w:p>
              </w:tc>
              <w:tc>
                <w:tcPr>
                  <w:tcW w:w="2550" w:type="dxa"/>
                  <w:vAlign w:val="center"/>
                </w:tcPr>
                <w:p>
                  <w:pPr>
                    <w:pStyle w:val="28"/>
                  </w:pPr>
                  <w:r>
                    <w:t>5</w:t>
                  </w:r>
                </w:p>
              </w:tc>
              <w:tc>
                <w:tcPr>
                  <w:tcW w:w="2282" w:type="dxa"/>
                  <w:vAlign w:val="center"/>
                </w:tcPr>
                <w:p>
                  <w:pPr>
                    <w:pStyle w:val="28"/>
                  </w:pPr>
                  <w:r>
                    <w:rPr>
                      <w:rFonts w:hint="eastAsia"/>
                    </w:rPr>
                    <w:t>≤80</w:t>
                  </w:r>
                </w:p>
              </w:tc>
              <w:tc>
                <w:tcPr>
                  <w:tcW w:w="1413" w:type="dxa"/>
                  <w:vAlign w:val="center"/>
                </w:tcPr>
                <w:p>
                  <w:pPr>
                    <w:pStyle w:val="28"/>
                  </w:pPr>
                  <w:r>
                    <w:rPr>
                      <w:rFonts w:hint="eastAsia"/>
                    </w:rPr>
                    <w:t>瞬时噪声</w:t>
                  </w:r>
                </w:p>
              </w:tc>
            </w:tr>
          </w:tbl>
          <w:p>
            <w:pPr>
              <w:wordWrap w:val="0"/>
              <w:ind w:firstLine="480"/>
              <w:rPr>
                <w:snapToGrid w:val="0"/>
                <w:kern w:val="0"/>
              </w:rPr>
            </w:pPr>
            <w:r>
              <w:rPr>
                <w:rFonts w:hint="eastAsia"/>
                <w:snapToGrid w:val="0"/>
                <w:kern w:val="0"/>
              </w:rPr>
              <w:t>考虑在没有隔声措施、周围无屏障的情况下，对单台施工机械设备噪声随距离的衰减进行预测，公式如下：</w:t>
            </w:r>
          </w:p>
          <w:p>
            <w:pPr>
              <w:wordWrap w:val="0"/>
              <w:ind w:firstLine="480"/>
              <w:jc w:val="center"/>
            </w:pPr>
            <w:bookmarkStart w:id="11" w:name="_Toc468643196"/>
            <w:bookmarkStart w:id="12" w:name="_Toc480191197"/>
            <w:bookmarkStart w:id="13" w:name="_Toc480190634"/>
            <w:r>
              <w:t>L</w:t>
            </w:r>
            <w:r>
              <w:rPr>
                <w:i/>
                <w:vertAlign w:val="subscript"/>
              </w:rPr>
              <w:t>p</w:t>
            </w:r>
            <w:r>
              <w:t>(r)=L</w:t>
            </w:r>
            <w:r>
              <w:rPr>
                <w:i/>
                <w:vertAlign w:val="subscript"/>
              </w:rPr>
              <w:t>p</w:t>
            </w:r>
            <w:r>
              <w:t>(r</w:t>
            </w:r>
            <w:r>
              <w:rPr>
                <w:vertAlign w:val="subscript"/>
              </w:rPr>
              <w:t>0</w:t>
            </w:r>
            <w:r>
              <w:t>)-20lg(r/r</w:t>
            </w:r>
            <w:r>
              <w:rPr>
                <w:vertAlign w:val="subscript"/>
              </w:rPr>
              <w:t>0</w:t>
            </w:r>
            <w:r>
              <w:t>)</w:t>
            </w:r>
            <w:bookmarkEnd w:id="11"/>
            <w:bookmarkEnd w:id="12"/>
            <w:bookmarkEnd w:id="13"/>
          </w:p>
          <w:p>
            <w:pPr>
              <w:wordWrap w:val="0"/>
              <w:ind w:firstLine="480"/>
            </w:pPr>
            <w:r>
              <w:t>式中：L</w:t>
            </w:r>
            <w:r>
              <w:rPr>
                <w:i/>
                <w:vertAlign w:val="subscript"/>
              </w:rPr>
              <w:t>p</w:t>
            </w:r>
            <w:r>
              <w:t>(r)——距声源r（m）处的噪声预测值，dB（A）；</w:t>
            </w:r>
          </w:p>
          <w:p>
            <w:pPr>
              <w:wordWrap w:val="0"/>
              <w:ind w:firstLine="480"/>
            </w:pPr>
            <w:r>
              <w:t>L</w:t>
            </w:r>
            <w:r>
              <w:rPr>
                <w:i/>
                <w:vertAlign w:val="subscript"/>
              </w:rPr>
              <w:t>p</w:t>
            </w:r>
            <w:r>
              <w:t>(r</w:t>
            </w:r>
            <w:r>
              <w:rPr>
                <w:vertAlign w:val="subscript"/>
              </w:rPr>
              <w:t>0</w:t>
            </w:r>
            <w:r>
              <w:t>)——距声源r</w:t>
            </w:r>
            <w:r>
              <w:rPr>
                <w:vertAlign w:val="subscript"/>
              </w:rPr>
              <w:t>0</w:t>
            </w:r>
            <w:r>
              <w:t>（m）处的参考声级值，dB（A）；</w:t>
            </w:r>
          </w:p>
          <w:p>
            <w:pPr>
              <w:wordWrap w:val="0"/>
              <w:ind w:firstLine="480"/>
            </w:pPr>
            <w:r>
              <w:t>r——测点距声源的距离，m。</w:t>
            </w:r>
          </w:p>
          <w:p>
            <w:pPr>
              <w:pStyle w:val="29"/>
              <w:ind w:firstLine="480"/>
            </w:pPr>
            <w:r>
              <w:rPr>
                <w:snapToGrid w:val="0"/>
              </w:rPr>
              <w:t>根据各固定声源的噪声值及上述预测模式计算得出其不同距离处的噪声预测值，</w:t>
            </w:r>
            <w:r>
              <w:rPr>
                <w:rFonts w:hint="eastAsia"/>
                <w:snapToGrid w:val="0"/>
              </w:rPr>
              <w:t>详见表4</w:t>
            </w:r>
            <w:r>
              <w:rPr>
                <w:snapToGrid w:val="0"/>
              </w:rPr>
              <w:t>-3</w:t>
            </w:r>
            <w:r>
              <w:rPr>
                <w:rFonts w:hint="eastAsia"/>
                <w:snapToGrid w:val="0"/>
              </w:rPr>
              <w:t>。</w:t>
            </w:r>
          </w:p>
          <w:p>
            <w:pPr>
              <w:pStyle w:val="29"/>
              <w:ind w:firstLine="0" w:firstLineChars="0"/>
              <w:jc w:val="center"/>
            </w:pPr>
            <w:r>
              <w:rPr>
                <w:rFonts w:hint="eastAsia"/>
              </w:rPr>
              <w:t>表4-3  主要施工机械的噪声级  单位：dB（A）</w:t>
            </w:r>
          </w:p>
          <w:tbl>
            <w:tblPr>
              <w:tblStyle w:val="14"/>
              <w:tblW w:w="49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03"/>
              <w:gridCol w:w="1674"/>
              <w:gridCol w:w="785"/>
              <w:gridCol w:w="785"/>
              <w:gridCol w:w="785"/>
              <w:gridCol w:w="785"/>
              <w:gridCol w:w="785"/>
              <w:gridCol w:w="773"/>
              <w:gridCol w:w="79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vMerge w:val="restart"/>
                  <w:tcBorders>
                    <w:top w:val="single" w:color="auto" w:sz="4" w:space="0"/>
                    <w:left w:val="single" w:color="auto" w:sz="4" w:space="0"/>
                    <w:bottom w:val="single" w:color="auto" w:sz="4" w:space="0"/>
                    <w:right w:val="single" w:color="auto" w:sz="4" w:space="0"/>
                  </w:tcBorders>
                  <w:vAlign w:val="center"/>
                </w:tcPr>
                <w:p>
                  <w:pPr>
                    <w:pStyle w:val="28"/>
                  </w:pPr>
                  <w:r>
                    <w:rPr>
                      <w:rFonts w:hint="eastAsia"/>
                    </w:rPr>
                    <w:t>噪声源</w:t>
                  </w:r>
                </w:p>
              </w:tc>
              <w:tc>
                <w:tcPr>
                  <w:tcW w:w="1711"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pStyle w:val="28"/>
                  </w:pPr>
                  <w:r>
                    <w:rPr>
                      <w:rFonts w:hint="eastAsia"/>
                    </w:rPr>
                    <w:t xml:space="preserve">      距离（m）</w:t>
                  </w:r>
                </w:p>
                <w:p>
                  <w:pPr>
                    <w:pStyle w:val="28"/>
                  </w:pPr>
                </w:p>
                <w:p>
                  <w:pPr>
                    <w:pStyle w:val="28"/>
                    <w:jc w:val="both"/>
                  </w:pPr>
                  <w:r>
                    <w:rPr>
                      <w:rFonts w:hint="eastAsia"/>
                    </w:rPr>
                    <w:t>源强（</w:t>
                  </w:r>
                  <w:r>
                    <w:t>dB</w:t>
                  </w:r>
                  <w:r>
                    <w:rPr>
                      <w:rFonts w:hint="eastAsia"/>
                    </w:rPr>
                    <w:t>）</w:t>
                  </w:r>
                </w:p>
              </w:tc>
              <w:tc>
                <w:tcPr>
                  <w:tcW w:w="5593" w:type="dxa"/>
                  <w:gridSpan w:val="7"/>
                  <w:tcBorders>
                    <w:top w:val="single" w:color="auto" w:sz="4" w:space="0"/>
                    <w:left w:val="single" w:color="auto" w:sz="4" w:space="0"/>
                    <w:bottom w:val="single" w:color="auto" w:sz="4" w:space="0"/>
                    <w:right w:val="single" w:color="auto" w:sz="4" w:space="0"/>
                  </w:tcBorders>
                  <w:vAlign w:val="center"/>
                </w:tcPr>
                <w:p>
                  <w:pPr>
                    <w:pStyle w:val="28"/>
                  </w:pPr>
                  <w:r>
                    <w:rPr>
                      <w:rFonts w:hint="eastAsia"/>
                    </w:rPr>
                    <w:t>离开施工机械的距离（m）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pStyle w:val="28"/>
                  </w:pPr>
                </w:p>
              </w:tc>
              <w:tc>
                <w:tcPr>
                  <w:tcW w:w="1711" w:type="dxa"/>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pStyle w:val="28"/>
                  </w:pP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10m</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20m</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40m</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60m</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100m</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150m</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200m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35" w:type="dxa"/>
                  <w:gridSpan w:val="9"/>
                  <w:tcBorders>
                    <w:top w:val="single" w:color="auto" w:sz="4" w:space="0"/>
                    <w:left w:val="single" w:color="auto" w:sz="4" w:space="0"/>
                    <w:bottom w:val="single" w:color="auto" w:sz="4" w:space="0"/>
                    <w:right w:val="single" w:color="auto" w:sz="4" w:space="0"/>
                  </w:tcBorders>
                  <w:vAlign w:val="center"/>
                </w:tcPr>
                <w:p>
                  <w:pPr>
                    <w:pStyle w:val="28"/>
                  </w:pPr>
                  <w:r>
                    <w:rPr>
                      <w:rFonts w:hint="eastAsia"/>
                    </w:rPr>
                    <w:t>光伏场区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汽车</w:t>
                  </w:r>
                  <w:r>
                    <w:t>起重机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48.0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挖掘机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48.0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装载机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84.0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60.5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推土机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85</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73.0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66.9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63.4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59.0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55.5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压路机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48.0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平地机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48.0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柴油发电机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95</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89.0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83.0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76.9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73.4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69.0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65.5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63.0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低架车</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84.0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60.5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平板车</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85</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73.0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66.9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63.4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59.0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55.5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翻斗车</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84.0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60.5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洒水车</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84.0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60.5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运水罐车</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85</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73.0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66.9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63.4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59.0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55.5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钢筋调直机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85</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73.0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66.9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63.4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59.0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55.5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钢筋切断机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85</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73.0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66.9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63.4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59.0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55.5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钢筋弯曲机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48.0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35" w:type="dxa"/>
                  <w:gridSpan w:val="9"/>
                  <w:tcBorders>
                    <w:top w:val="single" w:color="auto" w:sz="4" w:space="0"/>
                    <w:left w:val="single" w:color="auto" w:sz="4" w:space="0"/>
                    <w:bottom w:val="single" w:color="auto" w:sz="4" w:space="0"/>
                    <w:right w:val="single" w:color="auto" w:sz="4" w:space="0"/>
                  </w:tcBorders>
                  <w:vAlign w:val="center"/>
                </w:tcPr>
                <w:p>
                  <w:pPr>
                    <w:pStyle w:val="28"/>
                  </w:pPr>
                  <w:r>
                    <w:rPr>
                      <w:rFonts w:hint="eastAsia"/>
                    </w:rPr>
                    <w:t>升压站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t>自卸卡车</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48.0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切割机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84.0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60.5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钻机</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85</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73.0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66.9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63.4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59.0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55.5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电锤</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85</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79.0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73.0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66.9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63.4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59.0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55.5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8"/>
                  </w:pPr>
                  <w:r>
                    <w:rPr>
                      <w:rFonts w:hint="eastAsia"/>
                    </w:rPr>
                    <w:t>吊车</w:t>
                  </w:r>
                </w:p>
              </w:tc>
              <w:tc>
                <w:tcPr>
                  <w:tcW w:w="1711" w:type="dxa"/>
                  <w:tcBorders>
                    <w:top w:val="single" w:color="auto" w:sz="4" w:space="0"/>
                    <w:left w:val="single" w:color="auto" w:sz="4" w:space="0"/>
                    <w:bottom w:val="single" w:color="auto" w:sz="4" w:space="0"/>
                    <w:right w:val="single" w:color="auto" w:sz="4" w:space="0"/>
                  </w:tcBorders>
                  <w:vAlign w:val="center"/>
                </w:tcPr>
                <w:p>
                  <w:pPr>
                    <w:pStyle w:val="28"/>
                  </w:pPr>
                  <w:r>
                    <w:t>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74.0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68.0</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61.9</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58.4</w:t>
                  </w:r>
                </w:p>
              </w:tc>
              <w:tc>
                <w:tcPr>
                  <w:tcW w:w="799" w:type="dxa"/>
                  <w:tcBorders>
                    <w:top w:val="single" w:color="auto" w:sz="4" w:space="0"/>
                    <w:left w:val="single" w:color="auto" w:sz="4" w:space="0"/>
                    <w:bottom w:val="single" w:color="auto" w:sz="4" w:space="0"/>
                    <w:right w:val="single" w:color="auto" w:sz="4" w:space="0"/>
                  </w:tcBorders>
                  <w:vAlign w:val="center"/>
                </w:tcPr>
                <w:p>
                  <w:pPr>
                    <w:pStyle w:val="28"/>
                  </w:pPr>
                  <w:r>
                    <w:t>54.0</w:t>
                  </w:r>
                </w:p>
              </w:tc>
              <w:tc>
                <w:tcPr>
                  <w:tcW w:w="787" w:type="dxa"/>
                  <w:tcBorders>
                    <w:top w:val="single" w:color="auto" w:sz="4" w:space="0"/>
                    <w:left w:val="single" w:color="auto" w:sz="4" w:space="0"/>
                    <w:bottom w:val="single" w:color="auto" w:sz="4" w:space="0"/>
                    <w:right w:val="single" w:color="auto" w:sz="4" w:space="0"/>
                  </w:tcBorders>
                  <w:vAlign w:val="center"/>
                </w:tcPr>
                <w:p>
                  <w:pPr>
                    <w:pStyle w:val="28"/>
                  </w:pPr>
                  <w:r>
                    <w:t>50.5</w:t>
                  </w:r>
                </w:p>
              </w:tc>
              <w:tc>
                <w:tcPr>
                  <w:tcW w:w="811" w:type="dxa"/>
                  <w:tcBorders>
                    <w:top w:val="single" w:color="auto" w:sz="4" w:space="0"/>
                    <w:left w:val="single" w:color="auto" w:sz="4" w:space="0"/>
                    <w:bottom w:val="single" w:color="auto" w:sz="4" w:space="0"/>
                    <w:right w:val="single" w:color="auto" w:sz="4" w:space="0"/>
                  </w:tcBorders>
                  <w:vAlign w:val="center"/>
                </w:tcPr>
                <w:p>
                  <w:pPr>
                    <w:pStyle w:val="28"/>
                  </w:pPr>
                  <w:r>
                    <w:t>48.0</w:t>
                  </w:r>
                </w:p>
              </w:tc>
            </w:tr>
          </w:tbl>
          <w:p>
            <w:pPr>
              <w:pStyle w:val="29"/>
              <w:ind w:firstLine="480"/>
            </w:pPr>
            <w:bookmarkStart w:id="14" w:name="_Hlk67470209"/>
            <w:r>
              <w:rPr>
                <w:rFonts w:hint="eastAsia"/>
              </w:rPr>
              <w:t>项目施工期声环境的影响是短暂和可逆的，随着施工期的结束其对环境的影响也将随之消失。鉴于本项目施工噪声影响范围内的声环境敏感目标较多，为降低施工期环境影响，切实保护周边环境敏感目标声环境质量，本评价提出以下施工期噪声污染</w:t>
            </w:r>
            <w:r>
              <w:t>防治</w:t>
            </w:r>
            <w:r>
              <w:rPr>
                <w:rFonts w:hint="eastAsia"/>
              </w:rPr>
              <w:t>措施：</w:t>
            </w:r>
          </w:p>
          <w:p>
            <w:pPr>
              <w:pStyle w:val="29"/>
              <w:ind w:firstLine="480"/>
            </w:pPr>
            <w:r>
              <w:t>1）在施工设备选型时选用符合国家噪声标准的低噪声施工设备；</w:t>
            </w:r>
          </w:p>
          <w:p>
            <w:pPr>
              <w:pStyle w:val="29"/>
              <w:ind w:firstLine="480"/>
            </w:pPr>
            <w:r>
              <w:t>2）尽可能避免夜间施工，如因施工工艺需要夜间施工的，施工单位应提前向当地生态环境部门办理相关手续，并在施工前张贴公告告知附近居民，并尽可能将噪声级较高的设备工作安排在昼间进行；</w:t>
            </w:r>
          </w:p>
          <w:p>
            <w:pPr>
              <w:pStyle w:val="29"/>
              <w:ind w:firstLine="480"/>
            </w:pPr>
            <w:r>
              <w:t>3）加强施工机械和运输车辆的保养，减小机械故障产生的噪声；</w:t>
            </w:r>
          </w:p>
          <w:p>
            <w:pPr>
              <w:pStyle w:val="29"/>
              <w:ind w:firstLine="480"/>
            </w:pPr>
            <w:r>
              <w:t>4）运输车辆经过附近居民区时，应采取限速、禁止鸣笛等措施；</w:t>
            </w:r>
          </w:p>
          <w:p>
            <w:pPr>
              <w:pStyle w:val="29"/>
              <w:ind w:firstLine="480"/>
            </w:pPr>
            <w:r>
              <w:t>5）施工时合理布置施工场地，控制高噪声设备施工时间，将强噪声设备尽量放置在远离居民点一侧。</w:t>
            </w:r>
          </w:p>
          <w:p>
            <w:pPr>
              <w:pStyle w:val="29"/>
              <w:ind w:firstLine="480"/>
            </w:pPr>
            <w:r>
              <w:t>在采取以上措施后，项目施工期对周边声环境质量的影响可以得到有效控制。</w:t>
            </w:r>
          </w:p>
          <w:bookmarkEnd w:id="14"/>
          <w:p>
            <w:pPr>
              <w:pStyle w:val="29"/>
              <w:ind w:firstLine="480"/>
            </w:pPr>
            <w:r>
              <w:rPr>
                <w:rFonts w:hint="eastAsia"/>
              </w:rPr>
              <w:t>（3）交通运输噪声影响</w:t>
            </w:r>
          </w:p>
          <w:p>
            <w:pPr>
              <w:pStyle w:val="29"/>
              <w:ind w:firstLine="480"/>
            </w:pPr>
            <w:r>
              <w:rPr>
                <w:rFonts w:hint="eastAsia"/>
              </w:rPr>
              <w:t>本项目运输的主要为水泥、钢筋、石料和砂料等施工材料，运输车辆多为大、中型车，设备、材料运输车辆行驶过程中产生交通噪声，对道路沿线敏感点产生一定的影响。</w:t>
            </w:r>
          </w:p>
          <w:p>
            <w:pPr>
              <w:pStyle w:val="29"/>
              <w:ind w:firstLine="480"/>
            </w:pPr>
            <w:r>
              <w:rPr>
                <w:rFonts w:hint="eastAsia"/>
              </w:rPr>
              <w:t>本项目施工使用的自卸汽车等运输工具产生的噪声源，属于流动噪声源，会对运输道路沿线居民产生一定的干扰。采用《环境影响评价技术导则声环境》</w:t>
            </w:r>
            <w:r>
              <w:rPr>
                <w:rFonts w:hint="eastAsia"/>
                <w:lang w:eastAsia="zh-CN"/>
              </w:rPr>
              <w:t>（</w:t>
            </w:r>
            <w:r>
              <w:rPr>
                <w:rFonts w:hint="eastAsia"/>
              </w:rPr>
              <w:t>HJ2.4-20</w:t>
            </w:r>
            <w:r>
              <w:t>21</w:t>
            </w:r>
            <w:r>
              <w:rPr>
                <w:rFonts w:hint="eastAsia"/>
              </w:rPr>
              <w:t>）的基本预测模式进行预测，计算公式如下：</w:t>
            </w:r>
          </w:p>
          <w:p>
            <w:pPr>
              <w:pStyle w:val="29"/>
              <w:ind w:firstLine="0" w:firstLineChars="0"/>
              <w:jc w:val="center"/>
            </w:pPr>
            <w:r>
              <w:drawing>
                <wp:inline distT="0" distB="0" distL="114300" distR="114300">
                  <wp:extent cx="3868420" cy="467995"/>
                  <wp:effectExtent l="0" t="0" r="17780" b="8255"/>
                  <wp:docPr id="2" name="图片 2" descr="d:\Documents\Tencent Files\1191930936\Image\Group2\1W\[M\1W[MAAGV(N]UJFSG2)~B]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Tencent Files\1191930936\Image\Group2\1W\[M\1W[MAAGV(N]UJFSG2)~B]PO.jpg"/>
                          <pic:cNvPicPr>
                            <a:picLocks noChangeAspect="1"/>
                          </pic:cNvPicPr>
                        </pic:nvPicPr>
                        <pic:blipFill>
                          <a:blip r:embed="rId12"/>
                          <a:stretch>
                            <a:fillRect/>
                          </a:stretch>
                        </pic:blipFill>
                        <pic:spPr>
                          <a:xfrm>
                            <a:off x="0" y="0"/>
                            <a:ext cx="3868420" cy="467995"/>
                          </a:xfrm>
                          <a:prstGeom prst="rect">
                            <a:avLst/>
                          </a:prstGeom>
                          <a:noFill/>
                          <a:ln>
                            <a:noFill/>
                          </a:ln>
                        </pic:spPr>
                      </pic:pic>
                    </a:graphicData>
                  </a:graphic>
                </wp:inline>
              </w:drawing>
            </w:r>
          </w:p>
          <w:p>
            <w:pPr>
              <w:pStyle w:val="29"/>
              <w:ind w:firstLine="480"/>
            </w:pPr>
            <w:r>
              <w:t>式中：L</w:t>
            </w:r>
            <w:r>
              <w:rPr>
                <w:vertAlign w:val="subscript"/>
              </w:rPr>
              <w:t>eq</w:t>
            </w:r>
            <w:r>
              <w:t>：第i类车距声源r</w:t>
            </w:r>
            <w:r>
              <w:rPr>
                <w:rFonts w:hint="eastAsia"/>
                <w:lang w:eastAsia="zh-CN"/>
              </w:rPr>
              <w:t>（</w:t>
            </w:r>
            <w:r>
              <w:t>m</w:t>
            </w:r>
            <w:r>
              <w:rPr>
                <w:rFonts w:hint="eastAsia"/>
              </w:rPr>
              <w:t>）</w:t>
            </w:r>
            <w:r>
              <w:t>处的小时等效声级，dB（A）；</w:t>
            </w:r>
          </w:p>
          <w:p>
            <w:pPr>
              <w:pStyle w:val="29"/>
              <w:ind w:firstLine="480"/>
            </w:pPr>
            <w:r>
              <w:t>（L</w:t>
            </w:r>
            <w:r>
              <w:rPr>
                <w:vertAlign w:val="subscript"/>
              </w:rPr>
              <w:t>0E</w:t>
            </w:r>
            <w:r>
              <w:t>）i：第i类车速度为Vi，km/h，水平距离为7.5m处的能量平均A声级，dB(A)，参考类似工程取值，当测点距行车中心线7.5m车速为20km/h时，重型车L</w:t>
            </w:r>
            <w:r>
              <w:rPr>
                <w:vertAlign w:val="subscript"/>
              </w:rPr>
              <w:t>0E</w:t>
            </w:r>
            <w:r>
              <w:t>=82dB(A)，轻型车L</w:t>
            </w:r>
            <w:r>
              <w:rPr>
                <w:vertAlign w:val="subscript"/>
              </w:rPr>
              <w:t>0E</w:t>
            </w:r>
            <w:r>
              <w:t>=73dB(A)；</w:t>
            </w:r>
          </w:p>
          <w:p>
            <w:pPr>
              <w:pStyle w:val="29"/>
              <w:ind w:firstLine="480"/>
            </w:pPr>
            <w:r>
              <w:t>N</w:t>
            </w:r>
            <w:r>
              <w:rPr>
                <w:vertAlign w:val="subscript"/>
              </w:rPr>
              <w:t>i</w:t>
            </w:r>
            <w:r>
              <w:t>：第i类车平均小时车流量，辆/h，根据施工强度取高峰期20辆/h；</w:t>
            </w:r>
          </w:p>
          <w:p>
            <w:pPr>
              <w:pStyle w:val="29"/>
              <w:ind w:firstLine="480"/>
            </w:pPr>
            <w:r>
              <w:t>V</w:t>
            </w:r>
            <w:r>
              <w:rPr>
                <w:vertAlign w:val="subscript"/>
              </w:rPr>
              <w:t>i</w:t>
            </w:r>
            <w:r>
              <w:t>：车速，m/h，根据当地路况取20km/h；</w:t>
            </w:r>
          </w:p>
          <w:p>
            <w:pPr>
              <w:pStyle w:val="29"/>
              <w:ind w:firstLine="480"/>
            </w:pPr>
            <w:r>
              <w:t>T：计算等效声级的时间，取1h；</w:t>
            </w:r>
          </w:p>
          <w:p>
            <w:pPr>
              <w:pStyle w:val="29"/>
              <w:ind w:firstLine="480"/>
            </w:pPr>
            <w:r>
              <w:t>∆L距离：距离衰减量，dB(A)，小时车流量小于300辆/小时：∆L距离=15lg（7.5/r）距离；</w:t>
            </w:r>
          </w:p>
          <w:p>
            <w:pPr>
              <w:pStyle w:val="29"/>
              <w:ind w:firstLine="480"/>
            </w:pPr>
            <w:r>
              <w:t>r：从车道中心线到测点的距离，m；</w:t>
            </w:r>
          </w:p>
          <w:p>
            <w:pPr>
              <w:pStyle w:val="29"/>
              <w:ind w:firstLine="480"/>
            </w:pPr>
            <w:r>
              <w:t>ψ</w:t>
            </w:r>
            <w:r>
              <w:rPr>
                <w:vertAlign w:val="subscript"/>
              </w:rPr>
              <w:t>1</w:t>
            </w:r>
            <w:r>
              <w:t>、ψ</w:t>
            </w:r>
            <w:r>
              <w:rPr>
                <w:vertAlign w:val="subscript"/>
              </w:rPr>
              <w:t>2</w:t>
            </w:r>
            <w:r>
              <w:t>：预测点到有限路段两端的张角、弧度；</w:t>
            </w:r>
          </w:p>
          <w:p>
            <w:pPr>
              <w:pStyle w:val="29"/>
              <w:ind w:firstLine="480"/>
            </w:pPr>
            <w:r>
              <w:t>∆L：其他因素引起的修正量，本项目取2dB（A）。</w:t>
            </w:r>
          </w:p>
          <w:p>
            <w:pPr>
              <w:pStyle w:val="29"/>
              <w:ind w:firstLine="480"/>
            </w:pPr>
            <w:r>
              <w:rPr>
                <w:rFonts w:hint="eastAsia"/>
              </w:rPr>
              <w:t>根据上述预测公式，预测运输噪声对沿线声环境的影响程度和影响范围，预测结果见下表。</w:t>
            </w:r>
          </w:p>
          <w:p>
            <w:pPr>
              <w:pStyle w:val="29"/>
              <w:ind w:firstLine="0" w:firstLineChars="0"/>
              <w:jc w:val="center"/>
            </w:pPr>
            <w:r>
              <w:rPr>
                <w:rFonts w:hint="eastAsia"/>
              </w:rPr>
              <w:t>表4-4  运输噪声影响程度和范围预测结果一览表  单位：dB（A）</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37"/>
              <w:gridCol w:w="622"/>
              <w:gridCol w:w="621"/>
              <w:gridCol w:w="621"/>
              <w:gridCol w:w="621"/>
              <w:gridCol w:w="621"/>
              <w:gridCol w:w="619"/>
              <w:gridCol w:w="619"/>
              <w:gridCol w:w="619"/>
              <w:gridCol w:w="619"/>
              <w:gridCol w:w="619"/>
              <w:gridCol w:w="6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17" w:type="pct"/>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pStyle w:val="28"/>
                  </w:pPr>
                  <w:r>
                    <w:rPr>
                      <w:rFonts w:hint="eastAsia"/>
                    </w:rPr>
                    <w:t xml:space="preserve">         </w:t>
                  </w:r>
                  <w:r>
                    <w:t>声级dB</w:t>
                  </w:r>
                </w:p>
                <w:p>
                  <w:pPr>
                    <w:pStyle w:val="28"/>
                    <w:jc w:val="both"/>
                  </w:pPr>
                  <w:r>
                    <w:t>运输车辆</w:t>
                  </w:r>
                </w:p>
              </w:tc>
              <w:tc>
                <w:tcPr>
                  <w:tcW w:w="3983" w:type="pct"/>
                  <w:gridSpan w:val="11"/>
                  <w:tcBorders>
                    <w:top w:val="single" w:color="auto" w:sz="4" w:space="0"/>
                    <w:left w:val="single" w:color="auto" w:sz="4" w:space="0"/>
                    <w:bottom w:val="single" w:color="auto" w:sz="4" w:space="0"/>
                    <w:right w:val="single" w:color="auto" w:sz="4" w:space="0"/>
                  </w:tcBorders>
                  <w:vAlign w:val="center"/>
                </w:tcPr>
                <w:p>
                  <w:pPr>
                    <w:pStyle w:val="28"/>
                  </w:pPr>
                  <w:r>
                    <w:t>运输噪声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17" w:type="pct"/>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pStyle w:val="28"/>
                  </w:pP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10</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15</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20</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30</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50</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70</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100</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110</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150</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180</w:t>
                  </w:r>
                </w:p>
              </w:tc>
              <w:tc>
                <w:tcPr>
                  <w:tcW w:w="357" w:type="pct"/>
                  <w:tcBorders>
                    <w:top w:val="single" w:color="auto" w:sz="4" w:space="0"/>
                    <w:left w:val="single" w:color="auto" w:sz="4" w:space="0"/>
                    <w:bottom w:val="single" w:color="auto" w:sz="4" w:space="0"/>
                    <w:right w:val="single" w:color="auto" w:sz="4" w:space="0"/>
                  </w:tcBorders>
                  <w:vAlign w:val="center"/>
                </w:tcPr>
                <w:p>
                  <w:pPr>
                    <w:pStyle w:val="28"/>
                  </w:pPr>
                  <w: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17" w:type="pct"/>
                  <w:tcBorders>
                    <w:top w:val="single" w:color="auto" w:sz="4" w:space="0"/>
                    <w:left w:val="single" w:color="auto" w:sz="4" w:space="0"/>
                    <w:bottom w:val="single" w:color="auto" w:sz="4" w:space="0"/>
                    <w:right w:val="single" w:color="auto" w:sz="4" w:space="0"/>
                  </w:tcBorders>
                  <w:vAlign w:val="center"/>
                </w:tcPr>
                <w:p>
                  <w:pPr>
                    <w:pStyle w:val="28"/>
                  </w:pPr>
                  <w:r>
                    <w:t>重型车</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67.5</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65.7</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64.5</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62.7</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60.5</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59.0</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57.5</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57.1</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55.7</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54.9</w:t>
                  </w:r>
                </w:p>
              </w:tc>
              <w:tc>
                <w:tcPr>
                  <w:tcW w:w="357" w:type="pct"/>
                  <w:tcBorders>
                    <w:top w:val="single" w:color="auto" w:sz="4" w:space="0"/>
                    <w:left w:val="single" w:color="auto" w:sz="4" w:space="0"/>
                    <w:bottom w:val="single" w:color="auto" w:sz="4" w:space="0"/>
                    <w:right w:val="single" w:color="auto" w:sz="4" w:space="0"/>
                  </w:tcBorders>
                  <w:vAlign w:val="center"/>
                </w:tcPr>
                <w:p>
                  <w:pPr>
                    <w:pStyle w:val="28"/>
                  </w:pPr>
                  <w:r>
                    <w:t>54.5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17" w:type="pct"/>
                  <w:tcBorders>
                    <w:top w:val="single" w:color="auto" w:sz="4" w:space="0"/>
                    <w:left w:val="single" w:color="auto" w:sz="4" w:space="0"/>
                    <w:bottom w:val="single" w:color="auto" w:sz="4" w:space="0"/>
                    <w:right w:val="single" w:color="auto" w:sz="4" w:space="0"/>
                  </w:tcBorders>
                  <w:vAlign w:val="center"/>
                </w:tcPr>
                <w:p>
                  <w:pPr>
                    <w:pStyle w:val="28"/>
                  </w:pPr>
                  <w:r>
                    <w:t>轻型车</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57.5</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55.7</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54.5</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52.7</w:t>
                  </w:r>
                </w:p>
              </w:tc>
              <w:tc>
                <w:tcPr>
                  <w:tcW w:w="363" w:type="pct"/>
                  <w:tcBorders>
                    <w:top w:val="single" w:color="auto" w:sz="4" w:space="0"/>
                    <w:left w:val="single" w:color="auto" w:sz="4" w:space="0"/>
                    <w:bottom w:val="single" w:color="auto" w:sz="4" w:space="0"/>
                    <w:right w:val="single" w:color="auto" w:sz="4" w:space="0"/>
                  </w:tcBorders>
                  <w:vAlign w:val="center"/>
                </w:tcPr>
                <w:p>
                  <w:pPr>
                    <w:pStyle w:val="28"/>
                  </w:pPr>
                  <w:r>
                    <w:t>50.5</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49.0</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47.5</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47.1</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45.7</w:t>
                  </w:r>
                </w:p>
              </w:tc>
              <w:tc>
                <w:tcPr>
                  <w:tcW w:w="362" w:type="pct"/>
                  <w:tcBorders>
                    <w:top w:val="single" w:color="auto" w:sz="4" w:space="0"/>
                    <w:left w:val="single" w:color="auto" w:sz="4" w:space="0"/>
                    <w:bottom w:val="single" w:color="auto" w:sz="4" w:space="0"/>
                    <w:right w:val="single" w:color="auto" w:sz="4" w:space="0"/>
                  </w:tcBorders>
                  <w:vAlign w:val="center"/>
                </w:tcPr>
                <w:p>
                  <w:pPr>
                    <w:pStyle w:val="28"/>
                  </w:pPr>
                  <w:r>
                    <w:t>44.9</w:t>
                  </w:r>
                </w:p>
              </w:tc>
              <w:tc>
                <w:tcPr>
                  <w:tcW w:w="357" w:type="pct"/>
                  <w:tcBorders>
                    <w:top w:val="single" w:color="auto" w:sz="4" w:space="0"/>
                    <w:left w:val="single" w:color="auto" w:sz="4" w:space="0"/>
                    <w:bottom w:val="single" w:color="auto" w:sz="4" w:space="0"/>
                    <w:right w:val="single" w:color="auto" w:sz="4" w:space="0"/>
                  </w:tcBorders>
                  <w:vAlign w:val="center"/>
                </w:tcPr>
                <w:p>
                  <w:pPr>
                    <w:pStyle w:val="28"/>
                  </w:pPr>
                  <w:r>
                    <w:t>44.5</w:t>
                  </w:r>
                </w:p>
              </w:tc>
            </w:tr>
          </w:tbl>
          <w:p>
            <w:pPr>
              <w:pStyle w:val="29"/>
              <w:ind w:firstLine="480"/>
            </w:pPr>
            <w:r>
              <w:t>由</w:t>
            </w:r>
            <w:r>
              <w:rPr>
                <w:rFonts w:hint="eastAsia"/>
              </w:rPr>
              <w:t>上表</w:t>
            </w:r>
            <w:r>
              <w:t>预测结果可知，运输车辆在</w:t>
            </w:r>
            <w:r>
              <w:rPr>
                <w:rFonts w:hint="eastAsia"/>
              </w:rPr>
              <w:t>56</w:t>
            </w:r>
            <w:r>
              <w:t>m外的噪声值可低于60dB(A)，在</w:t>
            </w:r>
            <w:r>
              <w:rPr>
                <w:rFonts w:hint="eastAsia"/>
              </w:rPr>
              <w:t>180</w:t>
            </w:r>
            <w:r>
              <w:t>m外的噪声值可低于55dB(A)。</w:t>
            </w:r>
          </w:p>
          <w:p>
            <w:pPr>
              <w:pStyle w:val="29"/>
              <w:ind w:firstLine="480"/>
            </w:pPr>
            <w:r>
              <w:rPr>
                <w:rFonts w:hint="eastAsia"/>
              </w:rPr>
              <w:t>本项目场内施工运输涉及的敏感点主要为零散居民，最近距离运输道路约</w:t>
            </w:r>
            <w:r>
              <w:t>11m</w:t>
            </w:r>
            <w:r>
              <w:rPr>
                <w:rFonts w:hint="eastAsia"/>
              </w:rPr>
              <w:t>。由上表预测结果可知，运输道路沿线敏感点均会受到运输噪声影响。但由于本项目施工运输交通量相对较小，交通噪声影响是短暂、非连续的，在采取相关环境管理措施后，施工期间交通运输噪声对沿线敏感点声环境的影响是可接受的。</w:t>
            </w:r>
          </w:p>
          <w:p>
            <w:pPr>
              <w:pStyle w:val="29"/>
              <w:ind w:firstLine="482"/>
              <w:rPr>
                <w:b/>
                <w:bCs/>
              </w:rPr>
            </w:pPr>
            <w:r>
              <w:rPr>
                <w:rFonts w:hint="eastAsia"/>
                <w:b/>
                <w:bCs/>
              </w:rPr>
              <w:t>4</w:t>
            </w:r>
            <w:r>
              <w:rPr>
                <w:b/>
                <w:bCs/>
              </w:rPr>
              <w:t xml:space="preserve">.5 </w:t>
            </w:r>
            <w:r>
              <w:rPr>
                <w:rFonts w:hint="eastAsia"/>
                <w:b/>
                <w:bCs/>
              </w:rPr>
              <w:t>施工期固废影响分析</w:t>
            </w:r>
          </w:p>
          <w:p>
            <w:pPr>
              <w:pStyle w:val="29"/>
              <w:ind w:firstLine="480"/>
            </w:pPr>
            <w:r>
              <w:rPr>
                <w:rFonts w:hint="eastAsia"/>
                <w:lang w:val="en-US" w:eastAsia="zh-CN"/>
              </w:rPr>
              <w:t>施工期固体废弃物主要为施工营地拆除产生的建筑垃圾、弃土弃渣以及施工人员的生活垃圾。施工产生的建筑垃圾、弃土弃渣若不妥善处置则会产生水土流失等环境影响，产生的生活垃圾若不妥善处置则不仅污染环境而且破坏景观</w:t>
            </w:r>
            <w:r>
              <w:t>。</w:t>
            </w:r>
          </w:p>
          <w:p>
            <w:pPr>
              <w:pStyle w:val="29"/>
              <w:ind w:firstLine="480"/>
            </w:pPr>
            <w:r>
              <w:t>施工期平均施工人数为</w:t>
            </w:r>
            <w:r>
              <w:rPr>
                <w:rFonts w:hint="eastAsia"/>
              </w:rPr>
              <w:t>8</w:t>
            </w:r>
            <w:r>
              <w:t>0人，生活垃圾产生量按0.5kg/（d·人）计算，产生量约0.</w:t>
            </w:r>
            <w:r>
              <w:rPr>
                <w:rFonts w:hint="eastAsia"/>
              </w:rPr>
              <w:t>04t/d</w:t>
            </w:r>
            <w:r>
              <w:t>。生活垃圾集中收集后由施工单位定期清运至附近村镇垃圾转运站，对环境影响不大。</w:t>
            </w:r>
          </w:p>
          <w:p>
            <w:pPr>
              <w:pStyle w:val="29"/>
              <w:ind w:firstLine="480"/>
            </w:pPr>
            <w:r>
              <w:rPr>
                <w:rFonts w:hint="eastAsia"/>
                <w:lang w:val="en-US" w:eastAsia="zh-CN"/>
              </w:rPr>
              <w:t>施工产生的建筑垃圾主要来自于施工营地在建设完成后的拆除，拆除的建筑垃圾，按照相关要求运至指定建筑垃圾处理场处理。</w:t>
            </w:r>
          </w:p>
          <w:p>
            <w:pPr>
              <w:pStyle w:val="29"/>
              <w:ind w:firstLine="48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工程土石方主要来自光伏板支架基础及箱式基础开挖等施工。</w:t>
            </w:r>
            <w:r>
              <w:rPr>
                <w:rFonts w:hint="eastAsia"/>
              </w:rPr>
              <w:t>根据</w:t>
            </w:r>
            <w:r>
              <w:rPr>
                <w:rFonts w:hint="eastAsia"/>
                <w:lang w:val="en-US" w:eastAsia="zh-CN"/>
              </w:rPr>
              <w:t>本项目</w:t>
            </w:r>
            <w:r>
              <w:rPr>
                <w:rFonts w:hint="eastAsia"/>
              </w:rPr>
              <w:t>水土保持方案</w:t>
            </w:r>
            <w:r>
              <w:rPr>
                <w:rFonts w:hint="eastAsia"/>
                <w:lang w:val="en-US" w:eastAsia="zh-CN"/>
              </w:rPr>
              <w:t>中</w:t>
            </w:r>
            <w:r>
              <w:rPr>
                <w:rFonts w:hint="eastAsia"/>
              </w:rPr>
              <w:t>土石方平衡分析，本项目土石方开挖量约</w:t>
            </w:r>
            <w:r>
              <w:rPr>
                <w:rFonts w:hint="eastAsia"/>
                <w:lang w:val="en-US" w:eastAsia="zh-CN"/>
              </w:rPr>
              <w:t>7.85</w:t>
            </w:r>
            <w:r>
              <w:rPr>
                <w:rFonts w:hint="eastAsia"/>
              </w:rPr>
              <w:t>万</w:t>
            </w:r>
            <w:r>
              <w:rPr>
                <w:rFonts w:hint="eastAsia"/>
                <w:lang w:val="en-US" w:eastAsia="zh-CN"/>
              </w:rPr>
              <w:t>m³</w:t>
            </w:r>
            <w:r>
              <w:t>，</w:t>
            </w:r>
            <w:r>
              <w:rPr>
                <w:rFonts w:hint="eastAsia" w:ascii="宋体" w:hAnsi="宋体" w:eastAsia="宋体" w:cs="宋体"/>
                <w:color w:val="000000"/>
                <w:kern w:val="0"/>
                <w:sz w:val="24"/>
                <w:szCs w:val="24"/>
                <w:lang w:val="en-US" w:eastAsia="zh-CN" w:bidi="ar"/>
              </w:rPr>
              <w:t>项目土石方可达到挖填平衡，无永久弃渣产生。开挖的土石方放置于施工区内的临时堆土场，施工后期用作回填和绿化覆土；为了防止临时堆土受雨水冲刷产生水土流失，施工区临时堆土场将设置临时排水导流系统、堆渣坡脚采取编织袋装土防护，弃土表面覆盖苫布，在采取相应的水土保持措施后对环境影响较小。</w:t>
            </w:r>
          </w:p>
          <w:p>
            <w:pPr>
              <w:pStyle w:val="29"/>
              <w:ind w:left="0" w:leftChars="0" w:right="0" w:rightChars="0" w:firstLine="0" w:firstLineChars="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3535680" cy="2240915"/>
                  <wp:effectExtent l="0" t="0" r="7620" b="6985"/>
                  <wp:docPr id="6" name="ECB019B1-382A-4266-B25C-5B523AA43C14-2" descr="C:/Users/Administrator/AppData/Local/Temp/wps.RoKuk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Administrator/AppData/Local/Temp/wps.RoKukawps"/>
                          <pic:cNvPicPr>
                            <a:picLocks noChangeAspect="1"/>
                          </pic:cNvPicPr>
                        </pic:nvPicPr>
                        <pic:blipFill>
                          <a:blip r:embed="rId13"/>
                          <a:srcRect l="3473" t="4883" r="3219" b="5407"/>
                          <a:stretch>
                            <a:fillRect/>
                          </a:stretch>
                        </pic:blipFill>
                        <pic:spPr>
                          <a:xfrm>
                            <a:off x="0" y="0"/>
                            <a:ext cx="3535680" cy="2240915"/>
                          </a:xfrm>
                          <a:prstGeom prst="rect">
                            <a:avLst/>
                          </a:prstGeom>
                        </pic:spPr>
                      </pic:pic>
                    </a:graphicData>
                  </a:graphic>
                </wp:inline>
              </w:drawing>
            </w:r>
          </w:p>
          <w:p>
            <w:pPr>
              <w:pStyle w:val="29"/>
              <w:bidi w:val="0"/>
              <w:ind w:left="0" w:leftChars="0" w:right="0" w:rightChars="0" w:firstLine="0" w:firstLineChars="0"/>
              <w:jc w:val="center"/>
              <w:rPr>
                <w:rFonts w:hint="default"/>
                <w:lang w:val="en-US" w:eastAsia="zh-CN"/>
              </w:rPr>
            </w:pPr>
            <w:r>
              <w:rPr>
                <w:rFonts w:hint="eastAsia"/>
                <w:lang w:val="en-US" w:eastAsia="zh-CN"/>
              </w:rPr>
              <w:t>图4-1  项目土石方流向图</w:t>
            </w:r>
          </w:p>
          <w:p>
            <w:pPr>
              <w:pStyle w:val="29"/>
              <w:ind w:firstLine="480"/>
            </w:pPr>
            <w:r>
              <w:rPr>
                <w:rFonts w:hint="eastAsia"/>
                <w:lang w:val="en-US" w:eastAsia="zh-CN"/>
              </w:rPr>
              <w:t>在采取相应环保措施的基础上，施工固废对环境产生影响很小</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tcMar>
              <w:left w:w="28" w:type="dxa"/>
              <w:right w:w="28" w:type="dxa"/>
            </w:tcMar>
            <w:vAlign w:val="center"/>
          </w:tcPr>
          <w:p>
            <w:pPr>
              <w:pStyle w:val="12"/>
              <w:adjustRightInd w:val="0"/>
              <w:snapToGrid w:val="0"/>
              <w:spacing w:before="0" w:beforeAutospacing="0" w:after="0" w:afterAutospacing="0" w:line="240" w:lineRule="auto"/>
              <w:ind w:firstLine="0" w:firstLineChars="0"/>
              <w:jc w:val="center"/>
              <w:rPr>
                <w:rFonts w:cs="宋体"/>
                <w:bCs/>
                <w:kern w:val="2"/>
              </w:rPr>
            </w:pPr>
            <w:r>
              <w:rPr>
                <w:rFonts w:hint="eastAsia" w:cs="宋体"/>
                <w:bCs/>
                <w:spacing w:val="10"/>
                <w:kern w:val="2"/>
              </w:rPr>
              <w:t>运营期生态环境影响分析</w:t>
            </w:r>
          </w:p>
        </w:tc>
        <w:tc>
          <w:tcPr>
            <w:tcW w:w="8871" w:type="dxa"/>
          </w:tcPr>
          <w:p>
            <w:pPr>
              <w:pStyle w:val="29"/>
              <w:ind w:firstLine="482"/>
              <w:rPr>
                <w:b/>
                <w:bCs/>
                <w:szCs w:val="24"/>
              </w:rPr>
            </w:pPr>
            <w:r>
              <w:rPr>
                <w:b/>
                <w:bCs/>
                <w:szCs w:val="24"/>
              </w:rPr>
              <w:t>4.</w:t>
            </w:r>
            <w:r>
              <w:rPr>
                <w:rFonts w:hint="eastAsia"/>
                <w:b/>
                <w:bCs/>
                <w:szCs w:val="24"/>
              </w:rPr>
              <w:t>6</w:t>
            </w:r>
            <w:r>
              <w:rPr>
                <w:b/>
                <w:bCs/>
                <w:szCs w:val="24"/>
              </w:rPr>
              <w:t xml:space="preserve"> 运营期工艺流程及产污环节</w:t>
            </w:r>
          </w:p>
          <w:p>
            <w:pPr>
              <w:pStyle w:val="29"/>
              <w:ind w:firstLine="482"/>
              <w:rPr>
                <w:b/>
                <w:bCs/>
                <w:szCs w:val="24"/>
              </w:rPr>
            </w:pPr>
            <w:r>
              <w:rPr>
                <w:rFonts w:hint="eastAsia"/>
                <w:b/>
                <w:bCs/>
                <w:szCs w:val="24"/>
              </w:rPr>
              <w:t>4.6.1 运营期工艺流程</w:t>
            </w:r>
          </w:p>
          <w:p>
            <w:pPr>
              <w:adjustRightInd w:val="0"/>
              <w:snapToGrid w:val="0"/>
              <w:spacing w:line="339" w:lineRule="auto"/>
              <w:rPr>
                <w:rFonts w:hAnsi="Times New Roman"/>
                <w:color w:val="auto"/>
                <w:highlight w:val="none"/>
              </w:rPr>
            </w:pPr>
            <w:r>
              <w:rPr>
                <w:rFonts w:hAnsi="Times New Roman"/>
                <w:color w:val="auto"/>
                <w:highlight w:val="none"/>
              </w:rPr>
              <w:t>本光伏发电采用分块发电、就地升压、集中并网的方案。</w:t>
            </w:r>
          </w:p>
          <w:p>
            <w:pPr>
              <w:pStyle w:val="29"/>
              <w:ind w:firstLine="480"/>
              <w:rPr>
                <w:szCs w:val="24"/>
              </w:rPr>
            </w:pPr>
            <w:r>
              <w:rPr>
                <w:rFonts w:hAnsi="Times New Roman"/>
                <w:color w:val="auto"/>
                <w:highlight w:val="none"/>
              </w:rPr>
              <w:t>太阳能光伏电池组件将</w:t>
            </w:r>
            <w:r>
              <w:rPr>
                <w:rFonts w:hint="eastAsia" w:hAnsi="Times New Roman"/>
                <w:color w:val="auto"/>
                <w:highlight w:val="none"/>
              </w:rPr>
              <w:t>接收到</w:t>
            </w:r>
            <w:r>
              <w:rPr>
                <w:rFonts w:hAnsi="Times New Roman"/>
                <w:color w:val="auto"/>
                <w:highlight w:val="none"/>
              </w:rPr>
              <w:t>的太阳辐射能转化为直流电，经过电缆送至组串型逆变器，经汇流箱汇流后接至光伏逆变器，经逆变后的三相交流电经35kV升压变压器送至110kV升压站，最终以一回110kV架空线路接入</w:t>
            </w:r>
            <w:r>
              <w:rPr>
                <w:rFonts w:hint="eastAsia" w:hAnsi="Times New Roman"/>
                <w:color w:val="auto"/>
                <w:highlight w:val="none"/>
                <w:lang w:val="en-US" w:eastAsia="zh-CN"/>
              </w:rPr>
              <w:t>铁甲</w:t>
            </w:r>
            <w:r>
              <w:rPr>
                <w:rFonts w:hint="eastAsia" w:hAnsi="Times New Roman"/>
                <w:color w:val="auto"/>
                <w:highlight w:val="none"/>
                <w:lang w:eastAsia="zh-CN"/>
              </w:rPr>
              <w:t>变电站</w:t>
            </w:r>
            <w:r>
              <w:rPr>
                <w:rFonts w:hint="eastAsia"/>
                <w:szCs w:val="24"/>
              </w:rPr>
              <w:t>。</w:t>
            </w:r>
          </w:p>
          <w:p>
            <w:pPr>
              <w:pStyle w:val="29"/>
              <w:ind w:firstLine="480"/>
            </w:pPr>
            <w:r>
              <w:rPr>
                <w:rFonts w:hint="eastAsia"/>
                <w:szCs w:val="24"/>
              </w:rPr>
              <w:t>光伏发电工作原理图详见表4</w:t>
            </w:r>
            <w:r>
              <w:rPr>
                <w:szCs w:val="24"/>
              </w:rPr>
              <w:t>.2-1</w:t>
            </w:r>
            <w:r>
              <w:rPr>
                <w:rFonts w:hint="eastAsia"/>
                <w:szCs w:val="24"/>
              </w:rPr>
              <w:t>。</w:t>
            </w:r>
          </w:p>
          <w:p>
            <w:pPr>
              <w:pStyle w:val="29"/>
              <w:ind w:firstLine="0" w:firstLineChars="0"/>
              <w:jc w:val="center"/>
            </w:pPr>
            <w:r>
              <w:drawing>
                <wp:inline distT="0" distB="0" distL="114300" distR="114300">
                  <wp:extent cx="3884930" cy="2065020"/>
                  <wp:effectExtent l="0" t="0" r="1270" b="1143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3884930" cy="2065020"/>
                          </a:xfrm>
                          <a:prstGeom prst="rect">
                            <a:avLst/>
                          </a:prstGeom>
                          <a:noFill/>
                          <a:ln>
                            <a:noFill/>
                          </a:ln>
                        </pic:spPr>
                      </pic:pic>
                    </a:graphicData>
                  </a:graphic>
                </wp:inline>
              </w:drawing>
            </w:r>
          </w:p>
          <w:p>
            <w:pPr>
              <w:pStyle w:val="29"/>
              <w:ind w:firstLine="0" w:firstLineChars="0"/>
              <w:jc w:val="center"/>
            </w:pPr>
            <w:r>
              <w:rPr>
                <w:rFonts w:hint="eastAsia"/>
              </w:rPr>
              <w:t>图4-</w:t>
            </w:r>
            <w:r>
              <w:rPr>
                <w:rFonts w:hint="eastAsia"/>
                <w:lang w:val="en-US" w:eastAsia="zh-CN"/>
              </w:rPr>
              <w:t>2</w:t>
            </w:r>
            <w:r>
              <w:rPr>
                <w:rFonts w:hint="eastAsia"/>
              </w:rPr>
              <w:t xml:space="preserve">  光伏场区工作原理图</w:t>
            </w:r>
          </w:p>
          <w:p>
            <w:pPr>
              <w:pStyle w:val="29"/>
              <w:ind w:firstLine="480"/>
            </w:pPr>
            <w:r>
              <w:t>光伏场区运行工艺流程及产排污节点示意图见图</w:t>
            </w:r>
            <w:r>
              <w:rPr>
                <w:rFonts w:hint="eastAsia"/>
              </w:rPr>
              <w:t>4-2。</w:t>
            </w:r>
          </w:p>
          <w:p>
            <w:pPr>
              <w:pStyle w:val="29"/>
              <w:ind w:firstLine="0" w:firstLineChars="0"/>
              <w:jc w:val="center"/>
            </w:pPr>
            <w:r>
              <w:drawing>
                <wp:inline distT="0" distB="0" distL="114300" distR="114300">
                  <wp:extent cx="2900045" cy="3015615"/>
                  <wp:effectExtent l="0" t="0" r="14605" b="13335"/>
                  <wp:docPr id="5" name="ECB019B1-382A-4266-B25C-5B523AA43C14-3" descr="C:/Users/Administrator/AppData/Local/Temp/wps.QpsLU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3" descr="C:/Users/Administrator/AppData/Local/Temp/wps.QpsLUZwps"/>
                          <pic:cNvPicPr>
                            <a:picLocks noChangeAspect="1"/>
                          </pic:cNvPicPr>
                        </pic:nvPicPr>
                        <pic:blipFill>
                          <a:blip r:embed="rId15"/>
                          <a:srcRect l="3339" t="5347" r="5454" b="5178"/>
                          <a:stretch>
                            <a:fillRect/>
                          </a:stretch>
                        </pic:blipFill>
                        <pic:spPr>
                          <a:xfrm>
                            <a:off x="0" y="0"/>
                            <a:ext cx="2900045" cy="3015615"/>
                          </a:xfrm>
                          <a:prstGeom prst="rect">
                            <a:avLst/>
                          </a:prstGeom>
                        </pic:spPr>
                      </pic:pic>
                    </a:graphicData>
                  </a:graphic>
                </wp:inline>
              </w:drawing>
            </w:r>
          </w:p>
          <w:p>
            <w:pPr>
              <w:pStyle w:val="29"/>
              <w:ind w:firstLine="0" w:firstLineChars="0"/>
              <w:jc w:val="center"/>
            </w:pPr>
            <w:r>
              <w:rPr>
                <w:rFonts w:hint="eastAsia"/>
              </w:rPr>
              <w:t>图4-2  运营期工艺流程及产污节点图</w:t>
            </w:r>
          </w:p>
          <w:p>
            <w:pPr>
              <w:pStyle w:val="29"/>
              <w:ind w:firstLine="480"/>
            </w:pPr>
            <w:r>
              <w:t>（1）光伏发电原理</w:t>
            </w:r>
          </w:p>
          <w:p>
            <w:pPr>
              <w:pStyle w:val="29"/>
              <w:ind w:firstLine="480"/>
            </w:pPr>
            <w:r>
              <w:t>光伏发电是利用半导体界面的光生伏特效应而将光能直接转变为电能的一种技术。这种技术的关键元件是太阳能电池。太阳能电池经过串联后进行封装保护可形成大面积的太阳电池组件，再配合上功率控制器等部件就形成了光伏发电装置。</w:t>
            </w:r>
          </w:p>
          <w:p>
            <w:pPr>
              <w:pStyle w:val="29"/>
              <w:ind w:firstLine="480"/>
            </w:pPr>
            <w:r>
              <w:t>太阳光照在半导体p-n结上，形成新的空穴</w:t>
            </w:r>
            <w:r>
              <w:rPr>
                <w:rFonts w:hint="eastAsia"/>
              </w:rPr>
              <w:t>－</w:t>
            </w:r>
            <w:r>
              <w:t>电子对，在p-n结内建电场的作用下，空穴由n区流向p区，电子由p区流向n区，接通电路后就形成电流。这就是光电效应太阳能电池的工作原理。</w:t>
            </w:r>
          </w:p>
          <w:p>
            <w:pPr>
              <w:pStyle w:val="29"/>
              <w:ind w:firstLine="480"/>
            </w:pPr>
            <w:r>
              <w:t>光—电直接转换方式该方式是利用光伏效应，将太阳辐射能直接转换成电能，光—电转换的基本装置就是太阳能电池。太阳能电池是一种由于光生伏特效应而将太阳光能直接转化为电能的器件，是一个半导体光电二极管，当太阳光照到光电二极管上时，光电二极管就会把太阳的光能变成电能，产生电流。当许多个电池串联或并联起来就可以成为有比较大的输出功率的太阳能电池方阵。</w:t>
            </w:r>
          </w:p>
          <w:p>
            <w:pPr>
              <w:pStyle w:val="29"/>
              <w:ind w:firstLine="480"/>
            </w:pPr>
            <w:r>
              <w:t>由于本次光伏场区工程总容量较大，考虑到电压等级与输送距离的限制，本工程选定阵列区升压至35kV，经集电线路汇总后进入</w:t>
            </w:r>
            <w:r>
              <w:rPr>
                <w:rFonts w:hint="eastAsia"/>
              </w:rPr>
              <w:t>11</w:t>
            </w:r>
            <w:r>
              <w:t>0kV升压站。</w:t>
            </w:r>
          </w:p>
          <w:p>
            <w:pPr>
              <w:pStyle w:val="29"/>
              <w:ind w:firstLine="480"/>
            </w:pPr>
            <w:r>
              <w:t>（2）光伏板清洗</w:t>
            </w:r>
          </w:p>
          <w:p>
            <w:pPr>
              <w:pStyle w:val="29"/>
              <w:ind w:firstLine="480"/>
            </w:pPr>
            <w:r>
              <w:t>光伏组件很容易积尘，影响发电效率。必须对光伏组件进行清洗，保证光伏组件的发电效率</w:t>
            </w:r>
            <w:r>
              <w:rPr>
                <w:rFonts w:hint="eastAsia"/>
                <w:lang w:eastAsia="zh-CN"/>
              </w:rPr>
              <w:t>，</w:t>
            </w:r>
            <w:r>
              <w:rPr>
                <w:rFonts w:hint="eastAsia"/>
              </w:rPr>
              <w:t>光伏电池组件表面清洗采</w:t>
            </w:r>
            <w:r>
              <w:rPr>
                <w:rFonts w:ascii="Times New Roman" w:hAnsi="Times New Roman"/>
                <w:b w:val="0"/>
                <w:bCs w:val="0"/>
                <w:color w:val="auto"/>
                <w:highlight w:val="none"/>
              </w:rPr>
              <w:t>用</w:t>
            </w:r>
            <w:r>
              <w:rPr>
                <w:rFonts w:hint="eastAsia" w:ascii="Times New Roman" w:hAnsi="Times New Roman"/>
                <w:b w:val="0"/>
                <w:bCs w:val="0"/>
                <w:color w:val="auto"/>
                <w:highlight w:val="none"/>
                <w:lang w:val="en-US" w:eastAsia="zh-CN"/>
              </w:rPr>
              <w:t>工程车辆清洗</w:t>
            </w:r>
            <w:r>
              <w:rPr>
                <w:rFonts w:ascii="Times New Roman" w:hAnsi="Times New Roman"/>
                <w:b w:val="0"/>
                <w:bCs w:val="0"/>
                <w:color w:val="auto"/>
                <w:highlight w:val="none"/>
              </w:rPr>
              <w:t>方式</w:t>
            </w:r>
            <w:r>
              <w:rPr>
                <w:rFonts w:hint="eastAsia"/>
              </w:rPr>
              <w:t>，清洗产生的废水作为光伏发电单元下方种植的农作物的灌溉</w:t>
            </w:r>
            <w:r>
              <w:t>。</w:t>
            </w:r>
          </w:p>
          <w:p>
            <w:pPr>
              <w:pStyle w:val="29"/>
              <w:ind w:firstLine="482"/>
              <w:rPr>
                <w:b/>
                <w:bCs/>
              </w:rPr>
            </w:pPr>
            <w:r>
              <w:rPr>
                <w:rFonts w:hint="eastAsia"/>
                <w:b/>
                <w:bCs/>
              </w:rPr>
              <w:t xml:space="preserve">4.6.2 </w:t>
            </w:r>
            <w:r>
              <w:rPr>
                <w:b/>
                <w:bCs/>
              </w:rPr>
              <w:t>运营期主要产污环节</w:t>
            </w:r>
          </w:p>
          <w:p>
            <w:pPr>
              <w:pStyle w:val="29"/>
              <w:ind w:firstLine="0" w:firstLineChars="0"/>
              <w:jc w:val="center"/>
            </w:pPr>
            <w:r>
              <w:rPr>
                <w:rFonts w:hint="eastAsia"/>
              </w:rPr>
              <w:t>表4-5  运营期主要产污环节</w:t>
            </w:r>
          </w:p>
          <w:tbl>
            <w:tblPr>
              <w:tblStyle w:val="1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584"/>
              <w:gridCol w:w="2119"/>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Align w:val="center"/>
                </w:tcPr>
                <w:p>
                  <w:pPr>
                    <w:pStyle w:val="28"/>
                  </w:pPr>
                  <w:r>
                    <w:rPr>
                      <w:rFonts w:hint="eastAsia"/>
                    </w:rPr>
                    <w:t>污染类型</w:t>
                  </w:r>
                </w:p>
              </w:tc>
              <w:tc>
                <w:tcPr>
                  <w:tcW w:w="1584" w:type="dxa"/>
                  <w:vAlign w:val="center"/>
                </w:tcPr>
                <w:p>
                  <w:pPr>
                    <w:pStyle w:val="28"/>
                  </w:pPr>
                  <w:r>
                    <w:rPr>
                      <w:rFonts w:hint="eastAsia"/>
                    </w:rPr>
                    <w:t>污染源</w:t>
                  </w:r>
                </w:p>
              </w:tc>
              <w:tc>
                <w:tcPr>
                  <w:tcW w:w="2119" w:type="dxa"/>
                  <w:vAlign w:val="center"/>
                </w:tcPr>
                <w:p>
                  <w:pPr>
                    <w:pStyle w:val="28"/>
                  </w:pPr>
                  <w:r>
                    <w:rPr>
                      <w:rFonts w:hint="eastAsia"/>
                    </w:rPr>
                    <w:t>主要污染物</w:t>
                  </w:r>
                </w:p>
              </w:tc>
              <w:tc>
                <w:tcPr>
                  <w:tcW w:w="3892" w:type="dxa"/>
                  <w:vAlign w:val="center"/>
                </w:tcPr>
                <w:p>
                  <w:pPr>
                    <w:pStyle w:val="28"/>
                  </w:pPr>
                  <w:r>
                    <w:rPr>
                      <w:rFonts w:hint="eastAsia"/>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Merge w:val="restart"/>
                  <w:vAlign w:val="center"/>
                </w:tcPr>
                <w:p>
                  <w:pPr>
                    <w:pStyle w:val="28"/>
                  </w:pPr>
                  <w:r>
                    <w:rPr>
                      <w:rFonts w:hint="eastAsia"/>
                    </w:rPr>
                    <w:t>废水</w:t>
                  </w:r>
                </w:p>
              </w:tc>
              <w:tc>
                <w:tcPr>
                  <w:tcW w:w="1584" w:type="dxa"/>
                  <w:vAlign w:val="center"/>
                </w:tcPr>
                <w:p>
                  <w:pPr>
                    <w:pStyle w:val="28"/>
                  </w:pPr>
                  <w:r>
                    <w:rPr>
                      <w:rFonts w:hint="eastAsia"/>
                    </w:rPr>
                    <w:t>光伏组件方阵</w:t>
                  </w:r>
                </w:p>
              </w:tc>
              <w:tc>
                <w:tcPr>
                  <w:tcW w:w="2119" w:type="dxa"/>
                  <w:vAlign w:val="center"/>
                </w:tcPr>
                <w:p>
                  <w:pPr>
                    <w:pStyle w:val="28"/>
                  </w:pPr>
                  <w:r>
                    <w:rPr>
                      <w:rFonts w:hint="eastAsia"/>
                    </w:rPr>
                    <w:t>清洗废水W1</w:t>
                  </w:r>
                </w:p>
              </w:tc>
              <w:tc>
                <w:tcPr>
                  <w:tcW w:w="3892" w:type="dxa"/>
                  <w:vAlign w:val="center"/>
                </w:tcPr>
                <w:p>
                  <w:pPr>
                    <w:pStyle w:val="28"/>
                  </w:pPr>
                  <w:r>
                    <w:rPr>
                      <w:rFonts w:hint="eastAsia"/>
                    </w:rPr>
                    <w:t>作为光伏发电单元下方种植的农作物的灌溉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Merge w:val="continue"/>
                  <w:vAlign w:val="center"/>
                </w:tcPr>
                <w:p>
                  <w:pPr>
                    <w:pStyle w:val="28"/>
                  </w:pPr>
                </w:p>
              </w:tc>
              <w:tc>
                <w:tcPr>
                  <w:tcW w:w="1584" w:type="dxa"/>
                  <w:vAlign w:val="center"/>
                </w:tcPr>
                <w:p>
                  <w:pPr>
                    <w:pStyle w:val="28"/>
                  </w:pPr>
                  <w:r>
                    <w:rPr>
                      <w:rFonts w:hint="eastAsia"/>
                    </w:rPr>
                    <w:t>升压站</w:t>
                  </w:r>
                </w:p>
              </w:tc>
              <w:tc>
                <w:tcPr>
                  <w:tcW w:w="2119" w:type="dxa"/>
                  <w:vAlign w:val="center"/>
                </w:tcPr>
                <w:p>
                  <w:pPr>
                    <w:pStyle w:val="28"/>
                  </w:pPr>
                  <w:r>
                    <w:rPr>
                      <w:rFonts w:hint="eastAsia"/>
                    </w:rPr>
                    <w:t>生活污水W2</w:t>
                  </w:r>
                </w:p>
              </w:tc>
              <w:tc>
                <w:tcPr>
                  <w:tcW w:w="3892" w:type="dxa"/>
                  <w:vAlign w:val="center"/>
                </w:tcPr>
                <w:p>
                  <w:pPr>
                    <w:pStyle w:val="28"/>
                  </w:pPr>
                  <w:r>
                    <w:rPr>
                      <w:rFonts w:hint="eastAsia"/>
                    </w:rPr>
                    <w:t>化粪池+一体化</w:t>
                  </w:r>
                  <w:r>
                    <w:rPr>
                      <w:rFonts w:hint="eastAsia"/>
                      <w:lang w:eastAsia="zh-CN"/>
                    </w:rPr>
                    <w:t>处理设施</w:t>
                  </w:r>
                  <w:r>
                    <w:rPr>
                      <w:rFonts w:hint="eastAsia"/>
                    </w:rPr>
                    <w:t>，处理后用作周边农肥，不外排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Align w:val="center"/>
                </w:tcPr>
                <w:p>
                  <w:pPr>
                    <w:pStyle w:val="28"/>
                  </w:pPr>
                  <w:r>
                    <w:rPr>
                      <w:rFonts w:hint="eastAsia"/>
                    </w:rPr>
                    <w:t>废气</w:t>
                  </w:r>
                </w:p>
              </w:tc>
              <w:tc>
                <w:tcPr>
                  <w:tcW w:w="1584" w:type="dxa"/>
                  <w:vAlign w:val="center"/>
                </w:tcPr>
                <w:p>
                  <w:pPr>
                    <w:pStyle w:val="28"/>
                    <w:rPr>
                      <w:rFonts w:hint="eastAsia"/>
                    </w:rPr>
                  </w:pPr>
                  <w:r>
                    <w:rPr>
                      <w:rFonts w:hint="eastAsia"/>
                    </w:rPr>
                    <w:t>升压站</w:t>
                  </w:r>
                </w:p>
              </w:tc>
              <w:tc>
                <w:tcPr>
                  <w:tcW w:w="2119" w:type="dxa"/>
                  <w:vAlign w:val="center"/>
                </w:tcPr>
                <w:p>
                  <w:pPr>
                    <w:pStyle w:val="28"/>
                    <w:rPr>
                      <w:rFonts w:hint="eastAsia"/>
                    </w:rPr>
                  </w:pPr>
                  <w:r>
                    <w:rPr>
                      <w:rFonts w:hint="eastAsia"/>
                    </w:rPr>
                    <w:t>食堂油烟G1</w:t>
                  </w:r>
                </w:p>
              </w:tc>
              <w:tc>
                <w:tcPr>
                  <w:tcW w:w="3892" w:type="dxa"/>
                  <w:vAlign w:val="center"/>
                </w:tcPr>
                <w:p>
                  <w:pPr>
                    <w:pStyle w:val="28"/>
                    <w:rPr>
                      <w:rFonts w:hint="eastAsia"/>
                    </w:rPr>
                  </w:pPr>
                  <w:r>
                    <w:rPr>
                      <w:rFonts w:hint="eastAsia"/>
                    </w:rPr>
                    <w:t>经食堂油烟净化器处理后通过专用管道引至楼顶排放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Merge w:val="restart"/>
                  <w:vAlign w:val="center"/>
                </w:tcPr>
                <w:p>
                  <w:pPr>
                    <w:pStyle w:val="28"/>
                  </w:pPr>
                  <w:r>
                    <w:rPr>
                      <w:rFonts w:hint="eastAsia"/>
                    </w:rPr>
                    <w:t>固体废物</w:t>
                  </w:r>
                </w:p>
              </w:tc>
              <w:tc>
                <w:tcPr>
                  <w:tcW w:w="1584" w:type="dxa"/>
                  <w:vAlign w:val="center"/>
                </w:tcPr>
                <w:p>
                  <w:pPr>
                    <w:pStyle w:val="28"/>
                  </w:pPr>
                  <w:r>
                    <w:rPr>
                      <w:rFonts w:hint="eastAsia"/>
                    </w:rPr>
                    <w:t>光伏组件方阵</w:t>
                  </w:r>
                </w:p>
              </w:tc>
              <w:tc>
                <w:tcPr>
                  <w:tcW w:w="2119" w:type="dxa"/>
                  <w:vAlign w:val="center"/>
                </w:tcPr>
                <w:p>
                  <w:pPr>
                    <w:pStyle w:val="28"/>
                  </w:pPr>
                  <w:r>
                    <w:rPr>
                      <w:rFonts w:hint="eastAsia"/>
                    </w:rPr>
                    <w:t>废旧光伏组件S1</w:t>
                  </w:r>
                </w:p>
              </w:tc>
              <w:tc>
                <w:tcPr>
                  <w:tcW w:w="3892" w:type="dxa"/>
                  <w:vAlign w:val="center"/>
                </w:tcPr>
                <w:p>
                  <w:pPr>
                    <w:pStyle w:val="28"/>
                  </w:pPr>
                  <w:r>
                    <w:t>收集后由生产厂回收处置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Merge w:val="continue"/>
                  <w:vAlign w:val="center"/>
                </w:tcPr>
                <w:p>
                  <w:pPr>
                    <w:pStyle w:val="28"/>
                  </w:pPr>
                </w:p>
              </w:tc>
              <w:tc>
                <w:tcPr>
                  <w:tcW w:w="1584" w:type="dxa"/>
                  <w:vMerge w:val="restart"/>
                  <w:vAlign w:val="center"/>
                </w:tcPr>
                <w:p>
                  <w:pPr>
                    <w:pStyle w:val="28"/>
                  </w:pPr>
                  <w:r>
                    <w:rPr>
                      <w:rFonts w:hint="eastAsia"/>
                    </w:rPr>
                    <w:t>升压站</w:t>
                  </w:r>
                </w:p>
              </w:tc>
              <w:tc>
                <w:tcPr>
                  <w:tcW w:w="2119" w:type="dxa"/>
                  <w:vAlign w:val="center"/>
                </w:tcPr>
                <w:p>
                  <w:pPr>
                    <w:pStyle w:val="28"/>
                  </w:pPr>
                  <w:r>
                    <w:rPr>
                      <w:rFonts w:hint="eastAsia"/>
                    </w:rPr>
                    <w:t>废变压器油S2</w:t>
                  </w:r>
                </w:p>
              </w:tc>
              <w:tc>
                <w:tcPr>
                  <w:tcW w:w="3892" w:type="dxa"/>
                  <w:vAlign w:val="center"/>
                </w:tcPr>
                <w:p>
                  <w:pPr>
                    <w:pStyle w:val="28"/>
                    <w:rPr>
                      <w:rFonts w:hint="eastAsia" w:eastAsia="宋体"/>
                      <w:lang w:eastAsia="zh-CN"/>
                    </w:rPr>
                  </w:pPr>
                  <w:r>
                    <w:rPr>
                      <w:rFonts w:hint="eastAsia"/>
                    </w:rPr>
                    <w:t>暂存于</w:t>
                  </w:r>
                  <w:r>
                    <w:rPr>
                      <w:rFonts w:hint="eastAsia"/>
                      <w:lang w:eastAsia="zh-CN"/>
                    </w:rPr>
                    <w:t>危废贮存点</w:t>
                  </w:r>
                  <w:r>
                    <w:rPr>
                      <w:rFonts w:hint="eastAsia"/>
                    </w:rPr>
                    <w:t>内，定期</w:t>
                  </w:r>
                  <w:r>
                    <w:rPr>
                      <w:rFonts w:hint="eastAsia"/>
                      <w:lang w:eastAsia="zh-CN"/>
                    </w:rPr>
                    <w:t>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Merge w:val="continue"/>
                  <w:vAlign w:val="center"/>
                </w:tcPr>
                <w:p>
                  <w:pPr>
                    <w:pStyle w:val="28"/>
                  </w:pPr>
                </w:p>
              </w:tc>
              <w:tc>
                <w:tcPr>
                  <w:tcW w:w="1584" w:type="dxa"/>
                  <w:vMerge w:val="continue"/>
                  <w:vAlign w:val="center"/>
                </w:tcPr>
                <w:p>
                  <w:pPr>
                    <w:pStyle w:val="28"/>
                  </w:pPr>
                </w:p>
              </w:tc>
              <w:tc>
                <w:tcPr>
                  <w:tcW w:w="2119" w:type="dxa"/>
                  <w:vAlign w:val="center"/>
                </w:tcPr>
                <w:p>
                  <w:pPr>
                    <w:pStyle w:val="28"/>
                  </w:pPr>
                  <w:r>
                    <w:rPr>
                      <w:rFonts w:hint="eastAsia"/>
                    </w:rPr>
                    <w:t>废铅蓄电池S3</w:t>
                  </w:r>
                </w:p>
              </w:tc>
              <w:tc>
                <w:tcPr>
                  <w:tcW w:w="3892" w:type="dxa"/>
                  <w:vAlign w:val="center"/>
                </w:tcPr>
                <w:p>
                  <w:pPr>
                    <w:pStyle w:val="28"/>
                  </w:pPr>
                  <w:r>
                    <w:t>收集后由生产厂回收处置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Merge w:val="continue"/>
                  <w:vAlign w:val="center"/>
                </w:tcPr>
                <w:p>
                  <w:pPr>
                    <w:pStyle w:val="28"/>
                  </w:pPr>
                </w:p>
              </w:tc>
              <w:tc>
                <w:tcPr>
                  <w:tcW w:w="1584" w:type="dxa"/>
                  <w:vMerge w:val="continue"/>
                  <w:vAlign w:val="center"/>
                </w:tcPr>
                <w:p>
                  <w:pPr>
                    <w:pStyle w:val="28"/>
                  </w:pPr>
                </w:p>
              </w:tc>
              <w:tc>
                <w:tcPr>
                  <w:tcW w:w="2119" w:type="dxa"/>
                  <w:vAlign w:val="center"/>
                </w:tcPr>
                <w:p>
                  <w:pPr>
                    <w:pStyle w:val="28"/>
                  </w:pPr>
                  <w:r>
                    <w:rPr>
                      <w:rFonts w:hint="eastAsia"/>
                    </w:rPr>
                    <w:t>含油棉纱、手套S4</w:t>
                  </w:r>
                </w:p>
              </w:tc>
              <w:tc>
                <w:tcPr>
                  <w:tcW w:w="3892" w:type="dxa"/>
                  <w:vAlign w:val="center"/>
                </w:tcPr>
                <w:p>
                  <w:pPr>
                    <w:pStyle w:val="28"/>
                    <w:rPr>
                      <w:rFonts w:hint="eastAsia" w:eastAsia="宋体"/>
                      <w:lang w:eastAsia="zh-CN"/>
                    </w:rPr>
                  </w:pPr>
                  <w:r>
                    <w:rPr>
                      <w:rFonts w:hint="eastAsia"/>
                    </w:rPr>
                    <w:t>暂存于</w:t>
                  </w:r>
                  <w:r>
                    <w:rPr>
                      <w:rFonts w:hint="eastAsia"/>
                      <w:lang w:eastAsia="zh-CN"/>
                    </w:rPr>
                    <w:t>危废贮存点</w:t>
                  </w:r>
                  <w:r>
                    <w:rPr>
                      <w:rFonts w:hint="eastAsia"/>
                    </w:rPr>
                    <w:t>内，定期</w:t>
                  </w:r>
                  <w:r>
                    <w:rPr>
                      <w:rFonts w:hint="eastAsia"/>
                      <w:lang w:eastAsia="zh-CN"/>
                    </w:rPr>
                    <w:t>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Merge w:val="continue"/>
                  <w:vAlign w:val="center"/>
                </w:tcPr>
                <w:p>
                  <w:pPr>
                    <w:pStyle w:val="28"/>
                  </w:pPr>
                </w:p>
              </w:tc>
              <w:tc>
                <w:tcPr>
                  <w:tcW w:w="1584" w:type="dxa"/>
                  <w:vMerge w:val="continue"/>
                  <w:vAlign w:val="center"/>
                </w:tcPr>
                <w:p>
                  <w:pPr>
                    <w:pStyle w:val="28"/>
                  </w:pPr>
                </w:p>
              </w:tc>
              <w:tc>
                <w:tcPr>
                  <w:tcW w:w="2119" w:type="dxa"/>
                  <w:vAlign w:val="center"/>
                </w:tcPr>
                <w:p>
                  <w:pPr>
                    <w:pStyle w:val="28"/>
                  </w:pPr>
                  <w:r>
                    <w:rPr>
                      <w:rFonts w:hint="eastAsia"/>
                    </w:rPr>
                    <w:t>生活垃圾S5</w:t>
                  </w:r>
                </w:p>
              </w:tc>
              <w:tc>
                <w:tcPr>
                  <w:tcW w:w="3892" w:type="dxa"/>
                  <w:vAlign w:val="center"/>
                </w:tcPr>
                <w:p>
                  <w:pPr>
                    <w:pStyle w:val="28"/>
                  </w:pPr>
                  <w:r>
                    <w:rPr>
                      <w:rFonts w:hint="eastAsia"/>
                    </w:rPr>
                    <w:t>定期交由环卫部门处理处置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Align w:val="center"/>
                </w:tcPr>
                <w:p>
                  <w:pPr>
                    <w:pStyle w:val="28"/>
                    <w:rPr>
                      <w:rFonts w:hint="eastAsia" w:eastAsia="宋体"/>
                      <w:lang w:val="en-US" w:eastAsia="zh-CN"/>
                    </w:rPr>
                  </w:pPr>
                  <w:r>
                    <w:rPr>
                      <w:rFonts w:hint="eastAsia"/>
                      <w:lang w:val="en-US" w:eastAsia="zh-CN"/>
                    </w:rPr>
                    <w:t>噪声</w:t>
                  </w:r>
                </w:p>
              </w:tc>
              <w:tc>
                <w:tcPr>
                  <w:tcW w:w="1584" w:type="dxa"/>
                  <w:vAlign w:val="center"/>
                </w:tcPr>
                <w:p>
                  <w:pPr>
                    <w:pStyle w:val="28"/>
                    <w:rPr>
                      <w:rFonts w:hint="eastAsia" w:eastAsia="宋体"/>
                      <w:lang w:val="en-US" w:eastAsia="zh-CN"/>
                    </w:rPr>
                  </w:pPr>
                  <w:r>
                    <w:rPr>
                      <w:rFonts w:hint="eastAsia"/>
                      <w:lang w:val="en-US" w:eastAsia="zh-CN"/>
                    </w:rPr>
                    <w:t>升压站</w:t>
                  </w:r>
                </w:p>
              </w:tc>
              <w:tc>
                <w:tcPr>
                  <w:tcW w:w="2119" w:type="dxa"/>
                  <w:vAlign w:val="center"/>
                </w:tcPr>
                <w:p>
                  <w:pPr>
                    <w:pStyle w:val="28"/>
                    <w:rPr>
                      <w:rFonts w:hint="default" w:eastAsia="宋体"/>
                      <w:lang w:val="en-US" w:eastAsia="zh-CN"/>
                    </w:rPr>
                  </w:pPr>
                  <w:r>
                    <w:rPr>
                      <w:rFonts w:hint="eastAsia"/>
                      <w:lang w:val="en-US" w:eastAsia="zh-CN"/>
                    </w:rPr>
                    <w:t>设备噪声N</w:t>
                  </w:r>
                </w:p>
              </w:tc>
              <w:tc>
                <w:tcPr>
                  <w:tcW w:w="3892" w:type="dxa"/>
                  <w:vAlign w:val="center"/>
                </w:tcPr>
                <w:p>
                  <w:pPr>
                    <w:pStyle w:val="28"/>
                    <w:rPr>
                      <w:rFonts w:hint="default" w:eastAsia="宋体"/>
                      <w:lang w:val="en-US" w:eastAsia="zh-CN"/>
                    </w:rPr>
                  </w:pPr>
                  <w:r>
                    <w:rPr>
                      <w:rFonts w:hint="eastAsia"/>
                      <w:lang w:val="en-US" w:eastAsia="zh-CN"/>
                    </w:rPr>
                    <w:t>选用低噪声设备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Align w:val="center"/>
                </w:tcPr>
                <w:p>
                  <w:pPr>
                    <w:pStyle w:val="28"/>
                    <w:rPr>
                      <w:rFonts w:hint="default"/>
                      <w:lang w:val="en-US" w:eastAsia="zh-CN"/>
                    </w:rPr>
                  </w:pPr>
                  <w:r>
                    <w:rPr>
                      <w:rFonts w:hint="eastAsia"/>
                      <w:lang w:val="en-US" w:eastAsia="zh-CN"/>
                    </w:rPr>
                    <w:t>电磁环境</w:t>
                  </w:r>
                </w:p>
              </w:tc>
              <w:tc>
                <w:tcPr>
                  <w:tcW w:w="1584" w:type="dxa"/>
                  <w:vAlign w:val="center"/>
                </w:tcPr>
                <w:p>
                  <w:pPr>
                    <w:pStyle w:val="28"/>
                    <w:rPr>
                      <w:rFonts w:hint="default"/>
                      <w:lang w:val="en-US" w:eastAsia="zh-CN"/>
                    </w:rPr>
                  </w:pPr>
                  <w:r>
                    <w:rPr>
                      <w:rFonts w:hint="eastAsia"/>
                      <w:lang w:val="en-US" w:eastAsia="zh-CN"/>
                    </w:rPr>
                    <w:t>升压站</w:t>
                  </w:r>
                </w:p>
              </w:tc>
              <w:tc>
                <w:tcPr>
                  <w:tcW w:w="2119" w:type="dxa"/>
                  <w:vAlign w:val="center"/>
                </w:tcPr>
                <w:p>
                  <w:pPr>
                    <w:pStyle w:val="28"/>
                    <w:rPr>
                      <w:rFonts w:hint="default"/>
                      <w:lang w:val="en-US" w:eastAsia="zh-CN"/>
                    </w:rPr>
                  </w:pPr>
                  <w:r>
                    <w:rPr>
                      <w:rFonts w:hint="eastAsia"/>
                      <w:lang w:val="en-US" w:eastAsia="zh-CN"/>
                    </w:rPr>
                    <w:t>工频电场、工频磁场</w:t>
                  </w:r>
                </w:p>
              </w:tc>
              <w:tc>
                <w:tcPr>
                  <w:tcW w:w="3892" w:type="dxa"/>
                  <w:vAlign w:val="center"/>
                </w:tcPr>
                <w:p>
                  <w:pPr>
                    <w:pStyle w:val="28"/>
                    <w:rPr>
                      <w:rFonts w:hint="default"/>
                      <w:lang w:val="en-US" w:eastAsia="zh-CN"/>
                    </w:rPr>
                  </w:pPr>
                  <w:r>
                    <w:rPr>
                      <w:rFonts w:hint="eastAsia"/>
                      <w:lang w:val="en-US" w:eastAsia="zh-CN"/>
                    </w:rPr>
                    <w:t>定期维护</w:t>
                  </w:r>
                </w:p>
              </w:tc>
            </w:tr>
          </w:tbl>
          <w:p>
            <w:pPr>
              <w:pStyle w:val="29"/>
              <w:ind w:firstLine="482"/>
              <w:rPr>
                <w:b/>
                <w:bCs/>
              </w:rPr>
            </w:pPr>
            <w:r>
              <w:rPr>
                <w:b/>
                <w:bCs/>
              </w:rPr>
              <w:t>4.7 运营期生态环境影响分析</w:t>
            </w:r>
          </w:p>
          <w:p>
            <w:pPr>
              <w:pStyle w:val="29"/>
              <w:ind w:firstLine="482"/>
            </w:pPr>
            <w:r>
              <w:rPr>
                <w:b/>
                <w:bCs/>
              </w:rPr>
              <w:t>4.7.1 对土地利用的影响</w:t>
            </w:r>
          </w:p>
          <w:p>
            <w:pPr>
              <w:pStyle w:val="29"/>
              <w:ind w:firstLine="480"/>
            </w:pPr>
            <w:r>
              <w:t>项目以园地、草地为主。项目运营期光伏陈列区下部保留</w:t>
            </w:r>
            <w:r>
              <w:rPr>
                <w:rFonts w:hint="eastAsia"/>
                <w:lang w:val="en-US" w:eastAsia="zh-CN"/>
              </w:rPr>
              <w:t>原有作物</w:t>
            </w:r>
            <w:r>
              <w:t>生长空间，不会造成地表裸露，除升压站建设、场内道路及光伏支架占地外，其他不会改变土地利用类型。</w:t>
            </w:r>
          </w:p>
          <w:p>
            <w:pPr>
              <w:pStyle w:val="29"/>
              <w:ind w:firstLine="480"/>
              <w:rPr>
                <w:rFonts w:hint="default"/>
                <w:lang w:val="en-US" w:eastAsia="zh-CN"/>
              </w:rPr>
            </w:pPr>
            <w:r>
              <w:rPr>
                <w:rFonts w:hint="default"/>
                <w:lang w:val="en-US" w:eastAsia="zh-CN"/>
              </w:rPr>
              <w:t>经计算，本项目光伏阵列投影面积约为28.0592公顷，占总用地面积（164.9876公顷）比例为17.01%。虽然光伏阵列投影面积占总体拟用地面积的比例较低，但光伏板的存在对板下及周边植株还是存在一定影响。可通过修枝整形、合理布局等措施尽可能降低对板下及周边植株生长发育的影响。</w:t>
            </w:r>
          </w:p>
          <w:p>
            <w:pPr>
              <w:pStyle w:val="29"/>
              <w:ind w:firstLine="480"/>
              <w:rPr>
                <w:rFonts w:hint="default"/>
                <w:lang w:val="en-US" w:eastAsia="zh-CN"/>
              </w:rPr>
            </w:pPr>
            <w:r>
              <w:rPr>
                <w:lang w:val="en-US" w:eastAsia="zh-CN"/>
              </w:rPr>
              <w:t>项目区域内现有植株上方架设光伏板，光伏板最低点距离地面高度为</w:t>
            </w:r>
            <w:r>
              <w:rPr>
                <w:rFonts w:hint="default"/>
                <w:lang w:val="en-US" w:eastAsia="zh-CN"/>
              </w:rPr>
              <w:t>3米。现地植株中柑橘高度1</w:t>
            </w:r>
            <w:r>
              <w:rPr>
                <w:rFonts w:hint="eastAsia"/>
                <w:lang w:val="en-US" w:eastAsia="zh-CN"/>
              </w:rPr>
              <w:t>~</w:t>
            </w:r>
            <w:r>
              <w:rPr>
                <w:rFonts w:hint="default"/>
                <w:lang w:val="en-US" w:eastAsia="zh-CN"/>
              </w:rPr>
              <w:t>1.5米，茶树高度不足1米，李和油橄榄高度不超过2米，光伏板距离地面最低点高于植株的平均高度，并留有足够空间供板下植株的生长发育，保证不改变土地属性和用途性质，综合利用土地</w:t>
            </w:r>
            <w:r>
              <w:rPr>
                <w:rFonts w:hint="eastAsia"/>
                <w:lang w:val="en-US" w:eastAsia="zh-CN"/>
              </w:rPr>
              <w:t>。</w:t>
            </w:r>
          </w:p>
          <w:tbl>
            <w:tblPr>
              <w:tblStyle w:val="1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78" w:type="dxa"/>
                </w:tcPr>
                <w:p>
                  <w:pPr>
                    <w:pStyle w:val="28"/>
                    <w:bidi w:val="0"/>
                    <w:rPr>
                      <w:rFonts w:hint="default"/>
                      <w:lang w:val="en-US" w:eastAsia="zh-CN"/>
                    </w:rPr>
                  </w:pPr>
                  <w:r>
                    <w:rPr>
                      <w:rFonts w:hint="default"/>
                      <w:lang w:val="en-US" w:eastAsia="zh-CN"/>
                    </w:rPr>
                    <w:drawing>
                      <wp:inline distT="0" distB="0" distL="114300" distR="114300">
                        <wp:extent cx="5293995" cy="3422650"/>
                        <wp:effectExtent l="0" t="0" r="1905" b="6350"/>
                        <wp:docPr id="3" name="图片 3" descr="农林光互补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农林光互补效果图"/>
                                <pic:cNvPicPr>
                                  <a:picLocks noChangeAspect="1"/>
                                </pic:cNvPicPr>
                              </pic:nvPicPr>
                              <pic:blipFill>
                                <a:blip r:embed="rId16"/>
                                <a:stretch>
                                  <a:fillRect/>
                                </a:stretch>
                              </pic:blipFill>
                              <pic:spPr>
                                <a:xfrm>
                                  <a:off x="0" y="0"/>
                                  <a:ext cx="5293995" cy="34226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78" w:type="dxa"/>
                </w:tcPr>
                <w:p>
                  <w:pPr>
                    <w:pStyle w:val="28"/>
                    <w:bidi w:val="0"/>
                    <w:rPr>
                      <w:rFonts w:hint="default"/>
                      <w:sz w:val="24"/>
                      <w:szCs w:val="22"/>
                      <w:lang w:val="en-US" w:eastAsia="zh-CN"/>
                    </w:rPr>
                  </w:pPr>
                  <w:r>
                    <w:rPr>
                      <w:rFonts w:hint="eastAsia"/>
                      <w:sz w:val="24"/>
                      <w:szCs w:val="22"/>
                      <w:lang w:val="en-US" w:eastAsia="zh-CN"/>
                    </w:rPr>
                    <w:t>图4-3  本项目农林光互补效果图</w:t>
                  </w:r>
                </w:p>
              </w:tc>
            </w:tr>
          </w:tbl>
          <w:p>
            <w:pPr>
              <w:pStyle w:val="29"/>
              <w:ind w:firstLine="482"/>
              <w:rPr>
                <w:b/>
                <w:bCs/>
              </w:rPr>
            </w:pPr>
            <w:r>
              <w:rPr>
                <w:b/>
                <w:bCs/>
              </w:rPr>
              <w:t>4.7.2 对植被及植物多样性的影响</w:t>
            </w:r>
          </w:p>
          <w:p>
            <w:pPr>
              <w:pStyle w:val="29"/>
              <w:ind w:firstLine="480"/>
            </w:pPr>
            <w:r>
              <w:t>根据《光伏阵列的微气候特征及其对站区植物生长特性的影响》（生态学杂志，朱少康，2021.7），光伏阵列建成后会降低其正下方的土壤湿度，提高土壤温度；降低植被的高度和密度，提升物种丰富度。对植被的具体影响主要表现在太阳能光伏阵列的布设会遮盖其下植被，由此而产生该区域植被退化或消亡；对植物的影响主要表现在太阳能光伏阵列遮挡阳光，对植物的生长</w:t>
            </w:r>
            <w:r>
              <w:rPr>
                <w:rFonts w:hint="eastAsia"/>
                <w:lang w:val="en-US" w:eastAsia="zh-CN"/>
              </w:rPr>
              <w:t>会</w:t>
            </w:r>
            <w:r>
              <w:t>产生一定影响。</w:t>
            </w:r>
          </w:p>
          <w:p>
            <w:pPr>
              <w:pStyle w:val="29"/>
              <w:ind w:firstLine="480"/>
              <w:rPr>
                <w:rFonts w:hint="default"/>
                <w:lang w:val="en-US" w:eastAsia="zh-CN"/>
              </w:rPr>
            </w:pPr>
            <w:r>
              <w:rPr>
                <w:lang w:val="en-US" w:eastAsia="zh-CN"/>
              </w:rPr>
              <w:t>正面影响：并且由于项目实施区域均为向阳坡，在夏季</w:t>
            </w:r>
            <w:r>
              <w:rPr>
                <w:rFonts w:hint="default"/>
                <w:lang w:val="en-US" w:eastAsia="zh-CN"/>
              </w:rPr>
              <w:t>高温炎热的季节，光伏板还可为板下植株柑橘、李、油橄榄提供适当的遮蔽来保护植株免受过度暴晒。</w:t>
            </w:r>
          </w:p>
          <w:p>
            <w:pPr>
              <w:pStyle w:val="29"/>
              <w:ind w:firstLine="480"/>
              <w:rPr>
                <w:rFonts w:hint="default"/>
                <w:lang w:val="en-US" w:eastAsia="zh-CN"/>
              </w:rPr>
            </w:pPr>
            <w:r>
              <w:rPr>
                <w:rFonts w:hint="default"/>
                <w:lang w:val="en-US" w:eastAsia="zh-CN"/>
              </w:rPr>
              <w:t>负面影响：一方面项目在建设过程中，因运输或工程材料的放置等可能会损坏项目范围内的一小部分植株；另一方面由于光伏板位于植株上方，对植株的生长发育有一定的影响。</w:t>
            </w:r>
          </w:p>
          <w:p>
            <w:pPr>
              <w:pStyle w:val="29"/>
              <w:ind w:firstLine="480"/>
            </w:pPr>
            <w:r>
              <w:t>本项目所在区域为常见草本植物及农作物，同时本项目电池组件在布置时前后、左右适当增大了间隙以利光照，同时在光伏发电场区可绿化面积播撒喜阴植物草籽进行绿化，减轻工程建设及运行对项目所在区域植被的影响。</w:t>
            </w:r>
          </w:p>
          <w:p>
            <w:pPr>
              <w:pStyle w:val="29"/>
              <w:ind w:firstLine="482"/>
              <w:rPr>
                <w:b/>
                <w:bCs/>
              </w:rPr>
            </w:pPr>
            <w:r>
              <w:rPr>
                <w:b/>
                <w:bCs/>
              </w:rPr>
              <w:t>4.7.3 对动物</w:t>
            </w:r>
            <w:r>
              <w:rPr>
                <w:rFonts w:hint="eastAsia"/>
                <w:b/>
                <w:bCs/>
              </w:rPr>
              <w:t>多样性</w:t>
            </w:r>
            <w:r>
              <w:rPr>
                <w:b/>
                <w:bCs/>
              </w:rPr>
              <w:t>的影响</w:t>
            </w:r>
          </w:p>
          <w:p>
            <w:pPr>
              <w:pStyle w:val="29"/>
              <w:ind w:firstLine="480"/>
            </w:pPr>
            <w:r>
              <w:t>本项目运营期间，现场维护和检修等工作均在昼间进行，避免影响周边动物夜间正常活动。光伏场区运行噪声可能会使对声环境敏感的动物迁移至远离光伏场区处，但光伏场区运行噪声影响范围主要为站界外几十米范围内的区域，影响范围较小。因此，项目建设不会对所在区域内野生动物的日常迁徙和活动造成明显影响。</w:t>
            </w:r>
          </w:p>
          <w:p>
            <w:pPr>
              <w:pStyle w:val="29"/>
              <w:ind w:firstLine="482"/>
              <w:rPr>
                <w:b/>
                <w:bCs/>
              </w:rPr>
            </w:pPr>
            <w:r>
              <w:rPr>
                <w:b/>
                <w:bCs/>
              </w:rPr>
              <w:t>4.7.4 景观环境影响</w:t>
            </w:r>
          </w:p>
          <w:p>
            <w:pPr>
              <w:pStyle w:val="29"/>
              <w:ind w:firstLine="480"/>
            </w:pPr>
            <w:r>
              <w:t>项目拟建地现状主要为园地、草地，项目建成后将有部分场地被太阳能电池组阵列所覆盖，将使原来较为单纯的自然景观改变为新的小斑块（太阳能光伏电池板），光伏阵列朝向一致，颜色一致，形状一致的较大面积人工景观，对一定范围内的自然景观及农业景观造成了影响。</w:t>
            </w:r>
          </w:p>
          <w:p>
            <w:pPr>
              <w:pStyle w:val="29"/>
              <w:ind w:firstLine="480"/>
            </w:pPr>
            <w:r>
              <w:t>项目周围无自然风景区和名胜古迹，其建设产生的景观影响在环境可接受范围内。</w:t>
            </w:r>
          </w:p>
          <w:p>
            <w:pPr>
              <w:pStyle w:val="29"/>
              <w:ind w:firstLine="482"/>
              <w:rPr>
                <w:b/>
                <w:bCs/>
              </w:rPr>
            </w:pPr>
            <w:r>
              <w:rPr>
                <w:b/>
                <w:bCs/>
              </w:rPr>
              <w:t>4.8 运营期声环境影响</w:t>
            </w:r>
          </w:p>
          <w:p>
            <w:pPr>
              <w:pStyle w:val="29"/>
              <w:ind w:firstLine="480"/>
            </w:pPr>
            <w:r>
              <w:t>本项目运行期主要噪声源为箱式变压器噪声和升压站电气设备噪声。</w:t>
            </w:r>
          </w:p>
          <w:p>
            <w:pPr>
              <w:pStyle w:val="29"/>
              <w:ind w:firstLine="482"/>
              <w:rPr>
                <w:b/>
                <w:bCs/>
              </w:rPr>
            </w:pPr>
            <w:r>
              <w:rPr>
                <w:b/>
                <w:bCs/>
              </w:rPr>
              <w:t>4.8.1 光伏场区噪声</w:t>
            </w:r>
          </w:p>
          <w:p>
            <w:pPr>
              <w:pStyle w:val="29"/>
              <w:ind w:firstLine="480"/>
            </w:pPr>
            <w:r>
              <w:t>光伏发电组件没有机械传动或运动部件，无噪声产生，箱式变压器、逆变器等电气设备产生连续性电磁噪声，其中以箱式变压器噪声为主，箱式变压器包裹变压器箱，可产生约10dB（A）的降噪量，参照同类项目可知噪声源强约为45dB（A）。</w:t>
            </w:r>
          </w:p>
          <w:p>
            <w:pPr>
              <w:pStyle w:val="29"/>
              <w:ind w:firstLine="482"/>
              <w:rPr>
                <w:b/>
                <w:bCs/>
              </w:rPr>
            </w:pPr>
            <w:r>
              <w:rPr>
                <w:b/>
                <w:bCs/>
              </w:rPr>
              <w:t>4.8.2 升压站噪声</w:t>
            </w:r>
          </w:p>
          <w:p>
            <w:pPr>
              <w:pStyle w:val="29"/>
              <w:ind w:firstLine="480"/>
            </w:pPr>
            <w:r>
              <w:t>110kV室外升压站主要噪声源为主变压器，本次噪声源强参考《国家电网公司物资采购标准交流变压器卷》（Q/GDW130008.10-2018）相关要求，本工程110kV变压器采购标准为：100%负荷运作条件下，噪声水平≤65dB（A），因此本工程预测时主变噪声源强取65dB(A)。</w:t>
            </w:r>
          </w:p>
          <w:p>
            <w:pPr>
              <w:pStyle w:val="29"/>
              <w:ind w:firstLine="480"/>
            </w:pPr>
            <w:r>
              <w:rPr>
                <w:rFonts w:hint="eastAsia"/>
                <w:lang w:val="en-US" w:eastAsia="zh-CN"/>
              </w:rPr>
              <w:t>本项目主变压器为户外布置，一年四季不间断运行，</w:t>
            </w:r>
            <w:r>
              <w:t>根据噪声衰减预测，本项目主变压器距离围墙（西厂界）最近距离为3</w:t>
            </w:r>
            <w:r>
              <w:rPr>
                <w:rFonts w:hint="eastAsia"/>
              </w:rPr>
              <w:t>0</w:t>
            </w:r>
            <w:r>
              <w:t>m，噪声经衰减后，在最近围墙处的噪声值为36dB（A）。本项目</w:t>
            </w:r>
            <w:r>
              <w:rPr>
                <w:rFonts w:hint="eastAsia"/>
              </w:rPr>
              <w:t>噪声源强调查清单</w:t>
            </w:r>
            <w:r>
              <w:t>见表</w:t>
            </w:r>
            <w:r>
              <w:rPr>
                <w:rFonts w:hint="eastAsia"/>
              </w:rPr>
              <w:t>4-6</w:t>
            </w:r>
            <w:r>
              <w:t>。本项目升压站噪声场界预测结果见表</w:t>
            </w:r>
            <w:r>
              <w:rPr>
                <w:rFonts w:hint="eastAsia"/>
              </w:rPr>
              <w:t>4-7</w:t>
            </w:r>
            <w:r>
              <w:t>。</w:t>
            </w:r>
          </w:p>
          <w:p>
            <w:pPr>
              <w:pStyle w:val="29"/>
              <w:ind w:firstLine="0" w:firstLineChars="0"/>
              <w:jc w:val="center"/>
            </w:pPr>
            <w:r>
              <w:rPr>
                <w:rFonts w:hint="eastAsia"/>
              </w:rPr>
              <w:t>表4-6  噪声源强调查清单</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058"/>
              <w:gridCol w:w="864"/>
              <w:gridCol w:w="945"/>
              <w:gridCol w:w="682"/>
              <w:gridCol w:w="1216"/>
              <w:gridCol w:w="2109"/>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restart"/>
                  <w:shd w:val="clear" w:color="auto" w:fill="F0F0F0"/>
                  <w:noWrap/>
                  <w:vAlign w:val="center"/>
                </w:tcPr>
                <w:p>
                  <w:pPr>
                    <w:pStyle w:val="28"/>
                  </w:pPr>
                  <w:r>
                    <w:rPr>
                      <w:rFonts w:hint="eastAsia"/>
                    </w:rPr>
                    <w:t>序号</w:t>
                  </w:r>
                </w:p>
              </w:tc>
              <w:tc>
                <w:tcPr>
                  <w:tcW w:w="617" w:type="pct"/>
                  <w:vMerge w:val="restart"/>
                  <w:shd w:val="clear" w:color="auto" w:fill="F0F0F0"/>
                  <w:noWrap/>
                  <w:vAlign w:val="center"/>
                </w:tcPr>
                <w:p>
                  <w:pPr>
                    <w:pStyle w:val="28"/>
                  </w:pPr>
                  <w:r>
                    <w:rPr>
                      <w:rFonts w:hint="eastAsia"/>
                    </w:rPr>
                    <w:t>声源名称</w:t>
                  </w:r>
                </w:p>
              </w:tc>
              <w:tc>
                <w:tcPr>
                  <w:tcW w:w="1453" w:type="pct"/>
                  <w:gridSpan w:val="3"/>
                  <w:shd w:val="clear" w:color="auto" w:fill="F0F0F0"/>
                  <w:noWrap/>
                  <w:vAlign w:val="center"/>
                </w:tcPr>
                <w:p>
                  <w:pPr>
                    <w:pStyle w:val="28"/>
                  </w:pPr>
                  <w:r>
                    <w:rPr>
                      <w:rFonts w:hint="eastAsia"/>
                    </w:rPr>
                    <w:t>空间相对位置/m</w:t>
                  </w:r>
                </w:p>
              </w:tc>
              <w:tc>
                <w:tcPr>
                  <w:tcW w:w="709" w:type="pct"/>
                  <w:vMerge w:val="restart"/>
                  <w:shd w:val="clear" w:color="auto" w:fill="F0F0F0"/>
                  <w:noWrap/>
                  <w:vAlign w:val="center"/>
                </w:tcPr>
                <w:p>
                  <w:pPr>
                    <w:pStyle w:val="28"/>
                    <w:rPr>
                      <w:rFonts w:hint="eastAsia" w:eastAsia="宋体"/>
                      <w:lang w:eastAsia="zh-CN"/>
                    </w:rPr>
                  </w:pPr>
                  <w:r>
                    <w:rPr>
                      <w:rFonts w:hint="eastAsia"/>
                    </w:rPr>
                    <w:t>声功率级/dB</w:t>
                  </w:r>
                  <w:r>
                    <w:rPr>
                      <w:rFonts w:hint="eastAsia"/>
                      <w:lang w:eastAsia="zh-CN"/>
                    </w:rPr>
                    <w:t>（</w:t>
                  </w:r>
                  <w:r>
                    <w:rPr>
                      <w:rFonts w:hint="eastAsia"/>
                      <w:lang w:val="en-US" w:eastAsia="zh-CN"/>
                    </w:rPr>
                    <w:t>A</w:t>
                  </w:r>
                  <w:r>
                    <w:rPr>
                      <w:rFonts w:hint="eastAsia"/>
                      <w:lang w:eastAsia="zh-CN"/>
                    </w:rPr>
                    <w:t>）</w:t>
                  </w:r>
                </w:p>
              </w:tc>
              <w:tc>
                <w:tcPr>
                  <w:tcW w:w="1230" w:type="pct"/>
                  <w:vMerge w:val="restart"/>
                  <w:shd w:val="clear" w:color="auto" w:fill="F0F0F0"/>
                  <w:noWrap/>
                  <w:vAlign w:val="center"/>
                </w:tcPr>
                <w:p>
                  <w:pPr>
                    <w:pStyle w:val="28"/>
                  </w:pPr>
                  <w:r>
                    <w:rPr>
                      <w:rFonts w:hint="eastAsia"/>
                    </w:rPr>
                    <w:t>声源控制措施</w:t>
                  </w:r>
                </w:p>
              </w:tc>
              <w:tc>
                <w:tcPr>
                  <w:tcW w:w="616" w:type="pct"/>
                  <w:vMerge w:val="restart"/>
                  <w:shd w:val="clear" w:color="auto" w:fill="F0F0F0"/>
                  <w:noWrap/>
                  <w:vAlign w:val="center"/>
                </w:tcPr>
                <w:p>
                  <w:pPr>
                    <w:pStyle w:val="28"/>
                  </w:pPr>
                  <w:r>
                    <w:rPr>
                      <w:rFonts w:hint="eastAsia"/>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shd w:val="clear" w:color="auto" w:fill="F0F0F0"/>
                  <w:noWrap/>
                  <w:vAlign w:val="center"/>
                </w:tcPr>
                <w:p>
                  <w:pPr>
                    <w:pStyle w:val="28"/>
                  </w:pPr>
                </w:p>
              </w:tc>
              <w:tc>
                <w:tcPr>
                  <w:tcW w:w="617" w:type="pct"/>
                  <w:vMerge w:val="continue"/>
                  <w:shd w:val="clear" w:color="auto" w:fill="F0F0F0"/>
                  <w:noWrap/>
                  <w:vAlign w:val="center"/>
                </w:tcPr>
                <w:p>
                  <w:pPr>
                    <w:pStyle w:val="28"/>
                  </w:pPr>
                </w:p>
              </w:tc>
              <w:tc>
                <w:tcPr>
                  <w:tcW w:w="504" w:type="pct"/>
                  <w:shd w:val="clear" w:color="auto" w:fill="F0F0F0"/>
                  <w:noWrap/>
                  <w:vAlign w:val="center"/>
                </w:tcPr>
                <w:p>
                  <w:pPr>
                    <w:pStyle w:val="28"/>
                  </w:pPr>
                  <w:r>
                    <w:rPr>
                      <w:rFonts w:hint="eastAsia"/>
                    </w:rPr>
                    <w:t>X</w:t>
                  </w:r>
                </w:p>
              </w:tc>
              <w:tc>
                <w:tcPr>
                  <w:tcW w:w="551" w:type="pct"/>
                  <w:shd w:val="clear" w:color="auto" w:fill="F0F0F0"/>
                  <w:noWrap/>
                  <w:vAlign w:val="center"/>
                </w:tcPr>
                <w:p>
                  <w:pPr>
                    <w:pStyle w:val="28"/>
                  </w:pPr>
                  <w:r>
                    <w:rPr>
                      <w:rFonts w:hint="eastAsia"/>
                    </w:rPr>
                    <w:t>Y</w:t>
                  </w:r>
                </w:p>
              </w:tc>
              <w:tc>
                <w:tcPr>
                  <w:tcW w:w="397" w:type="pct"/>
                  <w:shd w:val="clear" w:color="auto" w:fill="F0F0F0"/>
                  <w:noWrap/>
                  <w:vAlign w:val="center"/>
                </w:tcPr>
                <w:p>
                  <w:pPr>
                    <w:pStyle w:val="28"/>
                  </w:pPr>
                  <w:r>
                    <w:rPr>
                      <w:rFonts w:hint="eastAsia"/>
                    </w:rPr>
                    <w:t>Z</w:t>
                  </w:r>
                </w:p>
              </w:tc>
              <w:tc>
                <w:tcPr>
                  <w:tcW w:w="709" w:type="pct"/>
                  <w:vMerge w:val="continue"/>
                  <w:shd w:val="clear" w:color="auto" w:fill="F0F0F0"/>
                  <w:vAlign w:val="center"/>
                </w:tcPr>
                <w:p>
                  <w:pPr>
                    <w:pStyle w:val="28"/>
                  </w:pPr>
                </w:p>
              </w:tc>
              <w:tc>
                <w:tcPr>
                  <w:tcW w:w="1230" w:type="pct"/>
                  <w:vMerge w:val="continue"/>
                  <w:shd w:val="clear" w:color="auto" w:fill="F0F0F0"/>
                  <w:noWrap/>
                  <w:vAlign w:val="center"/>
                </w:tcPr>
                <w:p>
                  <w:pPr>
                    <w:pStyle w:val="28"/>
                  </w:pPr>
                </w:p>
              </w:tc>
              <w:tc>
                <w:tcPr>
                  <w:tcW w:w="616" w:type="pct"/>
                  <w:vMerge w:val="continue"/>
                  <w:shd w:val="clear" w:color="auto" w:fill="F0F0F0"/>
                  <w:noWrap/>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shd w:val="clear" w:color="auto" w:fill="FFFFFF"/>
                  <w:noWrap/>
                  <w:vAlign w:val="center"/>
                </w:tcPr>
                <w:p>
                  <w:pPr>
                    <w:pStyle w:val="28"/>
                  </w:pPr>
                  <w:r>
                    <w:rPr>
                      <w:rFonts w:hint="eastAsia"/>
                    </w:rPr>
                    <w:t>1</w:t>
                  </w:r>
                </w:p>
              </w:tc>
              <w:tc>
                <w:tcPr>
                  <w:tcW w:w="617" w:type="pct"/>
                  <w:shd w:val="clear" w:color="auto" w:fill="FFFFFF"/>
                  <w:noWrap/>
                  <w:vAlign w:val="center"/>
                </w:tcPr>
                <w:p>
                  <w:pPr>
                    <w:pStyle w:val="28"/>
                  </w:pPr>
                  <w:r>
                    <w:rPr>
                      <w:rFonts w:hint="eastAsia"/>
                    </w:rPr>
                    <w:t>主变压器</w:t>
                  </w:r>
                </w:p>
              </w:tc>
              <w:tc>
                <w:tcPr>
                  <w:tcW w:w="504" w:type="pct"/>
                  <w:shd w:val="clear" w:color="auto" w:fill="FFFFFF"/>
                  <w:noWrap/>
                  <w:vAlign w:val="center"/>
                </w:tcPr>
                <w:p>
                  <w:pPr>
                    <w:pStyle w:val="28"/>
                  </w:pPr>
                  <w:r>
                    <w:rPr>
                      <w:rFonts w:hint="eastAsia"/>
                    </w:rPr>
                    <w:t>-179.27</w:t>
                  </w:r>
                </w:p>
              </w:tc>
              <w:tc>
                <w:tcPr>
                  <w:tcW w:w="551" w:type="pct"/>
                  <w:shd w:val="clear" w:color="auto" w:fill="FFFFFF"/>
                  <w:noWrap/>
                  <w:vAlign w:val="center"/>
                </w:tcPr>
                <w:p>
                  <w:pPr>
                    <w:pStyle w:val="28"/>
                  </w:pPr>
                  <w:r>
                    <w:rPr>
                      <w:rFonts w:hint="eastAsia"/>
                    </w:rPr>
                    <w:t>41.26</w:t>
                  </w:r>
                </w:p>
              </w:tc>
              <w:tc>
                <w:tcPr>
                  <w:tcW w:w="397" w:type="pct"/>
                  <w:shd w:val="clear" w:color="auto" w:fill="FFFFFF"/>
                  <w:noWrap/>
                  <w:vAlign w:val="center"/>
                </w:tcPr>
                <w:p>
                  <w:pPr>
                    <w:pStyle w:val="28"/>
                  </w:pPr>
                  <w:r>
                    <w:rPr>
                      <w:rFonts w:hint="eastAsia"/>
                    </w:rPr>
                    <w:t>1</w:t>
                  </w:r>
                </w:p>
              </w:tc>
              <w:tc>
                <w:tcPr>
                  <w:tcW w:w="709" w:type="pct"/>
                  <w:shd w:val="clear" w:color="auto" w:fill="FFFFFF"/>
                  <w:noWrap/>
                  <w:vAlign w:val="center"/>
                </w:tcPr>
                <w:p>
                  <w:pPr>
                    <w:pStyle w:val="28"/>
                  </w:pPr>
                  <w:r>
                    <w:rPr>
                      <w:rFonts w:hint="eastAsia"/>
                    </w:rPr>
                    <w:t>65</w:t>
                  </w:r>
                </w:p>
              </w:tc>
              <w:tc>
                <w:tcPr>
                  <w:tcW w:w="1230" w:type="pct"/>
                  <w:vMerge w:val="restart"/>
                  <w:shd w:val="clear" w:color="auto" w:fill="FFFFFF"/>
                  <w:noWrap/>
                  <w:vAlign w:val="center"/>
                </w:tcPr>
                <w:p>
                  <w:pPr>
                    <w:pStyle w:val="28"/>
                  </w:pPr>
                  <w:r>
                    <w:rPr>
                      <w:rFonts w:hint="eastAsia"/>
                    </w:rPr>
                    <w:t>支座减震，距离衰减</w:t>
                  </w:r>
                </w:p>
              </w:tc>
              <w:tc>
                <w:tcPr>
                  <w:tcW w:w="616" w:type="pct"/>
                  <w:shd w:val="clear" w:color="auto" w:fill="FFFFFF"/>
                  <w:noWrap/>
                  <w:vAlign w:val="center"/>
                </w:tcPr>
                <w:p>
                  <w:pPr>
                    <w:pStyle w:val="28"/>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shd w:val="clear" w:color="auto" w:fill="auto"/>
                  <w:noWrap/>
                  <w:vAlign w:val="center"/>
                </w:tcPr>
                <w:p>
                  <w:pPr>
                    <w:pStyle w:val="28"/>
                  </w:pPr>
                  <w:r>
                    <w:rPr>
                      <w:rFonts w:hint="eastAsia"/>
                    </w:rPr>
                    <w:t>2</w:t>
                  </w:r>
                </w:p>
              </w:tc>
              <w:tc>
                <w:tcPr>
                  <w:tcW w:w="617" w:type="pct"/>
                  <w:shd w:val="clear" w:color="auto" w:fill="auto"/>
                  <w:noWrap/>
                  <w:vAlign w:val="center"/>
                </w:tcPr>
                <w:p>
                  <w:pPr>
                    <w:pStyle w:val="28"/>
                  </w:pPr>
                  <w:r>
                    <w:rPr>
                      <w:rFonts w:hint="eastAsia"/>
                    </w:rPr>
                    <w:t>主变压器</w:t>
                  </w:r>
                </w:p>
              </w:tc>
              <w:tc>
                <w:tcPr>
                  <w:tcW w:w="504" w:type="pct"/>
                  <w:shd w:val="clear" w:color="auto" w:fill="auto"/>
                  <w:noWrap/>
                  <w:vAlign w:val="center"/>
                </w:tcPr>
                <w:p>
                  <w:pPr>
                    <w:pStyle w:val="28"/>
                  </w:pPr>
                  <w:r>
                    <w:rPr>
                      <w:rFonts w:hint="eastAsia"/>
                    </w:rPr>
                    <w:t>-179.27</w:t>
                  </w:r>
                </w:p>
              </w:tc>
              <w:tc>
                <w:tcPr>
                  <w:tcW w:w="551" w:type="pct"/>
                  <w:shd w:val="clear" w:color="auto" w:fill="auto"/>
                  <w:noWrap/>
                  <w:vAlign w:val="center"/>
                </w:tcPr>
                <w:p>
                  <w:pPr>
                    <w:pStyle w:val="28"/>
                  </w:pPr>
                  <w:r>
                    <w:rPr>
                      <w:rFonts w:hint="eastAsia"/>
                    </w:rPr>
                    <w:t>41.26</w:t>
                  </w:r>
                </w:p>
              </w:tc>
              <w:tc>
                <w:tcPr>
                  <w:tcW w:w="397" w:type="pct"/>
                  <w:shd w:val="clear" w:color="auto" w:fill="auto"/>
                  <w:noWrap/>
                  <w:vAlign w:val="center"/>
                </w:tcPr>
                <w:p>
                  <w:pPr>
                    <w:pStyle w:val="28"/>
                  </w:pPr>
                  <w:r>
                    <w:rPr>
                      <w:rFonts w:hint="eastAsia"/>
                    </w:rPr>
                    <w:t>1</w:t>
                  </w:r>
                </w:p>
              </w:tc>
              <w:tc>
                <w:tcPr>
                  <w:tcW w:w="709" w:type="pct"/>
                  <w:shd w:val="clear" w:color="auto" w:fill="auto"/>
                  <w:noWrap/>
                  <w:vAlign w:val="center"/>
                </w:tcPr>
                <w:p>
                  <w:pPr>
                    <w:pStyle w:val="28"/>
                  </w:pPr>
                  <w:r>
                    <w:rPr>
                      <w:rFonts w:hint="eastAsia"/>
                    </w:rPr>
                    <w:t>65</w:t>
                  </w:r>
                </w:p>
              </w:tc>
              <w:tc>
                <w:tcPr>
                  <w:tcW w:w="1230" w:type="pct"/>
                  <w:vMerge w:val="continue"/>
                  <w:shd w:val="clear" w:color="auto" w:fill="auto"/>
                  <w:noWrap/>
                  <w:vAlign w:val="center"/>
                </w:tcPr>
                <w:p>
                  <w:pPr>
                    <w:pStyle w:val="28"/>
                  </w:pPr>
                </w:p>
              </w:tc>
              <w:tc>
                <w:tcPr>
                  <w:tcW w:w="616" w:type="pct"/>
                  <w:shd w:val="clear" w:color="auto" w:fill="auto"/>
                  <w:noWrap/>
                  <w:vAlign w:val="center"/>
                </w:tcPr>
                <w:p>
                  <w:pPr>
                    <w:pStyle w:val="28"/>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shd w:val="clear" w:color="auto" w:fill="auto"/>
                  <w:noWrap/>
                  <w:vAlign w:val="center"/>
                </w:tcPr>
                <w:p>
                  <w:pPr>
                    <w:pStyle w:val="28"/>
                    <w:rPr>
                      <w:rFonts w:hint="eastAsia" w:eastAsia="宋体"/>
                      <w:lang w:val="en-US" w:eastAsia="zh-CN"/>
                    </w:rPr>
                  </w:pPr>
                  <w:r>
                    <w:rPr>
                      <w:rFonts w:hint="eastAsia"/>
                      <w:lang w:val="en-US" w:eastAsia="zh-CN"/>
                    </w:rPr>
                    <w:t>3</w:t>
                  </w:r>
                </w:p>
              </w:tc>
              <w:tc>
                <w:tcPr>
                  <w:tcW w:w="617" w:type="pct"/>
                  <w:shd w:val="clear" w:color="auto" w:fill="auto"/>
                  <w:noWrap/>
                  <w:vAlign w:val="center"/>
                </w:tcPr>
                <w:p>
                  <w:pPr>
                    <w:pStyle w:val="28"/>
                    <w:rPr>
                      <w:rFonts w:hint="eastAsia" w:eastAsia="宋体"/>
                      <w:lang w:val="en-US" w:eastAsia="zh-CN"/>
                    </w:rPr>
                  </w:pPr>
                  <w:r>
                    <w:rPr>
                      <w:rFonts w:hint="eastAsia"/>
                      <w:lang w:val="en-US" w:eastAsia="zh-CN"/>
                    </w:rPr>
                    <w:t>风机</w:t>
                  </w:r>
                </w:p>
              </w:tc>
              <w:tc>
                <w:tcPr>
                  <w:tcW w:w="504" w:type="pct"/>
                  <w:shd w:val="clear" w:color="auto" w:fill="auto"/>
                  <w:noWrap/>
                  <w:vAlign w:val="center"/>
                </w:tcPr>
                <w:p>
                  <w:pPr>
                    <w:pStyle w:val="28"/>
                    <w:bidi w:val="0"/>
                    <w:rPr>
                      <w:rFonts w:hint="eastAsia"/>
                    </w:rPr>
                  </w:pPr>
                  <w:r>
                    <w:rPr>
                      <w:rFonts w:hint="eastAsia"/>
                    </w:rPr>
                    <w:t>-143.22</w:t>
                  </w:r>
                </w:p>
              </w:tc>
              <w:tc>
                <w:tcPr>
                  <w:tcW w:w="551" w:type="pct"/>
                  <w:shd w:val="clear" w:color="auto" w:fill="auto"/>
                  <w:noWrap/>
                  <w:vAlign w:val="center"/>
                </w:tcPr>
                <w:p>
                  <w:pPr>
                    <w:pStyle w:val="28"/>
                    <w:bidi w:val="0"/>
                    <w:rPr>
                      <w:rFonts w:hint="eastAsia"/>
                    </w:rPr>
                  </w:pPr>
                  <w:r>
                    <w:rPr>
                      <w:rFonts w:hint="eastAsia"/>
                    </w:rPr>
                    <w:t>-67.79</w:t>
                  </w:r>
                </w:p>
              </w:tc>
              <w:tc>
                <w:tcPr>
                  <w:tcW w:w="397" w:type="pct"/>
                  <w:shd w:val="clear" w:color="auto" w:fill="auto"/>
                  <w:noWrap/>
                  <w:vAlign w:val="center"/>
                </w:tcPr>
                <w:p>
                  <w:pPr>
                    <w:pStyle w:val="28"/>
                    <w:rPr>
                      <w:rFonts w:hint="eastAsia" w:eastAsia="宋体"/>
                      <w:lang w:val="en-US" w:eastAsia="zh-CN"/>
                    </w:rPr>
                  </w:pPr>
                  <w:r>
                    <w:rPr>
                      <w:rFonts w:hint="eastAsia"/>
                      <w:lang w:val="en-US" w:eastAsia="zh-CN"/>
                    </w:rPr>
                    <w:t>1</w:t>
                  </w:r>
                </w:p>
              </w:tc>
              <w:tc>
                <w:tcPr>
                  <w:tcW w:w="709" w:type="pct"/>
                  <w:shd w:val="clear" w:color="auto" w:fill="auto"/>
                  <w:noWrap/>
                  <w:vAlign w:val="center"/>
                </w:tcPr>
                <w:p>
                  <w:pPr>
                    <w:pStyle w:val="28"/>
                    <w:rPr>
                      <w:rFonts w:hint="default" w:eastAsia="宋体"/>
                      <w:lang w:val="en-US" w:eastAsia="zh-CN"/>
                    </w:rPr>
                  </w:pPr>
                  <w:r>
                    <w:rPr>
                      <w:rFonts w:hint="eastAsia"/>
                      <w:lang w:val="en-US" w:eastAsia="zh-CN"/>
                    </w:rPr>
                    <w:t>75</w:t>
                  </w:r>
                </w:p>
              </w:tc>
              <w:tc>
                <w:tcPr>
                  <w:tcW w:w="1230" w:type="pct"/>
                  <w:vMerge w:val="continue"/>
                  <w:shd w:val="clear" w:color="auto" w:fill="auto"/>
                  <w:noWrap/>
                  <w:vAlign w:val="center"/>
                </w:tcPr>
                <w:p>
                  <w:pPr>
                    <w:pStyle w:val="28"/>
                  </w:pPr>
                </w:p>
              </w:tc>
              <w:tc>
                <w:tcPr>
                  <w:tcW w:w="1057" w:type="dxa"/>
                  <w:shd w:val="clear" w:color="auto" w:fill="auto"/>
                  <w:noWrap/>
                  <w:vAlign w:val="center"/>
                </w:tcPr>
                <w:p>
                  <w:pPr>
                    <w:pStyle w:val="28"/>
                    <w:rPr>
                      <w:rFonts w:hint="eastAsia"/>
                    </w:rPr>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shd w:val="clear" w:color="auto" w:fill="auto"/>
                  <w:noWrap/>
                  <w:vAlign w:val="center"/>
                </w:tcPr>
                <w:p>
                  <w:pPr>
                    <w:pStyle w:val="28"/>
                    <w:rPr>
                      <w:rFonts w:hint="eastAsia" w:eastAsia="宋体"/>
                      <w:lang w:val="en-US" w:eastAsia="zh-CN"/>
                    </w:rPr>
                  </w:pPr>
                  <w:r>
                    <w:rPr>
                      <w:rFonts w:hint="eastAsia"/>
                      <w:lang w:val="en-US" w:eastAsia="zh-CN"/>
                    </w:rPr>
                    <w:t>4</w:t>
                  </w:r>
                </w:p>
              </w:tc>
              <w:tc>
                <w:tcPr>
                  <w:tcW w:w="617" w:type="pct"/>
                  <w:shd w:val="clear" w:color="auto" w:fill="auto"/>
                  <w:noWrap/>
                  <w:vAlign w:val="center"/>
                </w:tcPr>
                <w:p>
                  <w:pPr>
                    <w:pStyle w:val="28"/>
                    <w:rPr>
                      <w:rFonts w:hint="eastAsia" w:eastAsia="宋体"/>
                      <w:lang w:val="en-US" w:eastAsia="zh-CN"/>
                    </w:rPr>
                  </w:pPr>
                  <w:r>
                    <w:rPr>
                      <w:rFonts w:hint="eastAsia"/>
                      <w:lang w:val="en-US" w:eastAsia="zh-CN"/>
                    </w:rPr>
                    <w:t>风机</w:t>
                  </w:r>
                </w:p>
              </w:tc>
              <w:tc>
                <w:tcPr>
                  <w:tcW w:w="504" w:type="pct"/>
                  <w:shd w:val="clear" w:color="auto" w:fill="auto"/>
                  <w:noWrap/>
                  <w:vAlign w:val="center"/>
                </w:tcPr>
                <w:p>
                  <w:pPr>
                    <w:pStyle w:val="28"/>
                    <w:bidi w:val="0"/>
                    <w:rPr>
                      <w:rFonts w:hint="eastAsia"/>
                    </w:rPr>
                  </w:pPr>
                  <w:r>
                    <w:rPr>
                      <w:rFonts w:hint="eastAsia"/>
                    </w:rPr>
                    <w:t>-143.22</w:t>
                  </w:r>
                </w:p>
              </w:tc>
              <w:tc>
                <w:tcPr>
                  <w:tcW w:w="551" w:type="pct"/>
                  <w:shd w:val="clear" w:color="auto" w:fill="auto"/>
                  <w:noWrap/>
                  <w:vAlign w:val="center"/>
                </w:tcPr>
                <w:p>
                  <w:pPr>
                    <w:pStyle w:val="28"/>
                    <w:bidi w:val="0"/>
                    <w:rPr>
                      <w:rFonts w:hint="eastAsia"/>
                    </w:rPr>
                  </w:pPr>
                  <w:r>
                    <w:rPr>
                      <w:rFonts w:hint="eastAsia"/>
                    </w:rPr>
                    <w:t>-67.79</w:t>
                  </w:r>
                </w:p>
              </w:tc>
              <w:tc>
                <w:tcPr>
                  <w:tcW w:w="397" w:type="pct"/>
                  <w:shd w:val="clear" w:color="auto" w:fill="auto"/>
                  <w:noWrap/>
                  <w:vAlign w:val="center"/>
                </w:tcPr>
                <w:p>
                  <w:pPr>
                    <w:pStyle w:val="28"/>
                    <w:rPr>
                      <w:rFonts w:hint="eastAsia" w:eastAsia="宋体"/>
                      <w:lang w:val="en-US" w:eastAsia="zh-CN"/>
                    </w:rPr>
                  </w:pPr>
                  <w:r>
                    <w:rPr>
                      <w:rFonts w:hint="eastAsia"/>
                      <w:lang w:val="en-US" w:eastAsia="zh-CN"/>
                    </w:rPr>
                    <w:t>1</w:t>
                  </w:r>
                </w:p>
              </w:tc>
              <w:tc>
                <w:tcPr>
                  <w:tcW w:w="709" w:type="pct"/>
                  <w:shd w:val="clear" w:color="auto" w:fill="auto"/>
                  <w:noWrap/>
                  <w:vAlign w:val="center"/>
                </w:tcPr>
                <w:p>
                  <w:pPr>
                    <w:pStyle w:val="28"/>
                    <w:rPr>
                      <w:rFonts w:hint="default" w:eastAsia="宋体"/>
                      <w:lang w:val="en-US" w:eastAsia="zh-CN"/>
                    </w:rPr>
                  </w:pPr>
                  <w:r>
                    <w:rPr>
                      <w:rFonts w:hint="eastAsia"/>
                      <w:lang w:val="en-US" w:eastAsia="zh-CN"/>
                    </w:rPr>
                    <w:t>75</w:t>
                  </w:r>
                </w:p>
              </w:tc>
              <w:tc>
                <w:tcPr>
                  <w:tcW w:w="1230" w:type="pct"/>
                  <w:vMerge w:val="continue"/>
                  <w:shd w:val="clear" w:color="auto" w:fill="auto"/>
                  <w:noWrap/>
                  <w:vAlign w:val="center"/>
                </w:tcPr>
                <w:p>
                  <w:pPr>
                    <w:pStyle w:val="28"/>
                  </w:pPr>
                </w:p>
              </w:tc>
              <w:tc>
                <w:tcPr>
                  <w:tcW w:w="1057" w:type="dxa"/>
                  <w:shd w:val="clear" w:color="auto" w:fill="auto"/>
                  <w:noWrap/>
                  <w:vAlign w:val="center"/>
                </w:tcPr>
                <w:p>
                  <w:pPr>
                    <w:pStyle w:val="28"/>
                    <w:rPr>
                      <w:rFonts w:hint="eastAsia"/>
                    </w:rPr>
                  </w:pPr>
                  <w:r>
                    <w:rPr>
                      <w:rFonts w:hint="eastAsia"/>
                    </w:rPr>
                    <w:t>夜间</w:t>
                  </w:r>
                </w:p>
              </w:tc>
            </w:tr>
          </w:tbl>
          <w:p>
            <w:pPr>
              <w:pStyle w:val="29"/>
              <w:ind w:firstLine="0" w:firstLineChars="0"/>
              <w:jc w:val="center"/>
            </w:pPr>
            <w:r>
              <w:rPr>
                <w:rFonts w:hint="eastAsia"/>
              </w:rPr>
              <w:t>表4-7  升压站场界噪声预测结果</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2552"/>
              <w:gridCol w:w="1458"/>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pPr>
                    <w:pStyle w:val="28"/>
                  </w:pPr>
                  <w:r>
                    <w:rPr>
                      <w:rFonts w:hint="eastAsia"/>
                    </w:rPr>
                    <w:t>预测点位置</w:t>
                  </w:r>
                </w:p>
              </w:tc>
              <w:tc>
                <w:tcPr>
                  <w:tcW w:w="2065" w:type="dxa"/>
                  <w:vAlign w:val="center"/>
                </w:tcPr>
                <w:p>
                  <w:pPr>
                    <w:pStyle w:val="28"/>
                  </w:pPr>
                  <w:r>
                    <w:rPr>
                      <w:rFonts w:hint="eastAsia"/>
                    </w:rPr>
                    <w:t>站界贡献值</w:t>
                  </w:r>
                  <w:r>
                    <w:t>dB(A)</w:t>
                  </w:r>
                </w:p>
              </w:tc>
              <w:tc>
                <w:tcPr>
                  <w:tcW w:w="1180" w:type="dxa"/>
                  <w:vAlign w:val="center"/>
                </w:tcPr>
                <w:p>
                  <w:pPr>
                    <w:pStyle w:val="28"/>
                  </w:pPr>
                  <w:r>
                    <w:rPr>
                      <w:rFonts w:hint="eastAsia"/>
                    </w:rPr>
                    <w:t>达标情况</w:t>
                  </w:r>
                </w:p>
              </w:tc>
              <w:tc>
                <w:tcPr>
                  <w:tcW w:w="2065" w:type="dxa"/>
                  <w:vAlign w:val="center"/>
                </w:tcPr>
                <w:p>
                  <w:pPr>
                    <w:pStyle w:val="28"/>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pPr>
                    <w:pStyle w:val="28"/>
                  </w:pPr>
                  <w:r>
                    <w:rPr>
                      <w:rFonts w:hint="eastAsia"/>
                    </w:rPr>
                    <w:t>东厂界</w:t>
                  </w:r>
                  <w:r>
                    <w:t>（m）</w:t>
                  </w:r>
                </w:p>
              </w:tc>
              <w:tc>
                <w:tcPr>
                  <w:tcW w:w="2065" w:type="dxa"/>
                  <w:vAlign w:val="center"/>
                </w:tcPr>
                <w:p>
                  <w:pPr>
                    <w:pStyle w:val="28"/>
                    <w:bidi w:val="0"/>
                  </w:pPr>
                  <w:r>
                    <w:t>33</w:t>
                  </w:r>
                </w:p>
              </w:tc>
              <w:tc>
                <w:tcPr>
                  <w:tcW w:w="1180" w:type="dxa"/>
                  <w:vAlign w:val="center"/>
                </w:tcPr>
                <w:p>
                  <w:pPr>
                    <w:pStyle w:val="28"/>
                  </w:pPr>
                  <w:r>
                    <w:rPr>
                      <w:rFonts w:hint="eastAsia"/>
                    </w:rPr>
                    <w:t>达标</w:t>
                  </w:r>
                </w:p>
              </w:tc>
              <w:tc>
                <w:tcPr>
                  <w:tcW w:w="2065" w:type="dxa"/>
                  <w:vMerge w:val="restart"/>
                  <w:vAlign w:val="center"/>
                </w:tcPr>
                <w:p>
                  <w:pPr>
                    <w:pStyle w:val="28"/>
                  </w:pPr>
                  <w:r>
                    <w:rPr>
                      <w:rFonts w:hint="eastAsia"/>
                    </w:rPr>
                    <w:t>昼间≤60</w:t>
                  </w:r>
                </w:p>
                <w:p>
                  <w:pPr>
                    <w:pStyle w:val="28"/>
                  </w:pPr>
                  <w:r>
                    <w:rPr>
                      <w:rFonts w:hint="eastAsia"/>
                    </w:rPr>
                    <w:t>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pPr>
                    <w:pStyle w:val="28"/>
                  </w:pPr>
                  <w:r>
                    <w:rPr>
                      <w:rFonts w:hint="eastAsia"/>
                    </w:rPr>
                    <w:t>南厂界</w:t>
                  </w:r>
                  <w:r>
                    <w:t>（m）</w:t>
                  </w:r>
                </w:p>
              </w:tc>
              <w:tc>
                <w:tcPr>
                  <w:tcW w:w="2065" w:type="dxa"/>
                  <w:vAlign w:val="center"/>
                </w:tcPr>
                <w:p>
                  <w:pPr>
                    <w:pStyle w:val="28"/>
                    <w:bidi w:val="0"/>
                  </w:pPr>
                  <w:r>
                    <w:t>39</w:t>
                  </w:r>
                </w:p>
              </w:tc>
              <w:tc>
                <w:tcPr>
                  <w:tcW w:w="1180" w:type="dxa"/>
                  <w:vAlign w:val="center"/>
                </w:tcPr>
                <w:p>
                  <w:pPr>
                    <w:pStyle w:val="28"/>
                  </w:pPr>
                  <w:r>
                    <w:rPr>
                      <w:rFonts w:hint="eastAsia"/>
                    </w:rPr>
                    <w:t>达标</w:t>
                  </w:r>
                </w:p>
              </w:tc>
              <w:tc>
                <w:tcPr>
                  <w:tcW w:w="2065"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pPr>
                    <w:pStyle w:val="28"/>
                  </w:pPr>
                  <w:r>
                    <w:rPr>
                      <w:rFonts w:hint="eastAsia"/>
                    </w:rPr>
                    <w:t>西厂界</w:t>
                  </w:r>
                  <w:r>
                    <w:t>（m）</w:t>
                  </w:r>
                </w:p>
              </w:tc>
              <w:tc>
                <w:tcPr>
                  <w:tcW w:w="2065" w:type="dxa"/>
                  <w:vAlign w:val="center"/>
                </w:tcPr>
                <w:p>
                  <w:pPr>
                    <w:pStyle w:val="28"/>
                    <w:bidi w:val="0"/>
                  </w:pPr>
                  <w:r>
                    <w:rPr>
                      <w:rFonts w:hint="eastAsia"/>
                    </w:rPr>
                    <w:t>44</w:t>
                  </w:r>
                </w:p>
              </w:tc>
              <w:tc>
                <w:tcPr>
                  <w:tcW w:w="1180" w:type="dxa"/>
                  <w:vAlign w:val="center"/>
                </w:tcPr>
                <w:p>
                  <w:pPr>
                    <w:pStyle w:val="28"/>
                  </w:pPr>
                  <w:r>
                    <w:rPr>
                      <w:rFonts w:hint="eastAsia"/>
                    </w:rPr>
                    <w:t>达标</w:t>
                  </w:r>
                </w:p>
              </w:tc>
              <w:tc>
                <w:tcPr>
                  <w:tcW w:w="2065"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dxa"/>
                  <w:vAlign w:val="center"/>
                </w:tcPr>
                <w:p>
                  <w:pPr>
                    <w:pStyle w:val="28"/>
                  </w:pPr>
                  <w:r>
                    <w:rPr>
                      <w:rFonts w:hint="eastAsia"/>
                    </w:rPr>
                    <w:t>北厂界</w:t>
                  </w:r>
                  <w:r>
                    <w:t>（m）</w:t>
                  </w:r>
                </w:p>
              </w:tc>
              <w:tc>
                <w:tcPr>
                  <w:tcW w:w="2065" w:type="dxa"/>
                  <w:vAlign w:val="center"/>
                </w:tcPr>
                <w:p>
                  <w:pPr>
                    <w:pStyle w:val="28"/>
                    <w:bidi w:val="0"/>
                  </w:pPr>
                  <w:r>
                    <w:rPr>
                      <w:rFonts w:hint="eastAsia"/>
                    </w:rPr>
                    <w:t>38</w:t>
                  </w:r>
                </w:p>
              </w:tc>
              <w:tc>
                <w:tcPr>
                  <w:tcW w:w="1180" w:type="dxa"/>
                  <w:vAlign w:val="center"/>
                </w:tcPr>
                <w:p>
                  <w:pPr>
                    <w:pStyle w:val="28"/>
                  </w:pPr>
                  <w:r>
                    <w:rPr>
                      <w:rFonts w:hint="eastAsia"/>
                    </w:rPr>
                    <w:t>达标</w:t>
                  </w:r>
                </w:p>
              </w:tc>
              <w:tc>
                <w:tcPr>
                  <w:tcW w:w="2065" w:type="dxa"/>
                  <w:vMerge w:val="continue"/>
                  <w:vAlign w:val="center"/>
                </w:tcPr>
                <w:p>
                  <w:pPr>
                    <w:pStyle w:val="28"/>
                  </w:pPr>
                </w:p>
              </w:tc>
            </w:tr>
          </w:tbl>
          <w:p>
            <w:pPr>
              <w:pStyle w:val="29"/>
              <w:ind w:firstLine="480"/>
              <w:rPr>
                <w:rFonts w:hint="eastAsia" w:eastAsia="宋体"/>
                <w:lang w:val="en-US" w:eastAsia="zh-CN"/>
              </w:rPr>
            </w:pPr>
            <w:r>
              <w:rPr>
                <w:rFonts w:hint="eastAsia"/>
              </w:rPr>
              <w:t>根据表4-7预测可知，本项目110kV升压站建成投运后，升压站四周围墙外厂界噪声贡献值预测值为</w:t>
            </w:r>
            <w:r>
              <w:t>28</w:t>
            </w:r>
            <w:r>
              <w:rPr>
                <w:rFonts w:hint="eastAsia"/>
              </w:rPr>
              <w:t>~</w:t>
            </w:r>
            <w:r>
              <w:t>36</w:t>
            </w:r>
            <w:r>
              <w:rPr>
                <w:rFonts w:hint="eastAsia"/>
              </w:rPr>
              <w:t>dB(A)，升压站四周厂界噪声满足《工业企业厂界环境噪声排放标准》（GB12348-2008）2类标准限值要求</w:t>
            </w:r>
            <w:r>
              <w:rPr>
                <w:rFonts w:hint="eastAsia"/>
                <w:lang w:eastAsia="zh-CN"/>
              </w:rPr>
              <w:t>，</w:t>
            </w:r>
            <w:r>
              <w:rPr>
                <w:rFonts w:hint="eastAsia"/>
                <w:lang w:val="en-US" w:eastAsia="zh-CN"/>
              </w:rPr>
              <w:t>站址周围的声环境保护目标的环境噪声满足</w:t>
            </w:r>
            <w:r>
              <w:rPr>
                <w:rFonts w:hint="eastAsia" w:ascii="Times New Roman" w:hAnsi="Times New Roman"/>
                <w:sz w:val="24"/>
              </w:rPr>
              <w:t>《声环境质量标准》（GB3096-2008）</w:t>
            </w:r>
            <w:r>
              <w:rPr>
                <w:rFonts w:hint="eastAsia"/>
                <w:sz w:val="24"/>
                <w:lang w:val="en-US" w:eastAsia="zh-CN"/>
              </w:rPr>
              <w:t>2</w:t>
            </w:r>
            <w:r>
              <w:rPr>
                <w:rFonts w:hint="eastAsia" w:ascii="Times New Roman" w:hAnsi="Times New Roman"/>
                <w:sz w:val="24"/>
              </w:rPr>
              <w:t>类标准</w:t>
            </w:r>
            <w:r>
              <w:rPr>
                <w:rFonts w:hint="eastAsia"/>
                <w:sz w:val="24"/>
                <w:lang w:eastAsia="zh-CN"/>
              </w:rPr>
              <w:t>。</w:t>
            </w:r>
          </w:p>
          <w:p>
            <w:pPr>
              <w:pStyle w:val="29"/>
              <w:ind w:firstLine="482"/>
              <w:rPr>
                <w:b/>
                <w:bCs/>
              </w:rPr>
            </w:pPr>
            <w:r>
              <w:rPr>
                <w:b/>
                <w:bCs/>
              </w:rPr>
              <w:t>4</w:t>
            </w:r>
            <w:r>
              <w:rPr>
                <w:rFonts w:hint="eastAsia"/>
                <w:b/>
                <w:bCs/>
              </w:rPr>
              <w:t>.9</w:t>
            </w:r>
            <w:r>
              <w:rPr>
                <w:b/>
                <w:bCs/>
              </w:rPr>
              <w:t xml:space="preserve"> 运营期大气环境影响分析</w:t>
            </w:r>
          </w:p>
          <w:p>
            <w:pPr>
              <w:pStyle w:val="29"/>
              <w:ind w:firstLine="482"/>
              <w:rPr>
                <w:b/>
                <w:bCs/>
              </w:rPr>
            </w:pPr>
            <w:r>
              <w:rPr>
                <w:rFonts w:hint="eastAsia"/>
                <w:b/>
                <w:bCs/>
              </w:rPr>
              <w:t>4.9.1 食堂油烟</w:t>
            </w:r>
          </w:p>
          <w:p>
            <w:pPr>
              <w:pStyle w:val="29"/>
              <w:bidi w:val="0"/>
              <w:rPr>
                <w:rFonts w:hint="eastAsia"/>
              </w:rPr>
            </w:pPr>
            <w:r>
              <w:rPr>
                <w:rFonts w:hint="eastAsia"/>
              </w:rPr>
              <w:t>拟建项目设置员工食堂，提供6人用餐，设置1个基准灶头，</w:t>
            </w:r>
            <w:r>
              <w:t>食堂油烟废气经集气罩收集后进入油烟净化器处理，处理后经专用管道引至屋顶排放</w:t>
            </w:r>
            <w:r>
              <w:rPr>
                <w:rFonts w:hint="eastAsia"/>
              </w:rPr>
              <w:t>。</w:t>
            </w:r>
          </w:p>
          <w:p>
            <w:pPr>
              <w:pStyle w:val="29"/>
              <w:bidi w:val="0"/>
              <w:rPr>
                <w:rFonts w:hint="eastAsia"/>
              </w:rPr>
            </w:pPr>
            <w:r>
              <w:rPr>
                <w:rFonts w:hint="eastAsia"/>
                <w:lang w:val="en-US" w:eastAsia="zh-CN"/>
              </w:rPr>
              <w:t>运行期间光伏电站部分无废气产生。升压站食堂燃料、办公采暖均采用电能，食堂油烟经抽油烟机抽排至楼顶，对环境影响极小。</w:t>
            </w:r>
          </w:p>
          <w:p>
            <w:pPr>
              <w:pStyle w:val="29"/>
              <w:ind w:firstLine="482"/>
              <w:rPr>
                <w:b/>
                <w:bCs/>
              </w:rPr>
            </w:pPr>
            <w:r>
              <w:rPr>
                <w:b/>
                <w:bCs/>
              </w:rPr>
              <w:t>4.</w:t>
            </w:r>
            <w:r>
              <w:rPr>
                <w:rFonts w:hint="eastAsia"/>
                <w:b/>
                <w:bCs/>
              </w:rPr>
              <w:t>10</w:t>
            </w:r>
            <w:r>
              <w:rPr>
                <w:b/>
                <w:bCs/>
              </w:rPr>
              <w:t xml:space="preserve"> 运营期地表水环境影响分析</w:t>
            </w:r>
          </w:p>
          <w:p>
            <w:pPr>
              <w:pStyle w:val="29"/>
              <w:ind w:firstLine="480"/>
            </w:pPr>
            <w:r>
              <w:t>项目运营期废水主要为升压站运维人员产生的生活污水和光伏组件表面清洗产生的清洗废水。</w:t>
            </w:r>
          </w:p>
          <w:p>
            <w:pPr>
              <w:pStyle w:val="29"/>
              <w:ind w:firstLine="480"/>
            </w:pPr>
            <w:r>
              <w:rPr>
                <w:rFonts w:hint="eastAsia"/>
              </w:rPr>
              <w:t>（1）生活污水</w:t>
            </w:r>
          </w:p>
          <w:p>
            <w:pPr>
              <w:pStyle w:val="29"/>
              <w:ind w:firstLine="480"/>
            </w:pPr>
            <w:r>
              <w:rPr>
                <w:rFonts w:hint="eastAsia"/>
              </w:rPr>
              <w:t>本项目运营期劳动定员6人，</w:t>
            </w:r>
            <w:r>
              <w:rPr>
                <w:rFonts w:hint="eastAsia"/>
                <w:lang w:val="en-US" w:eastAsia="zh-CN"/>
              </w:rPr>
              <w:t>根据《重庆市第二三产业用水定额（2020年版）》，员工生活用水参照“农村居民生活用水”，人均用水量按80L/人</w:t>
            </w:r>
            <w:r>
              <w:rPr>
                <w:rFonts w:hint="default" w:ascii="Times New Roman" w:hAnsi="Times New Roman" w:cs="Times New Roman"/>
                <w:lang w:val="en-US" w:eastAsia="zh-CN"/>
              </w:rPr>
              <w:t>·</w:t>
            </w:r>
            <w:r>
              <w:rPr>
                <w:rFonts w:hint="eastAsia"/>
                <w:lang w:val="en-US" w:eastAsia="zh-CN"/>
              </w:rPr>
              <w:t>天计，</w:t>
            </w:r>
            <w:r>
              <w:rPr>
                <w:rFonts w:hint="eastAsia"/>
              </w:rPr>
              <w:t>运检人员生水用量约为</w:t>
            </w:r>
            <w:r>
              <w:rPr>
                <w:rFonts w:hint="eastAsia"/>
                <w:lang w:eastAsia="zh-CN"/>
              </w:rPr>
              <w:t>0.48m³</w:t>
            </w:r>
            <w:r>
              <w:rPr>
                <w:rFonts w:hint="eastAsia"/>
              </w:rPr>
              <w:t>/d，生活污水产生量按用水量的80%计，则生活污水产生量为</w:t>
            </w:r>
            <w:r>
              <w:rPr>
                <w:rFonts w:hint="eastAsia"/>
                <w:lang w:val="en-US" w:eastAsia="zh-CN"/>
              </w:rPr>
              <w:t>0.384</w:t>
            </w:r>
            <w:r>
              <w:rPr>
                <w:rFonts w:hint="eastAsia"/>
              </w:rPr>
              <w:t>m³/d（</w:t>
            </w:r>
            <w:r>
              <w:rPr>
                <w:rFonts w:hint="eastAsia"/>
                <w:lang w:val="en-US" w:eastAsia="zh-CN"/>
              </w:rPr>
              <w:t>140.16</w:t>
            </w:r>
            <w:r>
              <w:rPr>
                <w:rFonts w:hint="eastAsia"/>
              </w:rPr>
              <w:t>m³/a）。运行期运检人员生活污水参照城镇居民生活污水污染物浓度值，生活污水中污染物主要为COD（</w:t>
            </w:r>
            <w:r>
              <w:rPr>
                <w:rFonts w:hint="eastAsia"/>
                <w:lang w:val="en-US" w:eastAsia="zh-CN"/>
              </w:rPr>
              <w:t>55</w:t>
            </w:r>
            <w:r>
              <w:rPr>
                <w:rFonts w:hint="eastAsia"/>
              </w:rPr>
              <w:t>0mg/L）、SS（</w:t>
            </w:r>
            <w:r>
              <w:rPr>
                <w:rFonts w:hint="eastAsia"/>
                <w:lang w:val="en-US" w:eastAsia="zh-CN"/>
              </w:rPr>
              <w:t>35</w:t>
            </w:r>
            <w:r>
              <w:rPr>
                <w:rFonts w:hint="eastAsia"/>
              </w:rPr>
              <w:t>0mg/L）、NH</w:t>
            </w:r>
            <w:r>
              <w:rPr>
                <w:rFonts w:hint="eastAsia"/>
                <w:vertAlign w:val="subscript"/>
              </w:rPr>
              <w:t>3</w:t>
            </w:r>
            <w:r>
              <w:rPr>
                <w:rFonts w:hint="eastAsia"/>
              </w:rPr>
              <w:t>-N（</w:t>
            </w:r>
            <w:r>
              <w:rPr>
                <w:rFonts w:hint="eastAsia"/>
                <w:lang w:val="en-US" w:eastAsia="zh-CN"/>
              </w:rPr>
              <w:t>45</w:t>
            </w:r>
            <w:r>
              <w:rPr>
                <w:rFonts w:hint="eastAsia"/>
              </w:rPr>
              <w:t>mg/L）、动植物油（</w:t>
            </w:r>
            <w:r>
              <w:rPr>
                <w:rFonts w:hint="eastAsia"/>
                <w:lang w:val="en-US" w:eastAsia="zh-CN"/>
              </w:rPr>
              <w:t>65</w:t>
            </w:r>
            <w:r>
              <w:rPr>
                <w:rFonts w:hint="eastAsia"/>
              </w:rPr>
              <w:t>mg/L）。升压站内设置一体化</w:t>
            </w:r>
            <w:r>
              <w:rPr>
                <w:rFonts w:hint="eastAsia"/>
                <w:lang w:val="en-US" w:eastAsia="zh-CN"/>
              </w:rPr>
              <w:t>处理设施</w:t>
            </w:r>
            <w:r>
              <w:rPr>
                <w:rFonts w:hint="eastAsia"/>
              </w:rPr>
              <w:t>（处理能力</w:t>
            </w:r>
            <w:r>
              <w:rPr>
                <w:rFonts w:hint="eastAsia"/>
                <w:lang w:eastAsia="zh-CN"/>
              </w:rPr>
              <w:t>1m³/d</w:t>
            </w:r>
            <w:r>
              <w:rPr>
                <w:rFonts w:hint="eastAsia"/>
              </w:rPr>
              <w:t>），食堂废水经隔油池处理后，同其他生活污水一同排入“化粪池+一体化</w:t>
            </w:r>
            <w:r>
              <w:rPr>
                <w:rFonts w:hint="eastAsia"/>
                <w:lang w:eastAsia="zh-CN"/>
              </w:rPr>
              <w:t>处理设施</w:t>
            </w:r>
            <w:r>
              <w:rPr>
                <w:rFonts w:hint="eastAsia"/>
              </w:rPr>
              <w:t>”，</w:t>
            </w:r>
            <w:r>
              <w:rPr>
                <w:rFonts w:hint="eastAsia"/>
                <w:lang w:eastAsia="zh-CN"/>
              </w:rPr>
              <w:t>经处理后用作周边农肥，不外排</w:t>
            </w:r>
            <w:r>
              <w:rPr>
                <w:rFonts w:hint="eastAsia"/>
              </w:rPr>
              <w:t>。</w:t>
            </w:r>
          </w:p>
          <w:p>
            <w:pPr>
              <w:adjustRightInd w:val="0"/>
              <w:snapToGrid w:val="0"/>
              <w:spacing w:line="360" w:lineRule="auto"/>
              <w:ind w:firstLine="480"/>
              <w:rPr>
                <w:color w:val="auto"/>
                <w:sz w:val="24"/>
                <w:highlight w:val="none"/>
              </w:rPr>
            </w:pPr>
            <w:r>
              <w:rPr>
                <w:color w:val="auto"/>
                <w:sz w:val="24"/>
                <w:highlight w:val="none"/>
              </w:rPr>
              <w:t>废水污染物产排情况见表</w:t>
            </w:r>
            <w:r>
              <w:rPr>
                <w:rFonts w:hint="eastAsia"/>
                <w:color w:val="auto"/>
                <w:sz w:val="24"/>
                <w:highlight w:val="none"/>
                <w:lang w:val="en-US" w:eastAsia="zh-CN"/>
              </w:rPr>
              <w:t>4-11</w:t>
            </w:r>
            <w:r>
              <w:rPr>
                <w:color w:val="auto"/>
                <w:sz w:val="24"/>
                <w:highlight w:val="none"/>
              </w:rPr>
              <w:t>。</w:t>
            </w:r>
          </w:p>
          <w:p>
            <w:pPr>
              <w:pStyle w:val="29"/>
              <w:bidi w:val="0"/>
              <w:ind w:left="0" w:leftChars="0" w:right="0" w:rightChars="0" w:firstLine="0" w:firstLineChars="0"/>
              <w:jc w:val="center"/>
            </w:pPr>
            <w:r>
              <w:t>表</w:t>
            </w:r>
            <w:r>
              <w:rPr>
                <w:rFonts w:hint="eastAsia"/>
                <w:lang w:val="en-US" w:eastAsia="zh-CN"/>
              </w:rPr>
              <w:t xml:space="preserve">4-11  </w:t>
            </w:r>
            <w:r>
              <w:t>项目运营期废水产排情况一览表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673"/>
              <w:gridCol w:w="1284"/>
              <w:gridCol w:w="946"/>
              <w:gridCol w:w="819"/>
              <w:gridCol w:w="876"/>
              <w:gridCol w:w="619"/>
              <w:gridCol w:w="1196"/>
              <w:gridCol w:w="569"/>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vMerge w:val="restart"/>
                  <w:vAlign w:val="center"/>
                </w:tcPr>
                <w:p>
                  <w:pPr>
                    <w:pStyle w:val="28"/>
                    <w:bidi w:val="0"/>
                    <w:rPr>
                      <w:sz w:val="18"/>
                      <w:szCs w:val="18"/>
                    </w:rPr>
                  </w:pPr>
                  <w:r>
                    <w:rPr>
                      <w:sz w:val="18"/>
                      <w:szCs w:val="18"/>
                    </w:rPr>
                    <w:t>产排污环节</w:t>
                  </w:r>
                </w:p>
              </w:tc>
              <w:tc>
                <w:tcPr>
                  <w:tcW w:w="392" w:type="pct"/>
                  <w:vMerge w:val="restart"/>
                  <w:vAlign w:val="center"/>
                </w:tcPr>
                <w:p>
                  <w:pPr>
                    <w:pStyle w:val="28"/>
                    <w:bidi w:val="0"/>
                    <w:rPr>
                      <w:sz w:val="18"/>
                      <w:szCs w:val="18"/>
                    </w:rPr>
                  </w:pPr>
                  <w:r>
                    <w:rPr>
                      <w:sz w:val="18"/>
                      <w:szCs w:val="18"/>
                    </w:rPr>
                    <w:t>类别</w:t>
                  </w:r>
                </w:p>
              </w:tc>
              <w:tc>
                <w:tcPr>
                  <w:tcW w:w="749" w:type="pct"/>
                  <w:vMerge w:val="restart"/>
                  <w:vAlign w:val="center"/>
                </w:tcPr>
                <w:p>
                  <w:pPr>
                    <w:pStyle w:val="28"/>
                    <w:bidi w:val="0"/>
                    <w:rPr>
                      <w:sz w:val="18"/>
                      <w:szCs w:val="18"/>
                    </w:rPr>
                  </w:pPr>
                  <w:r>
                    <w:rPr>
                      <w:sz w:val="18"/>
                      <w:szCs w:val="18"/>
                    </w:rPr>
                    <w:t>废水排水量</w:t>
                  </w:r>
                </w:p>
              </w:tc>
              <w:tc>
                <w:tcPr>
                  <w:tcW w:w="552" w:type="pct"/>
                  <w:vMerge w:val="restart"/>
                  <w:vAlign w:val="center"/>
                </w:tcPr>
                <w:p>
                  <w:pPr>
                    <w:pStyle w:val="28"/>
                    <w:bidi w:val="0"/>
                    <w:rPr>
                      <w:sz w:val="18"/>
                      <w:szCs w:val="18"/>
                    </w:rPr>
                  </w:pPr>
                  <w:r>
                    <w:rPr>
                      <w:sz w:val="18"/>
                      <w:szCs w:val="18"/>
                    </w:rPr>
                    <w:t>污染物种类</w:t>
                  </w:r>
                </w:p>
              </w:tc>
              <w:tc>
                <w:tcPr>
                  <w:tcW w:w="477" w:type="pct"/>
                  <w:vMerge w:val="restart"/>
                  <w:vAlign w:val="center"/>
                </w:tcPr>
                <w:p>
                  <w:pPr>
                    <w:pStyle w:val="28"/>
                    <w:bidi w:val="0"/>
                    <w:rPr>
                      <w:sz w:val="18"/>
                      <w:szCs w:val="18"/>
                    </w:rPr>
                  </w:pPr>
                  <w:r>
                    <w:rPr>
                      <w:sz w:val="18"/>
                      <w:szCs w:val="18"/>
                    </w:rPr>
                    <w:t>污染物产生浓度mg/L</w:t>
                  </w:r>
                </w:p>
              </w:tc>
              <w:tc>
                <w:tcPr>
                  <w:tcW w:w="511" w:type="pct"/>
                  <w:vMerge w:val="restart"/>
                  <w:vAlign w:val="center"/>
                </w:tcPr>
                <w:p>
                  <w:pPr>
                    <w:pStyle w:val="28"/>
                    <w:bidi w:val="0"/>
                    <w:rPr>
                      <w:sz w:val="18"/>
                      <w:szCs w:val="18"/>
                    </w:rPr>
                  </w:pPr>
                  <w:r>
                    <w:rPr>
                      <w:sz w:val="18"/>
                      <w:szCs w:val="18"/>
                    </w:rPr>
                    <w:t>污染物产生量t/a</w:t>
                  </w:r>
                </w:p>
              </w:tc>
              <w:tc>
                <w:tcPr>
                  <w:tcW w:w="1864" w:type="pct"/>
                  <w:gridSpan w:val="4"/>
                  <w:vAlign w:val="center"/>
                </w:tcPr>
                <w:p>
                  <w:pPr>
                    <w:pStyle w:val="28"/>
                    <w:bidi w:val="0"/>
                    <w:rPr>
                      <w:sz w:val="18"/>
                      <w:szCs w:val="18"/>
                    </w:rPr>
                  </w:pPr>
                  <w:r>
                    <w:rPr>
                      <w:sz w:val="18"/>
                      <w:szCs w:val="18"/>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vMerge w:val="continue"/>
                  <w:vAlign w:val="center"/>
                </w:tcPr>
                <w:p>
                  <w:pPr>
                    <w:pStyle w:val="28"/>
                    <w:bidi w:val="0"/>
                    <w:rPr>
                      <w:sz w:val="18"/>
                      <w:szCs w:val="18"/>
                    </w:rPr>
                  </w:pPr>
                </w:p>
              </w:tc>
              <w:tc>
                <w:tcPr>
                  <w:tcW w:w="392" w:type="pct"/>
                  <w:vMerge w:val="continue"/>
                  <w:vAlign w:val="center"/>
                </w:tcPr>
                <w:p>
                  <w:pPr>
                    <w:pStyle w:val="28"/>
                    <w:bidi w:val="0"/>
                    <w:rPr>
                      <w:sz w:val="18"/>
                      <w:szCs w:val="18"/>
                    </w:rPr>
                  </w:pPr>
                </w:p>
              </w:tc>
              <w:tc>
                <w:tcPr>
                  <w:tcW w:w="749" w:type="pct"/>
                  <w:vMerge w:val="continue"/>
                  <w:vAlign w:val="center"/>
                </w:tcPr>
                <w:p>
                  <w:pPr>
                    <w:pStyle w:val="28"/>
                    <w:bidi w:val="0"/>
                    <w:rPr>
                      <w:sz w:val="18"/>
                      <w:szCs w:val="18"/>
                    </w:rPr>
                  </w:pPr>
                </w:p>
              </w:tc>
              <w:tc>
                <w:tcPr>
                  <w:tcW w:w="552" w:type="pct"/>
                  <w:vMerge w:val="continue"/>
                  <w:vAlign w:val="center"/>
                </w:tcPr>
                <w:p>
                  <w:pPr>
                    <w:pStyle w:val="28"/>
                    <w:bidi w:val="0"/>
                    <w:rPr>
                      <w:sz w:val="18"/>
                      <w:szCs w:val="18"/>
                    </w:rPr>
                  </w:pPr>
                </w:p>
              </w:tc>
              <w:tc>
                <w:tcPr>
                  <w:tcW w:w="477" w:type="pct"/>
                  <w:vMerge w:val="continue"/>
                  <w:vAlign w:val="center"/>
                </w:tcPr>
                <w:p>
                  <w:pPr>
                    <w:pStyle w:val="28"/>
                    <w:bidi w:val="0"/>
                    <w:rPr>
                      <w:sz w:val="18"/>
                      <w:szCs w:val="18"/>
                    </w:rPr>
                  </w:pPr>
                </w:p>
              </w:tc>
              <w:tc>
                <w:tcPr>
                  <w:tcW w:w="511" w:type="pct"/>
                  <w:vMerge w:val="continue"/>
                  <w:vAlign w:val="center"/>
                </w:tcPr>
                <w:p>
                  <w:pPr>
                    <w:pStyle w:val="28"/>
                    <w:bidi w:val="0"/>
                    <w:rPr>
                      <w:sz w:val="18"/>
                      <w:szCs w:val="18"/>
                    </w:rPr>
                  </w:pPr>
                </w:p>
              </w:tc>
              <w:tc>
                <w:tcPr>
                  <w:tcW w:w="361" w:type="pct"/>
                  <w:vAlign w:val="center"/>
                </w:tcPr>
                <w:p>
                  <w:pPr>
                    <w:pStyle w:val="28"/>
                    <w:bidi w:val="0"/>
                    <w:rPr>
                      <w:sz w:val="18"/>
                      <w:szCs w:val="18"/>
                    </w:rPr>
                  </w:pPr>
                  <w:r>
                    <w:rPr>
                      <w:sz w:val="18"/>
                      <w:szCs w:val="18"/>
                    </w:rPr>
                    <w:t>处理能力</w:t>
                  </w:r>
                </w:p>
              </w:tc>
              <w:tc>
                <w:tcPr>
                  <w:tcW w:w="697" w:type="pct"/>
                  <w:vAlign w:val="center"/>
                </w:tcPr>
                <w:p>
                  <w:pPr>
                    <w:pStyle w:val="28"/>
                    <w:bidi w:val="0"/>
                    <w:rPr>
                      <w:sz w:val="18"/>
                      <w:szCs w:val="18"/>
                    </w:rPr>
                  </w:pPr>
                  <w:r>
                    <w:rPr>
                      <w:sz w:val="18"/>
                      <w:szCs w:val="18"/>
                    </w:rPr>
                    <w:t>处理工艺</w:t>
                  </w:r>
                </w:p>
              </w:tc>
              <w:tc>
                <w:tcPr>
                  <w:tcW w:w="332" w:type="pct"/>
                  <w:vAlign w:val="center"/>
                </w:tcPr>
                <w:p>
                  <w:pPr>
                    <w:pStyle w:val="28"/>
                    <w:bidi w:val="0"/>
                    <w:rPr>
                      <w:sz w:val="18"/>
                      <w:szCs w:val="18"/>
                    </w:rPr>
                  </w:pPr>
                  <w:r>
                    <w:rPr>
                      <w:sz w:val="18"/>
                      <w:szCs w:val="18"/>
                    </w:rPr>
                    <w:t>治理效率</w:t>
                  </w:r>
                </w:p>
              </w:tc>
              <w:tc>
                <w:tcPr>
                  <w:tcW w:w="473" w:type="pct"/>
                  <w:vAlign w:val="center"/>
                </w:tcPr>
                <w:p>
                  <w:pPr>
                    <w:pStyle w:val="28"/>
                    <w:bidi w:val="0"/>
                    <w:rPr>
                      <w:sz w:val="18"/>
                      <w:szCs w:val="18"/>
                    </w:rPr>
                  </w:pPr>
                  <w:r>
                    <w:rPr>
                      <w:sz w:val="18"/>
                      <w:szCs w:val="18"/>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vMerge w:val="restart"/>
                  <w:vAlign w:val="center"/>
                </w:tcPr>
                <w:p>
                  <w:pPr>
                    <w:pStyle w:val="28"/>
                    <w:bidi w:val="0"/>
                    <w:rPr>
                      <w:sz w:val="18"/>
                      <w:szCs w:val="18"/>
                    </w:rPr>
                  </w:pPr>
                  <w:r>
                    <w:rPr>
                      <w:sz w:val="18"/>
                      <w:szCs w:val="18"/>
                    </w:rPr>
                    <w:t>员工生活</w:t>
                  </w:r>
                </w:p>
              </w:tc>
              <w:tc>
                <w:tcPr>
                  <w:tcW w:w="392" w:type="pct"/>
                  <w:vMerge w:val="restart"/>
                  <w:vAlign w:val="center"/>
                </w:tcPr>
                <w:p>
                  <w:pPr>
                    <w:pStyle w:val="28"/>
                    <w:bidi w:val="0"/>
                    <w:rPr>
                      <w:sz w:val="18"/>
                      <w:szCs w:val="18"/>
                    </w:rPr>
                  </w:pPr>
                  <w:r>
                    <w:rPr>
                      <w:sz w:val="18"/>
                      <w:szCs w:val="18"/>
                    </w:rPr>
                    <w:t>综合废水</w:t>
                  </w:r>
                </w:p>
              </w:tc>
              <w:tc>
                <w:tcPr>
                  <w:tcW w:w="749" w:type="pct"/>
                  <w:vMerge w:val="restart"/>
                  <w:vAlign w:val="center"/>
                </w:tcPr>
                <w:p>
                  <w:pPr>
                    <w:pStyle w:val="28"/>
                    <w:bidi w:val="0"/>
                    <w:rPr>
                      <w:sz w:val="18"/>
                      <w:szCs w:val="18"/>
                    </w:rPr>
                  </w:pPr>
                  <w:r>
                    <w:rPr>
                      <w:sz w:val="18"/>
                      <w:szCs w:val="18"/>
                    </w:rPr>
                    <w:t>0.</w:t>
                  </w:r>
                  <w:r>
                    <w:rPr>
                      <w:rFonts w:hint="eastAsia"/>
                      <w:sz w:val="18"/>
                      <w:szCs w:val="18"/>
                      <w:lang w:val="en-US" w:eastAsia="zh-CN"/>
                    </w:rPr>
                    <w:t>384</w:t>
                  </w:r>
                  <w:r>
                    <w:rPr>
                      <w:rFonts w:hint="eastAsia"/>
                      <w:sz w:val="18"/>
                      <w:szCs w:val="18"/>
                      <w:lang w:eastAsia="zh-CN"/>
                    </w:rPr>
                    <w:t>m³</w:t>
                  </w:r>
                  <w:r>
                    <w:rPr>
                      <w:sz w:val="18"/>
                      <w:szCs w:val="18"/>
                    </w:rPr>
                    <w:t>/d，</w:t>
                  </w:r>
                  <w:r>
                    <w:rPr>
                      <w:rFonts w:hint="eastAsia"/>
                      <w:sz w:val="18"/>
                      <w:szCs w:val="18"/>
                      <w:lang w:val="en-US" w:eastAsia="zh-CN"/>
                    </w:rPr>
                    <w:t>140.16</w:t>
                  </w:r>
                  <w:r>
                    <w:rPr>
                      <w:rFonts w:hint="eastAsia"/>
                      <w:sz w:val="18"/>
                      <w:szCs w:val="18"/>
                      <w:lang w:eastAsia="zh-CN"/>
                    </w:rPr>
                    <w:t>m³</w:t>
                  </w:r>
                  <w:r>
                    <w:rPr>
                      <w:sz w:val="18"/>
                      <w:szCs w:val="18"/>
                    </w:rPr>
                    <w:t>/a</w:t>
                  </w:r>
                </w:p>
              </w:tc>
              <w:tc>
                <w:tcPr>
                  <w:tcW w:w="552" w:type="pct"/>
                  <w:vAlign w:val="center"/>
                </w:tcPr>
                <w:p>
                  <w:pPr>
                    <w:pStyle w:val="28"/>
                    <w:bidi w:val="0"/>
                    <w:rPr>
                      <w:sz w:val="18"/>
                      <w:szCs w:val="18"/>
                    </w:rPr>
                  </w:pPr>
                  <w:r>
                    <w:rPr>
                      <w:sz w:val="18"/>
                      <w:szCs w:val="18"/>
                    </w:rPr>
                    <w:t>COD</w:t>
                  </w:r>
                </w:p>
              </w:tc>
              <w:tc>
                <w:tcPr>
                  <w:tcW w:w="477" w:type="pct"/>
                  <w:vAlign w:val="center"/>
                </w:tcPr>
                <w:p>
                  <w:pPr>
                    <w:pStyle w:val="28"/>
                    <w:bidi w:val="0"/>
                    <w:rPr>
                      <w:sz w:val="18"/>
                      <w:szCs w:val="18"/>
                    </w:rPr>
                  </w:pPr>
                  <w:r>
                    <w:rPr>
                      <w:sz w:val="18"/>
                      <w:szCs w:val="18"/>
                    </w:rPr>
                    <w:t>550</w:t>
                  </w:r>
                </w:p>
              </w:tc>
              <w:tc>
                <w:tcPr>
                  <w:tcW w:w="511" w:type="pct"/>
                  <w:vAlign w:val="center"/>
                </w:tcPr>
                <w:p>
                  <w:pPr>
                    <w:pStyle w:val="28"/>
                    <w:bidi w:val="0"/>
                    <w:rPr>
                      <w:rFonts w:hint="default" w:eastAsia="宋体"/>
                      <w:sz w:val="18"/>
                      <w:szCs w:val="18"/>
                      <w:lang w:val="en-US" w:eastAsia="zh-CN"/>
                    </w:rPr>
                  </w:pPr>
                  <w:r>
                    <w:rPr>
                      <w:rFonts w:hint="eastAsia"/>
                      <w:sz w:val="18"/>
                      <w:szCs w:val="18"/>
                      <w:lang w:val="en-US" w:eastAsia="zh-CN"/>
                    </w:rPr>
                    <w:t>0.077</w:t>
                  </w:r>
                </w:p>
              </w:tc>
              <w:tc>
                <w:tcPr>
                  <w:tcW w:w="361" w:type="pct"/>
                  <w:vMerge w:val="restart"/>
                  <w:vAlign w:val="center"/>
                </w:tcPr>
                <w:p>
                  <w:pPr>
                    <w:pStyle w:val="28"/>
                    <w:bidi w:val="0"/>
                    <w:rPr>
                      <w:sz w:val="18"/>
                      <w:szCs w:val="18"/>
                    </w:rPr>
                  </w:pPr>
                  <w:r>
                    <w:rPr>
                      <w:rFonts w:hint="eastAsia"/>
                      <w:sz w:val="18"/>
                      <w:szCs w:val="18"/>
                      <w:lang w:val="en-US" w:eastAsia="zh-CN"/>
                    </w:rPr>
                    <w:t>1m³/d</w:t>
                  </w:r>
                </w:p>
              </w:tc>
              <w:tc>
                <w:tcPr>
                  <w:tcW w:w="697" w:type="pct"/>
                  <w:vMerge w:val="restart"/>
                  <w:vAlign w:val="center"/>
                </w:tcPr>
                <w:p>
                  <w:pPr>
                    <w:pStyle w:val="28"/>
                    <w:bidi w:val="0"/>
                    <w:rPr>
                      <w:rFonts w:hint="default" w:eastAsia="宋体"/>
                      <w:sz w:val="18"/>
                      <w:szCs w:val="18"/>
                      <w:lang w:val="en-US" w:eastAsia="zh-CN"/>
                    </w:rPr>
                  </w:pPr>
                  <w:r>
                    <w:rPr>
                      <w:rFonts w:hint="eastAsia"/>
                      <w:sz w:val="18"/>
                      <w:szCs w:val="18"/>
                    </w:rPr>
                    <w:t>隔油</w:t>
                  </w:r>
                  <w:r>
                    <w:rPr>
                      <w:sz w:val="18"/>
                      <w:szCs w:val="18"/>
                    </w:rPr>
                    <w:t>预处理</w:t>
                  </w:r>
                  <w:r>
                    <w:rPr>
                      <w:rFonts w:hint="eastAsia"/>
                      <w:sz w:val="18"/>
                      <w:szCs w:val="18"/>
                      <w:lang w:val="en-US" w:eastAsia="zh-CN"/>
                    </w:rPr>
                    <w:t>+化粪池+一体化处理设施</w:t>
                  </w:r>
                </w:p>
              </w:tc>
              <w:tc>
                <w:tcPr>
                  <w:tcW w:w="332" w:type="pct"/>
                  <w:vMerge w:val="restart"/>
                  <w:vAlign w:val="center"/>
                </w:tcPr>
                <w:p>
                  <w:pPr>
                    <w:pStyle w:val="28"/>
                    <w:bidi w:val="0"/>
                    <w:rPr>
                      <w:sz w:val="18"/>
                      <w:szCs w:val="18"/>
                    </w:rPr>
                  </w:pPr>
                  <w:r>
                    <w:rPr>
                      <w:sz w:val="18"/>
                      <w:szCs w:val="18"/>
                    </w:rPr>
                    <w:t>65</w:t>
                  </w:r>
                </w:p>
              </w:tc>
              <w:tc>
                <w:tcPr>
                  <w:tcW w:w="473" w:type="pct"/>
                  <w:vMerge w:val="restart"/>
                  <w:vAlign w:val="center"/>
                </w:tcPr>
                <w:p>
                  <w:pPr>
                    <w:pStyle w:val="28"/>
                    <w:bidi w:val="0"/>
                    <w:rPr>
                      <w:sz w:val="18"/>
                      <w:szCs w:val="18"/>
                    </w:rPr>
                  </w:pPr>
                  <w:r>
                    <w:rPr>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vMerge w:val="continue"/>
                  <w:vAlign w:val="center"/>
                </w:tcPr>
                <w:p>
                  <w:pPr>
                    <w:pStyle w:val="28"/>
                    <w:bidi w:val="0"/>
                    <w:rPr>
                      <w:sz w:val="18"/>
                      <w:szCs w:val="18"/>
                    </w:rPr>
                  </w:pPr>
                </w:p>
              </w:tc>
              <w:tc>
                <w:tcPr>
                  <w:tcW w:w="392" w:type="pct"/>
                  <w:vMerge w:val="continue"/>
                  <w:vAlign w:val="center"/>
                </w:tcPr>
                <w:p>
                  <w:pPr>
                    <w:pStyle w:val="28"/>
                    <w:bidi w:val="0"/>
                    <w:rPr>
                      <w:sz w:val="18"/>
                      <w:szCs w:val="18"/>
                    </w:rPr>
                  </w:pPr>
                </w:p>
              </w:tc>
              <w:tc>
                <w:tcPr>
                  <w:tcW w:w="749" w:type="pct"/>
                  <w:vMerge w:val="continue"/>
                  <w:vAlign w:val="center"/>
                </w:tcPr>
                <w:p>
                  <w:pPr>
                    <w:pStyle w:val="28"/>
                    <w:bidi w:val="0"/>
                    <w:rPr>
                      <w:sz w:val="18"/>
                      <w:szCs w:val="18"/>
                    </w:rPr>
                  </w:pPr>
                </w:p>
              </w:tc>
              <w:tc>
                <w:tcPr>
                  <w:tcW w:w="552" w:type="pct"/>
                  <w:vAlign w:val="center"/>
                </w:tcPr>
                <w:p>
                  <w:pPr>
                    <w:pStyle w:val="28"/>
                    <w:bidi w:val="0"/>
                    <w:rPr>
                      <w:sz w:val="18"/>
                      <w:szCs w:val="18"/>
                    </w:rPr>
                  </w:pPr>
                  <w:r>
                    <w:rPr>
                      <w:sz w:val="18"/>
                      <w:szCs w:val="18"/>
                    </w:rPr>
                    <w:t>SS</w:t>
                  </w:r>
                </w:p>
              </w:tc>
              <w:tc>
                <w:tcPr>
                  <w:tcW w:w="477" w:type="pct"/>
                  <w:vAlign w:val="center"/>
                </w:tcPr>
                <w:p>
                  <w:pPr>
                    <w:pStyle w:val="28"/>
                    <w:bidi w:val="0"/>
                    <w:rPr>
                      <w:sz w:val="18"/>
                      <w:szCs w:val="18"/>
                    </w:rPr>
                  </w:pPr>
                  <w:r>
                    <w:rPr>
                      <w:sz w:val="18"/>
                      <w:szCs w:val="18"/>
                    </w:rPr>
                    <w:t>350</w:t>
                  </w:r>
                </w:p>
              </w:tc>
              <w:tc>
                <w:tcPr>
                  <w:tcW w:w="511" w:type="pct"/>
                  <w:vAlign w:val="center"/>
                </w:tcPr>
                <w:p>
                  <w:pPr>
                    <w:pStyle w:val="28"/>
                    <w:bidi w:val="0"/>
                    <w:rPr>
                      <w:rFonts w:hint="default" w:eastAsia="宋体"/>
                      <w:sz w:val="18"/>
                      <w:szCs w:val="18"/>
                      <w:lang w:val="en-US" w:eastAsia="zh-CN"/>
                    </w:rPr>
                  </w:pPr>
                  <w:r>
                    <w:rPr>
                      <w:rFonts w:hint="eastAsia"/>
                      <w:sz w:val="18"/>
                      <w:szCs w:val="18"/>
                      <w:lang w:val="en-US" w:eastAsia="zh-CN"/>
                    </w:rPr>
                    <w:t>0.049</w:t>
                  </w:r>
                </w:p>
              </w:tc>
              <w:tc>
                <w:tcPr>
                  <w:tcW w:w="361" w:type="pct"/>
                  <w:vMerge w:val="continue"/>
                  <w:vAlign w:val="center"/>
                </w:tcPr>
                <w:p>
                  <w:pPr>
                    <w:pStyle w:val="28"/>
                    <w:bidi w:val="0"/>
                    <w:rPr>
                      <w:sz w:val="18"/>
                      <w:szCs w:val="18"/>
                    </w:rPr>
                  </w:pPr>
                </w:p>
              </w:tc>
              <w:tc>
                <w:tcPr>
                  <w:tcW w:w="697" w:type="pct"/>
                  <w:vMerge w:val="continue"/>
                  <w:vAlign w:val="center"/>
                </w:tcPr>
                <w:p>
                  <w:pPr>
                    <w:pStyle w:val="28"/>
                    <w:bidi w:val="0"/>
                    <w:rPr>
                      <w:sz w:val="18"/>
                      <w:szCs w:val="18"/>
                    </w:rPr>
                  </w:pPr>
                </w:p>
              </w:tc>
              <w:tc>
                <w:tcPr>
                  <w:tcW w:w="332" w:type="pct"/>
                  <w:vMerge w:val="continue"/>
                  <w:vAlign w:val="center"/>
                </w:tcPr>
                <w:p>
                  <w:pPr>
                    <w:pStyle w:val="28"/>
                    <w:bidi w:val="0"/>
                    <w:rPr>
                      <w:sz w:val="18"/>
                      <w:szCs w:val="18"/>
                    </w:rPr>
                  </w:pPr>
                </w:p>
              </w:tc>
              <w:tc>
                <w:tcPr>
                  <w:tcW w:w="473" w:type="pct"/>
                  <w:vMerge w:val="continue"/>
                  <w:vAlign w:val="center"/>
                </w:tcPr>
                <w:p>
                  <w:pPr>
                    <w:pStyle w:val="28"/>
                    <w:bidi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vMerge w:val="continue"/>
                  <w:vAlign w:val="center"/>
                </w:tcPr>
                <w:p>
                  <w:pPr>
                    <w:pStyle w:val="28"/>
                    <w:bidi w:val="0"/>
                    <w:rPr>
                      <w:sz w:val="18"/>
                      <w:szCs w:val="18"/>
                    </w:rPr>
                  </w:pPr>
                </w:p>
              </w:tc>
              <w:tc>
                <w:tcPr>
                  <w:tcW w:w="392" w:type="pct"/>
                  <w:vMerge w:val="continue"/>
                  <w:vAlign w:val="center"/>
                </w:tcPr>
                <w:p>
                  <w:pPr>
                    <w:pStyle w:val="28"/>
                    <w:bidi w:val="0"/>
                    <w:rPr>
                      <w:sz w:val="18"/>
                      <w:szCs w:val="18"/>
                    </w:rPr>
                  </w:pPr>
                </w:p>
              </w:tc>
              <w:tc>
                <w:tcPr>
                  <w:tcW w:w="749" w:type="pct"/>
                  <w:vMerge w:val="continue"/>
                  <w:vAlign w:val="center"/>
                </w:tcPr>
                <w:p>
                  <w:pPr>
                    <w:pStyle w:val="28"/>
                    <w:bidi w:val="0"/>
                    <w:rPr>
                      <w:sz w:val="18"/>
                      <w:szCs w:val="18"/>
                    </w:rPr>
                  </w:pPr>
                </w:p>
              </w:tc>
              <w:tc>
                <w:tcPr>
                  <w:tcW w:w="552" w:type="pct"/>
                  <w:vAlign w:val="center"/>
                </w:tcPr>
                <w:p>
                  <w:pPr>
                    <w:pStyle w:val="28"/>
                    <w:bidi w:val="0"/>
                    <w:rPr>
                      <w:sz w:val="18"/>
                      <w:szCs w:val="18"/>
                    </w:rPr>
                  </w:pPr>
                  <w:r>
                    <w:rPr>
                      <w:sz w:val="18"/>
                      <w:szCs w:val="18"/>
                    </w:rPr>
                    <w:t>NH</w:t>
                  </w:r>
                  <w:r>
                    <w:rPr>
                      <w:sz w:val="18"/>
                      <w:szCs w:val="18"/>
                      <w:vertAlign w:val="subscript"/>
                    </w:rPr>
                    <w:t>3</w:t>
                  </w:r>
                  <w:r>
                    <w:rPr>
                      <w:sz w:val="18"/>
                      <w:szCs w:val="18"/>
                    </w:rPr>
                    <w:t>-N</w:t>
                  </w:r>
                </w:p>
              </w:tc>
              <w:tc>
                <w:tcPr>
                  <w:tcW w:w="477" w:type="pct"/>
                  <w:vAlign w:val="center"/>
                </w:tcPr>
                <w:p>
                  <w:pPr>
                    <w:pStyle w:val="28"/>
                    <w:bidi w:val="0"/>
                    <w:rPr>
                      <w:sz w:val="18"/>
                      <w:szCs w:val="18"/>
                    </w:rPr>
                  </w:pPr>
                  <w:r>
                    <w:rPr>
                      <w:sz w:val="18"/>
                      <w:szCs w:val="18"/>
                    </w:rPr>
                    <w:t>45</w:t>
                  </w:r>
                </w:p>
              </w:tc>
              <w:tc>
                <w:tcPr>
                  <w:tcW w:w="511" w:type="pct"/>
                  <w:vAlign w:val="center"/>
                </w:tcPr>
                <w:p>
                  <w:pPr>
                    <w:pStyle w:val="28"/>
                    <w:bidi w:val="0"/>
                    <w:rPr>
                      <w:rFonts w:hint="default" w:eastAsia="宋体"/>
                      <w:sz w:val="18"/>
                      <w:szCs w:val="18"/>
                      <w:lang w:val="en-US" w:eastAsia="zh-CN"/>
                    </w:rPr>
                  </w:pPr>
                  <w:r>
                    <w:rPr>
                      <w:rFonts w:hint="eastAsia"/>
                      <w:sz w:val="18"/>
                      <w:szCs w:val="18"/>
                      <w:lang w:val="en-US" w:eastAsia="zh-CN"/>
                    </w:rPr>
                    <w:t>0.006</w:t>
                  </w:r>
                </w:p>
              </w:tc>
              <w:tc>
                <w:tcPr>
                  <w:tcW w:w="361" w:type="pct"/>
                  <w:vMerge w:val="continue"/>
                  <w:vAlign w:val="center"/>
                </w:tcPr>
                <w:p>
                  <w:pPr>
                    <w:pStyle w:val="28"/>
                    <w:bidi w:val="0"/>
                    <w:rPr>
                      <w:sz w:val="18"/>
                      <w:szCs w:val="18"/>
                    </w:rPr>
                  </w:pPr>
                </w:p>
              </w:tc>
              <w:tc>
                <w:tcPr>
                  <w:tcW w:w="697" w:type="pct"/>
                  <w:vMerge w:val="continue"/>
                  <w:vAlign w:val="center"/>
                </w:tcPr>
                <w:p>
                  <w:pPr>
                    <w:pStyle w:val="28"/>
                    <w:bidi w:val="0"/>
                    <w:rPr>
                      <w:sz w:val="18"/>
                      <w:szCs w:val="18"/>
                    </w:rPr>
                  </w:pPr>
                </w:p>
              </w:tc>
              <w:tc>
                <w:tcPr>
                  <w:tcW w:w="332" w:type="pct"/>
                  <w:vMerge w:val="continue"/>
                  <w:vAlign w:val="center"/>
                </w:tcPr>
                <w:p>
                  <w:pPr>
                    <w:pStyle w:val="28"/>
                    <w:bidi w:val="0"/>
                    <w:rPr>
                      <w:sz w:val="18"/>
                      <w:szCs w:val="18"/>
                    </w:rPr>
                  </w:pPr>
                </w:p>
              </w:tc>
              <w:tc>
                <w:tcPr>
                  <w:tcW w:w="473" w:type="pct"/>
                  <w:vMerge w:val="continue"/>
                  <w:vAlign w:val="center"/>
                </w:tcPr>
                <w:p>
                  <w:pPr>
                    <w:pStyle w:val="28"/>
                    <w:bidi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vMerge w:val="continue"/>
                  <w:vAlign w:val="center"/>
                </w:tcPr>
                <w:p>
                  <w:pPr>
                    <w:pStyle w:val="28"/>
                    <w:bidi w:val="0"/>
                    <w:rPr>
                      <w:sz w:val="18"/>
                      <w:szCs w:val="18"/>
                    </w:rPr>
                  </w:pPr>
                </w:p>
              </w:tc>
              <w:tc>
                <w:tcPr>
                  <w:tcW w:w="392" w:type="pct"/>
                  <w:vMerge w:val="continue"/>
                  <w:vAlign w:val="center"/>
                </w:tcPr>
                <w:p>
                  <w:pPr>
                    <w:pStyle w:val="28"/>
                    <w:bidi w:val="0"/>
                    <w:rPr>
                      <w:sz w:val="18"/>
                      <w:szCs w:val="18"/>
                    </w:rPr>
                  </w:pPr>
                </w:p>
              </w:tc>
              <w:tc>
                <w:tcPr>
                  <w:tcW w:w="749" w:type="pct"/>
                  <w:vMerge w:val="continue"/>
                  <w:vAlign w:val="center"/>
                </w:tcPr>
                <w:p>
                  <w:pPr>
                    <w:pStyle w:val="28"/>
                    <w:bidi w:val="0"/>
                    <w:rPr>
                      <w:sz w:val="18"/>
                      <w:szCs w:val="18"/>
                    </w:rPr>
                  </w:pPr>
                </w:p>
              </w:tc>
              <w:tc>
                <w:tcPr>
                  <w:tcW w:w="552" w:type="pct"/>
                  <w:vAlign w:val="center"/>
                </w:tcPr>
                <w:p>
                  <w:pPr>
                    <w:pStyle w:val="28"/>
                    <w:bidi w:val="0"/>
                    <w:rPr>
                      <w:sz w:val="18"/>
                      <w:szCs w:val="18"/>
                    </w:rPr>
                  </w:pPr>
                  <w:r>
                    <w:rPr>
                      <w:sz w:val="18"/>
                      <w:szCs w:val="18"/>
                    </w:rPr>
                    <w:t>动植物油</w:t>
                  </w:r>
                </w:p>
              </w:tc>
              <w:tc>
                <w:tcPr>
                  <w:tcW w:w="477" w:type="pct"/>
                  <w:vAlign w:val="center"/>
                </w:tcPr>
                <w:p>
                  <w:pPr>
                    <w:pStyle w:val="28"/>
                    <w:bidi w:val="0"/>
                    <w:rPr>
                      <w:sz w:val="18"/>
                      <w:szCs w:val="18"/>
                    </w:rPr>
                  </w:pPr>
                  <w:r>
                    <w:rPr>
                      <w:sz w:val="18"/>
                      <w:szCs w:val="18"/>
                    </w:rPr>
                    <w:t>65</w:t>
                  </w:r>
                </w:p>
              </w:tc>
              <w:tc>
                <w:tcPr>
                  <w:tcW w:w="511" w:type="pct"/>
                  <w:vAlign w:val="center"/>
                </w:tcPr>
                <w:p>
                  <w:pPr>
                    <w:pStyle w:val="28"/>
                    <w:bidi w:val="0"/>
                    <w:rPr>
                      <w:rFonts w:hint="default" w:eastAsia="宋体"/>
                      <w:sz w:val="18"/>
                      <w:szCs w:val="18"/>
                      <w:lang w:val="en-US" w:eastAsia="zh-CN"/>
                    </w:rPr>
                  </w:pPr>
                  <w:r>
                    <w:rPr>
                      <w:rFonts w:hint="eastAsia"/>
                      <w:sz w:val="18"/>
                      <w:szCs w:val="18"/>
                      <w:lang w:val="en-US" w:eastAsia="zh-CN"/>
                    </w:rPr>
                    <w:t>0.009</w:t>
                  </w:r>
                </w:p>
              </w:tc>
              <w:tc>
                <w:tcPr>
                  <w:tcW w:w="361" w:type="pct"/>
                  <w:vMerge w:val="continue"/>
                  <w:vAlign w:val="center"/>
                </w:tcPr>
                <w:p>
                  <w:pPr>
                    <w:pStyle w:val="28"/>
                    <w:bidi w:val="0"/>
                    <w:rPr>
                      <w:sz w:val="18"/>
                      <w:szCs w:val="18"/>
                    </w:rPr>
                  </w:pPr>
                </w:p>
              </w:tc>
              <w:tc>
                <w:tcPr>
                  <w:tcW w:w="697" w:type="pct"/>
                  <w:vMerge w:val="continue"/>
                  <w:vAlign w:val="center"/>
                </w:tcPr>
                <w:p>
                  <w:pPr>
                    <w:pStyle w:val="28"/>
                    <w:bidi w:val="0"/>
                    <w:rPr>
                      <w:sz w:val="18"/>
                      <w:szCs w:val="18"/>
                    </w:rPr>
                  </w:pPr>
                </w:p>
              </w:tc>
              <w:tc>
                <w:tcPr>
                  <w:tcW w:w="332" w:type="pct"/>
                  <w:vMerge w:val="continue"/>
                  <w:vAlign w:val="center"/>
                </w:tcPr>
                <w:p>
                  <w:pPr>
                    <w:pStyle w:val="28"/>
                    <w:bidi w:val="0"/>
                    <w:rPr>
                      <w:sz w:val="18"/>
                      <w:szCs w:val="18"/>
                    </w:rPr>
                  </w:pPr>
                </w:p>
              </w:tc>
              <w:tc>
                <w:tcPr>
                  <w:tcW w:w="473" w:type="pct"/>
                  <w:vMerge w:val="continue"/>
                  <w:vAlign w:val="center"/>
                </w:tcPr>
                <w:p>
                  <w:pPr>
                    <w:pStyle w:val="28"/>
                    <w:bidi w:val="0"/>
                    <w:rPr>
                      <w:sz w:val="18"/>
                      <w:szCs w:val="18"/>
                    </w:rPr>
                  </w:pPr>
                </w:p>
              </w:tc>
            </w:tr>
          </w:tbl>
          <w:p>
            <w:pPr>
              <w:pStyle w:val="29"/>
              <w:ind w:firstLine="480"/>
            </w:pPr>
            <w:r>
              <w:rPr>
                <w:rFonts w:hint="eastAsia"/>
              </w:rPr>
              <w:t>（2）光伏板清洗废水</w:t>
            </w:r>
          </w:p>
          <w:p>
            <w:pPr>
              <w:pStyle w:val="29"/>
              <w:rPr>
                <w:rFonts w:hint="eastAsia"/>
                <w:lang w:val="en-US" w:eastAsia="zh-CN"/>
              </w:rPr>
            </w:pPr>
            <w:r>
              <w:rPr>
                <w:rFonts w:ascii="Times New Roman" w:hAnsi="Times New Roman"/>
                <w:b w:val="0"/>
                <w:bCs w:val="0"/>
                <w:color w:val="auto"/>
                <w:highlight w:val="none"/>
              </w:rPr>
              <w:t>光伏板清洗采用</w:t>
            </w:r>
            <w:r>
              <w:rPr>
                <w:rFonts w:hint="eastAsia" w:ascii="Times New Roman" w:hAnsi="Times New Roman"/>
                <w:b w:val="0"/>
                <w:bCs w:val="0"/>
                <w:color w:val="auto"/>
                <w:highlight w:val="none"/>
                <w:lang w:val="en-US" w:eastAsia="zh-CN"/>
              </w:rPr>
              <w:t>工程车辆清洗</w:t>
            </w:r>
            <w:r>
              <w:rPr>
                <w:rFonts w:ascii="Times New Roman" w:hAnsi="Times New Roman"/>
                <w:b w:val="0"/>
                <w:bCs w:val="0"/>
                <w:color w:val="auto"/>
                <w:highlight w:val="none"/>
              </w:rPr>
              <w:t>方式</w:t>
            </w:r>
            <w:r>
              <w:rPr>
                <w:rFonts w:hint="eastAsia"/>
                <w:b w:val="0"/>
                <w:bCs w:val="0"/>
                <w:color w:val="auto"/>
                <w:highlight w:val="none"/>
                <w:lang w:eastAsia="zh-CN"/>
              </w:rPr>
              <w:t>，</w:t>
            </w:r>
            <w:r>
              <w:rPr>
                <w:rFonts w:hint="eastAsia"/>
                <w:lang w:val="en-US" w:eastAsia="zh-CN"/>
              </w:rPr>
              <w:t>分为定期清洗和不定期清洗。</w:t>
            </w:r>
          </w:p>
          <w:p>
            <w:pPr>
              <w:pStyle w:val="29"/>
              <w:rPr>
                <w:rFonts w:hint="eastAsia"/>
                <w:lang w:val="en-US" w:eastAsia="zh-CN"/>
              </w:rPr>
            </w:pPr>
            <w:r>
              <w:rPr>
                <w:rFonts w:hint="eastAsia"/>
                <w:lang w:val="en-US" w:eastAsia="zh-CN"/>
              </w:rPr>
              <w:t>定期清洗一般每两个月进行一次，清洗时间安排在日出前或日落后。不定期清洗分为恶劣气候后的清洗和季节性清洗，恶劣气候分为大风、沙尘或雨雪后的清洗。每次大风或沙尘天气后应及时清洗。雨雪后应及时巡查，对落在电池组件上的泥点和积雪应予以清洗。季节性清洗主要指春秋季位于候鸟迁徙线路下的发电区域，对候鸟粪便的清洗。</w:t>
            </w:r>
          </w:p>
          <w:p>
            <w:pPr>
              <w:pStyle w:val="29"/>
            </w:pPr>
            <w:r>
              <w:rPr>
                <w:rFonts w:hint="eastAsia"/>
              </w:rPr>
              <w:t>清洗过程不使用清洗剂，清洗废水中污染物主要为SS，基本不含有毒有害物质。清洗废水顺着光伏板流到下面的草地上，因水量少，光伏组件分布广，流到草地上的清洗废水可全部被植被和地表吸收，不会形成径流。</w:t>
            </w:r>
          </w:p>
          <w:p>
            <w:pPr>
              <w:pStyle w:val="29"/>
              <w:ind w:firstLine="480"/>
            </w:pPr>
            <w:r>
              <w:rPr>
                <w:rFonts w:hint="eastAsia"/>
              </w:rPr>
              <w:t>综上，项目废水对地表水环境影响可接受。</w:t>
            </w:r>
          </w:p>
          <w:p>
            <w:pPr>
              <w:pStyle w:val="29"/>
              <w:ind w:firstLine="482"/>
              <w:rPr>
                <w:b/>
                <w:bCs/>
              </w:rPr>
            </w:pPr>
            <w:r>
              <w:rPr>
                <w:rFonts w:hint="eastAsia"/>
                <w:b/>
                <w:bCs/>
              </w:rPr>
              <w:t>4.11</w:t>
            </w:r>
            <w:r>
              <w:rPr>
                <w:b/>
                <w:bCs/>
              </w:rPr>
              <w:t xml:space="preserve"> </w:t>
            </w:r>
            <w:r>
              <w:rPr>
                <w:rFonts w:hint="eastAsia"/>
                <w:b/>
                <w:bCs/>
              </w:rPr>
              <w:t>运营期固废影响分析</w:t>
            </w:r>
          </w:p>
          <w:p>
            <w:pPr>
              <w:pStyle w:val="29"/>
              <w:ind w:firstLine="480"/>
            </w:pPr>
            <w:r>
              <w:t>（1）废旧光伏</w:t>
            </w:r>
            <w:r>
              <w:rPr>
                <w:rFonts w:hint="eastAsia"/>
              </w:rPr>
              <w:t>组件</w:t>
            </w:r>
          </w:p>
          <w:p>
            <w:pPr>
              <w:pStyle w:val="29"/>
              <w:ind w:firstLine="480"/>
            </w:pPr>
            <w:r>
              <w:t>本项目太阳能光伏板由单晶硅双面双玻材料组成，正常情况下多晶硅电池板的寿命一般在25年左右，报废周期较长，报废后由厂家回收处置，光伏场区内不设置临时存储点，报废后由厂家回收处置。太阳能电池板淘汰率约为0.1%/年，本项目共使用太阳能电池板</w:t>
            </w:r>
            <w:r>
              <w:rPr>
                <w:rFonts w:hint="eastAsia"/>
              </w:rPr>
              <w:t>118144</w:t>
            </w:r>
            <w:r>
              <w:t>块，单块重量约为</w:t>
            </w:r>
            <w:r>
              <w:rPr>
                <w:rFonts w:hint="eastAsia"/>
              </w:rPr>
              <w:t>28</w:t>
            </w:r>
            <w:r>
              <w:t>kg，则废旧电池板产生量约为</w:t>
            </w:r>
            <w:r>
              <w:rPr>
                <w:rFonts w:hint="eastAsia"/>
              </w:rPr>
              <w:t>3.31</w:t>
            </w:r>
            <w:r>
              <w:t>t/a。</w:t>
            </w:r>
          </w:p>
          <w:p>
            <w:pPr>
              <w:pStyle w:val="29"/>
              <w:ind w:firstLine="480"/>
            </w:pPr>
            <w:r>
              <w:t>太阳能光伏板采用的材料是晶体硅，硅电池片所含主要化学成分有Si、P和B，硅电池中晶体Si纯度为6个9</w:t>
            </w:r>
            <w:r>
              <w:rPr>
                <w:rFonts w:hint="eastAsia"/>
                <w:lang w:eastAsia="zh-CN"/>
              </w:rPr>
              <w:t>（</w:t>
            </w:r>
            <w:r>
              <w:t>6N</w:t>
            </w:r>
            <w:r>
              <w:rPr>
                <w:rFonts w:hint="eastAsia"/>
              </w:rPr>
              <w:t>）</w:t>
            </w:r>
            <w:r>
              <w:t>以上的高纯硅材料，即纯度为99.9999%以上的硅材料。Si、P和B均以晶体形式存在，不具有腐蚀性、易燃性、毒性、反应性和感染性的危险特性。根据《国家危险废物名录》（2021版），太阳能电池板中不含名录中所列的危险废物。因此，本项目所使用的太阳能电池板报废后属一般工业固体废物，不属于危险废物，产生废旧太阳能电池板收集后由生产厂回收处置。</w:t>
            </w:r>
          </w:p>
          <w:p>
            <w:pPr>
              <w:pStyle w:val="29"/>
              <w:ind w:firstLine="480"/>
            </w:pPr>
            <w:r>
              <w:t>（2）废</w:t>
            </w:r>
            <w:r>
              <w:rPr>
                <w:rFonts w:hint="eastAsia"/>
              </w:rPr>
              <w:t>铅蓄</w:t>
            </w:r>
            <w:r>
              <w:t>电池</w:t>
            </w:r>
          </w:p>
          <w:p>
            <w:pPr>
              <w:pStyle w:val="29"/>
              <w:ind w:firstLine="480"/>
            </w:pPr>
            <w:r>
              <w:rPr>
                <w:color w:val="auto"/>
                <w:sz w:val="24"/>
                <w:highlight w:val="none"/>
              </w:rPr>
              <w:t>升压站内设置有3组蓄电池，采用组架方式集中布置于蓄电池室</w:t>
            </w:r>
            <w:r>
              <w:t>，使用寿命一般在8</w:t>
            </w:r>
            <w:r>
              <w:rPr>
                <w:rFonts w:hint="eastAsia"/>
              </w:rPr>
              <w:t>—</w:t>
            </w:r>
            <w:r>
              <w:t>10年，</w:t>
            </w:r>
            <w:r>
              <w:rPr>
                <w:rFonts w:hint="eastAsia"/>
              </w:rPr>
              <w:t>为保证设备正常运行，本项目每5年更换一次铅酸蓄电池，更换过程中会产生废铅蓄电池，产生量为3t/5a。</w:t>
            </w:r>
            <w:r>
              <w:t>根据《国家危险废物名录》（2021版）其属于危险废物（HW31含铅废物，废物代码900-052-31）；</w:t>
            </w:r>
            <w:r>
              <w:rPr>
                <w:color w:val="auto"/>
                <w:sz w:val="24"/>
                <w:highlight w:val="none"/>
              </w:rPr>
              <w:t>每次更换前，预先联系蓄电池生产厂家到现场更换，马上将更换下的废蓄电池交有资质单位处置，不在站内暂存。负责处理废蓄电池的有资质单位应具备满足《危险废物贮存污染控制标准》（GB18597-20</w:t>
            </w:r>
            <w:r>
              <w:rPr>
                <w:rFonts w:hint="eastAsia"/>
                <w:color w:val="auto"/>
                <w:sz w:val="24"/>
                <w:highlight w:val="none"/>
              </w:rPr>
              <w:t>23</w:t>
            </w:r>
            <w:r>
              <w:rPr>
                <w:color w:val="auto"/>
                <w:sz w:val="24"/>
                <w:highlight w:val="none"/>
              </w:rPr>
              <w:t>）相关要求的暂存设施，对废蓄电池的处理应满足《废铅蓄电池处理污染控制技术规范》（HJ519-2020）中的相关要求</w:t>
            </w:r>
            <w:r>
              <w:t>。</w:t>
            </w:r>
          </w:p>
          <w:p>
            <w:pPr>
              <w:pStyle w:val="29"/>
              <w:ind w:firstLine="480"/>
            </w:pPr>
            <w:r>
              <w:rPr>
                <w:rFonts w:hint="eastAsia"/>
              </w:rPr>
              <w:t>（</w:t>
            </w:r>
            <w:r>
              <w:t>3</w:t>
            </w:r>
            <w:r>
              <w:rPr>
                <w:rFonts w:hint="eastAsia"/>
              </w:rPr>
              <w:t>）废变压油</w:t>
            </w:r>
          </w:p>
          <w:p>
            <w:pPr>
              <w:pStyle w:val="29"/>
              <w:ind w:firstLine="480"/>
            </w:pPr>
            <w:r>
              <w:rPr>
                <w:rFonts w:hint="eastAsia"/>
              </w:rPr>
              <w:t>变压器为了绝缘和冷却的需要，其外壳内装有大量变压器油。变压器油具有高的比热容、耐电压强度、氧化稳定性，低的凝固点，不含有水分和杂质，起绝缘、散热和消灭电弧等作用。变压器例行检修和大修时，均不会产生事故废油，仅在事故时，有可能发生变压器喷油，短时间内大量的变压器油从变压器内喷溅出来，泄往四周，造成废油污染。根据变压器故障的情况，产生的废油量不确定。根据目前国内主变压器的技术水平和运行情况，约5年进行滤油处理一次，则废变压器油产生量约为8t/5a，产生的废油由有资质单位收集处理。检修过程中产生的含油抹布量预计为0.05t/a。</w:t>
            </w:r>
          </w:p>
          <w:p>
            <w:pPr>
              <w:pStyle w:val="29"/>
              <w:ind w:firstLine="480"/>
            </w:pPr>
            <w:r>
              <w:rPr>
                <w:rFonts w:hint="eastAsia"/>
              </w:rPr>
              <w:t>本工程升压站内建设</w:t>
            </w:r>
            <w:r>
              <w:t>1</w:t>
            </w:r>
            <w:r>
              <w:rPr>
                <w:rFonts w:hint="eastAsia"/>
              </w:rPr>
              <w:t>台主变，主变容量</w:t>
            </w:r>
            <w:r>
              <w:rPr>
                <w:rFonts w:hint="eastAsia"/>
                <w:lang w:val="en-US" w:eastAsia="zh-CN"/>
              </w:rPr>
              <w:t>50</w:t>
            </w:r>
            <w:r>
              <w:rPr>
                <w:rFonts w:hint="eastAsia"/>
              </w:rPr>
              <w:t>M</w:t>
            </w:r>
            <w:r>
              <w:t>WA</w:t>
            </w:r>
            <w:r>
              <w:rPr>
                <w:rFonts w:hint="eastAsia"/>
              </w:rPr>
              <w:t>，单台主变压器绝缘油重约26.4t（油密度为0.88t/m³），单台体积约30m³。升压站主变下方设置有</w:t>
            </w:r>
            <w:r>
              <w:rPr>
                <w:rFonts w:hint="eastAsia"/>
                <w:lang w:eastAsia="zh-CN"/>
              </w:rPr>
              <w:t>事故油坑</w:t>
            </w:r>
            <w:r>
              <w:rPr>
                <w:rFonts w:hint="eastAsia"/>
              </w:rPr>
              <w:t>（容积6m³），通过排油管道连接至</w:t>
            </w:r>
            <w:r>
              <w:rPr>
                <w:rFonts w:hint="eastAsia"/>
                <w:lang w:eastAsia="zh-CN"/>
              </w:rPr>
              <w:t>事故油池</w:t>
            </w:r>
            <w:r>
              <w:rPr>
                <w:rFonts w:hint="eastAsia"/>
              </w:rPr>
              <w:t>收集事故废油。本工程110kV升压站拟建</w:t>
            </w:r>
            <w:r>
              <w:rPr>
                <w:rFonts w:hint="eastAsia"/>
                <w:lang w:eastAsia="zh-CN"/>
              </w:rPr>
              <w:t>事故油池</w:t>
            </w:r>
            <w:r>
              <w:rPr>
                <w:rFonts w:hint="eastAsia"/>
              </w:rPr>
              <w:t>容量约35m³，容积大于一台主变的全部油量，可满足主变事故所有排油的收集贮存要求。</w:t>
            </w:r>
            <w:r>
              <w:t>产生的废变压器油收集后暂存在升压站内的</w:t>
            </w:r>
            <w:r>
              <w:rPr>
                <w:rFonts w:hint="eastAsia"/>
                <w:lang w:eastAsia="zh-CN"/>
              </w:rPr>
              <w:t>危废贮存点</w:t>
            </w:r>
            <w:r>
              <w:t>，定期交由资质单位处置。</w:t>
            </w:r>
          </w:p>
          <w:p>
            <w:pPr>
              <w:pStyle w:val="29"/>
              <w:ind w:firstLine="480"/>
            </w:pPr>
            <w:r>
              <w:rPr>
                <w:rFonts w:hint="eastAsia"/>
              </w:rPr>
              <w:t>光伏场区内35kV箱变发生漏油事故时，变压器内的油从集油坑流入各箱变配套设置的事故油池，</w:t>
            </w:r>
            <w:r>
              <w:rPr>
                <w:rFonts w:hint="eastAsia"/>
                <w:lang w:val="en-US" w:eastAsia="zh-CN"/>
              </w:rPr>
              <w:t>事故油池内的废变压油</w:t>
            </w:r>
            <w:r>
              <w:rPr>
                <w:rFonts w:hint="eastAsia"/>
              </w:rPr>
              <w:t>作为危险废物经</w:t>
            </w:r>
            <w:r>
              <w:rPr>
                <w:rFonts w:hint="eastAsia"/>
                <w:lang w:eastAsia="zh-CN"/>
              </w:rPr>
              <w:t>危废贮存点</w:t>
            </w:r>
            <w:r>
              <w:rPr>
                <w:rFonts w:hint="eastAsia"/>
              </w:rPr>
              <w:t>暂存后委托有资质单位妥善处置。</w:t>
            </w:r>
          </w:p>
          <w:p>
            <w:pPr>
              <w:pStyle w:val="29"/>
              <w:ind w:firstLine="480"/>
            </w:pPr>
            <w:r>
              <w:rPr>
                <w:rFonts w:hint="eastAsia"/>
              </w:rPr>
              <w:t>（4）生活垃圾</w:t>
            </w:r>
          </w:p>
          <w:p>
            <w:pPr>
              <w:pStyle w:val="29"/>
              <w:ind w:firstLine="480"/>
            </w:pPr>
            <w:r>
              <w:t>拟建项目劳动定员为</w:t>
            </w:r>
            <w:r>
              <w:rPr>
                <w:rFonts w:hint="eastAsia"/>
              </w:rPr>
              <w:t>6</w:t>
            </w:r>
            <w:r>
              <w:t>人，生活垃圾产生量取0.5kg</w:t>
            </w:r>
            <w:r>
              <w:rPr>
                <w:rFonts w:hint="eastAsia"/>
                <w:lang w:val="en-US" w:eastAsia="zh-CN"/>
              </w:rPr>
              <w:t>/</w:t>
            </w:r>
            <w:r>
              <w:t>人</w:t>
            </w:r>
            <w:r>
              <w:rPr>
                <w:rFonts w:hint="default" w:ascii="Times New Roman" w:hAnsi="Times New Roman" w:cs="Times New Roman"/>
                <w:lang w:val="en-US" w:eastAsia="zh-CN"/>
              </w:rPr>
              <w:t>·</w:t>
            </w:r>
            <w:r>
              <w:t>d，产生总量为</w:t>
            </w:r>
            <w:r>
              <w:rPr>
                <w:rFonts w:hint="eastAsia"/>
              </w:rPr>
              <w:t>1.095</w:t>
            </w:r>
            <w:r>
              <w:t>t/a，产生的生活垃圾经集中收集后，由当地环卫部门统一清运处理</w:t>
            </w:r>
            <w:r>
              <w:rPr>
                <w:rFonts w:hint="eastAsia"/>
              </w:rPr>
              <w:t>。</w:t>
            </w:r>
          </w:p>
          <w:p>
            <w:pPr>
              <w:pStyle w:val="29"/>
              <w:ind w:firstLine="0" w:firstLineChars="0"/>
              <w:jc w:val="center"/>
            </w:pPr>
            <w:r>
              <w:rPr>
                <w:rFonts w:hint="eastAsia"/>
              </w:rPr>
              <w:t>表4-1</w:t>
            </w:r>
            <w:r>
              <w:rPr>
                <w:rFonts w:hint="eastAsia"/>
                <w:lang w:val="en-US" w:eastAsia="zh-CN"/>
              </w:rPr>
              <w:t>2</w:t>
            </w:r>
            <w:r>
              <w:rPr>
                <w:rFonts w:hint="eastAsia"/>
              </w:rPr>
              <w:t xml:space="preserve">  固体废物产生、排放及处置情况汇总表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338"/>
              <w:gridCol w:w="743"/>
              <w:gridCol w:w="663"/>
              <w:gridCol w:w="1217"/>
              <w:gridCol w:w="662"/>
              <w:gridCol w:w="759"/>
              <w:gridCol w:w="618"/>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vMerge w:val="restart"/>
                  <w:vAlign w:val="center"/>
                </w:tcPr>
                <w:p>
                  <w:pPr>
                    <w:pStyle w:val="28"/>
                    <w:rPr>
                      <w:sz w:val="18"/>
                      <w:szCs w:val="18"/>
                    </w:rPr>
                  </w:pPr>
                  <w:r>
                    <w:rPr>
                      <w:rFonts w:hint="eastAsia"/>
                      <w:sz w:val="18"/>
                      <w:szCs w:val="18"/>
                    </w:rPr>
                    <w:t>产生环节</w:t>
                  </w:r>
                </w:p>
              </w:tc>
              <w:tc>
                <w:tcPr>
                  <w:tcW w:w="1338" w:type="dxa"/>
                  <w:vMerge w:val="restart"/>
                  <w:vAlign w:val="center"/>
                </w:tcPr>
                <w:p>
                  <w:pPr>
                    <w:pStyle w:val="28"/>
                    <w:rPr>
                      <w:sz w:val="18"/>
                      <w:szCs w:val="18"/>
                    </w:rPr>
                  </w:pPr>
                  <w:r>
                    <w:rPr>
                      <w:rFonts w:hint="eastAsia"/>
                      <w:sz w:val="18"/>
                      <w:szCs w:val="18"/>
                    </w:rPr>
                    <w:t>固体废物名称</w:t>
                  </w:r>
                </w:p>
              </w:tc>
              <w:tc>
                <w:tcPr>
                  <w:tcW w:w="743" w:type="dxa"/>
                  <w:vMerge w:val="restart"/>
                  <w:vAlign w:val="center"/>
                </w:tcPr>
                <w:p>
                  <w:pPr>
                    <w:pStyle w:val="28"/>
                    <w:rPr>
                      <w:sz w:val="18"/>
                      <w:szCs w:val="18"/>
                    </w:rPr>
                  </w:pPr>
                  <w:r>
                    <w:rPr>
                      <w:rFonts w:hint="eastAsia"/>
                      <w:sz w:val="18"/>
                      <w:szCs w:val="18"/>
                    </w:rPr>
                    <w:t>废物类别</w:t>
                  </w:r>
                </w:p>
              </w:tc>
              <w:tc>
                <w:tcPr>
                  <w:tcW w:w="663" w:type="dxa"/>
                  <w:vMerge w:val="restart"/>
                  <w:vAlign w:val="center"/>
                </w:tcPr>
                <w:p>
                  <w:pPr>
                    <w:pStyle w:val="28"/>
                    <w:rPr>
                      <w:sz w:val="18"/>
                      <w:szCs w:val="18"/>
                    </w:rPr>
                  </w:pPr>
                  <w:r>
                    <w:rPr>
                      <w:rFonts w:hint="eastAsia"/>
                      <w:sz w:val="18"/>
                      <w:szCs w:val="18"/>
                    </w:rPr>
                    <w:t>物理状态</w:t>
                  </w:r>
                </w:p>
              </w:tc>
              <w:tc>
                <w:tcPr>
                  <w:tcW w:w="1217" w:type="dxa"/>
                  <w:vMerge w:val="restart"/>
                  <w:vAlign w:val="center"/>
                </w:tcPr>
                <w:p>
                  <w:pPr>
                    <w:pStyle w:val="28"/>
                    <w:rPr>
                      <w:sz w:val="18"/>
                      <w:szCs w:val="18"/>
                    </w:rPr>
                  </w:pPr>
                  <w:r>
                    <w:rPr>
                      <w:rFonts w:hint="eastAsia"/>
                      <w:sz w:val="18"/>
                      <w:szCs w:val="18"/>
                    </w:rPr>
                    <w:t>废物代码</w:t>
                  </w:r>
                </w:p>
              </w:tc>
              <w:tc>
                <w:tcPr>
                  <w:tcW w:w="662" w:type="dxa"/>
                  <w:vMerge w:val="restart"/>
                  <w:vAlign w:val="center"/>
                </w:tcPr>
                <w:p>
                  <w:pPr>
                    <w:pStyle w:val="28"/>
                    <w:rPr>
                      <w:sz w:val="18"/>
                      <w:szCs w:val="18"/>
                    </w:rPr>
                  </w:pPr>
                  <w:r>
                    <w:rPr>
                      <w:rFonts w:hint="eastAsia"/>
                      <w:sz w:val="18"/>
                      <w:szCs w:val="18"/>
                    </w:rPr>
                    <w:t>危险特性</w:t>
                  </w:r>
                </w:p>
              </w:tc>
              <w:tc>
                <w:tcPr>
                  <w:tcW w:w="759" w:type="dxa"/>
                  <w:vMerge w:val="restart"/>
                  <w:vAlign w:val="center"/>
                </w:tcPr>
                <w:p>
                  <w:pPr>
                    <w:pStyle w:val="28"/>
                    <w:rPr>
                      <w:sz w:val="18"/>
                      <w:szCs w:val="18"/>
                    </w:rPr>
                  </w:pPr>
                  <w:r>
                    <w:rPr>
                      <w:rFonts w:hint="eastAsia"/>
                      <w:sz w:val="18"/>
                      <w:szCs w:val="18"/>
                    </w:rPr>
                    <w:t>产生量</w:t>
                  </w:r>
                </w:p>
                <w:p>
                  <w:pPr>
                    <w:pStyle w:val="28"/>
                    <w:rPr>
                      <w:sz w:val="18"/>
                      <w:szCs w:val="18"/>
                    </w:rPr>
                  </w:pPr>
                  <w:r>
                    <w:rPr>
                      <w:rFonts w:hint="eastAsia"/>
                      <w:sz w:val="18"/>
                      <w:szCs w:val="18"/>
                    </w:rPr>
                    <w:t>（t/a）</w:t>
                  </w:r>
                </w:p>
              </w:tc>
              <w:tc>
                <w:tcPr>
                  <w:tcW w:w="618" w:type="dxa"/>
                  <w:vMerge w:val="restart"/>
                  <w:vAlign w:val="center"/>
                </w:tcPr>
                <w:p>
                  <w:pPr>
                    <w:pStyle w:val="28"/>
                    <w:rPr>
                      <w:sz w:val="18"/>
                      <w:szCs w:val="18"/>
                    </w:rPr>
                  </w:pPr>
                  <w:r>
                    <w:rPr>
                      <w:rFonts w:hint="eastAsia"/>
                      <w:sz w:val="18"/>
                      <w:szCs w:val="18"/>
                    </w:rPr>
                    <w:t>贮存方式</w:t>
                  </w:r>
                </w:p>
              </w:tc>
              <w:tc>
                <w:tcPr>
                  <w:tcW w:w="1962" w:type="dxa"/>
                  <w:vMerge w:val="restart"/>
                  <w:vAlign w:val="center"/>
                </w:tcPr>
                <w:p>
                  <w:pPr>
                    <w:pStyle w:val="28"/>
                    <w:rPr>
                      <w:sz w:val="18"/>
                      <w:szCs w:val="18"/>
                    </w:rPr>
                  </w:pPr>
                  <w:r>
                    <w:rPr>
                      <w:rFonts w:hint="eastAsia"/>
                      <w:sz w:val="18"/>
                      <w:szCs w:val="18"/>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vMerge w:val="continue"/>
                  <w:vAlign w:val="center"/>
                </w:tcPr>
                <w:p>
                  <w:pPr>
                    <w:pStyle w:val="28"/>
                    <w:rPr>
                      <w:sz w:val="18"/>
                      <w:szCs w:val="18"/>
                    </w:rPr>
                  </w:pPr>
                </w:p>
              </w:tc>
              <w:tc>
                <w:tcPr>
                  <w:tcW w:w="1338" w:type="dxa"/>
                  <w:vMerge w:val="continue"/>
                  <w:vAlign w:val="center"/>
                </w:tcPr>
                <w:p>
                  <w:pPr>
                    <w:pStyle w:val="28"/>
                    <w:rPr>
                      <w:sz w:val="18"/>
                      <w:szCs w:val="18"/>
                    </w:rPr>
                  </w:pPr>
                </w:p>
              </w:tc>
              <w:tc>
                <w:tcPr>
                  <w:tcW w:w="743" w:type="dxa"/>
                  <w:vMerge w:val="continue"/>
                  <w:vAlign w:val="center"/>
                </w:tcPr>
                <w:p>
                  <w:pPr>
                    <w:pStyle w:val="28"/>
                    <w:rPr>
                      <w:sz w:val="18"/>
                      <w:szCs w:val="18"/>
                    </w:rPr>
                  </w:pPr>
                </w:p>
              </w:tc>
              <w:tc>
                <w:tcPr>
                  <w:tcW w:w="663" w:type="dxa"/>
                  <w:vMerge w:val="continue"/>
                  <w:vAlign w:val="center"/>
                </w:tcPr>
                <w:p>
                  <w:pPr>
                    <w:pStyle w:val="28"/>
                    <w:rPr>
                      <w:sz w:val="18"/>
                      <w:szCs w:val="18"/>
                    </w:rPr>
                  </w:pPr>
                </w:p>
              </w:tc>
              <w:tc>
                <w:tcPr>
                  <w:tcW w:w="1217" w:type="dxa"/>
                  <w:vMerge w:val="continue"/>
                  <w:vAlign w:val="center"/>
                </w:tcPr>
                <w:p>
                  <w:pPr>
                    <w:pStyle w:val="28"/>
                    <w:rPr>
                      <w:sz w:val="18"/>
                      <w:szCs w:val="18"/>
                    </w:rPr>
                  </w:pPr>
                </w:p>
              </w:tc>
              <w:tc>
                <w:tcPr>
                  <w:tcW w:w="662" w:type="dxa"/>
                  <w:vMerge w:val="continue"/>
                  <w:vAlign w:val="center"/>
                </w:tcPr>
                <w:p>
                  <w:pPr>
                    <w:pStyle w:val="28"/>
                    <w:rPr>
                      <w:sz w:val="18"/>
                      <w:szCs w:val="18"/>
                    </w:rPr>
                  </w:pPr>
                </w:p>
              </w:tc>
              <w:tc>
                <w:tcPr>
                  <w:tcW w:w="759" w:type="dxa"/>
                  <w:vMerge w:val="continue"/>
                  <w:vAlign w:val="center"/>
                </w:tcPr>
                <w:p>
                  <w:pPr>
                    <w:pStyle w:val="28"/>
                    <w:rPr>
                      <w:sz w:val="18"/>
                      <w:szCs w:val="18"/>
                    </w:rPr>
                  </w:pPr>
                </w:p>
              </w:tc>
              <w:tc>
                <w:tcPr>
                  <w:tcW w:w="618" w:type="dxa"/>
                  <w:vMerge w:val="continue"/>
                  <w:vAlign w:val="center"/>
                </w:tcPr>
                <w:p>
                  <w:pPr>
                    <w:pStyle w:val="28"/>
                    <w:rPr>
                      <w:sz w:val="18"/>
                      <w:szCs w:val="18"/>
                    </w:rPr>
                  </w:pPr>
                </w:p>
              </w:tc>
              <w:tc>
                <w:tcPr>
                  <w:tcW w:w="1962" w:type="dxa"/>
                  <w:vMerge w:val="continue"/>
                  <w:vAlign w:val="center"/>
                </w:tcPr>
                <w:p>
                  <w:pPr>
                    <w:pStyle w:val="28"/>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vAlign w:val="center"/>
                </w:tcPr>
                <w:p>
                  <w:pPr>
                    <w:pStyle w:val="28"/>
                    <w:rPr>
                      <w:sz w:val="18"/>
                      <w:szCs w:val="18"/>
                    </w:rPr>
                  </w:pPr>
                  <w:r>
                    <w:rPr>
                      <w:rFonts w:hint="eastAsia"/>
                      <w:sz w:val="18"/>
                      <w:szCs w:val="18"/>
                    </w:rPr>
                    <w:t>光伏列阵</w:t>
                  </w:r>
                </w:p>
              </w:tc>
              <w:tc>
                <w:tcPr>
                  <w:tcW w:w="1338" w:type="dxa"/>
                  <w:vAlign w:val="center"/>
                </w:tcPr>
                <w:p>
                  <w:pPr>
                    <w:pStyle w:val="28"/>
                    <w:rPr>
                      <w:sz w:val="18"/>
                      <w:szCs w:val="18"/>
                    </w:rPr>
                  </w:pPr>
                  <w:r>
                    <w:rPr>
                      <w:rFonts w:hint="eastAsia"/>
                      <w:sz w:val="18"/>
                      <w:szCs w:val="18"/>
                    </w:rPr>
                    <w:t>废旧光伏组件</w:t>
                  </w:r>
                </w:p>
              </w:tc>
              <w:tc>
                <w:tcPr>
                  <w:tcW w:w="743" w:type="dxa"/>
                  <w:vAlign w:val="center"/>
                </w:tcPr>
                <w:p>
                  <w:pPr>
                    <w:pStyle w:val="28"/>
                    <w:rPr>
                      <w:sz w:val="18"/>
                      <w:szCs w:val="18"/>
                    </w:rPr>
                  </w:pPr>
                  <w:r>
                    <w:rPr>
                      <w:rFonts w:hint="eastAsia"/>
                      <w:sz w:val="18"/>
                      <w:szCs w:val="18"/>
                    </w:rPr>
                    <w:t>一般固废</w:t>
                  </w:r>
                </w:p>
              </w:tc>
              <w:tc>
                <w:tcPr>
                  <w:tcW w:w="663" w:type="dxa"/>
                  <w:vAlign w:val="center"/>
                </w:tcPr>
                <w:p>
                  <w:pPr>
                    <w:pStyle w:val="28"/>
                    <w:rPr>
                      <w:sz w:val="18"/>
                      <w:szCs w:val="18"/>
                    </w:rPr>
                  </w:pPr>
                  <w:r>
                    <w:rPr>
                      <w:rFonts w:hint="eastAsia"/>
                      <w:sz w:val="18"/>
                      <w:szCs w:val="18"/>
                    </w:rPr>
                    <w:t>固态</w:t>
                  </w:r>
                </w:p>
              </w:tc>
              <w:tc>
                <w:tcPr>
                  <w:tcW w:w="1217" w:type="dxa"/>
                  <w:vAlign w:val="center"/>
                </w:tcPr>
                <w:p>
                  <w:pPr>
                    <w:pStyle w:val="28"/>
                    <w:rPr>
                      <w:sz w:val="18"/>
                      <w:szCs w:val="18"/>
                    </w:rPr>
                  </w:pPr>
                  <w:r>
                    <w:rPr>
                      <w:rFonts w:hint="eastAsia"/>
                      <w:sz w:val="18"/>
                      <w:szCs w:val="18"/>
                    </w:rPr>
                    <w:t>900-015-S17</w:t>
                  </w:r>
                </w:p>
              </w:tc>
              <w:tc>
                <w:tcPr>
                  <w:tcW w:w="662" w:type="dxa"/>
                  <w:vAlign w:val="center"/>
                </w:tcPr>
                <w:p>
                  <w:pPr>
                    <w:pStyle w:val="28"/>
                    <w:rPr>
                      <w:sz w:val="18"/>
                      <w:szCs w:val="18"/>
                    </w:rPr>
                  </w:pPr>
                  <w:r>
                    <w:rPr>
                      <w:rFonts w:hint="eastAsia"/>
                      <w:sz w:val="18"/>
                      <w:szCs w:val="18"/>
                    </w:rPr>
                    <w:t>-</w:t>
                  </w:r>
                </w:p>
              </w:tc>
              <w:tc>
                <w:tcPr>
                  <w:tcW w:w="759" w:type="dxa"/>
                  <w:vAlign w:val="center"/>
                </w:tcPr>
                <w:p>
                  <w:pPr>
                    <w:pStyle w:val="28"/>
                    <w:rPr>
                      <w:sz w:val="18"/>
                      <w:szCs w:val="18"/>
                    </w:rPr>
                  </w:pPr>
                  <w:r>
                    <w:rPr>
                      <w:rFonts w:hint="eastAsia"/>
                      <w:sz w:val="18"/>
                      <w:szCs w:val="18"/>
                    </w:rPr>
                    <w:t>3.31</w:t>
                  </w:r>
                </w:p>
              </w:tc>
              <w:tc>
                <w:tcPr>
                  <w:tcW w:w="618" w:type="dxa"/>
                  <w:vAlign w:val="center"/>
                </w:tcPr>
                <w:p>
                  <w:pPr>
                    <w:pStyle w:val="28"/>
                    <w:rPr>
                      <w:sz w:val="18"/>
                      <w:szCs w:val="18"/>
                    </w:rPr>
                  </w:pPr>
                  <w:r>
                    <w:rPr>
                      <w:rFonts w:hint="eastAsia"/>
                      <w:sz w:val="18"/>
                      <w:szCs w:val="18"/>
                    </w:rPr>
                    <w:t>-</w:t>
                  </w:r>
                </w:p>
              </w:tc>
              <w:tc>
                <w:tcPr>
                  <w:tcW w:w="1962" w:type="dxa"/>
                  <w:vAlign w:val="center"/>
                </w:tcPr>
                <w:p>
                  <w:pPr>
                    <w:pStyle w:val="28"/>
                    <w:rPr>
                      <w:sz w:val="18"/>
                      <w:szCs w:val="18"/>
                    </w:rPr>
                  </w:pPr>
                  <w:r>
                    <w:rPr>
                      <w:rFonts w:hint="eastAsia"/>
                      <w:sz w:val="18"/>
                      <w:szCs w:val="18"/>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vMerge w:val="restart"/>
                  <w:vAlign w:val="center"/>
                </w:tcPr>
                <w:p>
                  <w:pPr>
                    <w:pStyle w:val="28"/>
                    <w:rPr>
                      <w:sz w:val="18"/>
                      <w:szCs w:val="18"/>
                    </w:rPr>
                  </w:pPr>
                  <w:r>
                    <w:rPr>
                      <w:rFonts w:hint="eastAsia"/>
                      <w:sz w:val="18"/>
                      <w:szCs w:val="18"/>
                    </w:rPr>
                    <w:t>升压站</w:t>
                  </w:r>
                </w:p>
              </w:tc>
              <w:tc>
                <w:tcPr>
                  <w:tcW w:w="1338" w:type="dxa"/>
                  <w:vAlign w:val="center"/>
                </w:tcPr>
                <w:p>
                  <w:pPr>
                    <w:pStyle w:val="28"/>
                    <w:rPr>
                      <w:sz w:val="18"/>
                      <w:szCs w:val="18"/>
                    </w:rPr>
                  </w:pPr>
                  <w:r>
                    <w:rPr>
                      <w:rFonts w:hint="eastAsia"/>
                      <w:sz w:val="18"/>
                      <w:szCs w:val="18"/>
                    </w:rPr>
                    <w:t>废变压油</w:t>
                  </w:r>
                </w:p>
              </w:tc>
              <w:tc>
                <w:tcPr>
                  <w:tcW w:w="743" w:type="dxa"/>
                  <w:vMerge w:val="restart"/>
                  <w:vAlign w:val="center"/>
                </w:tcPr>
                <w:p>
                  <w:pPr>
                    <w:pStyle w:val="28"/>
                    <w:rPr>
                      <w:sz w:val="18"/>
                      <w:szCs w:val="18"/>
                    </w:rPr>
                  </w:pPr>
                  <w:r>
                    <w:rPr>
                      <w:rFonts w:hint="eastAsia"/>
                      <w:sz w:val="18"/>
                      <w:szCs w:val="18"/>
                    </w:rPr>
                    <w:t>危险废物</w:t>
                  </w:r>
                </w:p>
              </w:tc>
              <w:tc>
                <w:tcPr>
                  <w:tcW w:w="663" w:type="dxa"/>
                  <w:vAlign w:val="center"/>
                </w:tcPr>
                <w:p>
                  <w:pPr>
                    <w:pStyle w:val="28"/>
                    <w:rPr>
                      <w:sz w:val="18"/>
                      <w:szCs w:val="18"/>
                    </w:rPr>
                  </w:pPr>
                  <w:r>
                    <w:rPr>
                      <w:rFonts w:hint="eastAsia"/>
                      <w:sz w:val="18"/>
                      <w:szCs w:val="18"/>
                    </w:rPr>
                    <w:t>液态</w:t>
                  </w:r>
                </w:p>
              </w:tc>
              <w:tc>
                <w:tcPr>
                  <w:tcW w:w="1217" w:type="dxa"/>
                  <w:vAlign w:val="center"/>
                </w:tcPr>
                <w:p>
                  <w:pPr>
                    <w:pStyle w:val="28"/>
                    <w:rPr>
                      <w:sz w:val="18"/>
                      <w:szCs w:val="18"/>
                    </w:rPr>
                  </w:pPr>
                  <w:r>
                    <w:rPr>
                      <w:rFonts w:hint="eastAsia"/>
                      <w:sz w:val="18"/>
                      <w:szCs w:val="18"/>
                    </w:rPr>
                    <w:t>900-220-08</w:t>
                  </w:r>
                </w:p>
              </w:tc>
              <w:tc>
                <w:tcPr>
                  <w:tcW w:w="662" w:type="dxa"/>
                  <w:vAlign w:val="center"/>
                </w:tcPr>
                <w:p>
                  <w:pPr>
                    <w:pStyle w:val="28"/>
                    <w:rPr>
                      <w:sz w:val="18"/>
                      <w:szCs w:val="18"/>
                    </w:rPr>
                  </w:pPr>
                  <w:r>
                    <w:rPr>
                      <w:rFonts w:hint="eastAsia"/>
                      <w:sz w:val="18"/>
                      <w:szCs w:val="18"/>
                    </w:rPr>
                    <w:t>T，I</w:t>
                  </w:r>
                </w:p>
              </w:tc>
              <w:tc>
                <w:tcPr>
                  <w:tcW w:w="759" w:type="dxa"/>
                  <w:vAlign w:val="center"/>
                </w:tcPr>
                <w:p>
                  <w:pPr>
                    <w:pStyle w:val="28"/>
                    <w:rPr>
                      <w:sz w:val="18"/>
                      <w:szCs w:val="18"/>
                    </w:rPr>
                  </w:pPr>
                  <w:r>
                    <w:rPr>
                      <w:rFonts w:hint="eastAsia"/>
                      <w:sz w:val="18"/>
                      <w:szCs w:val="18"/>
                    </w:rPr>
                    <w:t>8t/5a</w:t>
                  </w:r>
                </w:p>
              </w:tc>
              <w:tc>
                <w:tcPr>
                  <w:tcW w:w="618" w:type="dxa"/>
                  <w:vAlign w:val="center"/>
                </w:tcPr>
                <w:p>
                  <w:pPr>
                    <w:pStyle w:val="28"/>
                    <w:rPr>
                      <w:sz w:val="18"/>
                      <w:szCs w:val="18"/>
                    </w:rPr>
                  </w:pPr>
                  <w:r>
                    <w:rPr>
                      <w:rFonts w:hint="eastAsia"/>
                      <w:sz w:val="18"/>
                      <w:szCs w:val="18"/>
                    </w:rPr>
                    <w:t>桶装密封</w:t>
                  </w:r>
                </w:p>
              </w:tc>
              <w:tc>
                <w:tcPr>
                  <w:tcW w:w="1962" w:type="dxa"/>
                  <w:vAlign w:val="center"/>
                </w:tcPr>
                <w:p>
                  <w:pPr>
                    <w:pStyle w:val="28"/>
                    <w:rPr>
                      <w:sz w:val="18"/>
                      <w:szCs w:val="18"/>
                    </w:rPr>
                  </w:pPr>
                  <w:r>
                    <w:rPr>
                      <w:rFonts w:hint="eastAsia"/>
                      <w:sz w:val="18"/>
                      <w:szCs w:val="18"/>
                    </w:rPr>
                    <w:t>暂存于</w:t>
                  </w:r>
                  <w:r>
                    <w:rPr>
                      <w:rFonts w:hint="eastAsia"/>
                      <w:sz w:val="18"/>
                      <w:szCs w:val="18"/>
                      <w:lang w:eastAsia="zh-CN"/>
                    </w:rPr>
                    <w:t>危废贮存点</w:t>
                  </w:r>
                  <w:r>
                    <w:rPr>
                      <w:rFonts w:hint="eastAsia"/>
                      <w:sz w:val="18"/>
                      <w:szCs w:val="18"/>
                    </w:rPr>
                    <w:t>，定期交由有危废处置资质的单位进行处理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vMerge w:val="continue"/>
                  <w:vAlign w:val="center"/>
                </w:tcPr>
                <w:p>
                  <w:pPr>
                    <w:pStyle w:val="28"/>
                    <w:rPr>
                      <w:sz w:val="18"/>
                      <w:szCs w:val="18"/>
                    </w:rPr>
                  </w:pPr>
                </w:p>
              </w:tc>
              <w:tc>
                <w:tcPr>
                  <w:tcW w:w="1338" w:type="dxa"/>
                  <w:vAlign w:val="center"/>
                </w:tcPr>
                <w:p>
                  <w:pPr>
                    <w:pStyle w:val="28"/>
                    <w:rPr>
                      <w:sz w:val="18"/>
                      <w:szCs w:val="18"/>
                    </w:rPr>
                  </w:pPr>
                  <w:r>
                    <w:rPr>
                      <w:rFonts w:hint="eastAsia"/>
                      <w:sz w:val="18"/>
                      <w:szCs w:val="18"/>
                    </w:rPr>
                    <w:t>废铅蓄电池</w:t>
                  </w:r>
                </w:p>
              </w:tc>
              <w:tc>
                <w:tcPr>
                  <w:tcW w:w="743" w:type="dxa"/>
                  <w:vMerge w:val="continue"/>
                  <w:vAlign w:val="center"/>
                </w:tcPr>
                <w:p>
                  <w:pPr>
                    <w:pStyle w:val="28"/>
                    <w:rPr>
                      <w:sz w:val="18"/>
                      <w:szCs w:val="18"/>
                    </w:rPr>
                  </w:pPr>
                </w:p>
              </w:tc>
              <w:tc>
                <w:tcPr>
                  <w:tcW w:w="663" w:type="dxa"/>
                  <w:vAlign w:val="center"/>
                </w:tcPr>
                <w:p>
                  <w:pPr>
                    <w:pStyle w:val="28"/>
                    <w:rPr>
                      <w:sz w:val="18"/>
                      <w:szCs w:val="18"/>
                    </w:rPr>
                  </w:pPr>
                  <w:r>
                    <w:rPr>
                      <w:rFonts w:hint="eastAsia"/>
                      <w:sz w:val="18"/>
                      <w:szCs w:val="18"/>
                    </w:rPr>
                    <w:t>固态</w:t>
                  </w:r>
                </w:p>
              </w:tc>
              <w:tc>
                <w:tcPr>
                  <w:tcW w:w="1217" w:type="dxa"/>
                  <w:vAlign w:val="center"/>
                </w:tcPr>
                <w:p>
                  <w:pPr>
                    <w:pStyle w:val="28"/>
                    <w:rPr>
                      <w:sz w:val="18"/>
                      <w:szCs w:val="18"/>
                    </w:rPr>
                  </w:pPr>
                  <w:r>
                    <w:rPr>
                      <w:rFonts w:hint="eastAsia"/>
                      <w:sz w:val="18"/>
                      <w:szCs w:val="18"/>
                    </w:rPr>
                    <w:t>900-052-31</w:t>
                  </w:r>
                </w:p>
              </w:tc>
              <w:tc>
                <w:tcPr>
                  <w:tcW w:w="662" w:type="dxa"/>
                  <w:vAlign w:val="center"/>
                </w:tcPr>
                <w:p>
                  <w:pPr>
                    <w:pStyle w:val="28"/>
                    <w:rPr>
                      <w:sz w:val="18"/>
                      <w:szCs w:val="18"/>
                    </w:rPr>
                  </w:pPr>
                  <w:r>
                    <w:rPr>
                      <w:rFonts w:hint="eastAsia"/>
                      <w:sz w:val="18"/>
                      <w:szCs w:val="18"/>
                    </w:rPr>
                    <w:t>T，I</w:t>
                  </w:r>
                </w:p>
              </w:tc>
              <w:tc>
                <w:tcPr>
                  <w:tcW w:w="759" w:type="dxa"/>
                  <w:vAlign w:val="center"/>
                </w:tcPr>
                <w:p>
                  <w:pPr>
                    <w:pStyle w:val="28"/>
                    <w:rPr>
                      <w:sz w:val="18"/>
                      <w:szCs w:val="18"/>
                    </w:rPr>
                  </w:pPr>
                  <w:r>
                    <w:rPr>
                      <w:rFonts w:hint="eastAsia"/>
                      <w:sz w:val="18"/>
                      <w:szCs w:val="18"/>
                    </w:rPr>
                    <w:t>3t/5a</w:t>
                  </w:r>
                </w:p>
              </w:tc>
              <w:tc>
                <w:tcPr>
                  <w:tcW w:w="618" w:type="dxa"/>
                  <w:vAlign w:val="center"/>
                </w:tcPr>
                <w:p>
                  <w:pPr>
                    <w:pStyle w:val="28"/>
                    <w:rPr>
                      <w:rFonts w:hint="eastAsia" w:eastAsia="宋体"/>
                      <w:sz w:val="18"/>
                      <w:szCs w:val="18"/>
                      <w:lang w:val="en-US" w:eastAsia="zh-CN"/>
                    </w:rPr>
                  </w:pPr>
                  <w:r>
                    <w:rPr>
                      <w:rFonts w:hint="eastAsia"/>
                      <w:sz w:val="18"/>
                      <w:szCs w:val="18"/>
                      <w:lang w:val="en-US" w:eastAsia="zh-CN"/>
                    </w:rPr>
                    <w:t>码放</w:t>
                  </w:r>
                </w:p>
              </w:tc>
              <w:tc>
                <w:tcPr>
                  <w:tcW w:w="1962" w:type="dxa"/>
                  <w:vAlign w:val="center"/>
                </w:tcPr>
                <w:p>
                  <w:pPr>
                    <w:pStyle w:val="28"/>
                    <w:rPr>
                      <w:sz w:val="18"/>
                      <w:szCs w:val="18"/>
                    </w:rPr>
                  </w:pPr>
                  <w:r>
                    <w:rPr>
                      <w:sz w:val="18"/>
                      <w:szCs w:val="18"/>
                    </w:rPr>
                    <w:t>交有资质单位处置，不在站内暂存。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vMerge w:val="continue"/>
                  <w:vAlign w:val="center"/>
                </w:tcPr>
                <w:p>
                  <w:pPr>
                    <w:pStyle w:val="28"/>
                    <w:rPr>
                      <w:sz w:val="18"/>
                      <w:szCs w:val="18"/>
                    </w:rPr>
                  </w:pPr>
                </w:p>
              </w:tc>
              <w:tc>
                <w:tcPr>
                  <w:tcW w:w="1338" w:type="dxa"/>
                  <w:vAlign w:val="center"/>
                </w:tcPr>
                <w:p>
                  <w:pPr>
                    <w:pStyle w:val="28"/>
                    <w:rPr>
                      <w:sz w:val="18"/>
                      <w:szCs w:val="18"/>
                    </w:rPr>
                  </w:pPr>
                  <w:r>
                    <w:rPr>
                      <w:rFonts w:hint="eastAsia"/>
                      <w:sz w:val="18"/>
                      <w:szCs w:val="18"/>
                    </w:rPr>
                    <w:t>含油棉纱、手套</w:t>
                  </w:r>
                </w:p>
              </w:tc>
              <w:tc>
                <w:tcPr>
                  <w:tcW w:w="743" w:type="dxa"/>
                  <w:vMerge w:val="continue"/>
                  <w:vAlign w:val="center"/>
                </w:tcPr>
                <w:p>
                  <w:pPr>
                    <w:pStyle w:val="28"/>
                    <w:rPr>
                      <w:sz w:val="18"/>
                      <w:szCs w:val="18"/>
                    </w:rPr>
                  </w:pPr>
                </w:p>
              </w:tc>
              <w:tc>
                <w:tcPr>
                  <w:tcW w:w="663" w:type="dxa"/>
                  <w:vAlign w:val="center"/>
                </w:tcPr>
                <w:p>
                  <w:pPr>
                    <w:pStyle w:val="28"/>
                    <w:rPr>
                      <w:sz w:val="18"/>
                      <w:szCs w:val="18"/>
                    </w:rPr>
                  </w:pPr>
                  <w:r>
                    <w:rPr>
                      <w:rFonts w:hint="eastAsia"/>
                      <w:sz w:val="18"/>
                      <w:szCs w:val="18"/>
                    </w:rPr>
                    <w:t>固态</w:t>
                  </w:r>
                </w:p>
              </w:tc>
              <w:tc>
                <w:tcPr>
                  <w:tcW w:w="1217" w:type="dxa"/>
                  <w:vAlign w:val="center"/>
                </w:tcPr>
                <w:p>
                  <w:pPr>
                    <w:pStyle w:val="28"/>
                    <w:rPr>
                      <w:sz w:val="18"/>
                      <w:szCs w:val="18"/>
                    </w:rPr>
                  </w:pPr>
                  <w:r>
                    <w:rPr>
                      <w:rFonts w:hint="eastAsia"/>
                      <w:sz w:val="18"/>
                      <w:szCs w:val="18"/>
                    </w:rPr>
                    <w:t>900-041-49</w:t>
                  </w:r>
                </w:p>
              </w:tc>
              <w:tc>
                <w:tcPr>
                  <w:tcW w:w="662" w:type="dxa"/>
                  <w:vAlign w:val="center"/>
                </w:tcPr>
                <w:p>
                  <w:pPr>
                    <w:pStyle w:val="28"/>
                    <w:rPr>
                      <w:sz w:val="18"/>
                      <w:szCs w:val="18"/>
                    </w:rPr>
                  </w:pPr>
                  <w:r>
                    <w:rPr>
                      <w:rFonts w:hint="eastAsia"/>
                      <w:sz w:val="18"/>
                      <w:szCs w:val="18"/>
                    </w:rPr>
                    <w:t>T，I</w:t>
                  </w:r>
                </w:p>
              </w:tc>
              <w:tc>
                <w:tcPr>
                  <w:tcW w:w="759" w:type="dxa"/>
                  <w:vAlign w:val="center"/>
                </w:tcPr>
                <w:p>
                  <w:pPr>
                    <w:pStyle w:val="28"/>
                    <w:rPr>
                      <w:sz w:val="18"/>
                      <w:szCs w:val="18"/>
                    </w:rPr>
                  </w:pPr>
                  <w:r>
                    <w:rPr>
                      <w:rFonts w:hint="eastAsia"/>
                      <w:sz w:val="18"/>
                      <w:szCs w:val="18"/>
                    </w:rPr>
                    <w:t>0.05</w:t>
                  </w:r>
                </w:p>
              </w:tc>
              <w:tc>
                <w:tcPr>
                  <w:tcW w:w="618" w:type="dxa"/>
                  <w:vAlign w:val="center"/>
                </w:tcPr>
                <w:p>
                  <w:pPr>
                    <w:pStyle w:val="28"/>
                    <w:rPr>
                      <w:sz w:val="18"/>
                      <w:szCs w:val="18"/>
                    </w:rPr>
                  </w:pPr>
                  <w:r>
                    <w:rPr>
                      <w:rFonts w:hint="eastAsia"/>
                      <w:sz w:val="18"/>
                      <w:szCs w:val="18"/>
                    </w:rPr>
                    <w:t>袋装</w:t>
                  </w:r>
                </w:p>
              </w:tc>
              <w:tc>
                <w:tcPr>
                  <w:tcW w:w="1962" w:type="dxa"/>
                  <w:vAlign w:val="center"/>
                </w:tcPr>
                <w:p>
                  <w:pPr>
                    <w:pStyle w:val="28"/>
                    <w:rPr>
                      <w:sz w:val="18"/>
                      <w:szCs w:val="18"/>
                    </w:rPr>
                  </w:pPr>
                  <w:r>
                    <w:rPr>
                      <w:rFonts w:hint="eastAsia"/>
                      <w:sz w:val="18"/>
                      <w:szCs w:val="18"/>
                    </w:rPr>
                    <w:t>暂存于</w:t>
                  </w:r>
                  <w:r>
                    <w:rPr>
                      <w:rFonts w:hint="eastAsia"/>
                      <w:sz w:val="18"/>
                      <w:szCs w:val="18"/>
                      <w:lang w:eastAsia="zh-CN"/>
                    </w:rPr>
                    <w:t>危废贮存点</w:t>
                  </w:r>
                  <w:r>
                    <w:rPr>
                      <w:rFonts w:hint="eastAsia"/>
                      <w:sz w:val="18"/>
                      <w:szCs w:val="18"/>
                    </w:rPr>
                    <w:t>，定期交由有危废处置资质的单位进行处理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dxa"/>
                  <w:vAlign w:val="center"/>
                </w:tcPr>
                <w:p>
                  <w:pPr>
                    <w:pStyle w:val="28"/>
                    <w:rPr>
                      <w:sz w:val="18"/>
                      <w:szCs w:val="18"/>
                    </w:rPr>
                  </w:pPr>
                  <w:r>
                    <w:rPr>
                      <w:rFonts w:hint="eastAsia"/>
                      <w:sz w:val="18"/>
                      <w:szCs w:val="18"/>
                    </w:rPr>
                    <w:t>员工生活</w:t>
                  </w:r>
                </w:p>
              </w:tc>
              <w:tc>
                <w:tcPr>
                  <w:tcW w:w="1338" w:type="dxa"/>
                  <w:vAlign w:val="center"/>
                </w:tcPr>
                <w:p>
                  <w:pPr>
                    <w:pStyle w:val="28"/>
                    <w:rPr>
                      <w:sz w:val="18"/>
                      <w:szCs w:val="18"/>
                    </w:rPr>
                  </w:pPr>
                  <w:r>
                    <w:rPr>
                      <w:rFonts w:hint="eastAsia"/>
                      <w:sz w:val="18"/>
                      <w:szCs w:val="18"/>
                    </w:rPr>
                    <w:t>生活垃圾</w:t>
                  </w:r>
                </w:p>
              </w:tc>
              <w:tc>
                <w:tcPr>
                  <w:tcW w:w="743" w:type="dxa"/>
                  <w:vAlign w:val="center"/>
                </w:tcPr>
                <w:p>
                  <w:pPr>
                    <w:pStyle w:val="28"/>
                    <w:rPr>
                      <w:sz w:val="18"/>
                      <w:szCs w:val="18"/>
                    </w:rPr>
                  </w:pPr>
                  <w:r>
                    <w:rPr>
                      <w:rFonts w:hint="eastAsia"/>
                      <w:sz w:val="18"/>
                      <w:szCs w:val="18"/>
                    </w:rPr>
                    <w:t>生活垃圾</w:t>
                  </w:r>
                </w:p>
              </w:tc>
              <w:tc>
                <w:tcPr>
                  <w:tcW w:w="663" w:type="dxa"/>
                  <w:vAlign w:val="center"/>
                </w:tcPr>
                <w:p>
                  <w:pPr>
                    <w:pStyle w:val="28"/>
                    <w:rPr>
                      <w:sz w:val="18"/>
                      <w:szCs w:val="18"/>
                    </w:rPr>
                  </w:pPr>
                  <w:r>
                    <w:rPr>
                      <w:rFonts w:hint="eastAsia"/>
                      <w:sz w:val="18"/>
                      <w:szCs w:val="18"/>
                    </w:rPr>
                    <w:t>固态</w:t>
                  </w:r>
                </w:p>
              </w:tc>
              <w:tc>
                <w:tcPr>
                  <w:tcW w:w="1217" w:type="dxa"/>
                  <w:vAlign w:val="center"/>
                </w:tcPr>
                <w:p>
                  <w:pPr>
                    <w:pStyle w:val="28"/>
                    <w:rPr>
                      <w:sz w:val="18"/>
                      <w:szCs w:val="18"/>
                    </w:rPr>
                  </w:pPr>
                  <w:r>
                    <w:rPr>
                      <w:rFonts w:hint="eastAsia"/>
                      <w:sz w:val="18"/>
                      <w:szCs w:val="18"/>
                    </w:rPr>
                    <w:t>-</w:t>
                  </w:r>
                </w:p>
              </w:tc>
              <w:tc>
                <w:tcPr>
                  <w:tcW w:w="662" w:type="dxa"/>
                  <w:vAlign w:val="center"/>
                </w:tcPr>
                <w:p>
                  <w:pPr>
                    <w:pStyle w:val="28"/>
                    <w:rPr>
                      <w:sz w:val="18"/>
                      <w:szCs w:val="18"/>
                    </w:rPr>
                  </w:pPr>
                  <w:r>
                    <w:rPr>
                      <w:rFonts w:hint="eastAsia"/>
                      <w:sz w:val="18"/>
                      <w:szCs w:val="18"/>
                    </w:rPr>
                    <w:t>-</w:t>
                  </w:r>
                </w:p>
              </w:tc>
              <w:tc>
                <w:tcPr>
                  <w:tcW w:w="759" w:type="dxa"/>
                  <w:vAlign w:val="center"/>
                </w:tcPr>
                <w:p>
                  <w:pPr>
                    <w:pStyle w:val="28"/>
                    <w:rPr>
                      <w:sz w:val="18"/>
                      <w:szCs w:val="18"/>
                    </w:rPr>
                  </w:pPr>
                  <w:r>
                    <w:rPr>
                      <w:rFonts w:hint="eastAsia"/>
                      <w:sz w:val="18"/>
                      <w:szCs w:val="18"/>
                    </w:rPr>
                    <w:t>1.095</w:t>
                  </w:r>
                </w:p>
              </w:tc>
              <w:tc>
                <w:tcPr>
                  <w:tcW w:w="618" w:type="dxa"/>
                  <w:vAlign w:val="center"/>
                </w:tcPr>
                <w:p>
                  <w:pPr>
                    <w:pStyle w:val="28"/>
                    <w:rPr>
                      <w:sz w:val="18"/>
                      <w:szCs w:val="18"/>
                    </w:rPr>
                  </w:pPr>
                  <w:r>
                    <w:rPr>
                      <w:rFonts w:hint="eastAsia"/>
                      <w:sz w:val="18"/>
                      <w:szCs w:val="18"/>
                    </w:rPr>
                    <w:t>袋装收集</w:t>
                  </w:r>
                </w:p>
              </w:tc>
              <w:tc>
                <w:tcPr>
                  <w:tcW w:w="1962" w:type="dxa"/>
                  <w:vAlign w:val="center"/>
                </w:tcPr>
                <w:p>
                  <w:pPr>
                    <w:pStyle w:val="28"/>
                    <w:rPr>
                      <w:sz w:val="18"/>
                      <w:szCs w:val="18"/>
                    </w:rPr>
                  </w:pPr>
                  <w:r>
                    <w:rPr>
                      <w:rFonts w:hint="eastAsia"/>
                      <w:sz w:val="18"/>
                      <w:szCs w:val="18"/>
                    </w:rPr>
                    <w:t>环卫部门处理</w:t>
                  </w:r>
                </w:p>
              </w:tc>
            </w:tr>
          </w:tbl>
          <w:p>
            <w:pPr>
              <w:pStyle w:val="29"/>
              <w:bidi w:val="0"/>
            </w:pPr>
            <w:r>
              <w:t>根据“关于发布《建设项目危险废物环境影响评价指南》的公告”（</w:t>
            </w:r>
            <w:sdt>
              <w:sdtPr>
                <w:alias w:val="敏感词检查"/>
                <w:id w:val="52311"/>
              </w:sdtPr>
              <w:sdtContent>
                <w:bookmarkStart w:id="15" w:name="bkPolitics52311"/>
                <w:r>
                  <w:t>环境保护部</w:t>
                </w:r>
                <w:bookmarkEnd w:id="15"/>
              </w:sdtContent>
            </w:sdt>
            <w:r>
              <w:t>公告</w:t>
            </w:r>
            <w:sdt>
              <w:sdtPr>
                <w:alias w:val="易错词检查"/>
                <w:id w:val="63240"/>
              </w:sdtPr>
              <w:sdtContent>
                <w:bookmarkStart w:id="16" w:name="bkReivew63240"/>
                <w:r>
                  <w:t>[2017]第43号</w:t>
                </w:r>
                <w:bookmarkEnd w:id="16"/>
              </w:sdtContent>
            </w:sdt>
            <w:r>
              <w:t>），对企业生产过程中产生的危险废物进行统计，企业生产过程中产生的危险废物统计表以及</w:t>
            </w:r>
            <w:r>
              <w:rPr>
                <w:rFonts w:hint="eastAsia"/>
                <w:lang w:val="en-US" w:eastAsia="zh-CN"/>
              </w:rPr>
              <w:t>危废贮存点</w:t>
            </w:r>
            <w:r>
              <w:t>基本情况见下表</w:t>
            </w:r>
            <w:r>
              <w:rPr>
                <w:rFonts w:hint="eastAsia"/>
                <w:lang w:val="en-US" w:eastAsia="zh-CN"/>
              </w:rPr>
              <w:t>4-13</w:t>
            </w:r>
            <w:r>
              <w:t>、表</w:t>
            </w:r>
            <w:r>
              <w:rPr>
                <w:rFonts w:hint="eastAsia"/>
                <w:lang w:val="en-US" w:eastAsia="zh-CN"/>
              </w:rPr>
              <w:t>4-14</w:t>
            </w:r>
            <w:r>
              <w:t>。</w:t>
            </w:r>
          </w:p>
          <w:p>
            <w:pPr>
              <w:pStyle w:val="29"/>
              <w:bidi w:val="0"/>
              <w:ind w:left="0" w:leftChars="0" w:right="0" w:rightChars="0" w:firstLine="0" w:firstLineChars="0"/>
              <w:jc w:val="center"/>
            </w:pPr>
            <w:r>
              <w:t>表</w:t>
            </w:r>
            <w:r>
              <w:rPr>
                <w:rFonts w:hint="eastAsia"/>
                <w:lang w:val="en-US" w:eastAsia="zh-CN"/>
              </w:rPr>
              <w:t xml:space="preserve">4-13  </w:t>
            </w:r>
            <w:r>
              <w:t>项目危险废物产生、处置情况汇总表</w:t>
            </w:r>
          </w:p>
          <w:tbl>
            <w:tblPr>
              <w:tblStyle w:val="14"/>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1"/>
              <w:gridCol w:w="819"/>
              <w:gridCol w:w="790"/>
              <w:gridCol w:w="1060"/>
              <w:gridCol w:w="630"/>
              <w:gridCol w:w="870"/>
              <w:gridCol w:w="500"/>
              <w:gridCol w:w="760"/>
              <w:gridCol w:w="640"/>
              <w:gridCol w:w="660"/>
              <w:gridCol w:w="144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1" w:type="dxa"/>
                  <w:vAlign w:val="center"/>
                </w:tcPr>
                <w:p>
                  <w:pPr>
                    <w:pStyle w:val="28"/>
                    <w:bidi w:val="0"/>
                    <w:rPr>
                      <w:sz w:val="18"/>
                      <w:szCs w:val="18"/>
                    </w:rPr>
                  </w:pPr>
                  <w:r>
                    <w:rPr>
                      <w:sz w:val="18"/>
                      <w:szCs w:val="18"/>
                    </w:rPr>
                    <w:t>序号</w:t>
                  </w:r>
                </w:p>
              </w:tc>
              <w:tc>
                <w:tcPr>
                  <w:tcW w:w="819" w:type="dxa"/>
                  <w:vAlign w:val="center"/>
                </w:tcPr>
                <w:p>
                  <w:pPr>
                    <w:pStyle w:val="28"/>
                    <w:bidi w:val="0"/>
                    <w:rPr>
                      <w:sz w:val="18"/>
                      <w:szCs w:val="18"/>
                    </w:rPr>
                  </w:pPr>
                  <w:r>
                    <w:rPr>
                      <w:sz w:val="18"/>
                      <w:szCs w:val="18"/>
                    </w:rPr>
                    <w:t>危险废物名称</w:t>
                  </w:r>
                </w:p>
              </w:tc>
              <w:tc>
                <w:tcPr>
                  <w:tcW w:w="790" w:type="dxa"/>
                  <w:vAlign w:val="center"/>
                </w:tcPr>
                <w:p>
                  <w:pPr>
                    <w:pStyle w:val="28"/>
                    <w:bidi w:val="0"/>
                    <w:rPr>
                      <w:sz w:val="18"/>
                      <w:szCs w:val="18"/>
                    </w:rPr>
                  </w:pPr>
                  <w:r>
                    <w:rPr>
                      <w:sz w:val="18"/>
                      <w:szCs w:val="18"/>
                    </w:rPr>
                    <w:t>危险废物类别</w:t>
                  </w:r>
                </w:p>
              </w:tc>
              <w:tc>
                <w:tcPr>
                  <w:tcW w:w="1060" w:type="dxa"/>
                  <w:vAlign w:val="center"/>
                </w:tcPr>
                <w:p>
                  <w:pPr>
                    <w:pStyle w:val="28"/>
                    <w:bidi w:val="0"/>
                    <w:rPr>
                      <w:sz w:val="18"/>
                      <w:szCs w:val="18"/>
                    </w:rPr>
                  </w:pPr>
                  <w:r>
                    <w:rPr>
                      <w:sz w:val="18"/>
                      <w:szCs w:val="18"/>
                    </w:rPr>
                    <w:t>危险废物代码</w:t>
                  </w:r>
                </w:p>
              </w:tc>
              <w:tc>
                <w:tcPr>
                  <w:tcW w:w="630" w:type="dxa"/>
                  <w:vAlign w:val="center"/>
                </w:tcPr>
                <w:p>
                  <w:pPr>
                    <w:pStyle w:val="28"/>
                    <w:bidi w:val="0"/>
                    <w:rPr>
                      <w:sz w:val="18"/>
                      <w:szCs w:val="18"/>
                    </w:rPr>
                  </w:pPr>
                  <w:r>
                    <w:rPr>
                      <w:sz w:val="18"/>
                      <w:szCs w:val="18"/>
                    </w:rPr>
                    <w:t>产生量t/a</w:t>
                  </w:r>
                </w:p>
              </w:tc>
              <w:tc>
                <w:tcPr>
                  <w:tcW w:w="870" w:type="dxa"/>
                  <w:vAlign w:val="center"/>
                </w:tcPr>
                <w:p>
                  <w:pPr>
                    <w:pStyle w:val="28"/>
                    <w:bidi w:val="0"/>
                    <w:rPr>
                      <w:sz w:val="18"/>
                      <w:szCs w:val="18"/>
                    </w:rPr>
                  </w:pPr>
                  <w:r>
                    <w:rPr>
                      <w:sz w:val="18"/>
                      <w:szCs w:val="18"/>
                    </w:rPr>
                    <w:t>产生工序、装置</w:t>
                  </w:r>
                </w:p>
              </w:tc>
              <w:tc>
                <w:tcPr>
                  <w:tcW w:w="500" w:type="dxa"/>
                  <w:vAlign w:val="center"/>
                </w:tcPr>
                <w:p>
                  <w:pPr>
                    <w:pStyle w:val="28"/>
                    <w:bidi w:val="0"/>
                    <w:rPr>
                      <w:sz w:val="18"/>
                      <w:szCs w:val="18"/>
                    </w:rPr>
                  </w:pPr>
                  <w:r>
                    <w:rPr>
                      <w:sz w:val="18"/>
                      <w:szCs w:val="18"/>
                    </w:rPr>
                    <w:t>形态</w:t>
                  </w:r>
                </w:p>
              </w:tc>
              <w:tc>
                <w:tcPr>
                  <w:tcW w:w="760" w:type="dxa"/>
                  <w:vAlign w:val="center"/>
                </w:tcPr>
                <w:p>
                  <w:pPr>
                    <w:pStyle w:val="28"/>
                    <w:bidi w:val="0"/>
                    <w:rPr>
                      <w:sz w:val="18"/>
                      <w:szCs w:val="18"/>
                    </w:rPr>
                  </w:pPr>
                  <w:r>
                    <w:rPr>
                      <w:sz w:val="18"/>
                      <w:szCs w:val="18"/>
                    </w:rPr>
                    <w:t>有害成分</w:t>
                  </w:r>
                </w:p>
              </w:tc>
              <w:tc>
                <w:tcPr>
                  <w:tcW w:w="640" w:type="dxa"/>
                  <w:vAlign w:val="center"/>
                </w:tcPr>
                <w:p>
                  <w:pPr>
                    <w:pStyle w:val="28"/>
                    <w:bidi w:val="0"/>
                    <w:rPr>
                      <w:sz w:val="18"/>
                      <w:szCs w:val="18"/>
                    </w:rPr>
                  </w:pPr>
                  <w:r>
                    <w:rPr>
                      <w:sz w:val="18"/>
                      <w:szCs w:val="18"/>
                    </w:rPr>
                    <w:t>产废周期</w:t>
                  </w:r>
                </w:p>
              </w:tc>
              <w:tc>
                <w:tcPr>
                  <w:tcW w:w="660" w:type="dxa"/>
                  <w:vAlign w:val="center"/>
                </w:tcPr>
                <w:p>
                  <w:pPr>
                    <w:pStyle w:val="28"/>
                    <w:bidi w:val="0"/>
                    <w:rPr>
                      <w:sz w:val="18"/>
                      <w:szCs w:val="18"/>
                    </w:rPr>
                  </w:pPr>
                  <w:r>
                    <w:rPr>
                      <w:sz w:val="18"/>
                      <w:szCs w:val="18"/>
                    </w:rPr>
                    <w:t>危险特性</w:t>
                  </w:r>
                </w:p>
              </w:tc>
              <w:tc>
                <w:tcPr>
                  <w:tcW w:w="1443" w:type="dxa"/>
                  <w:vAlign w:val="center"/>
                </w:tcPr>
                <w:p>
                  <w:pPr>
                    <w:pStyle w:val="28"/>
                    <w:bidi w:val="0"/>
                    <w:rPr>
                      <w:sz w:val="18"/>
                      <w:szCs w:val="18"/>
                    </w:rPr>
                  </w:pPr>
                  <w:r>
                    <w:rPr>
                      <w:sz w:val="18"/>
                      <w:szCs w:val="18"/>
                    </w:rPr>
                    <w:t>污染防治措施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1" w:type="dxa"/>
                  <w:vAlign w:val="center"/>
                </w:tcPr>
                <w:p>
                  <w:pPr>
                    <w:pStyle w:val="28"/>
                    <w:bidi w:val="0"/>
                    <w:rPr>
                      <w:sz w:val="18"/>
                      <w:szCs w:val="18"/>
                    </w:rPr>
                  </w:pPr>
                  <w:r>
                    <w:rPr>
                      <w:sz w:val="18"/>
                      <w:szCs w:val="18"/>
                    </w:rPr>
                    <w:t>1</w:t>
                  </w:r>
                </w:p>
              </w:tc>
              <w:tc>
                <w:tcPr>
                  <w:tcW w:w="819" w:type="dxa"/>
                  <w:vAlign w:val="center"/>
                </w:tcPr>
                <w:p>
                  <w:pPr>
                    <w:pStyle w:val="28"/>
                    <w:bidi w:val="0"/>
                    <w:rPr>
                      <w:sz w:val="18"/>
                      <w:szCs w:val="18"/>
                    </w:rPr>
                  </w:pPr>
                  <w:r>
                    <w:rPr>
                      <w:sz w:val="18"/>
                      <w:szCs w:val="18"/>
                    </w:rPr>
                    <w:t>废变压器油</w:t>
                  </w:r>
                </w:p>
              </w:tc>
              <w:tc>
                <w:tcPr>
                  <w:tcW w:w="790" w:type="dxa"/>
                  <w:vAlign w:val="center"/>
                </w:tcPr>
                <w:p>
                  <w:pPr>
                    <w:pStyle w:val="28"/>
                    <w:bidi w:val="0"/>
                    <w:rPr>
                      <w:sz w:val="18"/>
                      <w:szCs w:val="18"/>
                    </w:rPr>
                  </w:pPr>
                  <w:r>
                    <w:rPr>
                      <w:sz w:val="18"/>
                      <w:szCs w:val="18"/>
                    </w:rPr>
                    <w:t>HW08</w:t>
                  </w:r>
                </w:p>
              </w:tc>
              <w:tc>
                <w:tcPr>
                  <w:tcW w:w="1060" w:type="dxa"/>
                  <w:vAlign w:val="center"/>
                </w:tcPr>
                <w:p>
                  <w:pPr>
                    <w:pStyle w:val="28"/>
                    <w:rPr>
                      <w:sz w:val="18"/>
                      <w:szCs w:val="18"/>
                    </w:rPr>
                  </w:pPr>
                  <w:r>
                    <w:rPr>
                      <w:rFonts w:hint="eastAsia"/>
                      <w:sz w:val="18"/>
                      <w:szCs w:val="18"/>
                    </w:rPr>
                    <w:t>900-220-08</w:t>
                  </w:r>
                </w:p>
              </w:tc>
              <w:tc>
                <w:tcPr>
                  <w:tcW w:w="630" w:type="dxa"/>
                  <w:vAlign w:val="center"/>
                </w:tcPr>
                <w:p>
                  <w:pPr>
                    <w:pStyle w:val="28"/>
                    <w:rPr>
                      <w:rFonts w:hint="default"/>
                      <w:sz w:val="18"/>
                      <w:szCs w:val="18"/>
                      <w:lang w:val="en-US" w:eastAsia="zh-CN"/>
                    </w:rPr>
                  </w:pPr>
                  <w:r>
                    <w:rPr>
                      <w:rFonts w:hint="eastAsia"/>
                      <w:sz w:val="18"/>
                      <w:szCs w:val="18"/>
                    </w:rPr>
                    <w:t>8t/5a</w:t>
                  </w:r>
                </w:p>
              </w:tc>
              <w:tc>
                <w:tcPr>
                  <w:tcW w:w="870" w:type="dxa"/>
                  <w:vAlign w:val="center"/>
                </w:tcPr>
                <w:p>
                  <w:pPr>
                    <w:pStyle w:val="28"/>
                    <w:bidi w:val="0"/>
                    <w:rPr>
                      <w:rFonts w:hint="eastAsia"/>
                      <w:sz w:val="18"/>
                      <w:szCs w:val="18"/>
                      <w:lang w:eastAsia="zh-CN"/>
                    </w:rPr>
                  </w:pPr>
                  <w:r>
                    <w:rPr>
                      <w:sz w:val="18"/>
                      <w:szCs w:val="18"/>
                    </w:rPr>
                    <w:t>变压器油保养及</w:t>
                  </w:r>
                  <w:r>
                    <w:rPr>
                      <w:rFonts w:hint="eastAsia"/>
                      <w:sz w:val="18"/>
                      <w:szCs w:val="18"/>
                      <w:lang w:eastAsia="zh-CN"/>
                    </w:rPr>
                    <w:t>巡检</w:t>
                  </w:r>
                </w:p>
              </w:tc>
              <w:tc>
                <w:tcPr>
                  <w:tcW w:w="500" w:type="dxa"/>
                  <w:vAlign w:val="center"/>
                </w:tcPr>
                <w:p>
                  <w:pPr>
                    <w:pStyle w:val="28"/>
                    <w:bidi w:val="0"/>
                    <w:rPr>
                      <w:sz w:val="18"/>
                      <w:szCs w:val="18"/>
                    </w:rPr>
                  </w:pPr>
                  <w:r>
                    <w:rPr>
                      <w:sz w:val="18"/>
                      <w:szCs w:val="18"/>
                    </w:rPr>
                    <w:t>液态</w:t>
                  </w:r>
                </w:p>
              </w:tc>
              <w:tc>
                <w:tcPr>
                  <w:tcW w:w="760" w:type="dxa"/>
                  <w:vAlign w:val="center"/>
                </w:tcPr>
                <w:p>
                  <w:pPr>
                    <w:pStyle w:val="28"/>
                    <w:bidi w:val="0"/>
                    <w:rPr>
                      <w:sz w:val="18"/>
                      <w:szCs w:val="18"/>
                    </w:rPr>
                  </w:pPr>
                  <w:r>
                    <w:rPr>
                      <w:sz w:val="18"/>
                      <w:szCs w:val="18"/>
                    </w:rPr>
                    <w:t>石油类等</w:t>
                  </w:r>
                </w:p>
              </w:tc>
              <w:tc>
                <w:tcPr>
                  <w:tcW w:w="640" w:type="dxa"/>
                  <w:vAlign w:val="center"/>
                </w:tcPr>
                <w:p>
                  <w:pPr>
                    <w:pStyle w:val="28"/>
                    <w:bidi w:val="0"/>
                    <w:rPr>
                      <w:sz w:val="18"/>
                      <w:szCs w:val="18"/>
                    </w:rPr>
                  </w:pPr>
                  <w:r>
                    <w:rPr>
                      <w:sz w:val="18"/>
                      <w:szCs w:val="18"/>
                    </w:rPr>
                    <w:t>不定期</w:t>
                  </w:r>
                </w:p>
              </w:tc>
              <w:tc>
                <w:tcPr>
                  <w:tcW w:w="660" w:type="dxa"/>
                  <w:vAlign w:val="center"/>
                </w:tcPr>
                <w:p>
                  <w:pPr>
                    <w:pStyle w:val="28"/>
                    <w:bidi w:val="0"/>
                    <w:rPr>
                      <w:sz w:val="18"/>
                      <w:szCs w:val="18"/>
                    </w:rPr>
                  </w:pPr>
                  <w:r>
                    <w:rPr>
                      <w:sz w:val="18"/>
                      <w:szCs w:val="18"/>
                    </w:rPr>
                    <w:t>T</w:t>
                  </w:r>
                  <w:sdt>
                    <w:sdtPr>
                      <w:rPr>
                        <w:sz w:val="18"/>
                        <w:szCs w:val="18"/>
                      </w:rPr>
                      <w:alias w:val="标点符号检查"/>
                      <w:id w:val="3173801"/>
                    </w:sdtPr>
                    <w:sdtEndPr>
                      <w:rPr>
                        <w:sz w:val="18"/>
                        <w:szCs w:val="18"/>
                      </w:rPr>
                    </w:sdtEndPr>
                    <w:sdtContent>
                      <w:bookmarkStart w:id="17" w:name="bkReivew3173801"/>
                      <w:r>
                        <w:rPr>
                          <w:sz w:val="18"/>
                          <w:szCs w:val="18"/>
                        </w:rPr>
                        <w:t>，</w:t>
                      </w:r>
                      <w:bookmarkEnd w:id="17"/>
                    </w:sdtContent>
                  </w:sdt>
                  <w:r>
                    <w:rPr>
                      <w:sz w:val="18"/>
                      <w:szCs w:val="18"/>
                    </w:rPr>
                    <w:t>I</w:t>
                  </w:r>
                </w:p>
              </w:tc>
              <w:tc>
                <w:tcPr>
                  <w:tcW w:w="1443" w:type="dxa"/>
                  <w:vMerge w:val="restart"/>
                  <w:vAlign w:val="center"/>
                </w:tcPr>
                <w:p>
                  <w:pPr>
                    <w:pStyle w:val="28"/>
                    <w:bidi w:val="0"/>
                    <w:rPr>
                      <w:sz w:val="18"/>
                      <w:szCs w:val="18"/>
                    </w:rPr>
                  </w:pPr>
                  <w:r>
                    <w:rPr>
                      <w:sz w:val="18"/>
                      <w:szCs w:val="18"/>
                    </w:rPr>
                    <w:t>分类收集暂存在</w:t>
                  </w:r>
                  <w:r>
                    <w:rPr>
                      <w:rFonts w:hint="eastAsia"/>
                      <w:sz w:val="18"/>
                      <w:szCs w:val="18"/>
                      <w:lang w:eastAsia="zh-CN"/>
                    </w:rPr>
                    <w:t>危废贮存点</w:t>
                  </w:r>
                  <w:r>
                    <w:rPr>
                      <w:sz w:val="18"/>
                      <w:szCs w:val="18"/>
                    </w:rPr>
                    <w:t>，</w:t>
                  </w:r>
                  <w:r>
                    <w:rPr>
                      <w:rFonts w:hint="eastAsia"/>
                      <w:sz w:val="18"/>
                      <w:szCs w:val="18"/>
                      <w:lang w:val="en-US" w:eastAsia="zh-CN"/>
                    </w:rPr>
                    <w:t>26.16</w:t>
                  </w:r>
                  <w:r>
                    <w:rPr>
                      <w:sz w:val="18"/>
                      <w:szCs w:val="18"/>
                    </w:rPr>
                    <w:t>m</w:t>
                  </w:r>
                  <w:r>
                    <w:rPr>
                      <w:sz w:val="18"/>
                      <w:szCs w:val="18"/>
                      <w:vertAlign w:val="superscript"/>
                    </w:rPr>
                    <w:t>2</w:t>
                  </w:r>
                  <w:r>
                    <w:rPr>
                      <w:sz w:val="18"/>
                      <w:szCs w:val="18"/>
                    </w:rPr>
                    <w:t>，采取</w:t>
                  </w:r>
                  <w:r>
                    <w:rPr>
                      <w:rFonts w:hint="eastAsia"/>
                      <w:sz w:val="18"/>
                      <w:szCs w:val="18"/>
                      <w:lang w:val="en-US" w:eastAsia="zh-CN"/>
                    </w:rPr>
                    <w:t>防风、防晒、防雨、防漏、防渗、防腐</w:t>
                  </w:r>
                  <w:r>
                    <w:rPr>
                      <w:sz w:val="18"/>
                      <w:szCs w:val="18"/>
                    </w:rPr>
                    <w:t>等措施；容器下设托盘，定期由危废资质单位处理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1" w:type="dxa"/>
                  <w:vAlign w:val="center"/>
                </w:tcPr>
                <w:p>
                  <w:pPr>
                    <w:pStyle w:val="28"/>
                    <w:bidi w:val="0"/>
                    <w:rPr>
                      <w:sz w:val="18"/>
                      <w:szCs w:val="18"/>
                    </w:rPr>
                  </w:pPr>
                  <w:r>
                    <w:rPr>
                      <w:sz w:val="18"/>
                      <w:szCs w:val="18"/>
                    </w:rPr>
                    <w:t>2</w:t>
                  </w:r>
                </w:p>
              </w:tc>
              <w:tc>
                <w:tcPr>
                  <w:tcW w:w="819" w:type="dxa"/>
                  <w:vAlign w:val="center"/>
                </w:tcPr>
                <w:p>
                  <w:pPr>
                    <w:pStyle w:val="28"/>
                    <w:bidi w:val="0"/>
                    <w:rPr>
                      <w:rFonts w:ascii="Times New Roman" w:hAnsi="Times New Roman" w:eastAsia="宋体" w:cs="Times New Roman"/>
                      <w:sz w:val="18"/>
                      <w:szCs w:val="18"/>
                      <w:lang w:val="en-US" w:eastAsia="zh-CN" w:bidi="ar-SA"/>
                    </w:rPr>
                  </w:pPr>
                  <w:r>
                    <w:rPr>
                      <w:sz w:val="18"/>
                      <w:szCs w:val="18"/>
                    </w:rPr>
                    <w:t>含油棉纱手套</w:t>
                  </w:r>
                </w:p>
              </w:tc>
              <w:tc>
                <w:tcPr>
                  <w:tcW w:w="790" w:type="dxa"/>
                  <w:vAlign w:val="center"/>
                </w:tcPr>
                <w:p>
                  <w:pPr>
                    <w:pStyle w:val="28"/>
                    <w:bidi w:val="0"/>
                    <w:rPr>
                      <w:rFonts w:ascii="Times New Roman" w:hAnsi="Times New Roman" w:eastAsia="宋体" w:cs="Times New Roman"/>
                      <w:sz w:val="18"/>
                      <w:szCs w:val="18"/>
                      <w:lang w:val="en-US" w:eastAsia="zh-CN" w:bidi="ar-SA"/>
                    </w:rPr>
                  </w:pPr>
                  <w:r>
                    <w:rPr>
                      <w:sz w:val="18"/>
                      <w:szCs w:val="18"/>
                    </w:rPr>
                    <w:t>HW49</w:t>
                  </w:r>
                </w:p>
              </w:tc>
              <w:tc>
                <w:tcPr>
                  <w:tcW w:w="1060" w:type="dxa"/>
                  <w:vAlign w:val="center"/>
                </w:tcPr>
                <w:p>
                  <w:pPr>
                    <w:pStyle w:val="28"/>
                    <w:rPr>
                      <w:rFonts w:ascii="Times New Roman" w:hAnsi="Times New Roman" w:eastAsia="宋体" w:cs="Times New Roman"/>
                      <w:sz w:val="18"/>
                      <w:szCs w:val="18"/>
                      <w:lang w:val="en-US" w:eastAsia="zh-CN" w:bidi="ar-SA"/>
                    </w:rPr>
                  </w:pPr>
                  <w:r>
                    <w:rPr>
                      <w:rFonts w:hint="eastAsia"/>
                      <w:sz w:val="18"/>
                      <w:szCs w:val="18"/>
                    </w:rPr>
                    <w:t>900-041-49</w:t>
                  </w:r>
                </w:p>
              </w:tc>
              <w:tc>
                <w:tcPr>
                  <w:tcW w:w="630" w:type="dxa"/>
                  <w:vAlign w:val="center"/>
                </w:tcPr>
                <w:p>
                  <w:pPr>
                    <w:pStyle w:val="28"/>
                    <w:rPr>
                      <w:rFonts w:hint="eastAsia" w:ascii="Times New Roman" w:hAnsi="Times New Roman" w:eastAsia="宋体" w:cs="Times New Roman"/>
                      <w:sz w:val="18"/>
                      <w:szCs w:val="18"/>
                      <w:lang w:val="en-US" w:eastAsia="zh-CN" w:bidi="ar-SA"/>
                    </w:rPr>
                  </w:pPr>
                  <w:r>
                    <w:rPr>
                      <w:rFonts w:hint="eastAsia"/>
                      <w:sz w:val="18"/>
                      <w:szCs w:val="18"/>
                    </w:rPr>
                    <w:t>0.05</w:t>
                  </w:r>
                </w:p>
              </w:tc>
              <w:tc>
                <w:tcPr>
                  <w:tcW w:w="870" w:type="dxa"/>
                  <w:vAlign w:val="center"/>
                </w:tcPr>
                <w:p>
                  <w:pPr>
                    <w:pStyle w:val="28"/>
                    <w:bidi w:val="0"/>
                    <w:rPr>
                      <w:rFonts w:hint="eastAsia" w:ascii="Times New Roman" w:hAnsi="Times New Roman" w:eastAsia="宋体" w:cs="Times New Roman"/>
                      <w:sz w:val="18"/>
                      <w:szCs w:val="18"/>
                      <w:lang w:val="en-US" w:eastAsia="zh-CN" w:bidi="ar-SA"/>
                    </w:rPr>
                  </w:pPr>
                  <w:r>
                    <w:rPr>
                      <w:sz w:val="18"/>
                      <w:szCs w:val="18"/>
                    </w:rPr>
                    <w:t>设备</w:t>
                  </w:r>
                  <w:r>
                    <w:rPr>
                      <w:rFonts w:hint="eastAsia"/>
                      <w:sz w:val="18"/>
                      <w:szCs w:val="18"/>
                      <w:lang w:eastAsia="zh-CN"/>
                    </w:rPr>
                    <w:t>巡检</w:t>
                  </w:r>
                </w:p>
              </w:tc>
              <w:tc>
                <w:tcPr>
                  <w:tcW w:w="500" w:type="dxa"/>
                  <w:vAlign w:val="center"/>
                </w:tcPr>
                <w:p>
                  <w:pPr>
                    <w:pStyle w:val="28"/>
                    <w:bidi w:val="0"/>
                    <w:rPr>
                      <w:rFonts w:ascii="Times New Roman" w:hAnsi="Times New Roman" w:eastAsia="宋体" w:cs="Times New Roman"/>
                      <w:sz w:val="18"/>
                      <w:szCs w:val="18"/>
                      <w:lang w:val="en-US" w:eastAsia="zh-CN" w:bidi="ar-SA"/>
                    </w:rPr>
                  </w:pPr>
                  <w:r>
                    <w:rPr>
                      <w:sz w:val="18"/>
                      <w:szCs w:val="18"/>
                    </w:rPr>
                    <w:t>固态</w:t>
                  </w:r>
                </w:p>
              </w:tc>
              <w:tc>
                <w:tcPr>
                  <w:tcW w:w="760" w:type="dxa"/>
                  <w:vAlign w:val="center"/>
                </w:tcPr>
                <w:p>
                  <w:pPr>
                    <w:pStyle w:val="28"/>
                    <w:bidi w:val="0"/>
                    <w:rPr>
                      <w:rFonts w:ascii="Times New Roman" w:hAnsi="Times New Roman" w:eastAsia="宋体" w:cs="Times New Roman"/>
                      <w:sz w:val="18"/>
                      <w:szCs w:val="18"/>
                      <w:lang w:val="en-US" w:eastAsia="zh-CN" w:bidi="ar-SA"/>
                    </w:rPr>
                  </w:pPr>
                  <w:r>
                    <w:rPr>
                      <w:sz w:val="18"/>
                      <w:szCs w:val="18"/>
                    </w:rPr>
                    <w:t>石油类等</w:t>
                  </w:r>
                </w:p>
              </w:tc>
              <w:tc>
                <w:tcPr>
                  <w:tcW w:w="640" w:type="dxa"/>
                  <w:vAlign w:val="center"/>
                </w:tcPr>
                <w:p>
                  <w:pPr>
                    <w:pStyle w:val="28"/>
                    <w:bidi w:val="0"/>
                    <w:rPr>
                      <w:rFonts w:ascii="Times New Roman" w:hAnsi="Times New Roman" w:eastAsia="宋体" w:cs="Times New Roman"/>
                      <w:sz w:val="18"/>
                      <w:szCs w:val="18"/>
                      <w:lang w:val="en-US" w:eastAsia="zh-CN" w:bidi="ar-SA"/>
                    </w:rPr>
                  </w:pPr>
                  <w:r>
                    <w:rPr>
                      <w:sz w:val="18"/>
                      <w:szCs w:val="18"/>
                    </w:rPr>
                    <w:t>不定期</w:t>
                  </w:r>
                </w:p>
              </w:tc>
              <w:tc>
                <w:tcPr>
                  <w:tcW w:w="660" w:type="dxa"/>
                  <w:vAlign w:val="center"/>
                </w:tcPr>
                <w:p>
                  <w:pPr>
                    <w:pStyle w:val="28"/>
                    <w:bidi w:val="0"/>
                    <w:rPr>
                      <w:rFonts w:ascii="Times New Roman" w:hAnsi="Times New Roman" w:eastAsia="宋体" w:cs="Times New Roman"/>
                      <w:sz w:val="18"/>
                      <w:szCs w:val="18"/>
                      <w:lang w:val="en-US" w:eastAsia="zh-CN" w:bidi="ar-SA"/>
                    </w:rPr>
                  </w:pPr>
                  <w:r>
                    <w:rPr>
                      <w:sz w:val="18"/>
                      <w:szCs w:val="18"/>
                    </w:rPr>
                    <w:t>T/In</w:t>
                  </w:r>
                </w:p>
              </w:tc>
              <w:tc>
                <w:tcPr>
                  <w:tcW w:w="1443" w:type="dxa"/>
                  <w:vMerge w:val="continue"/>
                  <w:vAlign w:val="center"/>
                </w:tcPr>
                <w:p>
                  <w:pPr>
                    <w:pStyle w:val="28"/>
                    <w:bidi w:val="0"/>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1" w:type="dxa"/>
                  <w:vAlign w:val="center"/>
                </w:tcPr>
                <w:p>
                  <w:pPr>
                    <w:pStyle w:val="28"/>
                    <w:bidi w:val="0"/>
                    <w:rPr>
                      <w:rFonts w:hint="eastAsia" w:eastAsia="宋体"/>
                      <w:sz w:val="18"/>
                      <w:szCs w:val="18"/>
                      <w:lang w:val="en-US" w:eastAsia="zh-CN"/>
                    </w:rPr>
                  </w:pPr>
                  <w:r>
                    <w:rPr>
                      <w:rFonts w:hint="eastAsia"/>
                      <w:sz w:val="18"/>
                      <w:szCs w:val="18"/>
                      <w:lang w:val="en-US" w:eastAsia="zh-CN"/>
                    </w:rPr>
                    <w:t>3</w:t>
                  </w:r>
                </w:p>
              </w:tc>
              <w:tc>
                <w:tcPr>
                  <w:tcW w:w="819" w:type="dxa"/>
                  <w:vAlign w:val="center"/>
                </w:tcPr>
                <w:p>
                  <w:pPr>
                    <w:pStyle w:val="28"/>
                    <w:bidi w:val="0"/>
                    <w:rPr>
                      <w:rFonts w:ascii="Times New Roman" w:hAnsi="Times New Roman" w:eastAsia="宋体" w:cs="Times New Roman"/>
                      <w:sz w:val="18"/>
                      <w:szCs w:val="18"/>
                      <w:lang w:val="en-US" w:eastAsia="zh-CN" w:bidi="ar-SA"/>
                    </w:rPr>
                  </w:pPr>
                  <w:r>
                    <w:rPr>
                      <w:sz w:val="18"/>
                      <w:szCs w:val="18"/>
                    </w:rPr>
                    <w:t>废蓄电池</w:t>
                  </w:r>
                </w:p>
              </w:tc>
              <w:tc>
                <w:tcPr>
                  <w:tcW w:w="790" w:type="dxa"/>
                  <w:vAlign w:val="center"/>
                </w:tcPr>
                <w:p>
                  <w:pPr>
                    <w:pStyle w:val="28"/>
                    <w:bidi w:val="0"/>
                    <w:rPr>
                      <w:rFonts w:ascii="Times New Roman" w:hAnsi="Times New Roman" w:eastAsia="宋体" w:cs="Times New Roman"/>
                      <w:sz w:val="18"/>
                      <w:szCs w:val="18"/>
                      <w:lang w:val="en-US" w:eastAsia="zh-CN" w:bidi="ar-SA"/>
                    </w:rPr>
                  </w:pPr>
                  <w:r>
                    <w:rPr>
                      <w:sz w:val="18"/>
                      <w:szCs w:val="18"/>
                    </w:rPr>
                    <w:t>HW31</w:t>
                  </w:r>
                </w:p>
              </w:tc>
              <w:tc>
                <w:tcPr>
                  <w:tcW w:w="1060" w:type="dxa"/>
                  <w:vAlign w:val="center"/>
                </w:tcPr>
                <w:p>
                  <w:pPr>
                    <w:pStyle w:val="28"/>
                    <w:rPr>
                      <w:rFonts w:hint="eastAsia" w:ascii="Times New Roman" w:hAnsi="Times New Roman" w:eastAsia="宋体" w:cs="Times New Roman"/>
                      <w:sz w:val="18"/>
                      <w:szCs w:val="18"/>
                      <w:lang w:val="en-US" w:eastAsia="zh-CN" w:bidi="ar-SA"/>
                    </w:rPr>
                  </w:pPr>
                  <w:r>
                    <w:rPr>
                      <w:rFonts w:hint="eastAsia"/>
                      <w:sz w:val="18"/>
                      <w:szCs w:val="18"/>
                    </w:rPr>
                    <w:t>900-052-31</w:t>
                  </w:r>
                </w:p>
              </w:tc>
              <w:tc>
                <w:tcPr>
                  <w:tcW w:w="630" w:type="dxa"/>
                  <w:vAlign w:val="center"/>
                </w:tcPr>
                <w:p>
                  <w:pPr>
                    <w:pStyle w:val="28"/>
                    <w:rPr>
                      <w:rFonts w:hint="eastAsia" w:ascii="Times New Roman" w:hAnsi="Times New Roman" w:eastAsia="宋体" w:cs="Times New Roman"/>
                      <w:sz w:val="18"/>
                      <w:szCs w:val="18"/>
                      <w:lang w:val="en-US" w:eastAsia="zh-CN" w:bidi="ar-SA"/>
                    </w:rPr>
                  </w:pPr>
                  <w:r>
                    <w:rPr>
                      <w:rFonts w:hint="eastAsia"/>
                      <w:sz w:val="18"/>
                      <w:szCs w:val="18"/>
                    </w:rPr>
                    <w:t>3t/5a</w:t>
                  </w:r>
                </w:p>
              </w:tc>
              <w:tc>
                <w:tcPr>
                  <w:tcW w:w="870" w:type="dxa"/>
                  <w:vAlign w:val="center"/>
                </w:tcPr>
                <w:p>
                  <w:pPr>
                    <w:pStyle w:val="28"/>
                    <w:bidi w:val="0"/>
                    <w:rPr>
                      <w:rFonts w:ascii="Times New Roman" w:hAnsi="Times New Roman" w:eastAsia="宋体" w:cs="Times New Roman"/>
                      <w:sz w:val="18"/>
                      <w:szCs w:val="18"/>
                      <w:lang w:val="en-US" w:eastAsia="zh-CN" w:bidi="ar-SA"/>
                    </w:rPr>
                  </w:pPr>
                  <w:r>
                    <w:rPr>
                      <w:sz w:val="18"/>
                      <w:szCs w:val="18"/>
                    </w:rPr>
                    <w:t>电磁更换</w:t>
                  </w:r>
                </w:p>
              </w:tc>
              <w:tc>
                <w:tcPr>
                  <w:tcW w:w="500" w:type="dxa"/>
                  <w:vAlign w:val="center"/>
                </w:tcPr>
                <w:p>
                  <w:pPr>
                    <w:pStyle w:val="28"/>
                    <w:bidi w:val="0"/>
                    <w:rPr>
                      <w:rFonts w:ascii="Times New Roman" w:hAnsi="Times New Roman" w:eastAsia="宋体" w:cs="Times New Roman"/>
                      <w:sz w:val="18"/>
                      <w:szCs w:val="18"/>
                      <w:lang w:val="en-US" w:eastAsia="zh-CN" w:bidi="ar-SA"/>
                    </w:rPr>
                  </w:pPr>
                  <w:r>
                    <w:rPr>
                      <w:sz w:val="18"/>
                      <w:szCs w:val="18"/>
                    </w:rPr>
                    <w:t>固态</w:t>
                  </w:r>
                </w:p>
              </w:tc>
              <w:tc>
                <w:tcPr>
                  <w:tcW w:w="760" w:type="dxa"/>
                  <w:vAlign w:val="center"/>
                </w:tcPr>
                <w:p>
                  <w:pPr>
                    <w:pStyle w:val="28"/>
                    <w:bidi w:val="0"/>
                    <w:rPr>
                      <w:rFonts w:ascii="Times New Roman" w:hAnsi="Times New Roman" w:eastAsia="宋体" w:cs="Times New Roman"/>
                      <w:sz w:val="18"/>
                      <w:szCs w:val="18"/>
                      <w:lang w:val="en-US" w:eastAsia="zh-CN" w:bidi="ar-SA"/>
                    </w:rPr>
                  </w:pPr>
                  <w:r>
                    <w:rPr>
                      <w:sz w:val="18"/>
                      <w:szCs w:val="18"/>
                    </w:rPr>
                    <w:t>废铅等</w:t>
                  </w:r>
                </w:p>
              </w:tc>
              <w:tc>
                <w:tcPr>
                  <w:tcW w:w="640" w:type="dxa"/>
                  <w:vAlign w:val="center"/>
                </w:tcPr>
                <w:p>
                  <w:pPr>
                    <w:pStyle w:val="28"/>
                    <w:bidi w:val="0"/>
                    <w:rPr>
                      <w:rFonts w:ascii="Times New Roman" w:hAnsi="Times New Roman" w:eastAsia="宋体" w:cs="Times New Roman"/>
                      <w:sz w:val="18"/>
                      <w:szCs w:val="18"/>
                      <w:lang w:val="en-US" w:eastAsia="zh-CN" w:bidi="ar-SA"/>
                    </w:rPr>
                  </w:pPr>
                  <w:r>
                    <w:rPr>
                      <w:sz w:val="18"/>
                      <w:szCs w:val="18"/>
                    </w:rPr>
                    <w:t>不定期</w:t>
                  </w:r>
                </w:p>
              </w:tc>
              <w:tc>
                <w:tcPr>
                  <w:tcW w:w="660" w:type="dxa"/>
                  <w:vAlign w:val="center"/>
                </w:tcPr>
                <w:p>
                  <w:pPr>
                    <w:pStyle w:val="28"/>
                    <w:bidi w:val="0"/>
                    <w:rPr>
                      <w:rFonts w:ascii="Times New Roman" w:hAnsi="Times New Roman" w:eastAsia="宋体" w:cs="Times New Roman"/>
                      <w:sz w:val="18"/>
                      <w:szCs w:val="18"/>
                      <w:lang w:val="en-US" w:eastAsia="zh-CN" w:bidi="ar-SA"/>
                    </w:rPr>
                  </w:pPr>
                  <w:r>
                    <w:rPr>
                      <w:sz w:val="18"/>
                      <w:szCs w:val="18"/>
                    </w:rPr>
                    <w:t>T</w:t>
                  </w:r>
                  <w:sdt>
                    <w:sdtPr>
                      <w:rPr>
                        <w:sz w:val="18"/>
                        <w:szCs w:val="18"/>
                      </w:rPr>
                      <w:alias w:val="标点符号检查"/>
                      <w:id w:val="100823"/>
                    </w:sdtPr>
                    <w:sdtEndPr>
                      <w:rPr>
                        <w:sz w:val="18"/>
                        <w:szCs w:val="18"/>
                      </w:rPr>
                    </w:sdtEndPr>
                    <w:sdtContent>
                      <w:r>
                        <w:rPr>
                          <w:sz w:val="18"/>
                          <w:szCs w:val="18"/>
                        </w:rPr>
                        <w:t>，</w:t>
                      </w:r>
                    </w:sdtContent>
                  </w:sdt>
                  <w:r>
                    <w:rPr>
                      <w:sz w:val="18"/>
                      <w:szCs w:val="18"/>
                    </w:rPr>
                    <w:t>I</w:t>
                  </w:r>
                </w:p>
              </w:tc>
              <w:tc>
                <w:tcPr>
                  <w:tcW w:w="1443" w:type="dxa"/>
                  <w:vAlign w:val="center"/>
                </w:tcPr>
                <w:p>
                  <w:pPr>
                    <w:pStyle w:val="28"/>
                    <w:bidi w:val="0"/>
                    <w:rPr>
                      <w:sz w:val="18"/>
                      <w:szCs w:val="18"/>
                    </w:rPr>
                  </w:pPr>
                  <w:r>
                    <w:rPr>
                      <w:sz w:val="18"/>
                      <w:szCs w:val="18"/>
                    </w:rPr>
                    <w:t>更换前</w:t>
                  </w:r>
                  <w:r>
                    <w:rPr>
                      <w:rFonts w:hint="eastAsia"/>
                      <w:sz w:val="18"/>
                      <w:szCs w:val="18"/>
                      <w:lang w:val="en-US" w:eastAsia="zh-CN"/>
                    </w:rPr>
                    <w:t>与</w:t>
                  </w:r>
                  <w:r>
                    <w:rPr>
                      <w:sz w:val="18"/>
                      <w:szCs w:val="18"/>
                    </w:rPr>
                    <w:t>生产厂家到现场更换，</w:t>
                  </w:r>
                  <w:r>
                    <w:rPr>
                      <w:rFonts w:hint="eastAsia"/>
                      <w:sz w:val="18"/>
                      <w:szCs w:val="18"/>
                      <w:lang w:val="en-US" w:eastAsia="zh-CN"/>
                    </w:rPr>
                    <w:t>立即交</w:t>
                  </w:r>
                  <w:r>
                    <w:rPr>
                      <w:sz w:val="18"/>
                      <w:szCs w:val="18"/>
                    </w:rPr>
                    <w:t>有资质单位处置，不在站内暂存。</w:t>
                  </w:r>
                </w:p>
              </w:tc>
            </w:tr>
          </w:tbl>
          <w:p>
            <w:pPr>
              <w:pStyle w:val="29"/>
              <w:bidi w:val="0"/>
              <w:ind w:left="0" w:leftChars="0" w:right="0" w:rightChars="0" w:firstLine="0" w:firstLineChars="0"/>
              <w:jc w:val="center"/>
            </w:pPr>
            <w:r>
              <w:t>表</w:t>
            </w:r>
            <w:r>
              <w:rPr>
                <w:rFonts w:hint="eastAsia"/>
                <w:lang w:val="en-US" w:eastAsia="zh-CN"/>
              </w:rPr>
              <w:t xml:space="preserve">4-14  </w:t>
            </w:r>
            <w:r>
              <w:t>项目</w:t>
            </w:r>
            <w:r>
              <w:rPr>
                <w:rFonts w:hint="eastAsia"/>
                <w:lang w:val="en-US" w:eastAsia="zh-CN"/>
              </w:rPr>
              <w:t>危废贮存点</w:t>
            </w:r>
            <w:r>
              <w:t>基本情况表</w:t>
            </w:r>
          </w:p>
          <w:tbl>
            <w:tblPr>
              <w:tblStyle w:val="14"/>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80"/>
              <w:gridCol w:w="788"/>
              <w:gridCol w:w="1343"/>
              <w:gridCol w:w="1147"/>
              <w:gridCol w:w="1279"/>
              <w:gridCol w:w="964"/>
              <w:gridCol w:w="747"/>
              <w:gridCol w:w="895"/>
              <w:gridCol w:w="9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280" w:type="pct"/>
                  <w:vAlign w:val="center"/>
                </w:tcPr>
                <w:p>
                  <w:pPr>
                    <w:pStyle w:val="28"/>
                    <w:bidi w:val="0"/>
                    <w:rPr>
                      <w:sz w:val="18"/>
                      <w:szCs w:val="18"/>
                    </w:rPr>
                  </w:pPr>
                  <w:r>
                    <w:rPr>
                      <w:sz w:val="18"/>
                      <w:szCs w:val="18"/>
                    </w:rPr>
                    <w:t>序号</w:t>
                  </w:r>
                </w:p>
              </w:tc>
              <w:tc>
                <w:tcPr>
                  <w:tcW w:w="459" w:type="pct"/>
                  <w:vAlign w:val="center"/>
                </w:tcPr>
                <w:p>
                  <w:pPr>
                    <w:pStyle w:val="28"/>
                    <w:bidi w:val="0"/>
                    <w:rPr>
                      <w:sz w:val="18"/>
                      <w:szCs w:val="18"/>
                    </w:rPr>
                  </w:pPr>
                  <w:r>
                    <w:rPr>
                      <w:sz w:val="18"/>
                      <w:szCs w:val="18"/>
                    </w:rPr>
                    <w:t>贮存场所名称</w:t>
                  </w:r>
                </w:p>
              </w:tc>
              <w:tc>
                <w:tcPr>
                  <w:tcW w:w="783" w:type="pct"/>
                  <w:vAlign w:val="center"/>
                </w:tcPr>
                <w:p>
                  <w:pPr>
                    <w:pStyle w:val="28"/>
                    <w:bidi w:val="0"/>
                    <w:rPr>
                      <w:sz w:val="18"/>
                      <w:szCs w:val="18"/>
                    </w:rPr>
                  </w:pPr>
                  <w:r>
                    <w:rPr>
                      <w:sz w:val="18"/>
                      <w:szCs w:val="18"/>
                    </w:rPr>
                    <w:t>危险废物名称</w:t>
                  </w:r>
                </w:p>
              </w:tc>
              <w:tc>
                <w:tcPr>
                  <w:tcW w:w="669" w:type="pct"/>
                  <w:vAlign w:val="center"/>
                </w:tcPr>
                <w:p>
                  <w:pPr>
                    <w:pStyle w:val="28"/>
                    <w:bidi w:val="0"/>
                    <w:rPr>
                      <w:sz w:val="18"/>
                      <w:szCs w:val="18"/>
                    </w:rPr>
                  </w:pPr>
                  <w:r>
                    <w:rPr>
                      <w:sz w:val="18"/>
                      <w:szCs w:val="18"/>
                    </w:rPr>
                    <w:t>危险废物类别</w:t>
                  </w:r>
                </w:p>
              </w:tc>
              <w:tc>
                <w:tcPr>
                  <w:tcW w:w="746" w:type="pct"/>
                  <w:vAlign w:val="center"/>
                </w:tcPr>
                <w:p>
                  <w:pPr>
                    <w:pStyle w:val="28"/>
                    <w:bidi w:val="0"/>
                    <w:rPr>
                      <w:sz w:val="18"/>
                      <w:szCs w:val="18"/>
                    </w:rPr>
                  </w:pPr>
                  <w:r>
                    <w:rPr>
                      <w:sz w:val="18"/>
                      <w:szCs w:val="18"/>
                    </w:rPr>
                    <w:t>危险废物代码</w:t>
                  </w:r>
                </w:p>
              </w:tc>
              <w:tc>
                <w:tcPr>
                  <w:tcW w:w="562" w:type="pct"/>
                  <w:vAlign w:val="center"/>
                </w:tcPr>
                <w:p>
                  <w:pPr>
                    <w:pStyle w:val="28"/>
                    <w:bidi w:val="0"/>
                    <w:rPr>
                      <w:sz w:val="18"/>
                      <w:szCs w:val="18"/>
                    </w:rPr>
                  </w:pPr>
                  <w:r>
                    <w:rPr>
                      <w:sz w:val="18"/>
                      <w:szCs w:val="18"/>
                    </w:rPr>
                    <w:t>位置及占地面积</w:t>
                  </w:r>
                </w:p>
              </w:tc>
              <w:tc>
                <w:tcPr>
                  <w:tcW w:w="435" w:type="pct"/>
                  <w:vAlign w:val="center"/>
                </w:tcPr>
                <w:p>
                  <w:pPr>
                    <w:pStyle w:val="28"/>
                    <w:bidi w:val="0"/>
                    <w:rPr>
                      <w:sz w:val="18"/>
                      <w:szCs w:val="18"/>
                    </w:rPr>
                  </w:pPr>
                  <w:r>
                    <w:rPr>
                      <w:sz w:val="18"/>
                      <w:szCs w:val="18"/>
                    </w:rPr>
                    <w:t>贮存方式</w:t>
                  </w:r>
                </w:p>
              </w:tc>
              <w:tc>
                <w:tcPr>
                  <w:tcW w:w="522" w:type="pct"/>
                  <w:vAlign w:val="center"/>
                </w:tcPr>
                <w:p>
                  <w:pPr>
                    <w:pStyle w:val="28"/>
                    <w:bidi w:val="0"/>
                    <w:rPr>
                      <w:sz w:val="18"/>
                      <w:szCs w:val="18"/>
                    </w:rPr>
                  </w:pPr>
                  <w:r>
                    <w:rPr>
                      <w:sz w:val="18"/>
                      <w:szCs w:val="18"/>
                    </w:rPr>
                    <w:t>单次贮存能力</w:t>
                  </w:r>
                </w:p>
              </w:tc>
              <w:tc>
                <w:tcPr>
                  <w:tcW w:w="540" w:type="pct"/>
                  <w:vAlign w:val="center"/>
                </w:tcPr>
                <w:p>
                  <w:pPr>
                    <w:pStyle w:val="28"/>
                    <w:bidi w:val="0"/>
                    <w:rPr>
                      <w:sz w:val="18"/>
                      <w:szCs w:val="18"/>
                    </w:rPr>
                  </w:pPr>
                  <w:r>
                    <w:rPr>
                      <w:sz w:val="18"/>
                      <w:szCs w:val="18"/>
                    </w:rPr>
                    <w:t>贮存期周期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7" w:hRule="atLeast"/>
                <w:jc w:val="center"/>
              </w:trPr>
              <w:tc>
                <w:tcPr>
                  <w:tcW w:w="280" w:type="pct"/>
                  <w:vAlign w:val="center"/>
                </w:tcPr>
                <w:p>
                  <w:pPr>
                    <w:pStyle w:val="28"/>
                    <w:bidi w:val="0"/>
                    <w:rPr>
                      <w:sz w:val="18"/>
                      <w:szCs w:val="18"/>
                    </w:rPr>
                  </w:pPr>
                  <w:r>
                    <w:rPr>
                      <w:sz w:val="18"/>
                      <w:szCs w:val="18"/>
                    </w:rPr>
                    <w:t>1</w:t>
                  </w:r>
                </w:p>
              </w:tc>
              <w:tc>
                <w:tcPr>
                  <w:tcW w:w="459" w:type="pct"/>
                  <w:vMerge w:val="restart"/>
                  <w:vAlign w:val="center"/>
                </w:tcPr>
                <w:p>
                  <w:pPr>
                    <w:pStyle w:val="28"/>
                    <w:bidi w:val="0"/>
                    <w:rPr>
                      <w:rFonts w:hint="eastAsia" w:eastAsia="宋体"/>
                      <w:sz w:val="18"/>
                      <w:szCs w:val="18"/>
                      <w:lang w:eastAsia="zh-CN"/>
                    </w:rPr>
                  </w:pPr>
                  <w:r>
                    <w:rPr>
                      <w:rFonts w:hint="eastAsia"/>
                      <w:sz w:val="18"/>
                      <w:szCs w:val="18"/>
                      <w:lang w:eastAsia="zh-CN"/>
                    </w:rPr>
                    <w:t>危废贮存点</w:t>
                  </w:r>
                </w:p>
              </w:tc>
              <w:tc>
                <w:tcPr>
                  <w:tcW w:w="783" w:type="pct"/>
                  <w:vAlign w:val="center"/>
                </w:tcPr>
                <w:p>
                  <w:pPr>
                    <w:pStyle w:val="28"/>
                    <w:bidi w:val="0"/>
                    <w:rPr>
                      <w:sz w:val="18"/>
                      <w:szCs w:val="18"/>
                    </w:rPr>
                  </w:pPr>
                  <w:r>
                    <w:rPr>
                      <w:sz w:val="18"/>
                      <w:szCs w:val="18"/>
                    </w:rPr>
                    <w:t>废变压器油</w:t>
                  </w:r>
                </w:p>
              </w:tc>
              <w:tc>
                <w:tcPr>
                  <w:tcW w:w="669" w:type="pct"/>
                  <w:vAlign w:val="center"/>
                </w:tcPr>
                <w:p>
                  <w:pPr>
                    <w:pStyle w:val="28"/>
                    <w:bidi w:val="0"/>
                    <w:rPr>
                      <w:sz w:val="18"/>
                      <w:szCs w:val="18"/>
                    </w:rPr>
                  </w:pPr>
                  <w:r>
                    <w:rPr>
                      <w:sz w:val="18"/>
                      <w:szCs w:val="18"/>
                    </w:rPr>
                    <w:t>HW08</w:t>
                  </w:r>
                </w:p>
              </w:tc>
              <w:tc>
                <w:tcPr>
                  <w:tcW w:w="746" w:type="pct"/>
                  <w:vAlign w:val="center"/>
                </w:tcPr>
                <w:p>
                  <w:pPr>
                    <w:pStyle w:val="28"/>
                    <w:bidi w:val="0"/>
                    <w:rPr>
                      <w:sz w:val="18"/>
                      <w:szCs w:val="18"/>
                    </w:rPr>
                  </w:pPr>
                  <w:r>
                    <w:rPr>
                      <w:sz w:val="18"/>
                      <w:szCs w:val="18"/>
                    </w:rPr>
                    <w:t>900-249-08</w:t>
                  </w:r>
                </w:p>
              </w:tc>
              <w:tc>
                <w:tcPr>
                  <w:tcW w:w="562" w:type="pct"/>
                  <w:vMerge w:val="restart"/>
                  <w:vAlign w:val="center"/>
                </w:tcPr>
                <w:p>
                  <w:pPr>
                    <w:pStyle w:val="28"/>
                    <w:bidi w:val="0"/>
                    <w:rPr>
                      <w:sz w:val="18"/>
                      <w:szCs w:val="18"/>
                    </w:rPr>
                  </w:pPr>
                  <w:r>
                    <w:rPr>
                      <w:sz w:val="18"/>
                      <w:szCs w:val="18"/>
                    </w:rPr>
                    <w:t>位于</w:t>
                  </w:r>
                  <w:r>
                    <w:rPr>
                      <w:rFonts w:hint="eastAsia"/>
                      <w:sz w:val="18"/>
                      <w:szCs w:val="18"/>
                      <w:lang w:val="en-US" w:eastAsia="zh-CN"/>
                    </w:rPr>
                    <w:t>场内北侧，</w:t>
                  </w:r>
                  <w:r>
                    <w:rPr>
                      <w:sz w:val="18"/>
                      <w:szCs w:val="18"/>
                    </w:rPr>
                    <w:t>面积约</w:t>
                  </w:r>
                  <w:r>
                    <w:rPr>
                      <w:rFonts w:hint="eastAsia"/>
                      <w:sz w:val="18"/>
                      <w:szCs w:val="18"/>
                      <w:lang w:val="en-US" w:eastAsia="zh-CN"/>
                    </w:rPr>
                    <w:t>26.16</w:t>
                  </w:r>
                  <w:r>
                    <w:rPr>
                      <w:sz w:val="18"/>
                      <w:szCs w:val="18"/>
                    </w:rPr>
                    <w:t>m</w:t>
                  </w:r>
                  <w:r>
                    <w:rPr>
                      <w:sz w:val="18"/>
                      <w:szCs w:val="18"/>
                      <w:vertAlign w:val="superscript"/>
                    </w:rPr>
                    <w:t>2</w:t>
                  </w:r>
                </w:p>
              </w:tc>
              <w:tc>
                <w:tcPr>
                  <w:tcW w:w="435" w:type="pct"/>
                  <w:vAlign w:val="center"/>
                </w:tcPr>
                <w:p>
                  <w:pPr>
                    <w:pStyle w:val="28"/>
                    <w:bidi w:val="0"/>
                    <w:rPr>
                      <w:sz w:val="18"/>
                      <w:szCs w:val="18"/>
                    </w:rPr>
                  </w:pPr>
                  <w:r>
                    <w:rPr>
                      <w:sz w:val="18"/>
                      <w:szCs w:val="18"/>
                    </w:rPr>
                    <w:t>桶装</w:t>
                  </w:r>
                </w:p>
              </w:tc>
              <w:tc>
                <w:tcPr>
                  <w:tcW w:w="522" w:type="pct"/>
                  <w:vMerge w:val="restart"/>
                  <w:vAlign w:val="center"/>
                </w:tcPr>
                <w:p>
                  <w:pPr>
                    <w:pStyle w:val="28"/>
                    <w:bidi w:val="0"/>
                    <w:rPr>
                      <w:rFonts w:hint="eastAsia" w:eastAsia="宋体"/>
                      <w:sz w:val="18"/>
                      <w:szCs w:val="18"/>
                      <w:lang w:val="en-US" w:eastAsia="zh-CN"/>
                    </w:rPr>
                  </w:pPr>
                  <w:r>
                    <w:rPr>
                      <w:sz w:val="18"/>
                      <w:szCs w:val="18"/>
                    </w:rPr>
                    <w:t>20</w:t>
                  </w:r>
                  <w:r>
                    <w:rPr>
                      <w:rFonts w:hint="eastAsia"/>
                      <w:sz w:val="18"/>
                      <w:szCs w:val="18"/>
                      <w:lang w:val="en-US" w:eastAsia="zh-CN"/>
                    </w:rPr>
                    <w:t>t</w:t>
                  </w:r>
                </w:p>
              </w:tc>
              <w:tc>
                <w:tcPr>
                  <w:tcW w:w="540" w:type="pct"/>
                  <w:vMerge w:val="restart"/>
                  <w:vAlign w:val="center"/>
                </w:tcPr>
                <w:p>
                  <w:pPr>
                    <w:pStyle w:val="28"/>
                    <w:bidi w:val="0"/>
                    <w:rPr>
                      <w:sz w:val="18"/>
                      <w:szCs w:val="18"/>
                    </w:rPr>
                  </w:pPr>
                  <w:r>
                    <w:rPr>
                      <w:sz w:val="18"/>
                      <w:szCs w:val="18"/>
                    </w:rPr>
                    <w:t>2个月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7" w:hRule="atLeast"/>
                <w:jc w:val="center"/>
              </w:trPr>
              <w:tc>
                <w:tcPr>
                  <w:tcW w:w="280" w:type="pct"/>
                  <w:vAlign w:val="center"/>
                </w:tcPr>
                <w:p>
                  <w:pPr>
                    <w:pStyle w:val="28"/>
                    <w:bidi w:val="0"/>
                    <w:rPr>
                      <w:rFonts w:hint="eastAsia" w:eastAsia="宋体"/>
                      <w:sz w:val="18"/>
                      <w:szCs w:val="18"/>
                      <w:lang w:eastAsia="zh-CN"/>
                    </w:rPr>
                  </w:pPr>
                  <w:r>
                    <w:rPr>
                      <w:rFonts w:hint="eastAsia"/>
                      <w:sz w:val="18"/>
                      <w:szCs w:val="18"/>
                      <w:lang w:val="en-US" w:eastAsia="zh-CN"/>
                    </w:rPr>
                    <w:t>2</w:t>
                  </w:r>
                </w:p>
              </w:tc>
              <w:tc>
                <w:tcPr>
                  <w:tcW w:w="459" w:type="pct"/>
                  <w:vMerge w:val="continue"/>
                  <w:vAlign w:val="center"/>
                </w:tcPr>
                <w:p>
                  <w:pPr>
                    <w:pStyle w:val="28"/>
                    <w:bidi w:val="0"/>
                    <w:rPr>
                      <w:sz w:val="18"/>
                      <w:szCs w:val="18"/>
                    </w:rPr>
                  </w:pPr>
                </w:p>
              </w:tc>
              <w:tc>
                <w:tcPr>
                  <w:tcW w:w="783" w:type="pct"/>
                  <w:vAlign w:val="center"/>
                </w:tcPr>
                <w:p>
                  <w:pPr>
                    <w:pStyle w:val="28"/>
                    <w:bidi w:val="0"/>
                    <w:rPr>
                      <w:sz w:val="18"/>
                      <w:szCs w:val="18"/>
                    </w:rPr>
                  </w:pPr>
                  <w:r>
                    <w:rPr>
                      <w:sz w:val="18"/>
                      <w:szCs w:val="18"/>
                    </w:rPr>
                    <w:t>含油棉纱手套</w:t>
                  </w:r>
                </w:p>
              </w:tc>
              <w:tc>
                <w:tcPr>
                  <w:tcW w:w="669" w:type="pct"/>
                  <w:vAlign w:val="center"/>
                </w:tcPr>
                <w:p>
                  <w:pPr>
                    <w:pStyle w:val="28"/>
                    <w:bidi w:val="0"/>
                    <w:rPr>
                      <w:sz w:val="18"/>
                      <w:szCs w:val="18"/>
                    </w:rPr>
                  </w:pPr>
                  <w:r>
                    <w:rPr>
                      <w:sz w:val="18"/>
                      <w:szCs w:val="18"/>
                    </w:rPr>
                    <w:t>HW49</w:t>
                  </w:r>
                </w:p>
              </w:tc>
              <w:tc>
                <w:tcPr>
                  <w:tcW w:w="746" w:type="pct"/>
                  <w:vAlign w:val="center"/>
                </w:tcPr>
                <w:p>
                  <w:pPr>
                    <w:pStyle w:val="28"/>
                    <w:bidi w:val="0"/>
                    <w:rPr>
                      <w:sz w:val="18"/>
                      <w:szCs w:val="18"/>
                    </w:rPr>
                  </w:pPr>
                  <w:r>
                    <w:rPr>
                      <w:sz w:val="18"/>
                      <w:szCs w:val="18"/>
                    </w:rPr>
                    <w:t>900-041-49</w:t>
                  </w:r>
                </w:p>
              </w:tc>
              <w:tc>
                <w:tcPr>
                  <w:tcW w:w="562" w:type="pct"/>
                  <w:vMerge w:val="continue"/>
                  <w:vAlign w:val="center"/>
                </w:tcPr>
                <w:p>
                  <w:pPr>
                    <w:pStyle w:val="28"/>
                    <w:bidi w:val="0"/>
                    <w:rPr>
                      <w:sz w:val="18"/>
                      <w:szCs w:val="18"/>
                    </w:rPr>
                  </w:pPr>
                </w:p>
              </w:tc>
              <w:tc>
                <w:tcPr>
                  <w:tcW w:w="435" w:type="pct"/>
                  <w:vAlign w:val="center"/>
                </w:tcPr>
                <w:p>
                  <w:pPr>
                    <w:pStyle w:val="28"/>
                    <w:bidi w:val="0"/>
                    <w:rPr>
                      <w:sz w:val="18"/>
                      <w:szCs w:val="18"/>
                    </w:rPr>
                  </w:pPr>
                  <w:r>
                    <w:rPr>
                      <w:sz w:val="18"/>
                      <w:szCs w:val="18"/>
                    </w:rPr>
                    <w:t>桶装</w:t>
                  </w:r>
                </w:p>
              </w:tc>
              <w:tc>
                <w:tcPr>
                  <w:tcW w:w="522" w:type="pct"/>
                  <w:vMerge w:val="continue"/>
                  <w:vAlign w:val="center"/>
                </w:tcPr>
                <w:p>
                  <w:pPr>
                    <w:pStyle w:val="28"/>
                    <w:bidi w:val="0"/>
                    <w:rPr>
                      <w:sz w:val="18"/>
                      <w:szCs w:val="18"/>
                    </w:rPr>
                  </w:pPr>
                </w:p>
              </w:tc>
              <w:tc>
                <w:tcPr>
                  <w:tcW w:w="540" w:type="pct"/>
                  <w:vMerge w:val="continue"/>
                  <w:vAlign w:val="center"/>
                </w:tcPr>
                <w:p>
                  <w:pPr>
                    <w:pStyle w:val="28"/>
                    <w:bidi w:val="0"/>
                    <w:rPr>
                      <w:sz w:val="18"/>
                      <w:szCs w:val="18"/>
                    </w:rPr>
                  </w:pPr>
                </w:p>
              </w:tc>
            </w:tr>
          </w:tbl>
          <w:p>
            <w:pPr>
              <w:pStyle w:val="29"/>
              <w:ind w:firstLine="482"/>
              <w:rPr>
                <w:b/>
                <w:bCs/>
              </w:rPr>
            </w:pPr>
            <w:r>
              <w:rPr>
                <w:b/>
                <w:bCs/>
              </w:rPr>
              <w:t>4.</w:t>
            </w:r>
            <w:r>
              <w:rPr>
                <w:rFonts w:hint="eastAsia"/>
                <w:b/>
                <w:bCs/>
              </w:rPr>
              <w:t>12</w:t>
            </w:r>
            <w:r>
              <w:rPr>
                <w:b/>
                <w:bCs/>
              </w:rPr>
              <w:t xml:space="preserve"> </w:t>
            </w:r>
            <w:r>
              <w:rPr>
                <w:rFonts w:hint="eastAsia"/>
                <w:b/>
                <w:bCs/>
              </w:rPr>
              <w:t>运营期</w:t>
            </w:r>
            <w:r>
              <w:rPr>
                <w:b/>
                <w:bCs/>
              </w:rPr>
              <w:t>电磁环境影响</w:t>
            </w:r>
          </w:p>
          <w:p>
            <w:pPr>
              <w:pStyle w:val="29"/>
              <w:ind w:firstLine="480"/>
            </w:pPr>
            <w:r>
              <w:t>根据本次电磁环境影响专题评价分析可知，本项目升压站110kV升压站建设投运后，升压站围墙外以及电磁环境敏感点的电磁环境均小于工频电场4000V/m、磁感应强度100μT标准限值，满足《电磁环境控制限值》（GB8702-2014）的要求。</w:t>
            </w:r>
          </w:p>
          <w:p>
            <w:pPr>
              <w:pStyle w:val="29"/>
              <w:ind w:firstLine="480"/>
            </w:pPr>
            <w:r>
              <w:t>因此，本项目升压站对外环境的电磁环境影响较小。</w:t>
            </w:r>
          </w:p>
          <w:p>
            <w:pPr>
              <w:pStyle w:val="29"/>
              <w:ind w:firstLine="482"/>
              <w:rPr>
                <w:b/>
                <w:bCs/>
              </w:rPr>
            </w:pPr>
            <w:r>
              <w:rPr>
                <w:b/>
                <w:bCs/>
              </w:rPr>
              <w:t>4.</w:t>
            </w:r>
            <w:r>
              <w:rPr>
                <w:rFonts w:hint="eastAsia"/>
                <w:b/>
                <w:bCs/>
              </w:rPr>
              <w:t>13</w:t>
            </w:r>
            <w:r>
              <w:rPr>
                <w:b/>
                <w:bCs/>
              </w:rPr>
              <w:t xml:space="preserve"> </w:t>
            </w:r>
            <w:r>
              <w:rPr>
                <w:rFonts w:hint="eastAsia"/>
                <w:b/>
                <w:bCs/>
              </w:rPr>
              <w:t>运营期</w:t>
            </w:r>
            <w:r>
              <w:rPr>
                <w:b/>
                <w:bCs/>
              </w:rPr>
              <w:t>光污染影响</w:t>
            </w:r>
          </w:p>
          <w:p>
            <w:pPr>
              <w:pStyle w:val="29"/>
              <w:ind w:firstLine="480"/>
            </w:pPr>
            <w:r>
              <w:t>光污染是指人类活动对周围的光环境造成危害，使原来适宜的光环境变得不适宜，进而使人的视觉和健康受到影响的现象。</w:t>
            </w:r>
          </w:p>
          <w:p>
            <w:pPr>
              <w:pStyle w:val="29"/>
              <w:ind w:firstLine="480"/>
            </w:pPr>
            <w:r>
              <w:t>根据设计要求，太阳能电池组件产品的表面最大程度地减少对太阳光的反射，以利于提高其发电效率。太阳能电池方阵的反光性一般是很低的。本项目光伏阵列倾斜角23°，采用固定支架，放射角度指向天空，主要反射而固定朝天。此外，本项目太阳能电池组件最外层为绒面钢化玻璃，该种材质透光率极高，吸收率达到98%左右，光伏阵列反射光极少，反射光不会对人体产生危害。因此项目对外环境的光照影响较小。</w:t>
            </w:r>
          </w:p>
          <w:p>
            <w:pPr>
              <w:pStyle w:val="29"/>
              <w:ind w:firstLine="482"/>
              <w:rPr>
                <w:rFonts w:hint="eastAsia" w:eastAsia="宋体"/>
                <w:b/>
                <w:bCs/>
                <w:lang w:val="en-US" w:eastAsia="zh-CN"/>
              </w:rPr>
            </w:pPr>
            <w:r>
              <w:rPr>
                <w:rFonts w:hint="eastAsia"/>
                <w:b/>
                <w:bCs/>
              </w:rPr>
              <w:t>4.14 运营期环境风险</w:t>
            </w:r>
          </w:p>
          <w:p>
            <w:pPr>
              <w:pStyle w:val="29"/>
              <w:ind w:firstLine="48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风险调查</w:t>
            </w:r>
          </w:p>
          <w:p>
            <w:pPr>
              <w:pStyle w:val="29"/>
              <w:ind w:firstLine="480"/>
              <w:rPr>
                <w:rFonts w:hint="eastAsia"/>
              </w:rPr>
            </w:pPr>
            <w:r>
              <w:rPr>
                <w:rFonts w:hint="eastAsia"/>
              </w:rPr>
              <w:t>本项目环境风险主要来自110kV升压站内100MVA主变和光伏场区内35kV箱变的变压器绝缘油泄漏，主要环境风险事故源包括变压器事故漏油、火灾导致的漏油或灭火不当造成的漏油。</w:t>
            </w:r>
          </w:p>
          <w:p>
            <w:pPr>
              <w:pStyle w:val="29"/>
              <w:ind w:firstLine="480"/>
            </w:pPr>
            <w:r>
              <w:rPr>
                <w:rFonts w:hint="eastAsia"/>
              </w:rPr>
              <w:t>升压站内变压器等电气设备为了绝缘和冷却的需要，其外壳内装有大量变压器油。当其注入电气设备后，不用更新，使用寿命与设备同步。为保证电气设备在整个服役期间具有良好的运行条件，需要经常进行设备的维护。正常运行工况下，升压站内所有电气设施每季度作常规检测，对变压器油则每年由专业人员按相关规定抽样检测油的品质，根据检测结果，再决定是否需做过滤或增补变压器油。变压器检修分为小修、大修及事故检修三种。</w:t>
            </w:r>
          </w:p>
          <w:p>
            <w:pPr>
              <w:pStyle w:val="29"/>
              <w:ind w:firstLine="480"/>
            </w:pPr>
            <w:r>
              <w:rPr>
                <w:rFonts w:hint="eastAsia"/>
              </w:rPr>
              <w:t>①小修：变压器小修通常每年一次，停电运行。小修的内容包括在变压器外部进行全面的检修和试验，消除已发现的缺陷，清扫绝缘瓷套管表面，检查导电接触部位，检查和维修油路及全部冷却系统，检查和维修保护、测量及操作系统等。</w:t>
            </w:r>
          </w:p>
          <w:p>
            <w:pPr>
              <w:pStyle w:val="29"/>
              <w:ind w:firstLine="480"/>
            </w:pPr>
            <w:r>
              <w:rPr>
                <w:rFonts w:hint="eastAsia"/>
              </w:rPr>
              <w:t>②大修：变压器大修周期有不同的规定，重要的变压器投运后第五年和以后每5～10年需大修一次，一般的每10年进行一次大修。</w:t>
            </w:r>
          </w:p>
          <w:p>
            <w:pPr>
              <w:pStyle w:val="29"/>
              <w:ind w:firstLine="480"/>
            </w:pPr>
            <w:r>
              <w:rPr>
                <w:rFonts w:hint="eastAsia"/>
              </w:rPr>
              <w:t>③事故检修：发现变压器有异常状况并经试验证明内部有故障时，临时进行大修。事故检修时要依照具体故障的部位进行修复及全面处理和试验。</w:t>
            </w:r>
          </w:p>
          <w:p>
            <w:pPr>
              <w:pStyle w:val="29"/>
              <w:ind w:firstLine="480"/>
              <w:rPr>
                <w:rFonts w:hint="eastAsia"/>
              </w:rPr>
            </w:pPr>
            <w:r>
              <w:rPr>
                <w:rFonts w:hint="eastAsia"/>
              </w:rPr>
              <w:t>从上述分析可知，升压站变压器及其他电气设备均使用电力用油，这些冷却或绝缘油由于都装在电气设备的外壳内，平时不会造成对人身、环境的危害。但在设备事故并失控时，有可能造成泄漏，污染环境。</w:t>
            </w:r>
          </w:p>
          <w:p>
            <w:pPr>
              <w:spacing w:line="360" w:lineRule="auto"/>
              <w:ind w:firstLine="480" w:firstLineChars="200"/>
              <w:rPr>
                <w:bCs/>
                <w:color w:val="auto"/>
                <w:kern w:val="0"/>
                <w:sz w:val="24"/>
                <w:highlight w:val="none"/>
              </w:rPr>
            </w:pPr>
            <w:r>
              <w:rPr>
                <w:rFonts w:hint="eastAsia"/>
                <w:bCs/>
                <w:color w:val="auto"/>
                <w:kern w:val="0"/>
                <w:sz w:val="24"/>
                <w:highlight w:val="none"/>
              </w:rPr>
              <w:t>因此，本项目运营期可能造成环境污染的风险源为：升压站户外布置的1台100MVA主变压器</w:t>
            </w:r>
            <w:r>
              <w:rPr>
                <w:rFonts w:hint="eastAsia"/>
                <w:bCs/>
                <w:color w:val="auto"/>
                <w:kern w:val="0"/>
                <w:sz w:val="24"/>
                <w:highlight w:val="none"/>
                <w:lang w:val="en-US" w:eastAsia="zh-CN"/>
              </w:rPr>
              <w:t>及光伏阵列区布置的35kV箱变</w:t>
            </w:r>
            <w:r>
              <w:rPr>
                <w:rFonts w:hint="eastAsia"/>
                <w:bCs/>
                <w:color w:val="auto"/>
                <w:kern w:val="0"/>
                <w:sz w:val="24"/>
                <w:highlight w:val="none"/>
              </w:rPr>
              <w:t>，风险物质为变压器油。变压器油的理化性质见下表。</w:t>
            </w:r>
          </w:p>
          <w:p>
            <w:pPr>
              <w:pStyle w:val="29"/>
              <w:bidi w:val="0"/>
              <w:ind w:left="0" w:leftChars="0" w:right="0" w:rightChars="0" w:firstLine="0" w:firstLineChars="0"/>
              <w:jc w:val="center"/>
            </w:pPr>
            <w:r>
              <w:rPr>
                <w:rFonts w:hint="eastAsia"/>
              </w:rPr>
              <w:t>表</w:t>
            </w:r>
            <w:r>
              <w:rPr>
                <w:rFonts w:hint="eastAsia"/>
                <w:lang w:val="en-US" w:eastAsia="zh-CN"/>
              </w:rPr>
              <w:t xml:space="preserve">4-15  </w:t>
            </w:r>
            <w:r>
              <w:rPr>
                <w:rFonts w:hint="eastAsia"/>
              </w:rPr>
              <w:t>变压器油的危险特性及安全技术说明</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62"/>
              <w:gridCol w:w="3702"/>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restart"/>
                  <w:vAlign w:val="center"/>
                </w:tcPr>
                <w:p>
                  <w:pPr>
                    <w:pStyle w:val="28"/>
                    <w:bidi w:val="0"/>
                  </w:pPr>
                  <w:r>
                    <w:rPr>
                      <w:rFonts w:hint="eastAsia"/>
                    </w:rPr>
                    <w:t>标识</w:t>
                  </w:r>
                </w:p>
              </w:tc>
              <w:tc>
                <w:tcPr>
                  <w:tcW w:w="7720" w:type="dxa"/>
                  <w:gridSpan w:val="3"/>
                  <w:vAlign w:val="center"/>
                </w:tcPr>
                <w:p>
                  <w:pPr>
                    <w:pStyle w:val="28"/>
                    <w:bidi w:val="0"/>
                  </w:pPr>
                  <w:r>
                    <w:rPr>
                      <w:rFonts w:hint="eastAsia"/>
                    </w:rPr>
                    <w:t>中文名：变压器油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7720" w:type="dxa"/>
                  <w:gridSpan w:val="3"/>
                  <w:vAlign w:val="center"/>
                </w:tcPr>
                <w:p>
                  <w:pPr>
                    <w:pStyle w:val="28"/>
                    <w:bidi w:val="0"/>
                  </w:pPr>
                  <w:r>
                    <w:rPr>
                      <w:rFonts w:hint="eastAsia"/>
                    </w:rPr>
                    <w:t>英文名</w:t>
                  </w:r>
                  <w:sdt>
                    <w:sdtPr>
                      <w:alias w:val="标点符号检查"/>
                      <w:tag w:val="FF0000"/>
                      <w:id w:val="3040321"/>
                    </w:sdtPr>
                    <w:sdtContent>
                      <w:bookmarkStart w:id="18" w:name="bkReivew3040321"/>
                      <w:r>
                        <w:rPr>
                          <w:rFonts w:hint="eastAsia"/>
                        </w:rPr>
                        <w:t>：</w:t>
                      </w:r>
                      <w:bookmarkEnd w:id="18"/>
                    </w:sdtContent>
                  </w:sdt>
                  <w:r>
                    <w:rPr>
                      <w:rFonts w:hint="eastAsia"/>
                    </w:rPr>
                    <w:t>transformeroil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restart"/>
                  <w:vAlign w:val="center"/>
                </w:tcPr>
                <w:p>
                  <w:pPr>
                    <w:pStyle w:val="28"/>
                    <w:bidi w:val="0"/>
                  </w:pPr>
                  <w:r>
                    <w:rPr>
                      <w:rFonts w:hint="eastAsia"/>
                    </w:rPr>
                    <w:t>理化性质</w:t>
                  </w:r>
                </w:p>
              </w:tc>
              <w:tc>
                <w:tcPr>
                  <w:tcW w:w="7720" w:type="dxa"/>
                  <w:gridSpan w:val="3"/>
                  <w:vAlign w:val="center"/>
                </w:tcPr>
                <w:p>
                  <w:pPr>
                    <w:pStyle w:val="28"/>
                    <w:bidi w:val="0"/>
                  </w:pPr>
                  <w:r>
                    <w:t>外观与性状：浅色液体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4864" w:type="dxa"/>
                  <w:gridSpan w:val="2"/>
                  <w:vAlign w:val="center"/>
                </w:tcPr>
                <w:p>
                  <w:pPr>
                    <w:pStyle w:val="28"/>
                    <w:bidi w:val="0"/>
                  </w:pPr>
                  <w:r>
                    <w:rPr>
                      <w:rFonts w:hint="eastAsia"/>
                    </w:rPr>
                    <w:t>闪点（℃）：</w:t>
                  </w:r>
                  <w:r>
                    <w:t>&gt;140</w:t>
                  </w:r>
                  <w:r>
                    <w:rPr>
                      <w:rFonts w:hint="eastAsia"/>
                    </w:rPr>
                    <w:t>℃</w:t>
                  </w:r>
                </w:p>
              </w:tc>
              <w:tc>
                <w:tcPr>
                  <w:tcW w:w="2856" w:type="dxa"/>
                  <w:vAlign w:val="center"/>
                </w:tcPr>
                <w:p>
                  <w:pPr>
                    <w:pStyle w:val="28"/>
                    <w:bidi w:val="0"/>
                  </w:pPr>
                  <w:r>
                    <w:rPr>
                      <w:rFonts w:hint="eastAsia"/>
                    </w:rPr>
                    <w:t>自燃点（℃）：</w:t>
                  </w:r>
                  <w:r>
                    <w:t>&gt;270°C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4864" w:type="dxa"/>
                  <w:gridSpan w:val="2"/>
                  <w:vAlign w:val="center"/>
                </w:tcPr>
                <w:p>
                  <w:pPr>
                    <w:pStyle w:val="28"/>
                    <w:bidi w:val="0"/>
                  </w:pPr>
                  <w:r>
                    <w:rPr>
                      <w:rFonts w:hint="eastAsia"/>
                    </w:rPr>
                    <w:t>初馏点（℃）：</w:t>
                  </w:r>
                  <w:r>
                    <w:t>&gt;250</w:t>
                  </w:r>
                  <w:r>
                    <w:rPr>
                      <w:rFonts w:hint="eastAsia"/>
                    </w:rPr>
                    <w:t>℃</w:t>
                  </w:r>
                </w:p>
              </w:tc>
              <w:tc>
                <w:tcPr>
                  <w:tcW w:w="2856" w:type="dxa"/>
                  <w:vAlign w:val="center"/>
                </w:tcPr>
                <w:p>
                  <w:pPr>
                    <w:pStyle w:val="28"/>
                    <w:bidi w:val="0"/>
                    <w:rPr>
                      <w:rFonts w:hint="eastAsia" w:eastAsia="宋体"/>
                      <w:lang w:eastAsia="zh-CN"/>
                    </w:rPr>
                  </w:pPr>
                  <w:r>
                    <w:rPr>
                      <w:rFonts w:hint="eastAsia"/>
                    </w:rPr>
                    <w:t>密度：</w:t>
                  </w:r>
                  <w:r>
                    <w:t>882kg/</w:t>
                  </w:r>
                  <w:r>
                    <w:rPr>
                      <w:rFonts w:hint="eastAsia"/>
                      <w:lang w:val="en-US"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4864" w:type="dxa"/>
                  <w:gridSpan w:val="2"/>
                  <w:vAlign w:val="center"/>
                </w:tcPr>
                <w:p>
                  <w:pPr>
                    <w:pStyle w:val="28"/>
                    <w:bidi w:val="0"/>
                  </w:pPr>
                  <w:r>
                    <w:t>粘度：&lt;13mm2/s</w:t>
                  </w:r>
                </w:p>
              </w:tc>
              <w:tc>
                <w:tcPr>
                  <w:tcW w:w="2856" w:type="dxa"/>
                  <w:vAlign w:val="center"/>
                </w:tcPr>
                <w:p>
                  <w:pPr>
                    <w:pStyle w:val="2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7720" w:type="dxa"/>
                  <w:gridSpan w:val="3"/>
                  <w:vAlign w:val="center"/>
                </w:tcPr>
                <w:p>
                  <w:pPr>
                    <w:pStyle w:val="28"/>
                    <w:bidi w:val="0"/>
                  </w:pPr>
                  <w:r>
                    <w:rPr>
                      <w:rFonts w:hint="eastAsia"/>
                    </w:rPr>
                    <w:t>有害成分：烷烃、环烷族饱和烃、芳香族不饱和烃等组成的化合物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7720" w:type="dxa"/>
                  <w:gridSpan w:val="3"/>
                  <w:vAlign w:val="center"/>
                </w:tcPr>
                <w:p>
                  <w:pPr>
                    <w:pStyle w:val="28"/>
                    <w:bidi w:val="0"/>
                  </w:pPr>
                  <w:r>
                    <w:rPr>
                      <w:rFonts w:hint="eastAsia"/>
                    </w:rPr>
                    <w:t>溶解性：不溶于水，溶于有机溶剂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7720" w:type="dxa"/>
                  <w:gridSpan w:val="3"/>
                  <w:vAlign w:val="center"/>
                </w:tcPr>
                <w:p>
                  <w:pPr>
                    <w:pStyle w:val="28"/>
                    <w:bidi w:val="0"/>
                  </w:pPr>
                  <w:r>
                    <w:rPr>
                      <w:rFonts w:hint="eastAsia"/>
                    </w:rPr>
                    <w:t>碳型分析：</w:t>
                  </w:r>
                  <w:r>
                    <w:t>CA</w:t>
                  </w:r>
                  <w:r>
                    <w:rPr>
                      <w:rFonts w:hint="eastAsia"/>
                    </w:rPr>
                    <w:t>（</w:t>
                  </w:r>
                  <w:r>
                    <w:t>%</w:t>
                  </w:r>
                  <w:r>
                    <w:rPr>
                      <w:rFonts w:hint="eastAsia"/>
                    </w:rPr>
                    <w:t>）</w:t>
                  </w:r>
                  <w:r>
                    <w:t>&lt;10</w:t>
                  </w:r>
                  <w:r>
                    <w:rPr>
                      <w:rFonts w:hint="eastAsia"/>
                    </w:rPr>
                    <w:t>；</w:t>
                  </w:r>
                  <w:r>
                    <w:t>CN</w:t>
                  </w:r>
                  <w:r>
                    <w:rPr>
                      <w:rFonts w:hint="eastAsia"/>
                    </w:rPr>
                    <w:t>（</w:t>
                  </w:r>
                  <w:r>
                    <w:t>%</w:t>
                  </w:r>
                  <w:r>
                    <w:rPr>
                      <w:rFonts w:hint="eastAsia"/>
                    </w:rPr>
                    <w:t>）</w:t>
                  </w:r>
                  <w:r>
                    <w:t>&gt;40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restart"/>
                  <w:vAlign w:val="center"/>
                </w:tcPr>
                <w:p>
                  <w:pPr>
                    <w:pStyle w:val="28"/>
                    <w:bidi w:val="0"/>
                  </w:pPr>
                  <w:r>
                    <w:rPr>
                      <w:rFonts w:hint="eastAsia"/>
                    </w:rPr>
                    <w:t>危险特征</w:t>
                  </w:r>
                </w:p>
              </w:tc>
              <w:tc>
                <w:tcPr>
                  <w:tcW w:w="1162" w:type="dxa"/>
                  <w:vAlign w:val="center"/>
                </w:tcPr>
                <w:p>
                  <w:pPr>
                    <w:pStyle w:val="28"/>
                    <w:bidi w:val="0"/>
                  </w:pPr>
                  <w:r>
                    <w:rPr>
                      <w:rFonts w:hint="eastAsia"/>
                    </w:rPr>
                    <w:t>物理和化学危险性</w:t>
                  </w:r>
                </w:p>
              </w:tc>
              <w:tc>
                <w:tcPr>
                  <w:tcW w:w="6558" w:type="dxa"/>
                  <w:gridSpan w:val="2"/>
                  <w:vAlign w:val="center"/>
                </w:tcPr>
                <w:p>
                  <w:pPr>
                    <w:pStyle w:val="28"/>
                    <w:bidi w:val="0"/>
                  </w:pPr>
                  <w:r>
                    <w:t>温度升高超过物理性质的指标时，会释放出可燃的蒸气和分解产物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1162" w:type="dxa"/>
                  <w:vAlign w:val="center"/>
                </w:tcPr>
                <w:p>
                  <w:pPr>
                    <w:pStyle w:val="28"/>
                    <w:bidi w:val="0"/>
                  </w:pPr>
                  <w:r>
                    <w:rPr>
                      <w:rFonts w:hint="eastAsia"/>
                    </w:rPr>
                    <w:t>人类健康</w:t>
                  </w:r>
                </w:p>
              </w:tc>
              <w:tc>
                <w:tcPr>
                  <w:tcW w:w="6558" w:type="dxa"/>
                  <w:gridSpan w:val="2"/>
                  <w:vAlign w:val="center"/>
                </w:tcPr>
                <w:p>
                  <w:pPr>
                    <w:pStyle w:val="28"/>
                    <w:bidi w:val="0"/>
                  </w:pPr>
                  <w:r>
                    <w:t>矿物白油缓慢生物降解产品将在环境中保留一段时间。存在污染地面、土壤和水的风险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1162" w:type="dxa"/>
                  <w:vAlign w:val="center"/>
                </w:tcPr>
                <w:p>
                  <w:pPr>
                    <w:pStyle w:val="28"/>
                    <w:bidi w:val="0"/>
                  </w:pPr>
                  <w:r>
                    <w:rPr>
                      <w:rFonts w:hint="eastAsia"/>
                    </w:rPr>
                    <w:t>环境</w:t>
                  </w:r>
                </w:p>
              </w:tc>
              <w:tc>
                <w:tcPr>
                  <w:tcW w:w="6558" w:type="dxa"/>
                  <w:gridSpan w:val="2"/>
                  <w:vAlign w:val="center"/>
                </w:tcPr>
                <w:p>
                  <w:pPr>
                    <w:pStyle w:val="28"/>
                    <w:bidi w:val="0"/>
                  </w:pPr>
                  <w:r>
                    <w:t>吸入蒸气或烟雾（在高温情况下才会产生）会刺激呼吸道。长期或重复皮肤接触会造成脱脂或刺激。眼睛接触可能引起刺激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restart"/>
                  <w:vAlign w:val="center"/>
                </w:tcPr>
                <w:p>
                  <w:pPr>
                    <w:pStyle w:val="28"/>
                    <w:bidi w:val="0"/>
                  </w:pPr>
                  <w:r>
                    <w:rPr>
                      <w:rFonts w:hint="eastAsia"/>
                    </w:rPr>
                    <w:t>急救措施</w:t>
                  </w:r>
                </w:p>
              </w:tc>
              <w:tc>
                <w:tcPr>
                  <w:tcW w:w="1162" w:type="dxa"/>
                  <w:vAlign w:val="center"/>
                </w:tcPr>
                <w:p>
                  <w:pPr>
                    <w:pStyle w:val="28"/>
                    <w:bidi w:val="0"/>
                  </w:pPr>
                  <w:r>
                    <w:rPr>
                      <w:rFonts w:hint="eastAsia"/>
                    </w:rPr>
                    <w:t>皮肤接触</w:t>
                  </w:r>
                </w:p>
              </w:tc>
              <w:tc>
                <w:tcPr>
                  <w:tcW w:w="6558" w:type="dxa"/>
                  <w:gridSpan w:val="2"/>
                  <w:vAlign w:val="center"/>
                </w:tcPr>
                <w:p>
                  <w:pPr>
                    <w:pStyle w:val="28"/>
                    <w:bidi w:val="0"/>
                  </w:pPr>
                  <w:r>
                    <w:t>立即脱去被污染的衣物，擦去矿物油，并用香皂和大量水清洗。衣物未清洗前勿使用。如果发生刺激反应，请与医生联系。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1162" w:type="dxa"/>
                  <w:vAlign w:val="center"/>
                </w:tcPr>
                <w:p>
                  <w:pPr>
                    <w:pStyle w:val="28"/>
                    <w:bidi w:val="0"/>
                  </w:pPr>
                  <w:r>
                    <w:rPr>
                      <w:rFonts w:hint="eastAsia"/>
                    </w:rPr>
                    <w:t>眼睛接触</w:t>
                  </w:r>
                </w:p>
              </w:tc>
              <w:tc>
                <w:tcPr>
                  <w:tcW w:w="6558" w:type="dxa"/>
                  <w:gridSpan w:val="2"/>
                  <w:vAlign w:val="center"/>
                </w:tcPr>
                <w:p>
                  <w:pPr>
                    <w:pStyle w:val="28"/>
                    <w:bidi w:val="0"/>
                  </w:pPr>
                  <w:r>
                    <w:rPr>
                      <w:rFonts w:hint="eastAsia"/>
                    </w:rPr>
                    <w:t>用大量的水清洗。如果发生刺激反应，请与医生联系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1162" w:type="dxa"/>
                  <w:vAlign w:val="center"/>
                </w:tcPr>
                <w:p>
                  <w:pPr>
                    <w:pStyle w:val="28"/>
                    <w:bidi w:val="0"/>
                  </w:pPr>
                  <w:r>
                    <w:rPr>
                      <w:rFonts w:hint="eastAsia"/>
                    </w:rPr>
                    <w:t>吸入</w:t>
                  </w:r>
                </w:p>
              </w:tc>
              <w:tc>
                <w:tcPr>
                  <w:tcW w:w="6558" w:type="dxa"/>
                  <w:gridSpan w:val="2"/>
                  <w:vAlign w:val="center"/>
                </w:tcPr>
                <w:p>
                  <w:pPr>
                    <w:pStyle w:val="28"/>
                    <w:bidi w:val="0"/>
                  </w:pPr>
                  <w:r>
                    <w:rPr>
                      <w:rFonts w:hint="eastAsia"/>
                    </w:rPr>
                    <w:t>如果吸入雾、烟或蒸气引起刺激反应，立即转移到新鲜空气处。如果呼吸困难可进行吸氧。如症状未缓解，请与医生联系。如呼吸停止应进行人工呼吸并立即送医院就诊。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1162" w:type="dxa"/>
                  <w:vAlign w:val="center"/>
                </w:tcPr>
                <w:p>
                  <w:pPr>
                    <w:pStyle w:val="28"/>
                    <w:bidi w:val="0"/>
                  </w:pPr>
                  <w:r>
                    <w:rPr>
                      <w:rFonts w:hint="eastAsia"/>
                    </w:rPr>
                    <w:t>食入</w:t>
                  </w:r>
                </w:p>
              </w:tc>
              <w:tc>
                <w:tcPr>
                  <w:tcW w:w="6558" w:type="dxa"/>
                  <w:gridSpan w:val="2"/>
                  <w:vAlign w:val="center"/>
                </w:tcPr>
                <w:p>
                  <w:pPr>
                    <w:pStyle w:val="28"/>
                    <w:bidi w:val="0"/>
                  </w:pPr>
                  <w:r>
                    <w:rPr>
                      <w:rFonts w:hint="eastAsia"/>
                    </w:rPr>
                    <w:t>用水清洗口腔。如果吞下量较大请与医生联系。不要进行催吐。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restart"/>
                  <w:vAlign w:val="center"/>
                </w:tcPr>
                <w:p>
                  <w:pPr>
                    <w:pStyle w:val="28"/>
                    <w:bidi w:val="0"/>
                  </w:pPr>
                  <w:r>
                    <w:rPr>
                      <w:rFonts w:hint="eastAsia"/>
                    </w:rPr>
                    <w:t>意外泄漏应急处理</w:t>
                  </w:r>
                </w:p>
              </w:tc>
              <w:tc>
                <w:tcPr>
                  <w:tcW w:w="1162" w:type="dxa"/>
                  <w:vAlign w:val="center"/>
                </w:tcPr>
                <w:p>
                  <w:pPr>
                    <w:pStyle w:val="28"/>
                    <w:bidi w:val="0"/>
                  </w:pPr>
                  <w:r>
                    <w:rPr>
                      <w:rFonts w:hint="eastAsia"/>
                    </w:rPr>
                    <w:t>个人措施</w:t>
                  </w:r>
                </w:p>
              </w:tc>
              <w:tc>
                <w:tcPr>
                  <w:tcW w:w="6558" w:type="dxa"/>
                  <w:gridSpan w:val="2"/>
                  <w:vAlign w:val="center"/>
                </w:tcPr>
                <w:p>
                  <w:pPr>
                    <w:pStyle w:val="28"/>
                    <w:bidi w:val="0"/>
                  </w:pPr>
                  <w:r>
                    <w:rPr>
                      <w:rFonts w:hint="eastAsia"/>
                    </w:rPr>
                    <w:t>佩戴适当的防护设备。立即熄灭火源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1162" w:type="dxa"/>
                  <w:vAlign w:val="center"/>
                </w:tcPr>
                <w:p>
                  <w:pPr>
                    <w:pStyle w:val="28"/>
                    <w:bidi w:val="0"/>
                  </w:pPr>
                  <w:r>
                    <w:rPr>
                      <w:rFonts w:hint="eastAsia"/>
                    </w:rPr>
                    <w:t>环境措施</w:t>
                  </w:r>
                </w:p>
              </w:tc>
              <w:tc>
                <w:tcPr>
                  <w:tcW w:w="6558" w:type="dxa"/>
                  <w:gridSpan w:val="2"/>
                  <w:vAlign w:val="center"/>
                </w:tcPr>
                <w:p>
                  <w:pPr>
                    <w:pStyle w:val="28"/>
                    <w:bidi w:val="0"/>
                  </w:pPr>
                  <w:r>
                    <w:rPr>
                      <w:rFonts w:hint="eastAsia"/>
                    </w:rPr>
                    <w:t>防止溢出物进入或蔓延到排水沟、水道和土壤中。与当地环境保护部门联系。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1162" w:type="dxa"/>
                  <w:vAlign w:val="center"/>
                </w:tcPr>
                <w:p>
                  <w:pPr>
                    <w:pStyle w:val="28"/>
                    <w:bidi w:val="0"/>
                  </w:pPr>
                  <w:r>
                    <w:rPr>
                      <w:rFonts w:hint="eastAsia"/>
                    </w:rPr>
                    <w:t>清洁方法</w:t>
                  </w:r>
                </w:p>
              </w:tc>
              <w:tc>
                <w:tcPr>
                  <w:tcW w:w="6558" w:type="dxa"/>
                  <w:gridSpan w:val="2"/>
                  <w:vAlign w:val="center"/>
                </w:tcPr>
                <w:p>
                  <w:pPr>
                    <w:pStyle w:val="28"/>
                    <w:bidi w:val="0"/>
                  </w:pPr>
                  <w:r>
                    <w:rPr>
                      <w:rFonts w:hint="eastAsia"/>
                    </w:rPr>
                    <w:t>如果无危险，应尽快停止泄漏。少量泄漏时，用</w:t>
                  </w:r>
                  <w:sdt>
                    <w:sdtPr>
                      <w:alias w:val="易错词检查"/>
                      <w:tag w:val="FF0000"/>
                      <w:id w:val="2030212"/>
                    </w:sdtPr>
                    <w:sdtContent>
                      <w:bookmarkStart w:id="19" w:name="bkReivew2030212"/>
                      <w:r>
                        <w:rPr>
                          <w:rFonts w:hint="eastAsia"/>
                        </w:rPr>
                        <w:t>粘土</w:t>
                      </w:r>
                      <w:bookmarkEnd w:id="19"/>
                    </w:sdtContent>
                  </w:sdt>
                  <w:r>
                    <w:rPr>
                      <w:rFonts w:hint="eastAsia"/>
                    </w:rPr>
                    <w:t>、沙、土或其他合适的材料吸收。大量泄漏时，用泵将泄漏的油泵入合适的容器中，然后再用上面提到的材料吸收。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restart"/>
                  <w:vAlign w:val="center"/>
                </w:tcPr>
                <w:p>
                  <w:pPr>
                    <w:pStyle w:val="28"/>
                    <w:bidi w:val="0"/>
                  </w:pPr>
                  <w:r>
                    <w:rPr>
                      <w:rFonts w:hint="eastAsia"/>
                    </w:rPr>
                    <w:t>操作处置与储存</w:t>
                  </w:r>
                </w:p>
              </w:tc>
              <w:tc>
                <w:tcPr>
                  <w:tcW w:w="1162" w:type="dxa"/>
                  <w:vAlign w:val="center"/>
                </w:tcPr>
                <w:p>
                  <w:pPr>
                    <w:pStyle w:val="28"/>
                    <w:bidi w:val="0"/>
                  </w:pPr>
                  <w:r>
                    <w:rPr>
                      <w:rFonts w:hint="eastAsia"/>
                    </w:rPr>
                    <w:t>处理</w:t>
                  </w:r>
                </w:p>
              </w:tc>
              <w:tc>
                <w:tcPr>
                  <w:tcW w:w="6558" w:type="dxa"/>
                  <w:gridSpan w:val="2"/>
                  <w:vAlign w:val="center"/>
                </w:tcPr>
                <w:p>
                  <w:pPr>
                    <w:pStyle w:val="28"/>
                    <w:bidi w:val="0"/>
                  </w:pPr>
                  <w:r>
                    <w:rPr>
                      <w:rFonts w:hint="eastAsia"/>
                    </w:rPr>
                    <w:t>避免热、明火和强氧化剂。所有处理设备要进行接地，以防电火花。如果处于高温下或高速运动的机械设备中，可能会释放出</w:t>
                  </w:r>
                  <w:r>
                    <w:rPr>
                      <w:rFonts w:hint="eastAsia"/>
                      <w:lang w:eastAsia="zh-CN"/>
                    </w:rPr>
                    <w:t>蒸汽</w:t>
                  </w:r>
                  <w:r>
                    <w:rPr>
                      <w:rFonts w:hint="eastAsia"/>
                    </w:rPr>
                    <w:t>或雾，因此需要良好的通风，使用防爆通风设备。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Merge w:val="continue"/>
                  <w:vAlign w:val="center"/>
                </w:tcPr>
                <w:p>
                  <w:pPr>
                    <w:pStyle w:val="28"/>
                    <w:bidi w:val="0"/>
                  </w:pPr>
                </w:p>
              </w:tc>
              <w:tc>
                <w:tcPr>
                  <w:tcW w:w="1162" w:type="dxa"/>
                  <w:vAlign w:val="center"/>
                </w:tcPr>
                <w:p>
                  <w:pPr>
                    <w:pStyle w:val="28"/>
                    <w:bidi w:val="0"/>
                  </w:pPr>
                  <w:r>
                    <w:rPr>
                      <w:rFonts w:hint="eastAsia"/>
                    </w:rPr>
                    <w:t>贮存</w:t>
                  </w:r>
                </w:p>
              </w:tc>
              <w:tc>
                <w:tcPr>
                  <w:tcW w:w="6558" w:type="dxa"/>
                  <w:gridSpan w:val="2"/>
                  <w:vAlign w:val="center"/>
                </w:tcPr>
                <w:p>
                  <w:pPr>
                    <w:pStyle w:val="28"/>
                    <w:bidi w:val="0"/>
                  </w:pPr>
                  <w:r>
                    <w:rPr>
                      <w:rFonts w:hint="eastAsia"/>
                    </w:rPr>
                    <w:t>贮存于干燥，凉爽环境下，通风良好处。避免强烈日光，明火和高温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dxa"/>
                  <w:vAlign w:val="center"/>
                </w:tcPr>
                <w:p>
                  <w:pPr>
                    <w:pStyle w:val="28"/>
                    <w:bidi w:val="0"/>
                  </w:pPr>
                  <w:r>
                    <w:rPr>
                      <w:rFonts w:hint="eastAsia"/>
                    </w:rPr>
                    <w:t>接触</w:t>
                  </w:r>
                </w:p>
              </w:tc>
              <w:tc>
                <w:tcPr>
                  <w:tcW w:w="1162" w:type="dxa"/>
                  <w:vAlign w:val="center"/>
                </w:tcPr>
                <w:p>
                  <w:pPr>
                    <w:pStyle w:val="28"/>
                    <w:bidi w:val="0"/>
                  </w:pPr>
                  <w:r>
                    <w:rPr>
                      <w:rFonts w:hint="eastAsia"/>
                    </w:rPr>
                    <w:t>控制因素</w:t>
                  </w:r>
                </w:p>
              </w:tc>
              <w:tc>
                <w:tcPr>
                  <w:tcW w:w="6558" w:type="dxa"/>
                  <w:gridSpan w:val="2"/>
                  <w:vAlign w:val="center"/>
                </w:tcPr>
                <w:p>
                  <w:pPr>
                    <w:pStyle w:val="28"/>
                    <w:bidi w:val="0"/>
                  </w:pPr>
                  <w:r>
                    <w:rPr>
                      <w:rFonts w:hint="eastAsia"/>
                    </w:rPr>
                    <w:t>如果存在矿物油的尘雾，应进行通风。</w:t>
                  </w:r>
                </w:p>
              </w:tc>
            </w:tr>
          </w:tbl>
          <w:p>
            <w:pPr>
              <w:pStyle w:val="29"/>
              <w:bidi w:val="0"/>
            </w:pPr>
            <w:r>
              <w:rPr>
                <w:rFonts w:hint="eastAsia"/>
              </w:rPr>
              <w:t>（2）风险评价等级</w:t>
            </w:r>
          </w:p>
          <w:p>
            <w:pPr>
              <w:pStyle w:val="29"/>
              <w:bidi w:val="0"/>
            </w:pPr>
            <w:r>
              <w:rPr>
                <w:rFonts w:hint="eastAsia"/>
              </w:rPr>
              <w:t>1）评价等级</w:t>
            </w:r>
          </w:p>
          <w:p>
            <w:pPr>
              <w:pStyle w:val="29"/>
              <w:bidi w:val="0"/>
            </w:pPr>
            <w:r>
              <w:rPr>
                <w:rFonts w:hint="eastAsia"/>
              </w:rPr>
              <w:t>本项目涉及的危险物质主要为变压器油（油类物质），其最大储存量如下表所示。</w:t>
            </w:r>
          </w:p>
          <w:p>
            <w:pPr>
              <w:pStyle w:val="29"/>
              <w:bidi w:val="0"/>
              <w:ind w:left="0" w:leftChars="0" w:right="0" w:rightChars="0" w:firstLine="0" w:firstLineChars="0"/>
              <w:jc w:val="center"/>
            </w:pPr>
            <w:r>
              <w:rPr>
                <w:rFonts w:hint="eastAsia"/>
              </w:rPr>
              <w:t>表</w:t>
            </w:r>
            <w:r>
              <w:rPr>
                <w:rFonts w:hint="eastAsia"/>
                <w:lang w:val="en-US" w:eastAsia="zh-CN"/>
              </w:rPr>
              <w:t xml:space="preserve">4-16  </w:t>
            </w:r>
            <w:r>
              <w:rPr>
                <w:rFonts w:hint="eastAsia"/>
              </w:rPr>
              <w:t>环境风险物质临界量及储存量一览表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713"/>
              <w:gridCol w:w="1714"/>
              <w:gridCol w:w="1714"/>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6" w:type="dxa"/>
                  <w:vAlign w:val="center"/>
                </w:tcPr>
                <w:p>
                  <w:pPr>
                    <w:pStyle w:val="28"/>
                    <w:bidi w:val="0"/>
                    <w:ind w:left="0" w:leftChars="0" w:right="0" w:rightChars="0" w:firstLine="0" w:firstLineChars="0"/>
                    <w:jc w:val="center"/>
                  </w:pPr>
                  <w:r>
                    <w:rPr>
                      <w:rFonts w:hint="eastAsia"/>
                    </w:rPr>
                    <w:t>序号</w:t>
                  </w:r>
                </w:p>
              </w:tc>
              <w:tc>
                <w:tcPr>
                  <w:tcW w:w="1806" w:type="dxa"/>
                  <w:vAlign w:val="center"/>
                </w:tcPr>
                <w:p>
                  <w:pPr>
                    <w:pStyle w:val="28"/>
                    <w:bidi w:val="0"/>
                    <w:ind w:left="0" w:leftChars="0" w:right="0" w:rightChars="0" w:firstLine="0" w:firstLineChars="0"/>
                    <w:jc w:val="center"/>
                  </w:pPr>
                  <w:r>
                    <w:rPr>
                      <w:rFonts w:hint="eastAsia"/>
                    </w:rPr>
                    <w:t>物质名称</w:t>
                  </w:r>
                </w:p>
              </w:tc>
              <w:tc>
                <w:tcPr>
                  <w:tcW w:w="1806" w:type="dxa"/>
                  <w:vAlign w:val="center"/>
                </w:tcPr>
                <w:p>
                  <w:pPr>
                    <w:pStyle w:val="28"/>
                    <w:bidi w:val="0"/>
                    <w:ind w:left="0" w:leftChars="0" w:right="0" w:rightChars="0" w:firstLine="0" w:firstLineChars="0"/>
                    <w:jc w:val="center"/>
                  </w:pPr>
                  <w:r>
                    <w:rPr>
                      <w:rFonts w:hint="eastAsia"/>
                    </w:rPr>
                    <w:t>最大储存量/t</w:t>
                  </w:r>
                </w:p>
              </w:tc>
              <w:tc>
                <w:tcPr>
                  <w:tcW w:w="1806" w:type="dxa"/>
                  <w:vAlign w:val="center"/>
                </w:tcPr>
                <w:p>
                  <w:pPr>
                    <w:pStyle w:val="28"/>
                    <w:bidi w:val="0"/>
                    <w:ind w:left="0" w:leftChars="0" w:right="0" w:rightChars="0" w:firstLine="0" w:firstLineChars="0"/>
                    <w:jc w:val="center"/>
                  </w:pPr>
                  <w:r>
                    <w:rPr>
                      <w:rFonts w:hint="eastAsia"/>
                    </w:rPr>
                    <w:t>临界量/t</w:t>
                  </w:r>
                </w:p>
              </w:tc>
              <w:tc>
                <w:tcPr>
                  <w:tcW w:w="1806" w:type="dxa"/>
                  <w:vAlign w:val="center"/>
                </w:tcPr>
                <w:p>
                  <w:pPr>
                    <w:pStyle w:val="28"/>
                    <w:bidi w:val="0"/>
                    <w:ind w:left="0" w:leftChars="0" w:right="0" w:rightChars="0" w:firstLine="0" w:firstLineChars="0"/>
                    <w:jc w:val="center"/>
                  </w:pPr>
                  <w:r>
                    <w:rPr>
                      <w:rFonts w:hint="eastAsia"/>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6" w:type="dxa"/>
                  <w:vAlign w:val="center"/>
                </w:tcPr>
                <w:p>
                  <w:pPr>
                    <w:pStyle w:val="28"/>
                    <w:bidi w:val="0"/>
                    <w:ind w:left="0" w:leftChars="0" w:right="0" w:rightChars="0" w:firstLine="0" w:firstLineChars="0"/>
                    <w:jc w:val="center"/>
                  </w:pPr>
                  <w:r>
                    <w:rPr>
                      <w:rFonts w:hint="eastAsia"/>
                    </w:rPr>
                    <w:t>1</w:t>
                  </w:r>
                </w:p>
              </w:tc>
              <w:tc>
                <w:tcPr>
                  <w:tcW w:w="1806" w:type="dxa"/>
                  <w:vAlign w:val="center"/>
                </w:tcPr>
                <w:p>
                  <w:pPr>
                    <w:pStyle w:val="28"/>
                    <w:bidi w:val="0"/>
                    <w:ind w:left="0" w:leftChars="0" w:right="0" w:rightChars="0" w:firstLine="0" w:firstLineChars="0"/>
                    <w:jc w:val="center"/>
                  </w:pPr>
                  <w:r>
                    <w:rPr>
                      <w:rFonts w:hint="eastAsia"/>
                    </w:rPr>
                    <w:t>油类物质</w:t>
                  </w:r>
                </w:p>
              </w:tc>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26.4</w:t>
                  </w:r>
                </w:p>
              </w:tc>
              <w:tc>
                <w:tcPr>
                  <w:tcW w:w="1806" w:type="dxa"/>
                  <w:vAlign w:val="center"/>
                </w:tcPr>
                <w:p>
                  <w:pPr>
                    <w:pStyle w:val="28"/>
                    <w:bidi w:val="0"/>
                    <w:ind w:left="0" w:leftChars="0" w:right="0" w:rightChars="0" w:firstLine="0" w:firstLineChars="0"/>
                    <w:jc w:val="center"/>
                  </w:pPr>
                  <w:r>
                    <w:rPr>
                      <w:rFonts w:hint="eastAsia"/>
                    </w:rPr>
                    <w:t>2500</w:t>
                  </w:r>
                </w:p>
              </w:tc>
              <w:tc>
                <w:tcPr>
                  <w:tcW w:w="1806" w:type="dxa"/>
                  <w:vAlign w:val="center"/>
                </w:tcPr>
                <w:p>
                  <w:pPr>
                    <w:pStyle w:val="28"/>
                    <w:bidi w:val="0"/>
                    <w:ind w:left="0" w:leftChars="0" w:right="0" w:rightChars="0" w:firstLine="0" w:firstLineChars="0"/>
                    <w:jc w:val="center"/>
                    <w:rPr>
                      <w:rFonts w:hint="default" w:eastAsia="宋体"/>
                      <w:lang w:val="en-US" w:eastAsia="zh-CN"/>
                    </w:rPr>
                  </w:pPr>
                  <w:r>
                    <w:rPr>
                      <w:rFonts w:hint="default" w:eastAsia="宋体"/>
                      <w:lang w:val="en-US" w:eastAsia="zh-CN"/>
                    </w:rPr>
                    <w:t>0.01056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6" w:type="dxa"/>
                  <w:vAlign w:val="center"/>
                </w:tcPr>
                <w:p>
                  <w:pPr>
                    <w:pStyle w:val="28"/>
                    <w:bidi w:val="0"/>
                    <w:ind w:left="0" w:leftChars="0" w:right="0" w:rightChars="0" w:firstLine="0" w:firstLineChars="0"/>
                    <w:jc w:val="center"/>
                    <w:rPr>
                      <w:rFonts w:hint="eastAsia"/>
                      <w:lang w:val="en-US" w:eastAsia="zh-CN"/>
                    </w:rPr>
                  </w:pPr>
                  <w:r>
                    <w:rPr>
                      <w:rFonts w:hint="eastAsia"/>
                      <w:lang w:val="en-US" w:eastAsia="zh-CN"/>
                    </w:rPr>
                    <w:t>2</w:t>
                  </w:r>
                </w:p>
              </w:tc>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油类物质</w:t>
                  </w:r>
                </w:p>
              </w:tc>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17×1.16=19.72</w:t>
                  </w:r>
                </w:p>
              </w:tc>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2500</w:t>
                  </w:r>
                </w:p>
              </w:tc>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0.007888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3</w:t>
                  </w:r>
                </w:p>
              </w:tc>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总计</w:t>
                  </w:r>
                </w:p>
              </w:tc>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w:t>
                  </w:r>
                </w:p>
              </w:tc>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w:t>
                  </w:r>
                </w:p>
              </w:tc>
              <w:tc>
                <w:tcPr>
                  <w:tcW w:w="1806" w:type="dxa"/>
                  <w:vAlign w:val="center"/>
                </w:tcPr>
                <w:p>
                  <w:pPr>
                    <w:pStyle w:val="28"/>
                    <w:bidi w:val="0"/>
                    <w:ind w:left="0" w:leftChars="0" w:right="0" w:rightChars="0" w:firstLine="0" w:firstLineChars="0"/>
                    <w:jc w:val="center"/>
                    <w:rPr>
                      <w:rFonts w:hint="default"/>
                      <w:lang w:val="en-US" w:eastAsia="zh-CN"/>
                    </w:rPr>
                  </w:pPr>
                  <w:r>
                    <w:rPr>
                      <w:rFonts w:hint="eastAsia"/>
                      <w:lang w:val="en-US" w:eastAsia="zh-CN"/>
                    </w:rPr>
                    <w:t>0.018448</w:t>
                  </w:r>
                </w:p>
              </w:tc>
            </w:tr>
          </w:tbl>
          <w:p>
            <w:pPr>
              <w:spacing w:line="360" w:lineRule="auto"/>
              <w:ind w:firstLine="480" w:firstLineChars="200"/>
              <w:rPr>
                <w:bCs/>
                <w:color w:val="auto"/>
                <w:kern w:val="0"/>
                <w:sz w:val="24"/>
                <w:highlight w:val="none"/>
              </w:rPr>
            </w:pPr>
            <w:r>
              <w:rPr>
                <w:bCs/>
                <w:color w:val="auto"/>
                <w:kern w:val="0"/>
                <w:sz w:val="24"/>
                <w:highlight w:val="none"/>
              </w:rPr>
              <w:t>根据《建设项目环境风险评价技术导则》（HJ/T169-2018）中的有关规定，当Q小于1时，判定该项目环境风险潜势为Ⅰ级</w:t>
            </w:r>
            <w:r>
              <w:rPr>
                <w:rFonts w:hint="eastAsia"/>
                <w:bCs/>
                <w:color w:val="auto"/>
                <w:kern w:val="0"/>
                <w:sz w:val="24"/>
                <w:highlight w:val="none"/>
              </w:rPr>
              <w:t>。</w:t>
            </w:r>
          </w:p>
          <w:p>
            <w:pPr>
              <w:spacing w:line="360" w:lineRule="auto"/>
              <w:jc w:val="center"/>
              <w:rPr>
                <w:bCs/>
                <w:color w:val="auto"/>
                <w:kern w:val="0"/>
                <w:sz w:val="24"/>
                <w:highlight w:val="none"/>
              </w:rPr>
            </w:pPr>
            <w:r>
              <w:rPr>
                <w:rFonts w:hint="eastAsia"/>
                <w:bCs/>
                <w:color w:val="auto"/>
                <w:kern w:val="0"/>
                <w:sz w:val="24"/>
                <w:highlight w:val="none"/>
              </w:rPr>
              <w:t>表</w:t>
            </w:r>
            <w:r>
              <w:rPr>
                <w:rFonts w:hint="eastAsia"/>
                <w:bCs/>
                <w:color w:val="auto"/>
                <w:kern w:val="0"/>
                <w:sz w:val="24"/>
                <w:highlight w:val="none"/>
                <w:lang w:val="en-US" w:eastAsia="zh-CN"/>
              </w:rPr>
              <w:t xml:space="preserve">4-17  </w:t>
            </w:r>
            <w:r>
              <w:rPr>
                <w:rFonts w:hint="eastAsia"/>
                <w:bCs/>
                <w:color w:val="auto"/>
                <w:kern w:val="0"/>
                <w:sz w:val="24"/>
                <w:highlight w:val="none"/>
              </w:rPr>
              <w:t>评价工作级别分类</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713"/>
              <w:gridCol w:w="1714"/>
              <w:gridCol w:w="1714"/>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6" w:type="dxa"/>
                  <w:vAlign w:val="top"/>
                </w:tcPr>
                <w:p>
                  <w:pPr>
                    <w:pStyle w:val="28"/>
                    <w:bidi w:val="0"/>
                  </w:pPr>
                  <w:r>
                    <w:rPr>
                      <w:rFonts w:hint="eastAsia"/>
                    </w:rPr>
                    <w:t>环境风险潜势</w:t>
                  </w:r>
                </w:p>
              </w:tc>
              <w:tc>
                <w:tcPr>
                  <w:tcW w:w="1806" w:type="dxa"/>
                  <w:vAlign w:val="top"/>
                </w:tcPr>
                <w:p>
                  <w:pPr>
                    <w:pStyle w:val="28"/>
                    <w:bidi w:val="0"/>
                  </w:pPr>
                  <w:r>
                    <w:t>Ⅳ、Ⅳ+</w:t>
                  </w:r>
                </w:p>
              </w:tc>
              <w:tc>
                <w:tcPr>
                  <w:tcW w:w="1806" w:type="dxa"/>
                  <w:vAlign w:val="top"/>
                </w:tcPr>
                <w:p>
                  <w:pPr>
                    <w:pStyle w:val="28"/>
                    <w:bidi w:val="0"/>
                  </w:pPr>
                  <w:r>
                    <w:t>Ⅲ</w:t>
                  </w:r>
                </w:p>
              </w:tc>
              <w:tc>
                <w:tcPr>
                  <w:tcW w:w="1806" w:type="dxa"/>
                  <w:vAlign w:val="top"/>
                </w:tcPr>
                <w:p>
                  <w:pPr>
                    <w:pStyle w:val="28"/>
                    <w:bidi w:val="0"/>
                  </w:pPr>
                  <w:r>
                    <w:t>Ⅱ</w:t>
                  </w:r>
                </w:p>
              </w:tc>
              <w:tc>
                <w:tcPr>
                  <w:tcW w:w="1806" w:type="dxa"/>
                  <w:vAlign w:val="top"/>
                </w:tcPr>
                <w:p>
                  <w:pPr>
                    <w:pStyle w:val="28"/>
                    <w:bidi w:val="0"/>
                  </w:pPr>
                  <w: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6" w:type="dxa"/>
                  <w:vAlign w:val="top"/>
                </w:tcPr>
                <w:p>
                  <w:pPr>
                    <w:pStyle w:val="28"/>
                    <w:bidi w:val="0"/>
                  </w:pPr>
                  <w:r>
                    <w:rPr>
                      <w:rFonts w:hint="eastAsia"/>
                    </w:rPr>
                    <w:t>评价工作</w:t>
                  </w:r>
                  <w:sdt>
                    <w:sdtPr>
                      <w:alias w:val="易错词检查"/>
                      <w:tag w:val="FF0000"/>
                      <w:id w:val="3182712"/>
                    </w:sdtPr>
                    <w:sdtContent>
                      <w:bookmarkStart w:id="20" w:name="bkReivew3182712"/>
                      <w:r>
                        <w:rPr>
                          <w:rFonts w:hint="eastAsia"/>
                        </w:rPr>
                        <w:t>等</w:t>
                      </w:r>
                      <w:bookmarkEnd w:id="20"/>
                    </w:sdtContent>
                  </w:sdt>
                  <w:r>
                    <w:rPr>
                      <w:rFonts w:hint="eastAsia"/>
                    </w:rPr>
                    <w:t>级</w:t>
                  </w:r>
                </w:p>
              </w:tc>
              <w:tc>
                <w:tcPr>
                  <w:tcW w:w="1806" w:type="dxa"/>
                  <w:vAlign w:val="top"/>
                </w:tcPr>
                <w:p>
                  <w:pPr>
                    <w:pStyle w:val="28"/>
                    <w:bidi w:val="0"/>
                  </w:pPr>
                  <w:r>
                    <w:rPr>
                      <w:rFonts w:hint="eastAsia"/>
                    </w:rPr>
                    <w:t>一</w:t>
                  </w:r>
                </w:p>
              </w:tc>
              <w:tc>
                <w:tcPr>
                  <w:tcW w:w="1806" w:type="dxa"/>
                  <w:vAlign w:val="top"/>
                </w:tcPr>
                <w:p>
                  <w:pPr>
                    <w:pStyle w:val="28"/>
                    <w:bidi w:val="0"/>
                  </w:pPr>
                  <w:r>
                    <w:rPr>
                      <w:rFonts w:hint="eastAsia"/>
                    </w:rPr>
                    <w:t>二</w:t>
                  </w:r>
                </w:p>
              </w:tc>
              <w:tc>
                <w:tcPr>
                  <w:tcW w:w="1806" w:type="dxa"/>
                  <w:vAlign w:val="top"/>
                </w:tcPr>
                <w:p>
                  <w:pPr>
                    <w:pStyle w:val="28"/>
                    <w:bidi w:val="0"/>
                  </w:pPr>
                  <w:r>
                    <w:rPr>
                      <w:rFonts w:hint="eastAsia"/>
                    </w:rPr>
                    <w:t>三</w:t>
                  </w:r>
                </w:p>
              </w:tc>
              <w:tc>
                <w:tcPr>
                  <w:tcW w:w="1806" w:type="dxa"/>
                  <w:vAlign w:val="top"/>
                </w:tcPr>
                <w:p>
                  <w:pPr>
                    <w:pStyle w:val="28"/>
                    <w:bidi w:val="0"/>
                  </w:pPr>
                  <w:r>
                    <w:rPr>
                      <w:rFonts w:hint="eastAsia"/>
                    </w:rPr>
                    <w:t>简单分析</w:t>
                  </w:r>
                </w:p>
              </w:tc>
            </w:tr>
          </w:tbl>
          <w:p>
            <w:pPr>
              <w:spacing w:line="360" w:lineRule="auto"/>
              <w:ind w:firstLine="480" w:firstLineChars="200"/>
              <w:rPr>
                <w:bCs/>
                <w:color w:val="auto"/>
                <w:kern w:val="0"/>
                <w:sz w:val="24"/>
                <w:highlight w:val="none"/>
              </w:rPr>
            </w:pPr>
            <w:r>
              <w:rPr>
                <w:bCs/>
                <w:color w:val="auto"/>
                <w:kern w:val="0"/>
                <w:sz w:val="24"/>
                <w:highlight w:val="none"/>
              </w:rPr>
              <w:t>由上表可知，Q=</w:t>
            </w:r>
            <w:r>
              <w:rPr>
                <w:rFonts w:hint="eastAsia"/>
                <w:bCs/>
                <w:color w:val="auto"/>
                <w:kern w:val="0"/>
                <w:sz w:val="24"/>
                <w:highlight w:val="none"/>
                <w:lang w:val="en-US" w:eastAsia="zh-CN"/>
              </w:rPr>
              <w:t>0.018448</w:t>
            </w:r>
            <w:r>
              <w:rPr>
                <w:bCs/>
                <w:color w:val="auto"/>
                <w:kern w:val="0"/>
                <w:sz w:val="24"/>
                <w:highlight w:val="none"/>
              </w:rPr>
              <w:t>＜1，因此，本项目环境风险潜势为Ⅰ级，评价等级为</w:t>
            </w:r>
            <w:r>
              <w:rPr>
                <w:rFonts w:hint="eastAsia"/>
                <w:bCs/>
                <w:color w:val="auto"/>
                <w:kern w:val="0"/>
                <w:sz w:val="24"/>
                <w:highlight w:val="none"/>
              </w:rPr>
              <w:t>“</w:t>
            </w:r>
            <w:r>
              <w:rPr>
                <w:bCs/>
                <w:color w:val="auto"/>
                <w:kern w:val="0"/>
                <w:sz w:val="24"/>
                <w:highlight w:val="none"/>
              </w:rPr>
              <w:t>简单分析</w:t>
            </w:r>
            <w:r>
              <w:rPr>
                <w:rFonts w:hint="eastAsia"/>
                <w:bCs/>
                <w:color w:val="auto"/>
                <w:kern w:val="0"/>
                <w:sz w:val="24"/>
                <w:highlight w:val="none"/>
              </w:rPr>
              <w:t>”</w:t>
            </w:r>
            <w:r>
              <w:rPr>
                <w:bCs/>
                <w:color w:val="auto"/>
                <w:kern w:val="0"/>
                <w:sz w:val="24"/>
                <w:highlight w:val="none"/>
              </w:rPr>
              <w:t>。</w:t>
            </w:r>
          </w:p>
          <w:p>
            <w:pPr>
              <w:pStyle w:val="29"/>
              <w:bidi w:val="0"/>
            </w:pPr>
            <w:r>
              <w:rPr>
                <w:rFonts w:hint="eastAsia"/>
              </w:rPr>
              <w:t>2）风险评价范围确定</w:t>
            </w:r>
          </w:p>
          <w:p>
            <w:pPr>
              <w:pStyle w:val="29"/>
              <w:bidi w:val="0"/>
            </w:pPr>
            <w:r>
              <w:rPr>
                <w:rFonts w:hint="eastAsia"/>
              </w:rPr>
              <w:t>土壤风险评价范围：项目升压站场区范围内；</w:t>
            </w:r>
          </w:p>
          <w:p>
            <w:pPr>
              <w:pStyle w:val="29"/>
              <w:bidi w:val="0"/>
              <w:rPr>
                <w:rFonts w:hint="eastAsia"/>
              </w:rPr>
            </w:pPr>
            <w:r>
              <w:rPr>
                <w:rFonts w:hint="eastAsia"/>
              </w:rPr>
              <w:t>地下水风险评价范围：项目升压站场区范围内。</w:t>
            </w:r>
          </w:p>
          <w:p>
            <w:pPr>
              <w:pStyle w:val="29"/>
              <w:bidi w:val="0"/>
            </w:pPr>
            <w:r>
              <w:rPr>
                <w:rFonts w:hint="eastAsia"/>
              </w:rPr>
              <w:t>3）风险识别</w:t>
            </w:r>
          </w:p>
          <w:p>
            <w:pPr>
              <w:pStyle w:val="29"/>
              <w:bidi w:val="0"/>
            </w:pPr>
            <w:r>
              <w:rPr>
                <w:rFonts w:hint="eastAsia"/>
              </w:rPr>
              <w:t>①生产装置风险</w:t>
            </w:r>
          </w:p>
          <w:p>
            <w:pPr>
              <w:pStyle w:val="29"/>
              <w:bidi w:val="0"/>
            </w:pPr>
            <w:r>
              <w:rPr>
                <w:rFonts w:hint="eastAsia"/>
              </w:rPr>
              <w:t>110kV升压站安装1台主变压器，总容量为100MVA，充油量约</w:t>
            </w:r>
            <w:r>
              <w:rPr>
                <w:rFonts w:hint="eastAsia"/>
                <w:lang w:val="en-US" w:eastAsia="zh-CN"/>
              </w:rPr>
              <w:t>26.4</w:t>
            </w:r>
            <w:r>
              <w:rPr>
                <w:rFonts w:hint="eastAsia"/>
              </w:rPr>
              <w:t>t，在变压器工作过程起到绝缘、降温及消弧的作用。</w:t>
            </w:r>
            <w:bookmarkStart w:id="21" w:name="sys61427637"/>
            <w:r>
              <w:rPr>
                <w:rFonts w:hint="eastAsia"/>
              </w:rPr>
              <w:t>变压器油均一次性购买直接装入，无需单独设储罐，变压器油通常为20年换一次。</w:t>
            </w:r>
            <w:bookmarkEnd w:id="21"/>
          </w:p>
          <w:p>
            <w:pPr>
              <w:pStyle w:val="29"/>
              <w:bidi w:val="0"/>
              <w:rPr>
                <w:rFonts w:hint="eastAsia"/>
              </w:rPr>
            </w:pPr>
            <w:r>
              <w:rPr>
                <w:rFonts w:hint="eastAsia"/>
              </w:rPr>
              <w:t>因此，项目运营期的环境风险为升压站的变压器内储存的变压器油发生泄漏以及火灾产生的次生/</w:t>
            </w:r>
            <w:sdt>
              <w:sdtPr>
                <w:alias w:val="易错词检查"/>
                <w:tag w:val="FF0000"/>
                <w:id w:val="1081235"/>
              </w:sdtPr>
              <w:sdtContent>
                <w:bookmarkStart w:id="22" w:name="bkReivew1081235"/>
                <w:r>
                  <w:rPr>
                    <w:rFonts w:hint="eastAsia"/>
                    <w:lang w:val="en-US" w:eastAsia="zh-CN"/>
                  </w:rPr>
                  <w:t>伴</w:t>
                </w:r>
                <w:r>
                  <w:rPr>
                    <w:rFonts w:hint="eastAsia"/>
                  </w:rPr>
                  <w:t>生</w:t>
                </w:r>
                <w:bookmarkEnd w:id="22"/>
              </w:sdtContent>
            </w:sdt>
            <w:r>
              <w:rPr>
                <w:rFonts w:hint="eastAsia"/>
              </w:rPr>
              <w:t>污染物排放</w:t>
            </w:r>
          </w:p>
          <w:p>
            <w:pPr>
              <w:pStyle w:val="29"/>
              <w:bidi w:val="0"/>
              <w:rPr>
                <w:rFonts w:hint="eastAsia"/>
              </w:rPr>
            </w:pPr>
            <w:r>
              <w:rPr>
                <w:rFonts w:hint="eastAsia"/>
              </w:rPr>
              <w:t>②储运设置风险</w:t>
            </w:r>
          </w:p>
          <w:p>
            <w:pPr>
              <w:pStyle w:val="29"/>
              <w:bidi w:val="0"/>
              <w:rPr>
                <w:rFonts w:hint="eastAsia"/>
              </w:rPr>
            </w:pPr>
            <w:r>
              <w:rPr>
                <w:rFonts w:hint="eastAsia"/>
              </w:rPr>
              <w:t>变压器油均一次性购买直接装入，无需单独设储罐，变压器油通常为20年换一次，因此项目物料运输量很少。变压器油外购，存在一定的运输风险，但更换次数有限，因此运输风险较小。</w:t>
            </w:r>
          </w:p>
          <w:p>
            <w:pPr>
              <w:pStyle w:val="29"/>
              <w:bidi w:val="0"/>
              <w:rPr>
                <w:rFonts w:hint="eastAsia"/>
              </w:rPr>
            </w:pPr>
            <w:r>
              <w:rPr>
                <w:rFonts w:hint="eastAsia"/>
                <w:lang w:val="en-US" w:eastAsia="zh-CN"/>
              </w:rPr>
              <w:t>③</w:t>
            </w:r>
            <w:r>
              <w:rPr>
                <w:rFonts w:hint="eastAsia"/>
              </w:rPr>
              <w:t>公共工程风险</w:t>
            </w:r>
          </w:p>
          <w:p>
            <w:pPr>
              <w:pStyle w:val="29"/>
              <w:bidi w:val="0"/>
              <w:rPr>
                <w:rFonts w:hint="eastAsia"/>
              </w:rPr>
            </w:pPr>
            <w:r>
              <w:rPr>
                <w:rFonts w:hint="eastAsia"/>
              </w:rPr>
              <w:t>项目公用工程主要位于升压站内，升压站内布设的各类电线较多，线路老化后容易引起超负荷运转和设备故障，可能成为火灾事故的引发源。</w:t>
            </w:r>
          </w:p>
          <w:p>
            <w:pPr>
              <w:pStyle w:val="29"/>
              <w:bidi w:val="0"/>
              <w:rPr>
                <w:rFonts w:hint="eastAsia"/>
              </w:rPr>
            </w:pPr>
            <w:r>
              <w:rPr>
                <w:rFonts w:hint="eastAsia"/>
              </w:rPr>
              <w:t>当发生火灾时，项目给水设施发生故障，不能提供足量的消防用水用于升压站内的降温和灭火，会使火灾事故无法控制、扩大。此外，被污染的消防水不能及时有效地收集、处理，大量排出厂外，将造成污染的二次事故。</w:t>
            </w:r>
          </w:p>
          <w:p>
            <w:pPr>
              <w:pStyle w:val="29"/>
              <w:bidi w:val="0"/>
              <w:rPr>
                <w:rFonts w:hint="eastAsia"/>
              </w:rPr>
            </w:pPr>
            <w:r>
              <w:rPr>
                <w:rFonts w:hint="eastAsia"/>
              </w:rPr>
              <w:t>电气设备若不按规程操作或设备本身质量问题，规格不符合要求，易引起触电伤害事故，甚至引发二次事故，造成中毒、燃烧、爆炸事故发生。</w:t>
            </w:r>
          </w:p>
          <w:p>
            <w:pPr>
              <w:pStyle w:val="29"/>
              <w:bidi w:val="0"/>
              <w:rPr>
                <w:rFonts w:hint="eastAsia"/>
              </w:rPr>
            </w:pPr>
            <w:r>
              <w:rPr>
                <w:rFonts w:hint="eastAsia"/>
              </w:rPr>
              <w:t>4）风险事故情形分析</w:t>
            </w:r>
          </w:p>
          <w:p>
            <w:pPr>
              <w:pStyle w:val="29"/>
              <w:bidi w:val="0"/>
              <w:rPr>
                <w:rFonts w:hint="eastAsia"/>
              </w:rPr>
            </w:pPr>
            <w:r>
              <w:rPr>
                <w:rFonts w:hint="eastAsia"/>
              </w:rPr>
              <w:t>本项目升压站主变压器充油量约</w:t>
            </w:r>
            <w:r>
              <w:rPr>
                <w:rFonts w:hint="eastAsia"/>
                <w:lang w:val="en-US" w:eastAsia="zh-CN"/>
              </w:rPr>
              <w:t>26.4t</w:t>
            </w:r>
            <w:r>
              <w:rPr>
                <w:rFonts w:hint="eastAsia"/>
              </w:rPr>
              <w:t>。</w:t>
            </w:r>
            <w:bookmarkStart w:id="23" w:name="sys61512137"/>
            <w:r>
              <w:rPr>
                <w:rFonts w:hint="eastAsia"/>
              </w:rPr>
              <w:t>变压器油均一次性购买直接装入，无需单独设储罐。</w:t>
            </w:r>
            <w:bookmarkEnd w:id="23"/>
            <w:r>
              <w:rPr>
                <w:rFonts w:hint="eastAsia"/>
              </w:rPr>
              <w:t>故本项目运营期风险事故情形主要为变压器泄漏以及火灾产生次生/半生污染物排放。</w:t>
            </w:r>
          </w:p>
          <w:p>
            <w:pPr>
              <w:pStyle w:val="29"/>
              <w:bidi w:val="0"/>
              <w:rPr>
                <w:rFonts w:hint="eastAsia"/>
              </w:rPr>
            </w:pPr>
            <w:r>
              <w:rPr>
                <w:rFonts w:hint="eastAsia"/>
              </w:rPr>
              <w:t>5）风险事故防范措施</w:t>
            </w:r>
          </w:p>
          <w:p>
            <w:pPr>
              <w:pStyle w:val="29"/>
              <w:ind w:firstLine="480"/>
            </w:pPr>
            <w:r>
              <w:rPr>
                <w:rFonts w:hint="eastAsia"/>
              </w:rPr>
              <w:t>根据《火力发电厂与变电站设计防火标准》（GB 50229-2019）第6.7.8条：“通常变压器的事故排油是集中排至总事故贮油池。总事故贮油池应设有油水分离设施以防止大量事故排油进入下水道，污染环境。事故贮油池的容量，根据《大中型火力发电厂设计规范》（GB50660-2011）中的要求，应能容纳油量最大的一台变压器的全部排油。”</w:t>
            </w:r>
          </w:p>
          <w:p>
            <w:pPr>
              <w:pStyle w:val="29"/>
              <w:ind w:firstLine="480"/>
              <w:rPr>
                <w:rFonts w:hint="eastAsia"/>
                <w:lang w:val="en-US" w:eastAsia="zh-CN"/>
              </w:rPr>
            </w:pPr>
            <w:r>
              <w:rPr>
                <w:rFonts w:hint="eastAsia"/>
                <w:lang w:val="en-US" w:eastAsia="zh-CN"/>
              </w:rPr>
              <w:t>6）事故情况下污染防治措施</w:t>
            </w:r>
          </w:p>
          <w:p>
            <w:pPr>
              <w:pStyle w:val="29"/>
              <w:ind w:firstLine="480"/>
              <w:rPr>
                <w:rFonts w:hint="eastAsia"/>
                <w:lang w:val="en-US" w:eastAsia="zh-CN"/>
              </w:rPr>
            </w:pPr>
            <w:r>
              <w:rPr>
                <w:rFonts w:hint="eastAsia"/>
                <w:lang w:val="en-US" w:eastAsia="zh-CN"/>
              </w:rPr>
              <w:t>①生活区火灾事故</w:t>
            </w:r>
          </w:p>
          <w:p>
            <w:pPr>
              <w:pStyle w:val="29"/>
              <w:ind w:firstLine="480"/>
              <w:rPr>
                <w:rFonts w:hint="eastAsia"/>
                <w:lang w:val="en-US" w:eastAsia="zh-CN"/>
              </w:rPr>
            </w:pPr>
            <w:r>
              <w:rPr>
                <w:rFonts w:hint="eastAsia"/>
                <w:lang w:val="en-US" w:eastAsia="zh-CN"/>
              </w:rPr>
              <w:t>根据综合楼的功能分析，主要为生活和办公，不涉及生产。火灾风险较低，并在各通道处以及每层楼的楼道和房间均配置有手提式磷酸铵盐干粉灭火器，每具灭火器的最小灭火级别为2A，可有效扑灭初期火灾。在最极端的情况，生产区油液泄漏发生火灾且无法控制的情况下，才采用室外消防栓进行灭火。根据调查分析，110kV升压站的各项运行管理以及生产技术已很成熟，基本没有发生过火灾无法控制的情况，从风险概率及影响后果上考虑需设置水消防系统备用，但是</w:t>
            </w:r>
            <w:sdt>
              <w:sdtPr>
                <w:rPr>
                  <w:rFonts w:hint="eastAsia"/>
                  <w:lang w:val="en-US" w:eastAsia="zh-CN"/>
                </w:rPr>
                <w:alias w:val="易错词检查"/>
                <w:tag w:val="FF0000"/>
                <w:id w:val="1110112"/>
              </w:sdtPr>
              <w:sdtEndPr>
                <w:rPr>
                  <w:rFonts w:hint="eastAsia"/>
                  <w:lang w:val="en-US" w:eastAsia="zh-CN"/>
                </w:rPr>
              </w:sdtEndPr>
              <w:sdtContent>
                <w:bookmarkStart w:id="24" w:name="bkReivew1110112"/>
                <w:r>
                  <w:rPr>
                    <w:rFonts w:hint="eastAsia"/>
                    <w:lang w:val="en-US" w:eastAsia="zh-CN"/>
                  </w:rPr>
                  <w:t>无须设置</w:t>
                </w:r>
                <w:bookmarkEnd w:id="24"/>
              </w:sdtContent>
            </w:sdt>
            <w:r>
              <w:rPr>
                <w:rFonts w:hint="eastAsia"/>
                <w:lang w:val="en-US" w:eastAsia="zh-CN"/>
              </w:rPr>
              <w:t>应急消防废水收集池。</w:t>
            </w:r>
          </w:p>
          <w:p>
            <w:pPr>
              <w:pStyle w:val="29"/>
              <w:ind w:firstLine="480"/>
              <w:rPr>
                <w:rFonts w:hint="eastAsia"/>
                <w:lang w:val="en-US" w:eastAsia="zh-CN"/>
              </w:rPr>
            </w:pPr>
            <w:r>
              <w:rPr>
                <w:rFonts w:hint="eastAsia"/>
                <w:lang w:val="en-US" w:eastAsia="zh-CN"/>
              </w:rPr>
              <w:t>②生产区火灾或泄漏事故</w:t>
            </w:r>
          </w:p>
          <w:p>
            <w:pPr>
              <w:pStyle w:val="29"/>
              <w:ind w:firstLine="480"/>
              <w:rPr>
                <w:rFonts w:hint="eastAsia"/>
                <w:lang w:val="en-US" w:eastAsia="zh-CN"/>
              </w:rPr>
            </w:pPr>
            <w:r>
              <w:rPr>
                <w:rFonts w:hint="eastAsia"/>
                <w:lang w:val="en-US" w:eastAsia="zh-CN"/>
              </w:rPr>
              <w:t>生产区变压器油一旦泄漏并遇明火引发火灾事故，事故处理现场如不妥善处置，溢流进入土壤或地表水，将造成污染事故。升压站发生泄漏及火灾事故主要来自1×100MVA的主变压器，发生泄漏事故时应将变压器油及时收集，防止溢流进入环境。另外，发生火灾事故时，不能用水进行灭火，应用干粉灭火器或泡沫灭火器进行灭火，同时对可能泄漏的变压器油进行收集。</w:t>
            </w:r>
          </w:p>
          <w:p>
            <w:pPr>
              <w:pStyle w:val="29"/>
              <w:ind w:firstLine="480"/>
              <w:rPr>
                <w:rFonts w:hint="eastAsia"/>
              </w:rPr>
            </w:pPr>
            <w:r>
              <w:rPr>
                <w:rFonts w:hint="eastAsia"/>
              </w:rPr>
              <w:t>为防止事故、检修时造成废油污染，升压站内设置有污油排蓄系统，即按最大一台主变压器的油量，升压站主变容量为100MVA，最大油量约26.4t（体积30m³，密度为0.88t/m³），本项目的</w:t>
            </w:r>
            <w:r>
              <w:rPr>
                <w:rFonts w:hint="eastAsia"/>
                <w:lang w:eastAsia="zh-CN"/>
              </w:rPr>
              <w:t>事故油池</w:t>
            </w:r>
            <w:r>
              <w:rPr>
                <w:rFonts w:hint="eastAsia"/>
              </w:rPr>
              <w:t>具有隔油功能，本项目的</w:t>
            </w:r>
            <w:r>
              <w:rPr>
                <w:rFonts w:hint="eastAsia"/>
                <w:lang w:eastAsia="zh-CN"/>
              </w:rPr>
              <w:t>事故油池</w:t>
            </w:r>
            <w:r>
              <w:rPr>
                <w:rFonts w:hint="eastAsia"/>
              </w:rPr>
              <w:t>有效容积为35m³，并在变压器基座下设置</w:t>
            </w:r>
            <w:r>
              <w:rPr>
                <w:rFonts w:hint="eastAsia"/>
                <w:lang w:eastAsia="zh-CN"/>
              </w:rPr>
              <w:t>事故油坑</w:t>
            </w:r>
            <w:r>
              <w:rPr>
                <w:rFonts w:hint="eastAsia"/>
              </w:rPr>
              <w:t>，容积为变压器用油量的20%，其设置的事故油池容积、贮油池尺寸能够满足《火力发电厂与变电站设计防火标准》（GB50229-2019）的要求。变压器</w:t>
            </w:r>
            <w:r>
              <w:rPr>
                <w:rFonts w:hint="eastAsia"/>
                <w:lang w:val="en-US" w:eastAsia="zh-CN"/>
              </w:rPr>
              <w:t>下方设</w:t>
            </w:r>
            <w:r>
              <w:rPr>
                <w:rFonts w:hint="eastAsia"/>
              </w:rPr>
              <w:t>事故油</w:t>
            </w:r>
            <w:r>
              <w:rPr>
                <w:rFonts w:hint="eastAsia"/>
                <w:lang w:val="en-US" w:eastAsia="zh-CN"/>
              </w:rPr>
              <w:t>坑</w:t>
            </w:r>
            <w:r>
              <w:rPr>
                <w:rFonts w:hint="eastAsia"/>
              </w:rPr>
              <w:t>与</w:t>
            </w:r>
            <w:r>
              <w:rPr>
                <w:rFonts w:hint="eastAsia"/>
                <w:lang w:eastAsia="zh-CN"/>
              </w:rPr>
              <w:t>事故油池</w:t>
            </w:r>
            <w:r>
              <w:rPr>
                <w:rFonts w:hint="eastAsia"/>
              </w:rPr>
              <w:t>相连，万一发生事故时油将排入</w:t>
            </w:r>
            <w:r>
              <w:rPr>
                <w:rFonts w:hint="eastAsia"/>
                <w:lang w:eastAsia="zh-CN"/>
              </w:rPr>
              <w:t>事故油池</w:t>
            </w:r>
            <w:r>
              <w:rPr>
                <w:rFonts w:hint="eastAsia"/>
              </w:rPr>
              <w:t>，不会造成对环境的污染。完全可以满足一台变压器绝缘油全部进入</w:t>
            </w:r>
            <w:r>
              <w:rPr>
                <w:rFonts w:hint="eastAsia"/>
                <w:lang w:eastAsia="zh-CN"/>
              </w:rPr>
              <w:t>事故油池</w:t>
            </w:r>
            <w:r>
              <w:rPr>
                <w:rFonts w:hint="eastAsia"/>
              </w:rPr>
              <w:t>而不外溢。当变压器发生漏油事故时，漏出的油经油槽收集并通过地下排油管道汇入</w:t>
            </w:r>
            <w:r>
              <w:rPr>
                <w:rFonts w:hint="eastAsia"/>
                <w:lang w:eastAsia="zh-CN"/>
              </w:rPr>
              <w:t>事故油池</w:t>
            </w:r>
            <w:r>
              <w:rPr>
                <w:rFonts w:hint="eastAsia"/>
              </w:rPr>
              <w:t>，一般不会造成对环境的污染。因此，本项目有效容积35m³</w:t>
            </w:r>
            <w:r>
              <w:rPr>
                <w:rFonts w:hint="eastAsia"/>
                <w:lang w:eastAsia="zh-CN"/>
              </w:rPr>
              <w:t>事故油池</w:t>
            </w:r>
            <w:r>
              <w:rPr>
                <w:rFonts w:hint="eastAsia"/>
              </w:rPr>
              <w:t>能处理漏油事故，</w:t>
            </w:r>
            <w:r>
              <w:rPr>
                <w:rFonts w:hint="eastAsia"/>
                <w:lang w:eastAsia="zh-CN"/>
              </w:rPr>
              <w:t>事故油池</w:t>
            </w:r>
            <w:r>
              <w:rPr>
                <w:rFonts w:hint="eastAsia"/>
              </w:rPr>
              <w:t>及配套的主变压器事故油池防渗应满足《环境影响评价技术导则 地下水环境》（HJ610-2016）的要求“等效黏土防渗层Mb≥6.0m，K≤1×10</w:t>
            </w:r>
            <w:r>
              <w:rPr>
                <w:rFonts w:hint="eastAsia"/>
                <w:vertAlign w:val="superscript"/>
              </w:rPr>
              <w:t>-7</w:t>
            </w:r>
            <w:r>
              <w:rPr>
                <w:rFonts w:hint="eastAsia"/>
              </w:rPr>
              <w:t>cm/s；或参照GB18598执行”，不会造成绝缘油渗漏而污染环境的情况发生。本工程设置的事故油池（具有油水分离功能）进行油、水分离后，废油送有危险废物处置资质的单位收贮，分离出来的水不含油污排入雨水管网。</w:t>
            </w:r>
          </w:p>
          <w:p>
            <w:pPr>
              <w:pStyle w:val="29"/>
              <w:ind w:firstLine="480"/>
              <w:rPr>
                <w:rFonts w:hint="eastAsia"/>
                <w:lang w:val="en-US" w:eastAsia="zh-CN"/>
              </w:rPr>
            </w:pPr>
            <w:r>
              <w:rPr>
                <w:rFonts w:hint="eastAsia"/>
              </w:rPr>
              <w:t>根据《国家危险废物名录（2021年版）》，变压器冷却油为矿物油，属于HW08废矿物油与含矿物油废物中的900-220-08变压器维护、更换和拆解过程中产生的废变压器油。因其而产生的废弃沉积物、油泥属危险废物。为避免可能发生的变压器因事故漏油或泄油而产生的废弃物污染环境，进入事故油池中的废油不得随意处置，</w:t>
            </w:r>
            <w:r>
              <w:rPr>
                <w:rFonts w:hint="eastAsia"/>
                <w:lang w:val="en-US" w:eastAsia="zh-CN"/>
              </w:rPr>
              <w:t>交由有危废处置资质单位处理。</w:t>
            </w:r>
          </w:p>
          <w:p>
            <w:pPr>
              <w:pStyle w:val="29"/>
              <w:ind w:firstLine="480"/>
              <w:rPr>
                <w:rFonts w:hint="eastAsia"/>
                <w:lang w:val="en-US" w:eastAsia="zh-CN"/>
              </w:rPr>
            </w:pPr>
            <w:r>
              <w:rPr>
                <w:rFonts w:hint="eastAsia"/>
                <w:lang w:val="en-US" w:eastAsia="zh-CN"/>
              </w:rPr>
              <w:t>由于电气事故等发生火灾时，线路绝缘材料以及泄漏的变压器油燃烧将产生恶臭气体、二氧化硫、氮氧化物、颗粒物、非甲烷总烃等次生污染物对大气环境的污染。本项目升压站设计时严格按照《建筑灭火器配置设计规范》（GB50140-2005）和《火力发电厂与变电站设计防火规范》设置有自动跳闸断电系统、火灾报警系统，以及磷酸铵盐干粉灭火器，可在火灾发生初期快速将火苗熄灭，避免持续火灾对变电系统造成更大威胁，减少火灾产生的次生污染排放。</w:t>
            </w:r>
          </w:p>
          <w:p>
            <w:pPr>
              <w:pStyle w:val="29"/>
              <w:ind w:firstLine="480"/>
              <w:rPr>
                <w:rFonts w:hint="eastAsia"/>
                <w:lang w:val="en-US" w:eastAsia="zh-CN"/>
              </w:rPr>
            </w:pPr>
            <w:r>
              <w:rPr>
                <w:rFonts w:hint="eastAsia"/>
                <w:lang w:val="en-US" w:eastAsia="zh-CN"/>
              </w:rPr>
              <w:t>另外本项目光伏方阵区共分散设置17台35kV箱变，单台箱变的绝缘油最大充装量为1.16t（密度为0.88t/m³，折合体积约1.32m³），每台箱变配套设置1个有效容积为1.5m³的事故油池，位于35kV箱变正下方的钢结构安装平台内，满足箱变发生事故时全部油液（1.32m³）的收集。35kV箱变泄漏的绝缘油由配套的事故油池收集后，由专人通过专用的移动抽油泵将事故油抽吸至防渗防漏的密闭专用油桶内并带回升压站，存放至危废贮存点，交由有资质的单位处置，不外排。</w:t>
            </w:r>
          </w:p>
          <w:p>
            <w:pPr>
              <w:pStyle w:val="29"/>
              <w:ind w:firstLine="480"/>
              <w:rPr>
                <w:rFonts w:hint="eastAsia"/>
                <w:lang w:val="en-US" w:eastAsia="zh-CN"/>
              </w:rPr>
            </w:pPr>
            <w:r>
              <w:rPr>
                <w:rFonts w:hint="eastAsia"/>
                <w:lang w:val="en-US" w:eastAsia="zh-CN"/>
              </w:rPr>
              <w:t>环评反馈：升压站各种绝缘材料选用绝缘性能好、阻燃的环保型材料，并加强管理和巡视，定期对配电线路的检查和维护，制定升压站突发环境事件风险应急预案、配备足够的风险应急物资，可有效降低升压站的风险事故，使风险处于环境可接受范围内。</w:t>
            </w:r>
          </w:p>
          <w:p>
            <w:pPr>
              <w:pStyle w:val="29"/>
              <w:ind w:firstLine="480"/>
              <w:rPr>
                <w:rFonts w:hint="eastAsia"/>
                <w:lang w:val="en-US" w:eastAsia="zh-CN"/>
              </w:rPr>
            </w:pPr>
            <w:r>
              <w:rPr>
                <w:rFonts w:hint="eastAsia"/>
                <w:lang w:val="en-US" w:eastAsia="zh-CN"/>
              </w:rPr>
              <w:t>7）环境风险应急预案</w:t>
            </w:r>
          </w:p>
          <w:p>
            <w:pPr>
              <w:pStyle w:val="29"/>
              <w:ind w:firstLine="480"/>
              <w:rPr>
                <w:rFonts w:hint="eastAsia"/>
                <w:lang w:val="en-US" w:eastAsia="zh-CN"/>
              </w:rPr>
            </w:pPr>
            <w:r>
              <w:rPr>
                <w:rFonts w:hint="eastAsia"/>
                <w:lang w:val="en-US" w:eastAsia="zh-CN"/>
              </w:rPr>
              <w:t>为及时控制事故发生情况，环评要求本项目应设置事故应急预案，具体如下：</w:t>
            </w:r>
          </w:p>
          <w:p>
            <w:pPr>
              <w:pStyle w:val="29"/>
              <w:ind w:firstLine="480"/>
              <w:rPr>
                <w:rFonts w:hint="eastAsia"/>
                <w:lang w:val="en-US" w:eastAsia="zh-CN"/>
              </w:rPr>
            </w:pPr>
            <w:r>
              <w:rPr>
                <w:rFonts w:hint="eastAsia"/>
                <w:lang w:val="en-US" w:eastAsia="zh-CN"/>
              </w:rPr>
              <w:t>①事故应急组织机构</w:t>
            </w:r>
          </w:p>
          <w:p>
            <w:pPr>
              <w:pStyle w:val="29"/>
              <w:ind w:firstLine="480"/>
              <w:rPr>
                <w:rFonts w:hint="eastAsia"/>
                <w:lang w:val="en-US" w:eastAsia="zh-CN"/>
              </w:rPr>
            </w:pPr>
            <w:r>
              <w:rPr>
                <w:rFonts w:hint="eastAsia"/>
                <w:lang w:val="en-US" w:eastAsia="zh-CN"/>
              </w:rPr>
              <w:t>a.成立事故应急救援指挥中心。单位总负责人任应急救援指挥中心总指挥，升压站站长任副总指挥，有关部门和科室的领导为指挥部成员，形成环境风险管理体系。</w:t>
            </w:r>
          </w:p>
          <w:p>
            <w:pPr>
              <w:pStyle w:val="29"/>
              <w:ind w:firstLine="480"/>
              <w:rPr>
                <w:rFonts w:hint="eastAsia"/>
                <w:lang w:val="en-US" w:eastAsia="zh-CN"/>
              </w:rPr>
            </w:pPr>
            <w:r>
              <w:rPr>
                <w:rFonts w:hint="eastAsia"/>
                <w:lang w:val="en-US" w:eastAsia="zh-CN"/>
              </w:rPr>
              <w:t>b.成立技术支援中心。提供必要的事故应急技术保障，并且调动救援装置。</w:t>
            </w:r>
          </w:p>
          <w:p>
            <w:pPr>
              <w:pStyle w:val="29"/>
              <w:ind w:firstLine="480"/>
              <w:rPr>
                <w:rFonts w:hint="eastAsia"/>
                <w:lang w:val="en-US" w:eastAsia="zh-CN"/>
              </w:rPr>
            </w:pPr>
            <w:r>
              <w:rPr>
                <w:rFonts w:hint="eastAsia"/>
                <w:lang w:val="en-US" w:eastAsia="zh-CN"/>
              </w:rPr>
              <w:t>c.设置应急通信中心。应急通信中心是联系站区应急组织的纽带，是与外界应急组织交换信息的桥梁，确保应急信息上传下达畅通无阻，在技术支援中心出现技术难题，需利用公司内配置的电话、对讲机、广播等通讯设施，随时与外界技术专家、指挥部和消防队联系，提供不间断的通信保障。</w:t>
            </w:r>
          </w:p>
          <w:p>
            <w:pPr>
              <w:pStyle w:val="29"/>
              <w:ind w:firstLine="480"/>
              <w:rPr>
                <w:rFonts w:hint="eastAsia"/>
                <w:lang w:val="en-US" w:eastAsia="zh-CN"/>
              </w:rPr>
            </w:pPr>
            <w:r>
              <w:rPr>
                <w:rFonts w:hint="eastAsia"/>
                <w:lang w:val="en-US" w:eastAsia="zh-CN"/>
              </w:rPr>
              <w:t>②事故应急演练</w:t>
            </w:r>
          </w:p>
          <w:p>
            <w:pPr>
              <w:pStyle w:val="29"/>
              <w:ind w:firstLine="480"/>
              <w:rPr>
                <w:rFonts w:hint="eastAsia"/>
                <w:lang w:val="en-US" w:eastAsia="zh-CN"/>
              </w:rPr>
            </w:pPr>
            <w:r>
              <w:rPr>
                <w:rFonts w:hint="eastAsia"/>
                <w:lang w:val="en-US" w:eastAsia="zh-CN"/>
              </w:rPr>
              <w:t>事故应急救援预案编制后，应测试应急预案和实施程序的有效性，了解各个应急组织机构的响应和协调能力，检测应急设备装置的应用效果，确保应急组织人员熟知他们的职责和任务。实施定期的应急救援模拟训练，提高各个应急组织机构的应急事故的处理能力，不断改进和完善事故应急预案。</w:t>
            </w:r>
          </w:p>
          <w:p>
            <w:pPr>
              <w:pStyle w:val="29"/>
              <w:ind w:firstLine="480"/>
              <w:rPr>
                <w:rFonts w:hint="eastAsia"/>
                <w:lang w:val="en-US" w:eastAsia="zh-CN"/>
              </w:rPr>
            </w:pPr>
            <w:r>
              <w:rPr>
                <w:rFonts w:hint="eastAsia"/>
                <w:lang w:val="en-US" w:eastAsia="zh-CN"/>
              </w:rPr>
              <w:t>③事故应急程序</w:t>
            </w:r>
          </w:p>
          <w:p>
            <w:pPr>
              <w:pStyle w:val="29"/>
              <w:ind w:firstLine="480"/>
              <w:rPr>
                <w:rFonts w:hint="eastAsia"/>
                <w:lang w:val="en-US" w:eastAsia="zh-CN"/>
              </w:rPr>
            </w:pPr>
            <w:r>
              <w:rPr>
                <w:rFonts w:hint="eastAsia"/>
                <w:lang w:val="en-US" w:eastAsia="zh-CN"/>
              </w:rPr>
              <w:t>当发生重大事故时，首先以自救为主。根据对事故进行的应急分级，选择需要的应急预案，启动应急组织机构的职能，依据应急预案进行营救，在进行自救的同时，向上一级救援指挥中心及</w:t>
            </w:r>
            <w:sdt>
              <w:sdtPr>
                <w:rPr>
                  <w:rFonts w:hint="eastAsia"/>
                  <w:lang w:val="en-US" w:eastAsia="zh-CN"/>
                </w:rPr>
                <w:alias w:val="敏感词检查"/>
                <w:tag w:val="FF0000"/>
                <w:id w:val="143804"/>
              </w:sdtPr>
              <w:sdtEndPr>
                <w:rPr>
                  <w:rFonts w:hint="eastAsia"/>
                  <w:lang w:val="en-US" w:eastAsia="zh-CN"/>
                </w:rPr>
              </w:sdtEndPr>
              <w:sdtContent>
                <w:bookmarkStart w:id="25" w:name="bkPolitics143804"/>
                <w:r>
                  <w:rPr>
                    <w:rFonts w:hint="eastAsia"/>
                    <w:lang w:val="en-US" w:eastAsia="zh-CN"/>
                  </w:rPr>
                  <w:t>政府报告</w:t>
                </w:r>
                <w:bookmarkEnd w:id="25"/>
              </w:sdtContent>
            </w:sdt>
            <w:r>
              <w:rPr>
                <w:rFonts w:hint="eastAsia"/>
                <w:lang w:val="en-US" w:eastAsia="zh-CN"/>
              </w:rPr>
              <w:t>。具体应急救援程序依据国家应急救援体系建设方案执行。</w:t>
            </w:r>
          </w:p>
          <w:p>
            <w:pPr>
              <w:pStyle w:val="29"/>
              <w:ind w:firstLine="480"/>
              <w:rPr>
                <w:rFonts w:hint="eastAsia"/>
                <w:lang w:val="en-US" w:eastAsia="zh-CN"/>
              </w:rPr>
            </w:pPr>
            <w:r>
              <w:rPr>
                <w:rFonts w:hint="eastAsia"/>
                <w:lang w:val="en-US" w:eastAsia="zh-CN"/>
              </w:rPr>
              <w:t>a.最早发现者应立即向升压站及公司报警，并采取一切妥当的办法果断切断事故源。</w:t>
            </w:r>
          </w:p>
          <w:p>
            <w:pPr>
              <w:pStyle w:val="29"/>
              <w:ind w:firstLine="480"/>
              <w:rPr>
                <w:rFonts w:hint="eastAsia"/>
                <w:lang w:val="en-US" w:eastAsia="zh-CN"/>
              </w:rPr>
            </w:pPr>
            <w:r>
              <w:rPr>
                <w:rFonts w:hint="eastAsia"/>
                <w:lang w:val="en-US" w:eastAsia="zh-CN"/>
              </w:rPr>
              <w:t>b.单位接到报警后，应迅速通知有关部门，下达应急救援预案处置指令，同时发出警报；</w:t>
            </w:r>
          </w:p>
          <w:p>
            <w:pPr>
              <w:pStyle w:val="29"/>
              <w:ind w:firstLine="480"/>
              <w:rPr>
                <w:rFonts w:hint="eastAsia"/>
                <w:lang w:val="en-US" w:eastAsia="zh-CN"/>
              </w:rPr>
            </w:pPr>
            <w:r>
              <w:rPr>
                <w:rFonts w:hint="eastAsia"/>
                <w:lang w:val="en-US" w:eastAsia="zh-CN"/>
              </w:rPr>
              <w:t>c.应急领导小组组长及消防队和各专业救援队伍应迅速赶往事故现场；</w:t>
            </w:r>
          </w:p>
          <w:p>
            <w:pPr>
              <w:pStyle w:val="29"/>
              <w:ind w:firstLine="480"/>
              <w:rPr>
                <w:rFonts w:hint="eastAsia"/>
                <w:lang w:val="en-US" w:eastAsia="zh-CN"/>
              </w:rPr>
            </w:pPr>
            <w:r>
              <w:rPr>
                <w:rFonts w:hint="eastAsia"/>
                <w:lang w:val="en-US" w:eastAsia="zh-CN"/>
              </w:rPr>
              <w:t>d.发生事故的所在场所，应迅速查明事故发生源点，泄漏部位和原因，凡能阻止泄漏，而消除事故的，则以自救为主。如泄漏部位自己不能控制的，应向指挥部报告；</w:t>
            </w:r>
          </w:p>
          <w:p>
            <w:pPr>
              <w:pStyle w:val="29"/>
              <w:ind w:firstLine="480"/>
              <w:rPr>
                <w:rFonts w:hint="eastAsia"/>
                <w:lang w:val="en-US" w:eastAsia="zh-CN"/>
              </w:rPr>
            </w:pPr>
            <w:r>
              <w:rPr>
                <w:rFonts w:hint="eastAsia"/>
                <w:lang w:val="en-US" w:eastAsia="zh-CN"/>
              </w:rPr>
              <w:t>e.救援抢险队到达事故现场后，首先查明现场有无人员受伤，以最快速度使伤者脱离现场，严重者尽快送医院抢救；</w:t>
            </w:r>
          </w:p>
          <w:p>
            <w:pPr>
              <w:pStyle w:val="29"/>
              <w:ind w:firstLine="480"/>
              <w:rPr>
                <w:rFonts w:hint="eastAsia"/>
                <w:lang w:val="en-US" w:eastAsia="zh-CN"/>
              </w:rPr>
            </w:pPr>
            <w:r>
              <w:rPr>
                <w:rFonts w:hint="eastAsia"/>
                <w:lang w:val="en-US" w:eastAsia="zh-CN"/>
              </w:rPr>
              <w:t>f.对于不同等级（一级、二级、三级）应急预案，启动事故应急救援预案，向有关部门报告，必要时联系社会救援。</w:t>
            </w:r>
          </w:p>
          <w:p>
            <w:pPr>
              <w:pStyle w:val="29"/>
              <w:ind w:firstLine="480"/>
              <w:rPr>
                <w:rFonts w:hint="eastAsia"/>
                <w:lang w:val="en-US" w:eastAsia="zh-CN"/>
              </w:rPr>
            </w:pPr>
            <w:r>
              <w:rPr>
                <w:rFonts w:hint="eastAsia"/>
                <w:lang w:val="en-US" w:eastAsia="zh-CN"/>
              </w:rPr>
              <w:t>④事故应急救援保障</w:t>
            </w:r>
          </w:p>
          <w:p>
            <w:pPr>
              <w:pStyle w:val="29"/>
              <w:ind w:firstLine="480"/>
              <w:rPr>
                <w:rFonts w:hint="eastAsia"/>
                <w:lang w:val="en-US" w:eastAsia="zh-CN"/>
              </w:rPr>
            </w:pPr>
            <w:r>
              <w:rPr>
                <w:rFonts w:hint="eastAsia"/>
                <w:lang w:val="en-US" w:eastAsia="zh-CN"/>
              </w:rPr>
              <w:t>为能在事故发生后，迅速准确地有条不紊地处理事故，尽可能减少事故造成的损失，平时必须做好应急救援的准备工作，落实岗位责任制和各项制度。具体措施为：</w:t>
            </w:r>
          </w:p>
          <w:p>
            <w:pPr>
              <w:pStyle w:val="29"/>
              <w:ind w:firstLine="480"/>
              <w:rPr>
                <w:rFonts w:hint="eastAsia"/>
                <w:lang w:val="en-US" w:eastAsia="zh-CN"/>
              </w:rPr>
            </w:pPr>
            <w:r>
              <w:rPr>
                <w:rFonts w:hint="eastAsia"/>
                <w:lang w:val="en-US" w:eastAsia="zh-CN"/>
              </w:rPr>
              <w:t>a.落实应急救援组织和人员。每年初，进行一次组织调度与培训，确保救援组织落实；</w:t>
            </w:r>
          </w:p>
          <w:p>
            <w:pPr>
              <w:pStyle w:val="29"/>
              <w:ind w:firstLine="480"/>
              <w:rPr>
                <w:rFonts w:hint="eastAsia"/>
                <w:lang w:val="en-US" w:eastAsia="zh-CN"/>
              </w:rPr>
            </w:pPr>
            <w:r>
              <w:rPr>
                <w:rFonts w:hint="eastAsia"/>
                <w:lang w:val="en-US" w:eastAsia="zh-CN"/>
              </w:rPr>
              <w:t>b.按照任务分工，做好物资器材准备，如：必要的</w:t>
            </w:r>
            <w:sdt>
              <w:sdtPr>
                <w:rPr>
                  <w:rFonts w:hint="eastAsia"/>
                  <w:lang w:val="en-US" w:eastAsia="zh-CN"/>
                </w:rPr>
                <w:alias w:val="易错词检查"/>
                <w:tag w:val="FF0000"/>
                <w:id w:val="1110545"/>
              </w:sdtPr>
              <w:sdtEndPr>
                <w:rPr>
                  <w:rFonts w:hint="eastAsia"/>
                  <w:lang w:val="en-US" w:eastAsia="zh-CN"/>
                </w:rPr>
              </w:sdtEndPr>
              <w:sdtContent>
                <w:bookmarkStart w:id="26" w:name="bkReivew1110545"/>
                <w:r>
                  <w:rPr>
                    <w:rFonts w:hint="eastAsia"/>
                    <w:lang w:val="en-US" w:eastAsia="zh-CN"/>
                  </w:rPr>
                  <w:t>指挥通讯</w:t>
                </w:r>
                <w:bookmarkEnd w:id="26"/>
              </w:sdtContent>
            </w:sdt>
            <w:r>
              <w:rPr>
                <w:rFonts w:hint="eastAsia"/>
                <w:lang w:val="en-US" w:eastAsia="zh-CN"/>
              </w:rPr>
              <w:t>，报警，洗消，消防，防护用品，巡检等器材及交通工具，上述各种器材应指定专人保管，并定期检查保养，使其处于良好状况；</w:t>
            </w:r>
          </w:p>
          <w:p>
            <w:pPr>
              <w:pStyle w:val="29"/>
              <w:ind w:firstLine="480"/>
              <w:rPr>
                <w:rFonts w:hint="eastAsia"/>
                <w:lang w:val="en-US" w:eastAsia="zh-CN"/>
              </w:rPr>
            </w:pPr>
            <w:r>
              <w:rPr>
                <w:rFonts w:hint="eastAsia"/>
                <w:lang w:val="en-US" w:eastAsia="zh-CN"/>
              </w:rPr>
              <w:t>c.定期组织救援训练和学习，每年演练两次，提高指挥水平和救援能力；</w:t>
            </w:r>
          </w:p>
          <w:p>
            <w:pPr>
              <w:pStyle w:val="29"/>
              <w:ind w:firstLine="480"/>
              <w:rPr>
                <w:rFonts w:hint="eastAsia"/>
                <w:lang w:val="en-US" w:eastAsia="zh-CN"/>
              </w:rPr>
            </w:pPr>
            <w:r>
              <w:rPr>
                <w:rFonts w:hint="eastAsia"/>
                <w:lang w:val="en-US" w:eastAsia="zh-CN"/>
              </w:rPr>
              <w:t>d.建立完善的各项制度。值班制度，建立昼夜值班制度；检查制度，每月定期检查应急救援工作落实情况及器具保管情况。</w:t>
            </w:r>
          </w:p>
          <w:p>
            <w:pPr>
              <w:pStyle w:val="29"/>
              <w:ind w:firstLine="480"/>
              <w:rPr>
                <w:rFonts w:hint="eastAsia"/>
                <w:lang w:val="en-US" w:eastAsia="zh-CN"/>
              </w:rPr>
            </w:pPr>
            <w:r>
              <w:rPr>
                <w:rFonts w:hint="eastAsia"/>
                <w:lang w:val="en-US" w:eastAsia="zh-CN"/>
              </w:rPr>
              <w:t>（3）风险评价结论</w:t>
            </w:r>
          </w:p>
          <w:p>
            <w:pPr>
              <w:pStyle w:val="29"/>
              <w:ind w:firstLine="480"/>
              <w:rPr>
                <w:rFonts w:hint="eastAsia"/>
                <w:lang w:val="en-US" w:eastAsia="zh-CN"/>
              </w:rPr>
            </w:pPr>
            <w:r>
              <w:rPr>
                <w:rFonts w:hint="eastAsia"/>
                <w:lang w:val="en-US" w:eastAsia="zh-CN"/>
              </w:rPr>
              <w:t>综上分析，项目环境风险主要来自升压站，经识别项目最大可信事故为变压器油发生泄漏或发生火灾状况下环境污染事故，但影响有限。建设单位要严格落实本报告提出的各项风险防范措施，建立风险应急预案，项目的风险处于环境可接受的水平。</w:t>
            </w:r>
          </w:p>
          <w:p>
            <w:pPr>
              <w:pStyle w:val="29"/>
              <w:ind w:firstLine="480"/>
              <w:rPr>
                <w:rFonts w:hint="eastAsia"/>
                <w:lang w:val="en-US" w:eastAsia="zh-CN"/>
              </w:rPr>
            </w:pPr>
            <w:r>
              <w:rPr>
                <w:rFonts w:hint="eastAsia"/>
                <w:lang w:val="en-US" w:eastAsia="zh-CN"/>
              </w:rPr>
              <w:t>因此，项目从环境风险角度可行。</w:t>
            </w:r>
          </w:p>
          <w:p>
            <w:pPr>
              <w:pStyle w:val="29"/>
              <w:ind w:firstLine="482"/>
              <w:rPr>
                <w:b/>
                <w:bCs/>
              </w:rPr>
            </w:pPr>
            <w:r>
              <w:rPr>
                <w:rFonts w:hint="eastAsia"/>
                <w:b/>
                <w:bCs/>
              </w:rPr>
              <w:t xml:space="preserve">4.15 </w:t>
            </w:r>
            <w:r>
              <w:rPr>
                <w:b/>
                <w:bCs/>
              </w:rPr>
              <w:t>服务期满后环境影响分析</w:t>
            </w:r>
          </w:p>
          <w:p>
            <w:pPr>
              <w:pStyle w:val="29"/>
              <w:ind w:firstLine="480"/>
            </w:pPr>
            <w:r>
              <w:t>本项目光伏场区在服务期满后，光伏场区不再发电，其光伏组件、电气设备以及各类建（构）筑物的拆除后会对项目所在区生态环境产生影响。</w:t>
            </w:r>
          </w:p>
          <w:p>
            <w:pPr>
              <w:pStyle w:val="29"/>
              <w:ind w:firstLine="480"/>
            </w:pPr>
            <w:r>
              <w:t>（1）光伏组件的拆除</w:t>
            </w:r>
          </w:p>
          <w:p>
            <w:pPr>
              <w:pStyle w:val="29"/>
              <w:ind w:firstLine="480"/>
            </w:pPr>
            <w:r>
              <w:t>本项目服务期满后，光伏组件需进行拆除。拆除的废旧光伏组件总计</w:t>
            </w:r>
            <w:r>
              <w:rPr>
                <w:rFonts w:hint="eastAsia"/>
              </w:rPr>
              <w:t>118144</w:t>
            </w:r>
            <w:r>
              <w:t>片，总重量约</w:t>
            </w:r>
            <w:r>
              <w:rPr>
                <w:rFonts w:hint="eastAsia"/>
              </w:rPr>
              <w:t>3308.032</w:t>
            </w:r>
            <w:r>
              <w:t>t，属一般工业固体废物，不属于危险废物，由建设单位对报废电池板进行收集，最终由专业的回收厂家收购处理，不得随意丢弃，因此对环境的影响较小。</w:t>
            </w:r>
          </w:p>
          <w:p>
            <w:pPr>
              <w:pStyle w:val="29"/>
              <w:ind w:firstLine="480"/>
            </w:pPr>
            <w:r>
              <w:t>（2）电气设备的拆除</w:t>
            </w:r>
          </w:p>
          <w:p>
            <w:pPr>
              <w:pStyle w:val="29"/>
              <w:ind w:firstLine="480"/>
            </w:pPr>
            <w:r>
              <w:t>本项目电气设备主要为</w:t>
            </w:r>
            <w:r>
              <w:rPr>
                <w:rFonts w:hint="eastAsia"/>
              </w:rPr>
              <w:t>157</w:t>
            </w:r>
            <w:r>
              <w:t>台逆变器、</w:t>
            </w:r>
            <w:r>
              <w:rPr>
                <w:rFonts w:hint="eastAsia"/>
              </w:rPr>
              <w:t>17</w:t>
            </w:r>
            <w:r>
              <w:t>台35kV箱式变压器等，电气设备经过运营期的使用和维护，其损耗较小，可全部由设备生产商回收。</w:t>
            </w:r>
          </w:p>
          <w:p>
            <w:pPr>
              <w:pStyle w:val="29"/>
              <w:ind w:firstLine="480"/>
            </w:pPr>
            <w:r>
              <w:t>（3）建（构）筑物的拆除</w:t>
            </w:r>
          </w:p>
          <w:p>
            <w:pPr>
              <w:pStyle w:val="29"/>
              <w:ind w:firstLine="480"/>
            </w:pPr>
            <w:r>
              <w:t>除各类设备以外，本项目在服务期满后需要对已建成的各类建（构）筑物进行全部拆除，以利于恢复原地表和植被。本项目主要的建（构）筑物有光伏组件基础，大部分为混凝土等结构的建筑。拆除后的建筑垃圾应按照环卫部门的要求运至指定建筑垃圾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6" w:type="dxa"/>
            <w:vAlign w:val="center"/>
          </w:tcPr>
          <w:p>
            <w:pPr>
              <w:pStyle w:val="12"/>
              <w:adjustRightInd w:val="0"/>
              <w:snapToGrid w:val="0"/>
              <w:spacing w:before="0" w:beforeAutospacing="0" w:after="0" w:afterAutospacing="0" w:line="240" w:lineRule="auto"/>
              <w:ind w:firstLine="0" w:firstLineChars="0"/>
              <w:jc w:val="center"/>
              <w:rPr>
                <w:rFonts w:cs="宋体"/>
                <w:bCs/>
                <w:kern w:val="2"/>
              </w:rPr>
            </w:pPr>
            <w:r>
              <w:rPr>
                <w:rFonts w:hint="eastAsia" w:cs="宋体"/>
                <w:bCs/>
                <w:kern w:val="2"/>
              </w:rPr>
              <w:t>选址选线环境合理性分析</w:t>
            </w:r>
          </w:p>
        </w:tc>
        <w:tc>
          <w:tcPr>
            <w:tcW w:w="8871" w:type="dxa"/>
          </w:tcPr>
          <w:p>
            <w:pPr>
              <w:pStyle w:val="29"/>
              <w:ind w:firstLine="482"/>
              <w:rPr>
                <w:b/>
                <w:bCs/>
              </w:rPr>
            </w:pPr>
            <w:r>
              <w:rPr>
                <w:b/>
                <w:bCs/>
              </w:rPr>
              <w:t>4.</w:t>
            </w:r>
            <w:r>
              <w:rPr>
                <w:rFonts w:hint="eastAsia"/>
                <w:b/>
                <w:bCs/>
              </w:rPr>
              <w:t xml:space="preserve">16 </w:t>
            </w:r>
            <w:r>
              <w:rPr>
                <w:b/>
                <w:bCs/>
              </w:rPr>
              <w:t>项目选线环境合理性分析</w:t>
            </w:r>
          </w:p>
          <w:p>
            <w:pPr>
              <w:pStyle w:val="29"/>
              <w:ind w:firstLine="482"/>
            </w:pPr>
            <w:r>
              <w:rPr>
                <w:b/>
                <w:bCs/>
              </w:rPr>
              <w:t>4.</w:t>
            </w:r>
            <w:r>
              <w:rPr>
                <w:rFonts w:hint="eastAsia"/>
                <w:b/>
                <w:bCs/>
              </w:rPr>
              <w:t>16</w:t>
            </w:r>
            <w:r>
              <w:rPr>
                <w:b/>
                <w:bCs/>
              </w:rPr>
              <w:t>.1</w:t>
            </w:r>
            <w:r>
              <w:rPr>
                <w:rFonts w:hint="eastAsia"/>
                <w:b/>
                <w:bCs/>
              </w:rPr>
              <w:t xml:space="preserve"> 场址选址合理性分析</w:t>
            </w:r>
          </w:p>
          <w:p>
            <w:pPr>
              <w:pStyle w:val="29"/>
              <w:ind w:firstLine="480"/>
            </w:pPr>
            <w:r>
              <w:t>（</w:t>
            </w:r>
            <w:r>
              <w:rPr>
                <w:rFonts w:hint="eastAsia"/>
              </w:rPr>
              <w:t>1）区域光能情况</w:t>
            </w:r>
          </w:p>
          <w:p>
            <w:pPr>
              <w:pStyle w:val="29"/>
              <w:ind w:firstLine="480"/>
            </w:pPr>
            <w:r>
              <w:rPr>
                <w:rFonts w:hint="eastAsia"/>
              </w:rPr>
              <w:t>根据各数据源计算水平面年总辐射值对比，结合以往工程经验及综合对比，本项目拟主要采用Solargis数据来评估本项目的太阳能资源及估算发电量。项目地块较为分散，因此依据地块分布情况进行加权后辐射量分析，场区范围内Solargis数据太阳能年辐射总量为4204.8MJ/m</w:t>
            </w:r>
            <w:r>
              <w:rPr>
                <w:rFonts w:hint="eastAsia"/>
                <w:vertAlign w:val="superscript"/>
              </w:rPr>
              <w:t>2</w:t>
            </w:r>
            <w:r>
              <w:rPr>
                <w:rFonts w:hint="eastAsia"/>
              </w:rPr>
              <w:t>，即1168.0kWh/m</w:t>
            </w:r>
            <w:r>
              <w:rPr>
                <w:rFonts w:hint="eastAsia"/>
                <w:vertAlign w:val="superscript"/>
              </w:rPr>
              <w:t>2</w:t>
            </w:r>
            <w:r>
              <w:rPr>
                <w:rFonts w:hint="eastAsia"/>
              </w:rPr>
              <w:t>。拟建光伏电站项目场址处太阳能资源水平面总辐射稳定度为0.34，场址区域属</w:t>
            </w:r>
            <w:r>
              <w:t>C</w:t>
            </w:r>
            <w:r>
              <w:rPr>
                <w:rFonts w:hint="eastAsia"/>
              </w:rPr>
              <w:t>级太阳能资源丰富带。通过月平均太阳辐射量资料可知，区域的太阳辐射量具有年内分配不均的特点，主要表现为春夏季辐射强，秋冬季辐射弱。因此，该区域的光伏场区项目具有一定的开发价值。</w:t>
            </w:r>
          </w:p>
          <w:p>
            <w:pPr>
              <w:pStyle w:val="29"/>
              <w:ind w:firstLine="480"/>
            </w:pPr>
            <w:r>
              <w:rPr>
                <w:rFonts w:hint="eastAsia"/>
              </w:rPr>
              <w:t>（2）地质稳定性</w:t>
            </w:r>
          </w:p>
          <w:p>
            <w:pPr>
              <w:pStyle w:val="29"/>
              <w:ind w:firstLine="480"/>
            </w:pPr>
            <w:r>
              <w:rPr>
                <w:rFonts w:hint="eastAsia"/>
              </w:rPr>
              <w:t>拟选场址为山地，多位于山顶相对平缓处或缓坡区域。根据地勘调查结果，拟建光伏场地区域地质构造以褶皱构造为主，无影响场地稳定性的地质构造，地震活动水平较低，属弱地震活动区，区域稳定性较好，基本适宜建设光伏电站。</w:t>
            </w:r>
          </w:p>
          <w:p>
            <w:pPr>
              <w:pStyle w:val="29"/>
              <w:ind w:firstLine="480"/>
            </w:pPr>
            <w:r>
              <w:rPr>
                <w:rFonts w:hint="eastAsia"/>
              </w:rPr>
              <w:t>（3）环境敏感区制约性</w:t>
            </w:r>
          </w:p>
          <w:p>
            <w:pPr>
              <w:pStyle w:val="29"/>
              <w:ind w:firstLine="480"/>
            </w:pPr>
            <w:r>
              <w:rPr>
                <w:rFonts w:hint="eastAsia"/>
              </w:rPr>
              <w:t>本项目占地不涉及奉节县城区及新民镇等附近乡镇规划区，不涉及自然保护区、地质公园、森林公园、风景名胜区等生态敏感区，也不涉及集中式饮用水源保护区和县级以上文物保护单位，不涉及生态保护红线，不存在环境敏感区制约因素。</w:t>
            </w:r>
          </w:p>
          <w:p>
            <w:pPr>
              <w:pStyle w:val="29"/>
              <w:ind w:firstLine="482"/>
              <w:rPr>
                <w:b/>
                <w:bCs/>
              </w:rPr>
            </w:pPr>
            <w:r>
              <w:rPr>
                <w:b/>
                <w:bCs/>
              </w:rPr>
              <w:t>4.</w:t>
            </w:r>
            <w:r>
              <w:rPr>
                <w:rFonts w:hint="eastAsia"/>
                <w:b/>
                <w:bCs/>
              </w:rPr>
              <w:t>16</w:t>
            </w:r>
            <w:r>
              <w:rPr>
                <w:b/>
                <w:bCs/>
              </w:rPr>
              <w:t>.2</w:t>
            </w:r>
            <w:r>
              <w:rPr>
                <w:rFonts w:hint="eastAsia"/>
                <w:b/>
                <w:bCs/>
              </w:rPr>
              <w:t xml:space="preserve"> </w:t>
            </w:r>
            <w:r>
              <w:rPr>
                <w:b/>
                <w:bCs/>
              </w:rPr>
              <w:t>升压站选址合理性分析</w:t>
            </w:r>
          </w:p>
          <w:p>
            <w:pPr>
              <w:pStyle w:val="29"/>
              <w:ind w:firstLine="480"/>
            </w:pPr>
            <w:r>
              <w:t>考虑到本工程的建设规模及周边线路及接入站情况，</w:t>
            </w:r>
            <w:r>
              <w:rPr>
                <w:rFonts w:hint="eastAsia"/>
              </w:rPr>
              <w:t>项目</w:t>
            </w:r>
            <w:r>
              <w:t>新建一座110kV</w:t>
            </w:r>
            <w:r>
              <w:rPr>
                <w:rFonts w:hint="eastAsia"/>
              </w:rPr>
              <w:t>升压站，通过一回</w:t>
            </w:r>
            <w:r>
              <w:t>110kV</w:t>
            </w:r>
            <w:r>
              <w:rPr>
                <w:rFonts w:hint="eastAsia"/>
              </w:rPr>
              <w:t>线路接至铁甲变电站。综合考虑</w:t>
            </w:r>
            <w:r>
              <w:t>110kV</w:t>
            </w:r>
            <w:r>
              <w:rPr>
                <w:rFonts w:hint="eastAsia"/>
              </w:rPr>
              <w:t>升压站址送出线路走向、</w:t>
            </w:r>
            <w:r>
              <w:t>35kV</w:t>
            </w:r>
            <w:r>
              <w:rPr>
                <w:rFonts w:hint="eastAsia"/>
              </w:rPr>
              <w:t>集电线路长度、站内已有进场道路、地形地貌等因素，初步选定升压站位置于场区靠近对侧站区域。</w:t>
            </w:r>
          </w:p>
          <w:p>
            <w:pPr>
              <w:pStyle w:val="29"/>
              <w:ind w:firstLine="480"/>
            </w:pPr>
            <w:r>
              <w:rPr>
                <w:rFonts w:hint="eastAsia"/>
              </w:rPr>
              <w:t>升压站位于新民镇龙汇村，升压站站区选址不涉及自然保护区、生态保护红线、饮用水源保护区等环境敏感区；站址弃土弃渣较少；根据预测结果，在采取相应的措施后，升压站厂界电磁和噪声可满足相应排放限值要求。</w:t>
            </w:r>
          </w:p>
          <w:p>
            <w:pPr>
              <w:pStyle w:val="29"/>
              <w:ind w:firstLine="480"/>
            </w:pPr>
            <w:r>
              <w:rPr>
                <w:rFonts w:hint="eastAsia"/>
              </w:rPr>
              <w:t>综上，本评价认为本项目110kV升压站选址合理。</w:t>
            </w:r>
          </w:p>
          <w:p>
            <w:pPr>
              <w:pStyle w:val="29"/>
              <w:ind w:firstLine="482"/>
              <w:rPr>
                <w:b/>
                <w:bCs/>
              </w:rPr>
            </w:pPr>
            <w:r>
              <w:rPr>
                <w:b/>
                <w:bCs/>
              </w:rPr>
              <w:t>4</w:t>
            </w:r>
            <w:r>
              <w:rPr>
                <w:rFonts w:hint="eastAsia"/>
                <w:b/>
                <w:bCs/>
              </w:rPr>
              <w:t>.16.3</w:t>
            </w:r>
            <w:r>
              <w:rPr>
                <w:b/>
                <w:bCs/>
              </w:rPr>
              <w:t xml:space="preserve"> 临建施工区选址合理性分析</w:t>
            </w:r>
          </w:p>
          <w:p>
            <w:pPr>
              <w:pStyle w:val="29"/>
              <w:ind w:firstLine="480"/>
            </w:pPr>
            <w:r>
              <w:rPr>
                <w:rFonts w:hint="eastAsia"/>
              </w:rPr>
              <w:t>本工程光伏电池阵列布置集中，初步考虑按施工区集中布置原则，在与光伏电池阵列相邻的较平坦位置进行施工布置。</w:t>
            </w:r>
          </w:p>
          <w:p>
            <w:pPr>
              <w:pStyle w:val="29"/>
              <w:ind w:firstLine="480"/>
            </w:pPr>
            <w:r>
              <w:rPr>
                <w:rFonts w:hint="eastAsia"/>
              </w:rPr>
              <w:t>临建施工生产生活区选址不涉及自然保护区、风景名胜区等特殊生态敏感区域和生态保护红线，也不涉及饮用水源保护区；临建施工生产生活区的占地面积约</w:t>
            </w:r>
            <w:r>
              <w:rPr>
                <w:rFonts w:hint="eastAsia"/>
                <w:lang w:val="en-US" w:eastAsia="zh-CN"/>
              </w:rPr>
              <w:t>5000</w:t>
            </w:r>
            <w:r>
              <w:t>m</w:t>
            </w:r>
            <w:r>
              <w:rPr>
                <w:vertAlign w:val="superscript"/>
              </w:rPr>
              <w:t>2</w:t>
            </w:r>
            <w:r>
              <w:rPr>
                <w:rFonts w:hint="eastAsia"/>
              </w:rPr>
              <w:t>，其占地区以园地、草地为主，造成的植被损失量相对较小。在落实本评价提出的各项污染防治措施的前提下，其噪声和扬尘等对外环境产生的不利影响相对较小。</w:t>
            </w:r>
          </w:p>
          <w:p>
            <w:pPr>
              <w:pStyle w:val="29"/>
              <w:ind w:firstLine="480"/>
              <w:rPr>
                <w:rFonts w:hint="eastAsia"/>
              </w:rPr>
            </w:pPr>
            <w:r>
              <w:rPr>
                <w:rFonts w:hint="eastAsia"/>
              </w:rPr>
              <w:t>因此，本评价认为临时施工生产生活区选址环境合理。</w:t>
            </w:r>
          </w:p>
          <w:p>
            <w:pPr>
              <w:pStyle w:val="29"/>
              <w:ind w:firstLine="480"/>
              <w:rPr>
                <w:rFonts w:hint="eastAsia"/>
              </w:rPr>
            </w:pPr>
          </w:p>
        </w:tc>
      </w:tr>
    </w:tbl>
    <w:p>
      <w:pPr>
        <w:pStyle w:val="12"/>
        <w:jc w:val="center"/>
        <w:rPr>
          <w:rFonts w:ascii="黑体" w:hAnsi="黑体" w:eastAsia="黑体"/>
          <w:snapToGrid w:val="0"/>
          <w:sz w:val="36"/>
          <w:szCs w:val="36"/>
        </w:rPr>
        <w:sectPr>
          <w:pgSz w:w="11906" w:h="16838"/>
          <w:pgMar w:top="1417" w:right="1417" w:bottom="1417" w:left="1417" w:header="851" w:footer="1077" w:gutter="0"/>
          <w:cols w:space="720" w:num="1"/>
          <w:docGrid w:linePitch="312" w:charSpace="0"/>
        </w:sectPr>
      </w:pPr>
    </w:p>
    <w:p>
      <w:pPr>
        <w:pStyle w:val="12"/>
        <w:adjustRightInd w:val="0"/>
        <w:snapToGrid w:val="0"/>
        <w:spacing w:before="0" w:beforeAutospacing="0" w:after="0" w:afterAutospacing="0" w:line="14" w:lineRule="auto"/>
        <w:ind w:firstLine="600"/>
        <w:jc w:val="center"/>
        <w:outlineLvl w:val="0"/>
        <w:rPr>
          <w:rFonts w:ascii="黑体" w:hAnsi="黑体" w:eastAsia="黑体"/>
          <w:snapToGrid w:val="0"/>
          <w:sz w:val="30"/>
          <w:szCs w:val="30"/>
        </w:rPr>
      </w:pPr>
    </w:p>
    <w:p>
      <w:pPr>
        <w:pStyle w:val="12"/>
        <w:ind w:firstLine="600"/>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0"/>
        <w:gridCol w:w="88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dxa"/>
            <w:tcMar>
              <w:left w:w="28" w:type="dxa"/>
              <w:right w:w="28" w:type="dxa"/>
            </w:tcMar>
            <w:vAlign w:val="center"/>
          </w:tcPr>
          <w:p>
            <w:pPr>
              <w:adjustRightInd w:val="0"/>
              <w:snapToGrid w:val="0"/>
              <w:spacing w:line="240" w:lineRule="auto"/>
              <w:ind w:firstLine="0" w:firstLineChars="0"/>
              <w:jc w:val="center"/>
              <w:rPr>
                <w:rFonts w:ascii="宋体" w:hAnsi="宋体"/>
                <w:bCs/>
                <w:szCs w:val="21"/>
              </w:rPr>
            </w:pPr>
            <w:r>
              <w:rPr>
                <w:rFonts w:hint="eastAsia" w:ascii="宋体" w:hAnsi="宋体" w:cs="宋体"/>
                <w:bCs/>
                <w:spacing w:val="10"/>
                <w:szCs w:val="21"/>
              </w:rPr>
              <w:t>施工期生态环境保护措施</w:t>
            </w:r>
          </w:p>
        </w:tc>
        <w:tc>
          <w:tcPr>
            <w:tcW w:w="8887" w:type="dxa"/>
          </w:tcPr>
          <w:p>
            <w:pPr>
              <w:pStyle w:val="29"/>
              <w:ind w:firstLine="482"/>
              <w:rPr>
                <w:b/>
                <w:bCs/>
              </w:rPr>
            </w:pPr>
            <w:r>
              <w:rPr>
                <w:b/>
                <w:bCs/>
              </w:rPr>
              <w:t>5.1</w:t>
            </w:r>
            <w:r>
              <w:rPr>
                <w:rFonts w:hint="eastAsia"/>
                <w:b/>
                <w:bCs/>
              </w:rPr>
              <w:t xml:space="preserve"> </w:t>
            </w:r>
            <w:r>
              <w:rPr>
                <w:b/>
                <w:bCs/>
              </w:rPr>
              <w:t>施工期环境保护措施</w:t>
            </w:r>
          </w:p>
          <w:p>
            <w:pPr>
              <w:pStyle w:val="29"/>
              <w:ind w:firstLine="482"/>
              <w:rPr>
                <w:b/>
                <w:bCs/>
              </w:rPr>
            </w:pPr>
            <w:r>
              <w:rPr>
                <w:b/>
                <w:bCs/>
              </w:rPr>
              <w:t>5.1.1</w:t>
            </w:r>
            <w:r>
              <w:rPr>
                <w:rFonts w:hint="eastAsia"/>
                <w:b/>
                <w:bCs/>
              </w:rPr>
              <w:t xml:space="preserve"> </w:t>
            </w:r>
            <w:r>
              <w:rPr>
                <w:b/>
                <w:bCs/>
              </w:rPr>
              <w:t>施工期生态环境保护措施</w:t>
            </w:r>
          </w:p>
          <w:p>
            <w:pPr>
              <w:pStyle w:val="29"/>
              <w:ind w:firstLine="480"/>
            </w:pPr>
            <w:r>
              <w:t>（1）严格控制工程破坏植被的面积，为减少施工对植被和土壤的影响，要标桩划界，标明施工活动区，禁止施工人员进入非施工占地区域；严令禁止到非施工区域活动，非施工区严禁烟火和垂钓等活动。</w:t>
            </w:r>
          </w:p>
          <w:p>
            <w:pPr>
              <w:pStyle w:val="29"/>
              <w:ind w:firstLine="480"/>
            </w:pPr>
            <w:r>
              <w:t>（2）</w:t>
            </w:r>
            <w:r>
              <w:rPr>
                <w:rFonts w:hint="eastAsia"/>
              </w:rPr>
              <w:t>避免大面积开挖，分片分段施工，施工结束后及时进行植被恢复。施工期尽量多保留地被物，少挖填方，多保留现有的生态群落和生境类型</w:t>
            </w:r>
            <w:r>
              <w:t>。</w:t>
            </w:r>
          </w:p>
          <w:p>
            <w:pPr>
              <w:pStyle w:val="29"/>
              <w:ind w:firstLine="480"/>
            </w:pPr>
            <w:r>
              <w:t>（3）鸟类和兽类大多是晨、昏（早晨、黄昏）或夜间外出觅食，正午是鸟类休息时间。为了减少工程施工噪声对野生动物的惊扰，应做好施工方式和时间的计划，晨、昏避免高噪音作业，禁止夜间施工。施工期间加强堆料场、临时堆土场防护，加强施工人员的各类卫生管理，避免生活垃圾、生活污水的直接排放，减少污染，最大限度保护动物生境。</w:t>
            </w:r>
          </w:p>
          <w:p>
            <w:pPr>
              <w:pStyle w:val="29"/>
              <w:ind w:firstLine="480"/>
            </w:pPr>
            <w:r>
              <w:t>（4）在建设工程中，加强宣传教育和管理，认真全面地贯彻执行《中华人民共和国野生动物保护法》等法律、法规，严禁非法猎捕野生动物。通过发放宣传册、张贴宣传画报等，增强人们的环境保护</w:t>
            </w:r>
            <w:r>
              <w:rPr>
                <w:rFonts w:hint="eastAsia"/>
              </w:rPr>
              <w:t>意识</w:t>
            </w:r>
            <w:r>
              <w:t>，使野生动物能在不受额外影响的情况下得以尽快恢复。</w:t>
            </w:r>
          </w:p>
          <w:p>
            <w:pPr>
              <w:pStyle w:val="29"/>
              <w:ind w:firstLine="480"/>
            </w:pPr>
            <w:r>
              <w:t>（5）在建设项目中，加强宣传教育和管理，认真全面地贯彻执行《中华人民共和国野生动物保护法》等法律、法规，严禁非法猎捕野生动物。通过发放宣传册、张贴宣传画报等，宣传册内印上区域常见的保护动植物图片、保护级别，同时印刷上《中华人民共和国野生动物保护法》等法律、法规对于捕猎野生动物的处罚条款，以增强施工人员的环境保护意识以及对保护植物及古树名木的识别。在施工过程中如遇到疑似保护植物或古树名木时，应及时报告</w:t>
            </w:r>
            <w:r>
              <w:rPr>
                <w:rFonts w:hint="eastAsia"/>
              </w:rPr>
              <w:t>奉节县</w:t>
            </w:r>
            <w:r>
              <w:t>林业行政主管部门，在其指导下开展就地保护或移栽异地保护的措施。</w:t>
            </w:r>
          </w:p>
          <w:p>
            <w:pPr>
              <w:pStyle w:val="29"/>
              <w:ind w:firstLine="480"/>
            </w:pPr>
            <w:r>
              <w:t>（6）</w:t>
            </w:r>
            <w:r>
              <w:rPr>
                <w:rFonts w:hint="eastAsia"/>
              </w:rPr>
              <w:t>项目的建设和布局的外观应注意与周围环境景观的协调，光伏组件的布局在满足设计要求的同时，尽量依山势布置，以减少对景观在形态上的影响。</w:t>
            </w:r>
          </w:p>
          <w:p>
            <w:pPr>
              <w:pStyle w:val="29"/>
              <w:ind w:firstLine="480"/>
            </w:pPr>
            <w:r>
              <w:rPr>
                <w:rFonts w:hint="eastAsia"/>
              </w:rPr>
              <w:t>（7）工程施工后期，清理施工场地废料及垃圾，对施工机械进场时的路段、周边裸地进行植被恢复与培育绿化。在进行复耕、绿化、种植植被时物种选择应从当地自然条件出发，既要达到快速恢复目的，选择当地植被，同时选用适应当地条件、速生的乔木和灌木树种，苗木宜带土栽植，并应适当密植。</w:t>
            </w:r>
          </w:p>
          <w:p>
            <w:pPr>
              <w:pStyle w:val="29"/>
              <w:ind w:firstLine="480"/>
            </w:pPr>
            <w:r>
              <w:rPr>
                <w:rFonts w:hint="eastAsia"/>
              </w:rPr>
              <w:t>（</w:t>
            </w:r>
            <w:r>
              <w:t>8</w:t>
            </w:r>
            <w:r>
              <w:rPr>
                <w:rFonts w:hint="eastAsia"/>
              </w:rPr>
              <w:t>）本项目根据原有地形依地势修建，部分坡度较大区域光伏电板的布板区域间隔较大，建设单位应提高该部分区域光伏电板支架，采用高低脚支架以适应现有地势，减少布板区域用地。</w:t>
            </w:r>
          </w:p>
          <w:p>
            <w:pPr>
              <w:pStyle w:val="29"/>
              <w:ind w:firstLine="480"/>
              <w:rPr>
                <w:rFonts w:hint="eastAsia"/>
                <w:b/>
                <w:bCs/>
              </w:rPr>
            </w:pPr>
            <w:r>
              <w:rPr>
                <w:rFonts w:hint="eastAsia"/>
                <w:b/>
                <w:bCs/>
                <w:lang w:val="en-US" w:eastAsia="zh-CN"/>
              </w:rPr>
              <w:t>5.1.2 施工期</w:t>
            </w:r>
            <w:r>
              <w:rPr>
                <w:rFonts w:hint="eastAsia"/>
                <w:b/>
                <w:bCs/>
              </w:rPr>
              <w:t>水土保持措施</w:t>
            </w:r>
          </w:p>
          <w:p>
            <w:pPr>
              <w:pStyle w:val="29"/>
              <w:ind w:firstLine="480"/>
              <w:rPr>
                <w:rFonts w:hint="eastAsia"/>
              </w:rPr>
            </w:pPr>
            <w:r>
              <w:rPr>
                <w:rFonts w:hint="eastAsia"/>
                <w:lang w:val="en-US" w:eastAsia="zh-CN"/>
              </w:rPr>
              <w:t>施工前，对光伏阵列区箱变安装区及临建设施安装区等开挖扰动区域内表土进行剥离，剥离的表土集中堆放于表土堆放场内，表土堆场下方采用防雨布盖铺垫保护，在表土堆放场周边设置临时拦挡（编织袋）、临时截排水沟及临时沉沙池，并利用防雨布对表土进行遮盖。施工期间，对光伏阵列区开挖扰动、临时堆土等裸露区域进行临时覆盖，开挖钻孔产生的土方按0.2m厚平铺于光伏板底园地植株下方；施工后期，对临建设施安装区及光伏板下平铺土石方区域进行土地整治及覆土，对光伏板下方进行撒播植草防护</w:t>
            </w:r>
          </w:p>
          <w:p>
            <w:pPr>
              <w:pStyle w:val="29"/>
              <w:ind w:firstLine="480"/>
              <w:rPr>
                <w:rFonts w:hint="eastAsia"/>
                <w:lang w:val="en-US" w:eastAsia="zh-CN"/>
              </w:rPr>
            </w:pPr>
            <w:r>
              <w:rPr>
                <w:rFonts w:hint="eastAsia"/>
                <w:lang w:val="en-US" w:eastAsia="zh-CN"/>
              </w:rPr>
              <w:t>施工前期，方案设计剥离升压站区域内所有表土，本区后期所需回覆表土就近堆放于站区西侧空地区域，多余表土就近运至光伏阵列区进行堆放及回覆；在表土堆放场周边设置临时拦挡（编织袋）、临时截排水沟及临时沉沙池，并利用防雨布对表土进行遮盖；方案设计在站区填方边坡坡脚外1m布置临时拦挡（竹板）；施工过程中，方案设计在裸露土质边坡、临时堆土等裸露区域覆盖防雨布。施工后期，主体设计沿升压站围墙外侧布置站内排水沟，在站区平台区域布置景观绿化，在边坡区域采用挂网喷播植草护坡，方案设计在主体绿化前对绿化区域进行覆土及土地整治，在边坡外侧裸露区域采用撒播草籽防护，在站内排水沟出口布置消能池。</w:t>
            </w:r>
          </w:p>
          <w:p>
            <w:pPr>
              <w:pStyle w:val="29"/>
              <w:ind w:firstLine="480"/>
              <w:rPr>
                <w:rFonts w:hint="eastAsia"/>
                <w:lang w:val="en-US" w:eastAsia="zh-CN"/>
              </w:rPr>
            </w:pPr>
            <w:r>
              <w:rPr>
                <w:rFonts w:hint="eastAsia"/>
                <w:lang w:val="en-US" w:eastAsia="zh-CN"/>
              </w:rPr>
              <w:t>施工前期，方案设计剥离施工扰动区内的表土，本区后期所需回覆表土分段沿线堆放施工前期，方案设计剥离施工扰动区内的表土，本区后期所需回覆表土分段沿线堆放，多余的表土外运至光伏阵列区堆放及覆土利用；在表土堆置坡脚设置临时拦挡（编织袋），并利用防雨布对表土进行遮盖；在填方边坡坡脚外1m布置临时拦挡（竹板）。施工过程中，方案设计对分段堆放的表土、临时堆土和土质边坡坡面等区域采用防雨布覆盖；路基成型后，主体设计沿路面靠山坡侧布置路边沟，方案设计在路边沟陡坡段末端出水口布置消能池来消力沉沙。施工后期，主体设计对路基边坡坡面采取挂网喷播植草护坡，方案设计在主体绿化前对边坡绿化区域进行覆土及土地整治。</w:t>
            </w:r>
          </w:p>
          <w:p>
            <w:pPr>
              <w:pStyle w:val="29"/>
              <w:ind w:firstLine="480"/>
              <w:rPr>
                <w:rFonts w:hint="eastAsia"/>
                <w:lang w:val="en-US" w:eastAsia="zh-CN"/>
              </w:rPr>
            </w:pPr>
            <w:r>
              <w:rPr>
                <w:rFonts w:hint="eastAsia"/>
                <w:lang w:val="en-US" w:eastAsia="zh-CN"/>
              </w:rPr>
              <w:t>对施工期水土保持的其他措施：</w:t>
            </w:r>
          </w:p>
          <w:p>
            <w:pPr>
              <w:pStyle w:val="29"/>
              <w:ind w:firstLine="480"/>
            </w:pPr>
            <w:r>
              <w:rPr>
                <w:rFonts w:hint="eastAsia"/>
              </w:rPr>
              <w:t>①建设单位所涉及的水土保持设施应与其主体工程同时设计、同时施工、同时验收、同时运行。其主体工程竣工时，必须相应完成绿化、砌面等护坡固土及截洪、排水等有关水土保持工作，以控制水土流失。建设单位在与施工单位签订工程承包合同时，建议增加施工期建设区等应符合水土保持和环境保护要求的条款，并有违约的处理办法。</w:t>
            </w:r>
          </w:p>
          <w:p>
            <w:pPr>
              <w:pStyle w:val="29"/>
              <w:ind w:firstLine="480"/>
            </w:pPr>
            <w:r>
              <w:rPr>
                <w:rFonts w:hint="eastAsia"/>
              </w:rPr>
              <w:t>②建设单位应根据当地雨量季节分布特征和早季风日分布规律，选择适宜的土方施工时期，并经常与当地气象部门联系，尽量避免在大暴雨天或大风干热天施工。在雨季施工时，应搞好施工场地截洪、排水工作，保证截洪、排水系统畅通，以减少土壤水蚀流失和重力侵蚀。在旱风、干热季节施工时，应对裸露、松散土壤喷洒适量水，使土壤表面处于湿润状态，以减少土壤风蚀流失和尘土污染危害。</w:t>
            </w:r>
          </w:p>
          <w:p>
            <w:pPr>
              <w:pStyle w:val="29"/>
              <w:ind w:firstLine="480"/>
            </w:pPr>
            <w:r>
              <w:rPr>
                <w:rFonts w:hint="eastAsia"/>
              </w:rPr>
              <w:t>③建设单位在场地平整施工过程中，应努力减少地貌和植被破坏，尽量缩小土壤裸露面积。在建设区周边上下、方应分别开挖拦洪沟和排水沟，并应在填方区外侧边缘竖面建筑挡土墙和在挖方区内侧边缘竖面进行砌石、绿化等护坡，以防止土壤冲刷流失。土方施工应采取边挖、边运、边填、边压的方式，避免大量松散土存在而造成严重的土壤侵蚀流失。</w:t>
            </w:r>
          </w:p>
          <w:p>
            <w:pPr>
              <w:pStyle w:val="29"/>
              <w:ind w:firstLine="480"/>
            </w:pPr>
            <w:r>
              <w:rPr>
                <w:rFonts w:hint="eastAsia"/>
              </w:rPr>
              <w:t>④建设单位在场地平整施工完毕后，应尽早尽快对建设区进行水土保持设施和环境绿化工程等建设，使场地平整区土面及时得到建筑覆盖或绿化覆盖，以控制水土流失，美化环境，保持水土。</w:t>
            </w:r>
          </w:p>
          <w:p>
            <w:pPr>
              <w:pStyle w:val="29"/>
              <w:ind w:firstLine="482"/>
              <w:rPr>
                <w:b/>
                <w:bCs/>
              </w:rPr>
            </w:pPr>
            <w:r>
              <w:rPr>
                <w:b/>
                <w:bCs/>
              </w:rPr>
              <w:t>5.1.2</w:t>
            </w:r>
            <w:r>
              <w:rPr>
                <w:rFonts w:hint="eastAsia"/>
                <w:b/>
                <w:bCs/>
              </w:rPr>
              <w:t xml:space="preserve"> </w:t>
            </w:r>
            <w:r>
              <w:rPr>
                <w:b/>
                <w:bCs/>
              </w:rPr>
              <w:t>施工期大气污染防治措施</w:t>
            </w:r>
          </w:p>
          <w:p>
            <w:pPr>
              <w:pStyle w:val="29"/>
              <w:ind w:firstLine="480"/>
            </w:pPr>
            <w:r>
              <w:t>（1）避免使用油耗高、效率低、废气排放严重的施工机械，对燃油设备要合理配置，加强管理与维护，减少燃油污染物排放；</w:t>
            </w:r>
          </w:p>
          <w:p>
            <w:pPr>
              <w:pStyle w:val="29"/>
              <w:ind w:firstLine="480"/>
            </w:pPr>
            <w:r>
              <w:t>（2）</w:t>
            </w:r>
            <w:r>
              <w:rPr>
                <w:rFonts w:hint="eastAsia"/>
              </w:rPr>
              <w:t>对易产生扬尘的地点采取洒水抑尘措施，对各工区、作业区土石方开挖、回填等产生的生产性粉尘应进行适当的加湿处理</w:t>
            </w:r>
            <w:r>
              <w:t>；</w:t>
            </w:r>
          </w:p>
          <w:p>
            <w:pPr>
              <w:pStyle w:val="29"/>
              <w:ind w:firstLine="480"/>
            </w:pPr>
            <w:r>
              <w:t>（3）</w:t>
            </w:r>
            <w:r>
              <w:rPr>
                <w:rFonts w:hint="eastAsia"/>
              </w:rPr>
              <w:t>对运输过程中易产生扬尘的物料如水泥、细砂等必须压实，填装高度禁止超过车斗防护栏，散装水泥运输采用水泥槽罐车，加盖篷布等措施，避免洒落引起二次扬尘，对施工车辆实行限速控制；</w:t>
            </w:r>
          </w:p>
          <w:p>
            <w:pPr>
              <w:pStyle w:val="29"/>
              <w:ind w:firstLine="480"/>
            </w:pPr>
            <w:r>
              <w:t>（4）</w:t>
            </w:r>
            <w:r>
              <w:rPr>
                <w:rFonts w:hint="eastAsia"/>
              </w:rPr>
              <w:t>施工期应配置专用洒水车进行洒水降尘，做到文明施工；</w:t>
            </w:r>
          </w:p>
          <w:p>
            <w:pPr>
              <w:pStyle w:val="29"/>
              <w:ind w:firstLine="480"/>
            </w:pPr>
            <w:r>
              <w:t>（5）</w:t>
            </w:r>
            <w:r>
              <w:rPr>
                <w:rFonts w:hint="eastAsia"/>
              </w:rPr>
              <w:t>施工临时用地内使用的混凝土时应同时采取洒水等抑尘措施，以降低施工粉尘对环境的影响；</w:t>
            </w:r>
          </w:p>
          <w:p>
            <w:pPr>
              <w:pStyle w:val="29"/>
              <w:ind w:firstLine="480"/>
            </w:pPr>
            <w:r>
              <w:t>（6）</w:t>
            </w:r>
            <w:r>
              <w:rPr>
                <w:rFonts w:hint="eastAsia"/>
              </w:rPr>
              <w:t>生活区严禁使用高硫煤，提倡使用煤气，以减少废气污染物对环境的影响</w:t>
            </w:r>
            <w:r>
              <w:t>。</w:t>
            </w:r>
          </w:p>
          <w:p>
            <w:pPr>
              <w:pStyle w:val="29"/>
              <w:ind w:firstLine="482"/>
              <w:rPr>
                <w:b/>
                <w:bCs/>
              </w:rPr>
            </w:pPr>
            <w:r>
              <w:rPr>
                <w:b/>
                <w:bCs/>
              </w:rPr>
              <w:t>5.1.3</w:t>
            </w:r>
            <w:r>
              <w:rPr>
                <w:rFonts w:hint="eastAsia"/>
                <w:b/>
                <w:bCs/>
              </w:rPr>
              <w:t xml:space="preserve"> </w:t>
            </w:r>
            <w:r>
              <w:rPr>
                <w:b/>
                <w:bCs/>
              </w:rPr>
              <w:t>施工期地表水污染防治措施</w:t>
            </w:r>
          </w:p>
          <w:p>
            <w:pPr>
              <w:pStyle w:val="29"/>
              <w:ind w:firstLine="480"/>
              <w:rPr>
                <w:rFonts w:hint="eastAsia"/>
              </w:rPr>
            </w:pPr>
            <w:r>
              <w:rPr>
                <w:rFonts w:hint="eastAsia"/>
              </w:rPr>
              <w:t>施工废水主要为生活污水和施工作业废水。本工程要求在施工场地内的混凝土拌和设施四周修建临时截水沟，在截水沟低处设置沉淀池，全部回用于拌合过程或施工场地的洒水抑尘，做到</w:t>
            </w:r>
            <w:r>
              <w:rPr>
                <w:rFonts w:hint="eastAsia"/>
                <w:lang w:val="en-US" w:eastAsia="zh-CN"/>
              </w:rPr>
              <w:t>施工作业</w:t>
            </w:r>
            <w:r>
              <w:rPr>
                <w:rFonts w:hint="eastAsia"/>
              </w:rPr>
              <w:t>废水不外排。</w:t>
            </w:r>
          </w:p>
          <w:p>
            <w:pPr>
              <w:pStyle w:val="29"/>
              <w:ind w:firstLine="480"/>
            </w:pPr>
            <w:r>
              <w:rPr>
                <w:rFonts w:hint="eastAsia"/>
              </w:rPr>
              <w:t>施工机械、运输车辆在保养和冲洗时将产生含石油类废水，本工程要求在机械、运输车辆在保养和冲洗处四周修建临时截水沟，在截水沟低处设置隔油沉淀池。含油废水收集后设隔油池处理达标后，可直接用作混凝土拌合或地面防尘洒水，不外排。</w:t>
            </w:r>
          </w:p>
          <w:p>
            <w:pPr>
              <w:pStyle w:val="29"/>
              <w:ind w:firstLine="480"/>
            </w:pPr>
            <w:r>
              <w:rPr>
                <w:rFonts w:hint="eastAsia"/>
              </w:rPr>
              <w:t>本工程施工场地距离新民镇较近。施工人员租住镇内当地居民住房，施工人员产生的生活污水利用当地居民原有的污水处理设施。通过上述措施，施工人员的生活污水对环境影响较小。本工程在采取上述收集、回用措施后，可以做到不向外排放施工生产污水，因此本工程施工过程中对地表水的影响轻微。</w:t>
            </w:r>
          </w:p>
          <w:p>
            <w:pPr>
              <w:pStyle w:val="29"/>
              <w:ind w:firstLine="482"/>
              <w:rPr>
                <w:b/>
                <w:bCs/>
              </w:rPr>
            </w:pPr>
            <w:r>
              <w:rPr>
                <w:b/>
                <w:bCs/>
              </w:rPr>
              <w:t>5.1.4</w:t>
            </w:r>
            <w:r>
              <w:rPr>
                <w:rFonts w:hint="eastAsia"/>
                <w:b/>
                <w:bCs/>
              </w:rPr>
              <w:t xml:space="preserve"> </w:t>
            </w:r>
            <w:r>
              <w:rPr>
                <w:b/>
                <w:bCs/>
              </w:rPr>
              <w:t>施工期噪声污染防治措施</w:t>
            </w:r>
          </w:p>
          <w:p>
            <w:pPr>
              <w:pStyle w:val="29"/>
              <w:ind w:firstLine="480"/>
            </w:pPr>
            <w:r>
              <w:rPr>
                <w:rFonts w:hint="eastAsia"/>
              </w:rPr>
              <w:t>施工期施工设备噪声对周边附近居民的影响较大，施工期需要加强噪声源合理布局，并合理安排施工时间，使施工期噪声对周边居民的不利影响将得到减缓。</w:t>
            </w:r>
          </w:p>
          <w:p>
            <w:pPr>
              <w:pStyle w:val="29"/>
              <w:ind w:firstLine="520"/>
            </w:pPr>
            <w:r>
              <w:rPr>
                <w:rFonts w:hint="eastAsia"/>
              </w:rPr>
              <w:t>在施工期还需做到以下防治措施：</w:t>
            </w:r>
          </w:p>
          <w:p>
            <w:pPr>
              <w:pStyle w:val="29"/>
              <w:ind w:firstLine="480"/>
            </w:pPr>
            <w:r>
              <w:rPr>
                <w:rFonts w:hint="eastAsia"/>
              </w:rPr>
              <w:t>（1）对高噪声源设备采取合理布局，使高噪声源设备尽量远离野生动物、鸟类栖息的林区；加强工程区施工机械、动力设备的维护保养，淘汰落后的高噪施工设备，选取能耗小，噪声低，振动小的先进施工机械。</w:t>
            </w:r>
          </w:p>
          <w:p>
            <w:pPr>
              <w:pStyle w:val="29"/>
              <w:ind w:firstLine="480"/>
            </w:pPr>
            <w:r>
              <w:rPr>
                <w:rFonts w:hint="eastAsia"/>
              </w:rPr>
              <w:t>（2）对声源较高的固定机械设备，若对环境产生不利影响的，需采取临时屏蔽措施，或置于室内。对影响严重的声源应强化隔声、减噪措施，防止扰民事件发生；</w:t>
            </w:r>
          </w:p>
          <w:p>
            <w:pPr>
              <w:pStyle w:val="29"/>
              <w:ind w:firstLine="480"/>
            </w:pPr>
            <w:r>
              <w:rPr>
                <w:rFonts w:hint="eastAsia"/>
              </w:rPr>
              <w:t>（3）合理安排施工时段，严格控制夜间施工，禁止夜间高噪设备施工，避免夜间进行运输。确因工艺要求必须连续24小时作业时，必须于夜间施工前</w:t>
            </w:r>
            <w:r>
              <w:t>4</w:t>
            </w:r>
            <w:r>
              <w:rPr>
                <w:rFonts w:hint="eastAsia"/>
              </w:rPr>
              <w:t>日向当地生态环境局报批，并在夜间施工前</w:t>
            </w:r>
            <w:r>
              <w:t>1</w:t>
            </w:r>
            <w:r>
              <w:rPr>
                <w:rFonts w:hint="eastAsia"/>
              </w:rPr>
              <w:t>日在施工现场公告附近居民。</w:t>
            </w:r>
          </w:p>
          <w:p>
            <w:pPr>
              <w:pStyle w:val="29"/>
              <w:ind w:firstLine="480"/>
            </w:pPr>
            <w:r>
              <w:rPr>
                <w:rFonts w:hint="eastAsia"/>
              </w:rPr>
              <w:t>（4）选择性能优良的工程运输车辆，并加强维护保养，同时加强运输管理工作，经过场镇、居民住宅等声环境敏感设施时限速禁鸣，避免夜间运输扰民。</w:t>
            </w:r>
          </w:p>
          <w:p>
            <w:pPr>
              <w:pStyle w:val="29"/>
              <w:ind w:firstLine="482"/>
              <w:rPr>
                <w:b/>
                <w:bCs/>
              </w:rPr>
            </w:pPr>
            <w:r>
              <w:rPr>
                <w:b/>
                <w:bCs/>
              </w:rPr>
              <w:t>5.1.5</w:t>
            </w:r>
            <w:r>
              <w:rPr>
                <w:rFonts w:hint="eastAsia"/>
                <w:b/>
                <w:bCs/>
              </w:rPr>
              <w:t xml:space="preserve"> </w:t>
            </w:r>
            <w:r>
              <w:rPr>
                <w:b/>
                <w:bCs/>
              </w:rPr>
              <w:t>施工期固废污染防治措施</w:t>
            </w:r>
          </w:p>
          <w:p>
            <w:pPr>
              <w:pStyle w:val="29"/>
              <w:ind w:firstLine="480"/>
              <w:rPr>
                <w:rFonts w:hint="eastAsia" w:eastAsia="宋体"/>
                <w:lang w:eastAsia="zh-CN"/>
              </w:rPr>
            </w:pPr>
            <w:r>
              <w:rPr>
                <w:rFonts w:hint="eastAsia"/>
              </w:rPr>
              <w:t>本项目施工期固体废物主要为施工人员生活垃圾</w:t>
            </w:r>
            <w:r>
              <w:rPr>
                <w:rFonts w:hint="eastAsia"/>
                <w:lang w:eastAsia="zh-CN"/>
              </w:rPr>
              <w:t>，</w:t>
            </w:r>
            <w:r>
              <w:rPr>
                <w:rFonts w:hint="eastAsia"/>
              </w:rPr>
              <w:t>施工人员生活垃圾交当地环卫部门统一处理</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1" w:type="dxa"/>
            <w:tcMar>
              <w:left w:w="28" w:type="dxa"/>
              <w:right w:w="28" w:type="dxa"/>
            </w:tcMar>
            <w:vAlign w:val="center"/>
          </w:tcPr>
          <w:p>
            <w:pPr>
              <w:adjustRightInd w:val="0"/>
              <w:snapToGrid w:val="0"/>
              <w:spacing w:line="240" w:lineRule="auto"/>
              <w:ind w:firstLine="0" w:firstLineChars="0"/>
              <w:jc w:val="center"/>
              <w:rPr>
                <w:rFonts w:ascii="宋体" w:hAnsi="宋体" w:cs="宋体"/>
                <w:bCs/>
                <w:spacing w:val="10"/>
                <w:szCs w:val="21"/>
              </w:rPr>
            </w:pPr>
            <w:r>
              <w:rPr>
                <w:rFonts w:hint="eastAsia" w:ascii="宋体" w:hAnsi="宋体" w:cs="宋体"/>
                <w:bCs/>
                <w:spacing w:val="10"/>
                <w:szCs w:val="21"/>
              </w:rPr>
              <w:t>运营期生态环境保护措施</w:t>
            </w:r>
          </w:p>
        </w:tc>
        <w:tc>
          <w:tcPr>
            <w:tcW w:w="8887" w:type="dxa"/>
          </w:tcPr>
          <w:p>
            <w:pPr>
              <w:pStyle w:val="29"/>
              <w:ind w:firstLine="482"/>
              <w:rPr>
                <w:b/>
                <w:bCs/>
              </w:rPr>
            </w:pPr>
            <w:r>
              <w:rPr>
                <w:b/>
                <w:bCs/>
              </w:rPr>
              <w:t>5.2</w:t>
            </w:r>
            <w:r>
              <w:rPr>
                <w:rFonts w:hint="eastAsia"/>
                <w:b/>
                <w:bCs/>
              </w:rPr>
              <w:t xml:space="preserve"> </w:t>
            </w:r>
            <w:r>
              <w:rPr>
                <w:b/>
                <w:bCs/>
              </w:rPr>
              <w:t>运营期生态环境</w:t>
            </w:r>
            <w:r>
              <w:rPr>
                <w:rFonts w:hint="eastAsia"/>
                <w:b/>
                <w:bCs/>
              </w:rPr>
              <w:t>防治</w:t>
            </w:r>
            <w:r>
              <w:rPr>
                <w:b/>
                <w:bCs/>
              </w:rPr>
              <w:t>措施</w:t>
            </w:r>
          </w:p>
          <w:p>
            <w:pPr>
              <w:pStyle w:val="29"/>
              <w:ind w:firstLine="480"/>
            </w:pPr>
            <w:r>
              <w:rPr>
                <w:rFonts w:hint="eastAsia"/>
              </w:rPr>
              <w:t>本项目的建设和布局外观应注意与周围环境景观的协调，光伏组件的布局在满足设计要求的同时，尽量依山势布置，以减少对景观在形态上的影响。</w:t>
            </w:r>
          </w:p>
          <w:p>
            <w:pPr>
              <w:pStyle w:val="29"/>
              <w:ind w:firstLine="482"/>
              <w:rPr>
                <w:b/>
                <w:bCs/>
              </w:rPr>
            </w:pPr>
            <w:r>
              <w:rPr>
                <w:b/>
                <w:bCs/>
              </w:rPr>
              <w:t>5.3</w:t>
            </w:r>
            <w:r>
              <w:rPr>
                <w:rFonts w:hint="eastAsia"/>
                <w:b/>
                <w:bCs/>
              </w:rPr>
              <w:t xml:space="preserve"> 运营期污染防治措施</w:t>
            </w:r>
          </w:p>
          <w:p>
            <w:pPr>
              <w:pStyle w:val="29"/>
              <w:ind w:firstLine="482"/>
              <w:rPr>
                <w:b/>
                <w:bCs/>
              </w:rPr>
            </w:pPr>
            <w:r>
              <w:rPr>
                <w:b/>
                <w:bCs/>
              </w:rPr>
              <w:t>5.3.1</w:t>
            </w:r>
            <w:r>
              <w:rPr>
                <w:rFonts w:hint="eastAsia"/>
                <w:b/>
                <w:bCs/>
              </w:rPr>
              <w:t xml:space="preserve"> 水污染防治措</w:t>
            </w:r>
            <w:r>
              <w:rPr>
                <w:b/>
                <w:bCs/>
              </w:rPr>
              <w:t>施</w:t>
            </w:r>
          </w:p>
          <w:p>
            <w:pPr>
              <w:pStyle w:val="29"/>
              <w:ind w:firstLine="480"/>
            </w:pPr>
            <w:r>
              <w:rPr>
                <w:rFonts w:hint="eastAsia"/>
              </w:rPr>
              <w:t>升压站生活污水系统是由化粪池、污水管道、一体化污水处理设施等设备组成，食堂废水经隔油池预处理后与升压站内各用水点的生活污水一同经过化粪池沉淀后，通过污水管道最终流至设计规模为</w:t>
            </w:r>
            <w:r>
              <w:rPr>
                <w:rFonts w:hint="eastAsia"/>
                <w:lang w:val="en-US" w:eastAsia="zh-CN"/>
              </w:rPr>
              <w:t>1</w:t>
            </w:r>
            <w:r>
              <w:rPr>
                <w:rFonts w:hint="eastAsia"/>
                <w:lang w:eastAsia="zh-CN"/>
              </w:rPr>
              <w:t>m³</w:t>
            </w:r>
            <w:r>
              <w:rPr>
                <w:rFonts w:hint="eastAsia"/>
              </w:rPr>
              <w:t>/h生活污水一体化</w:t>
            </w:r>
            <w:r>
              <w:rPr>
                <w:rFonts w:hint="eastAsia"/>
                <w:lang w:eastAsia="zh-CN"/>
              </w:rPr>
              <w:t>处理设施</w:t>
            </w:r>
            <w:r>
              <w:rPr>
                <w:rFonts w:hint="eastAsia"/>
              </w:rPr>
              <w:t>处理。</w:t>
            </w:r>
          </w:p>
          <w:p>
            <w:pPr>
              <w:pStyle w:val="29"/>
              <w:ind w:firstLine="480"/>
            </w:pPr>
            <w:r>
              <w:rPr>
                <w:rFonts w:hint="eastAsia"/>
              </w:rPr>
              <w:t>本项目升压站生活污水产生量为</w:t>
            </w:r>
            <w:r>
              <w:rPr>
                <w:rFonts w:hint="eastAsia"/>
                <w:lang w:eastAsia="zh-CN"/>
              </w:rPr>
              <w:t>0.384m³/d</w:t>
            </w:r>
            <w:r>
              <w:rPr>
                <w:rFonts w:hint="eastAsia"/>
              </w:rPr>
              <w:t>。一体化污水</w:t>
            </w:r>
            <w:r>
              <w:rPr>
                <w:rFonts w:hint="eastAsia"/>
                <w:lang w:eastAsia="zh-CN"/>
              </w:rPr>
              <w:t>处理设施</w:t>
            </w:r>
            <w:r>
              <w:rPr>
                <w:rFonts w:hint="eastAsia"/>
              </w:rPr>
              <w:t>的处理能力为</w:t>
            </w:r>
            <w:r>
              <w:rPr>
                <w:rFonts w:hint="eastAsia"/>
                <w:lang w:eastAsia="zh-CN"/>
              </w:rPr>
              <w:t>1m³/d</w:t>
            </w:r>
            <w:r>
              <w:rPr>
                <w:rFonts w:hint="eastAsia"/>
              </w:rPr>
              <w:t>，处理规模能满足生活污水处理要求。一体化</w:t>
            </w:r>
            <w:r>
              <w:rPr>
                <w:rFonts w:hint="eastAsia"/>
                <w:lang w:eastAsia="zh-CN"/>
              </w:rPr>
              <w:t>处理设施</w:t>
            </w:r>
            <w:r>
              <w:rPr>
                <w:rFonts w:hint="eastAsia"/>
              </w:rPr>
              <w:t>的处理工艺为A2/O工艺，一体化设备末端出口设置活性炭除臭剂，污水</w:t>
            </w:r>
            <w:r>
              <w:rPr>
                <w:rFonts w:hint="eastAsia"/>
                <w:szCs w:val="21"/>
                <w:lang w:eastAsia="zh-CN"/>
              </w:rPr>
              <w:t>经处理后用作周边农肥，不外排</w:t>
            </w:r>
            <w:r>
              <w:rPr>
                <w:rFonts w:hint="eastAsia"/>
              </w:rPr>
              <w:t>。</w:t>
            </w:r>
          </w:p>
          <w:p>
            <w:pPr>
              <w:pStyle w:val="29"/>
              <w:ind w:firstLine="480"/>
            </w:pPr>
            <w:r>
              <w:rPr>
                <w:rFonts w:hint="eastAsia"/>
              </w:rPr>
              <w:t>光伏电池组件表面清洗采</w:t>
            </w:r>
            <w:r>
              <w:rPr>
                <w:rFonts w:ascii="Times New Roman" w:hAnsi="Times New Roman"/>
                <w:b w:val="0"/>
                <w:bCs w:val="0"/>
                <w:color w:val="auto"/>
                <w:highlight w:val="none"/>
              </w:rPr>
              <w:t>用</w:t>
            </w:r>
            <w:r>
              <w:rPr>
                <w:rFonts w:hint="eastAsia" w:ascii="Times New Roman" w:hAnsi="Times New Roman"/>
                <w:b w:val="0"/>
                <w:bCs w:val="0"/>
                <w:color w:val="auto"/>
                <w:highlight w:val="none"/>
                <w:lang w:val="en-US" w:eastAsia="zh-CN"/>
              </w:rPr>
              <w:t>工程车辆清洗</w:t>
            </w:r>
            <w:r>
              <w:rPr>
                <w:rFonts w:ascii="Times New Roman" w:hAnsi="Times New Roman"/>
                <w:b w:val="0"/>
                <w:bCs w:val="0"/>
                <w:color w:val="auto"/>
                <w:highlight w:val="none"/>
              </w:rPr>
              <w:t>方式</w:t>
            </w:r>
            <w:r>
              <w:rPr>
                <w:rFonts w:hint="eastAsia"/>
              </w:rPr>
              <w:t>，清洗产生的废水作为光伏发电单元下方种植的农作物的灌溉。</w:t>
            </w:r>
          </w:p>
          <w:p>
            <w:pPr>
              <w:pStyle w:val="29"/>
              <w:ind w:firstLine="482"/>
              <w:rPr>
                <w:b/>
                <w:bCs/>
              </w:rPr>
            </w:pPr>
            <w:r>
              <w:rPr>
                <w:b/>
                <w:bCs/>
              </w:rPr>
              <w:t>5.3.2</w:t>
            </w:r>
            <w:r>
              <w:rPr>
                <w:rFonts w:hint="eastAsia"/>
                <w:b/>
                <w:bCs/>
              </w:rPr>
              <w:t xml:space="preserve"> 噪声污染防治措</w:t>
            </w:r>
            <w:r>
              <w:rPr>
                <w:b/>
                <w:bCs/>
              </w:rPr>
              <w:t>施</w:t>
            </w:r>
          </w:p>
          <w:p>
            <w:pPr>
              <w:pStyle w:val="29"/>
              <w:ind w:firstLine="480"/>
            </w:pPr>
            <w:r>
              <w:rPr>
                <w:rFonts w:hint="eastAsia"/>
              </w:rPr>
              <w:t>对升压站主要设备声源提出严格的限制，选择符合国家规定噪声标准的电气设备；将主变压器等主要噪声源布置在距离北侧敏感点相对较远部位，降低噪声源强；加强升压站站区植树绿化以降低噪声的传播；在升压站四周设围墙，减轻升压站噪声对周围环境的影响。</w:t>
            </w:r>
          </w:p>
          <w:p>
            <w:pPr>
              <w:pStyle w:val="29"/>
              <w:ind w:firstLine="482"/>
              <w:rPr>
                <w:b/>
                <w:bCs/>
              </w:rPr>
            </w:pPr>
            <w:r>
              <w:rPr>
                <w:rFonts w:hint="eastAsia"/>
                <w:b/>
                <w:bCs/>
              </w:rPr>
              <w:t>5.3.3 废气污染防治措施</w:t>
            </w:r>
          </w:p>
          <w:p>
            <w:pPr>
              <w:pStyle w:val="29"/>
              <w:ind w:firstLine="480"/>
              <w:rPr>
                <w:color w:val="000000" w:themeColor="text1"/>
                <w14:textFill>
                  <w14:solidFill>
                    <w14:schemeClr w14:val="tx1"/>
                  </w14:solidFill>
                </w14:textFill>
              </w:rPr>
            </w:pPr>
            <w:r>
              <w:rPr>
                <w:rFonts w:hint="eastAsia"/>
              </w:rPr>
              <w:t>升压站设有食堂，</w:t>
            </w:r>
            <w:r>
              <w:t>食堂油烟废气经集气罩收集后进入油烟净化器处理</w:t>
            </w:r>
            <w:r>
              <w:rPr>
                <w:rFonts w:hint="eastAsia"/>
                <w:lang w:eastAsia="zh-CN"/>
              </w:rPr>
              <w:t>，</w:t>
            </w:r>
            <w:r>
              <w:rPr>
                <w:rFonts w:hint="eastAsia"/>
                <w:lang w:val="en-US" w:eastAsia="zh-CN"/>
              </w:rPr>
              <w:t>处理后通过专用烟道引至楼顶排放</w:t>
            </w:r>
            <w:r>
              <w:rPr>
                <w:rFonts w:hint="eastAsia"/>
                <w:color w:val="000000" w:themeColor="text1"/>
                <w14:textFill>
                  <w14:solidFill>
                    <w14:schemeClr w14:val="tx1"/>
                  </w14:solidFill>
                </w14:textFill>
              </w:rPr>
              <w:t>。</w:t>
            </w:r>
          </w:p>
          <w:p>
            <w:pPr>
              <w:pStyle w:val="2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项目所在奉节县为环境空气质量达标区，区域环境质量现状良好。运行期间光伏场区部分无废气产生，升压站食堂废气经处理后对环境影响极小。</w:t>
            </w:r>
          </w:p>
          <w:p>
            <w:pPr>
              <w:pStyle w:val="29"/>
              <w:ind w:firstLine="482"/>
              <w:rPr>
                <w:b/>
                <w:bCs/>
              </w:rPr>
            </w:pPr>
            <w:r>
              <w:rPr>
                <w:b/>
                <w:bCs/>
              </w:rPr>
              <w:t>5.3.</w:t>
            </w:r>
            <w:r>
              <w:rPr>
                <w:rFonts w:hint="eastAsia"/>
                <w:b/>
                <w:bCs/>
              </w:rPr>
              <w:t>4 固体废物污染防治措</w:t>
            </w:r>
            <w:r>
              <w:rPr>
                <w:b/>
                <w:bCs/>
              </w:rPr>
              <w:t>施</w:t>
            </w:r>
          </w:p>
          <w:p>
            <w:pPr>
              <w:pStyle w:val="29"/>
              <w:ind w:firstLine="480"/>
            </w:pPr>
            <w:r>
              <w:rPr>
                <w:rFonts w:hint="eastAsia"/>
              </w:rPr>
              <w:t>（1）升压站事故时产生变压器事故废油，属于危险废物，主变压器底部设置事故油池，池底设有排油管，将事故油排至</w:t>
            </w:r>
            <w:r>
              <w:t>1</w:t>
            </w:r>
            <w:r>
              <w:rPr>
                <w:rFonts w:hint="eastAsia"/>
              </w:rPr>
              <w:t>座</w:t>
            </w:r>
            <w:r>
              <w:rPr>
                <w:rFonts w:hint="eastAsia"/>
                <w:lang w:eastAsia="zh-CN"/>
              </w:rPr>
              <w:t>事故油池</w:t>
            </w:r>
            <w:r>
              <w:rPr>
                <w:rFonts w:hint="eastAsia"/>
              </w:rPr>
              <w:t>中（35m³）暂存，废油交由有资质的单位处理。光伏场区内35kV箱变油事故废油将从集油坑流入各箱变配套设置的事故油池，经专业的</w:t>
            </w:r>
            <w:r>
              <w:rPr>
                <w:rFonts w:hint="eastAsia"/>
                <w:lang w:val="en-US" w:eastAsia="zh-CN"/>
              </w:rPr>
              <w:t>收集</w:t>
            </w:r>
            <w:r>
              <w:rPr>
                <w:rFonts w:hint="eastAsia"/>
              </w:rPr>
              <w:t>装置</w:t>
            </w:r>
            <w:r>
              <w:rPr>
                <w:rFonts w:hint="eastAsia"/>
                <w:lang w:val="en-US" w:eastAsia="zh-CN"/>
              </w:rPr>
              <w:t>收集后</w:t>
            </w:r>
            <w:r>
              <w:rPr>
                <w:rFonts w:hint="eastAsia"/>
              </w:rPr>
              <w:t>作为危险废物</w:t>
            </w:r>
            <w:r>
              <w:rPr>
                <w:rFonts w:hint="eastAsia"/>
                <w:lang w:val="en-US" w:eastAsia="zh-CN"/>
              </w:rPr>
              <w:t>处理，经危废贮存点</w:t>
            </w:r>
            <w:r>
              <w:rPr>
                <w:rFonts w:hint="eastAsia"/>
              </w:rPr>
              <w:t>暂存后委托有资质单位妥善处置。</w:t>
            </w:r>
          </w:p>
          <w:p>
            <w:pPr>
              <w:pStyle w:val="29"/>
              <w:ind w:firstLine="480"/>
            </w:pPr>
            <w:r>
              <w:rPr>
                <w:rFonts w:hint="eastAsia"/>
              </w:rPr>
              <w:t>（2）废铅蓄电池</w:t>
            </w:r>
            <w:r>
              <w:rPr>
                <w:color w:val="auto"/>
                <w:sz w:val="24"/>
                <w:highlight w:val="none"/>
              </w:rPr>
              <w:t>每次更换前，预先联系蓄电池生产厂家到现场更换，马上将更换下的废蓄电池交有资质单位处置，不在站内暂存</w:t>
            </w:r>
            <w:r>
              <w:rPr>
                <w:rFonts w:hint="eastAsia"/>
              </w:rPr>
              <w:t>。</w:t>
            </w:r>
          </w:p>
          <w:p>
            <w:pPr>
              <w:pStyle w:val="29"/>
              <w:ind w:firstLine="480"/>
            </w:pPr>
            <w:r>
              <w:rPr>
                <w:rFonts w:hint="eastAsia"/>
              </w:rPr>
              <w:t>（3）报废光伏电池组件按照《一般工业固体废物贮存、处置场污染控制标准》（GB18599-2020）的要求妥善贮存，最终交由专业厂家回收或者专业单位拆解处理。</w:t>
            </w:r>
          </w:p>
          <w:p>
            <w:pPr>
              <w:pStyle w:val="29"/>
              <w:ind w:firstLine="480"/>
            </w:pPr>
            <w:r>
              <w:rPr>
                <w:rFonts w:hint="eastAsia"/>
              </w:rPr>
              <w:t>（4）各事故油池、排油管、</w:t>
            </w:r>
            <w:r>
              <w:rPr>
                <w:rFonts w:hint="eastAsia"/>
                <w:lang w:val="en-US" w:eastAsia="zh-CN"/>
              </w:rPr>
              <w:t>危废贮存点</w:t>
            </w:r>
            <w:r>
              <w:rPr>
                <w:rFonts w:hint="eastAsia"/>
              </w:rPr>
              <w:t>采取防渗措施，按照《废矿物油回收利用污染控制技术规范》（HJ607-2011）、《危险废物贮存污染控制标准》（GB18597-2023）及《危险废物转移管理办法》（部令第23号）等规范设置。</w:t>
            </w:r>
          </w:p>
          <w:p>
            <w:pPr>
              <w:pStyle w:val="29"/>
              <w:ind w:firstLine="480"/>
            </w:pPr>
            <w:r>
              <w:rPr>
                <w:rFonts w:hint="eastAsia"/>
              </w:rPr>
              <w:t>（5）评价要求升压站产生的报废光伏电池组件，尽量交由专业厂家回收或者专业单位拆解处理，若自行拆解后发现不能再回收利用的废电路板、含金等贵金属的连接件，则按照《国家危险废物名录》（2021年版）、《危险废物贮存污染控制标准》（GB 18597—2023）进行暂存后交由有资质单位处置。</w:t>
            </w:r>
          </w:p>
          <w:p>
            <w:pPr>
              <w:pStyle w:val="29"/>
              <w:ind w:firstLine="482"/>
              <w:rPr>
                <w:b/>
                <w:bCs/>
              </w:rPr>
            </w:pPr>
            <w:r>
              <w:rPr>
                <w:b/>
                <w:bCs/>
              </w:rPr>
              <w:t>5.3.</w:t>
            </w:r>
            <w:r>
              <w:rPr>
                <w:rFonts w:hint="eastAsia"/>
                <w:b/>
                <w:bCs/>
              </w:rPr>
              <w:t>5 电磁环境保护措</w:t>
            </w:r>
            <w:r>
              <w:rPr>
                <w:b/>
                <w:bCs/>
              </w:rPr>
              <w:t>施</w:t>
            </w:r>
          </w:p>
          <w:p>
            <w:pPr>
              <w:pStyle w:val="29"/>
              <w:ind w:firstLine="480"/>
            </w:pPr>
            <w:r>
              <w:rPr>
                <w:rFonts w:hint="eastAsia"/>
              </w:rPr>
              <w:t>（1）尽量采用封闭式母线，减少升压站电气设备的放电产生的电场，合理设计绝缘子，控制绝缘子表面放电；减少因接触不良产生的火花放电，避免尖角和凸出物等引起的火花放电；</w:t>
            </w:r>
          </w:p>
          <w:p>
            <w:pPr>
              <w:pStyle w:val="29"/>
              <w:ind w:firstLine="480"/>
            </w:pPr>
            <w:r>
              <w:rPr>
                <w:rFonts w:hint="eastAsia"/>
              </w:rPr>
              <w:t>（2）保证升压站内导线与电气设备的安全距离；</w:t>
            </w:r>
          </w:p>
          <w:p>
            <w:pPr>
              <w:pStyle w:val="29"/>
              <w:ind w:firstLine="480"/>
            </w:pPr>
            <w:r>
              <w:rPr>
                <w:rFonts w:hint="eastAsia"/>
              </w:rPr>
              <w:t>（3）选用带屏蔽层的电缆，屏蔽接地等。</w:t>
            </w:r>
          </w:p>
          <w:p>
            <w:pPr>
              <w:pStyle w:val="29"/>
              <w:ind w:firstLine="482"/>
              <w:rPr>
                <w:b/>
                <w:bCs/>
              </w:rPr>
            </w:pPr>
            <w:r>
              <w:rPr>
                <w:rFonts w:hint="eastAsia"/>
                <w:b/>
                <w:bCs/>
              </w:rPr>
              <w:t>5.</w:t>
            </w:r>
            <w:r>
              <w:rPr>
                <w:b/>
                <w:bCs/>
              </w:rPr>
              <w:t xml:space="preserve">4 </w:t>
            </w:r>
            <w:r>
              <w:rPr>
                <w:rFonts w:hint="eastAsia"/>
                <w:b/>
                <w:bCs/>
              </w:rPr>
              <w:t>环境风险防范措施</w:t>
            </w:r>
          </w:p>
          <w:p>
            <w:pPr>
              <w:pStyle w:val="29"/>
              <w:ind w:firstLine="480"/>
            </w:pPr>
            <w:r>
              <w:rPr>
                <w:rFonts w:hint="eastAsia"/>
              </w:rPr>
              <w:t>（1）主变事故排油收集处置措施</w:t>
            </w:r>
          </w:p>
          <w:p>
            <w:pPr>
              <w:pStyle w:val="29"/>
              <w:ind w:firstLine="480"/>
            </w:pPr>
            <w:r>
              <w:rPr>
                <w:rFonts w:hint="eastAsia"/>
              </w:rPr>
              <w:t>本项目</w:t>
            </w:r>
            <w:r>
              <w:t>1</w:t>
            </w:r>
            <w:r>
              <w:rPr>
                <w:rFonts w:hint="eastAsia"/>
              </w:rPr>
              <w:t>0</w:t>
            </w:r>
            <w:r>
              <w:t>0</w:t>
            </w:r>
            <w:r>
              <w:rPr>
                <w:rFonts w:hint="eastAsia"/>
              </w:rPr>
              <w:t>MVA主变事故状态下最大排油量约为</w:t>
            </w:r>
            <w:r>
              <w:rPr>
                <w:rStyle w:val="31"/>
                <w:rFonts w:hint="eastAsia"/>
              </w:rPr>
              <w:t>30m³，</w:t>
            </w:r>
            <w:r>
              <w:rPr>
                <w:rFonts w:hint="eastAsia"/>
              </w:rPr>
              <w:t>本项目在升压站内设有1座</w:t>
            </w:r>
            <w:r>
              <w:rPr>
                <w:rFonts w:hint="eastAsia"/>
                <w:lang w:eastAsia="zh-CN"/>
              </w:rPr>
              <w:t>事故油池</w:t>
            </w:r>
            <w:r>
              <w:t>，容积为</w:t>
            </w:r>
            <w:r>
              <w:rPr>
                <w:rFonts w:hint="eastAsia"/>
              </w:rPr>
              <w:t>35m³，可满足本项目主变事故最大排油量。事故油池设计将确保：</w:t>
            </w:r>
          </w:p>
          <w:p>
            <w:pPr>
              <w:pStyle w:val="29"/>
              <w:ind w:firstLine="480"/>
            </w:pPr>
            <w:r>
              <w:rPr>
                <w:rFonts w:hint="eastAsia"/>
              </w:rPr>
              <w:t>①排油管应设置刚性套管，防止排油管破裂漏油，并以2%的坡度敷设至事故油池；</w:t>
            </w:r>
          </w:p>
          <w:p>
            <w:pPr>
              <w:pStyle w:val="29"/>
              <w:ind w:firstLine="480"/>
            </w:pPr>
            <w:r>
              <w:rPr>
                <w:rFonts w:hint="eastAsia"/>
              </w:rPr>
              <w:t>②事故油池池底及池壁应进行防渗处理，防渗层为至少1m厚粘土层（渗透系数≤10</w:t>
            </w:r>
            <w:r>
              <w:rPr>
                <w:rFonts w:hint="eastAsia"/>
                <w:vertAlign w:val="superscript"/>
              </w:rPr>
              <w:t>-7</w:t>
            </w:r>
            <w:r>
              <w:rPr>
                <w:rFonts w:hint="eastAsia"/>
              </w:rPr>
              <w:t>cm/s），或2mm厚高密度聚乙烯，或至少2mm厚的其他人工材料，渗透系数≤10</w:t>
            </w:r>
            <w:r>
              <w:rPr>
                <w:rFonts w:hint="eastAsia"/>
                <w:vertAlign w:val="superscript"/>
              </w:rPr>
              <w:t>-10</w:t>
            </w:r>
            <w:r>
              <w:rPr>
                <w:rFonts w:hint="eastAsia"/>
              </w:rPr>
              <w:t>cm/s；</w:t>
            </w:r>
          </w:p>
          <w:p>
            <w:pPr>
              <w:pStyle w:val="29"/>
              <w:ind w:firstLine="480"/>
            </w:pPr>
            <w:r>
              <w:rPr>
                <w:rFonts w:hint="eastAsia"/>
              </w:rPr>
              <w:t>③为避免集油坑积水，应设置排水管将雨水排入事故油池，事故油池有油水分离能力，可将雨水排到雨水井。</w:t>
            </w:r>
          </w:p>
          <w:p>
            <w:pPr>
              <w:pStyle w:val="29"/>
              <w:ind w:firstLine="480"/>
            </w:pPr>
            <w:r>
              <w:rPr>
                <w:rFonts w:hint="eastAsia"/>
              </w:rPr>
              <w:t>（2）箱变事故排油收集处置措施</w:t>
            </w:r>
          </w:p>
          <w:p>
            <w:pPr>
              <w:pStyle w:val="29"/>
              <w:ind w:firstLine="480"/>
            </w:pPr>
            <w:r>
              <w:rPr>
                <w:rFonts w:hint="eastAsia"/>
              </w:rPr>
              <w:t>光伏场内35</w:t>
            </w:r>
            <w:r>
              <w:t>kV</w:t>
            </w:r>
            <w:r>
              <w:rPr>
                <w:rFonts w:hint="eastAsia"/>
              </w:rPr>
              <w:t>箱变事故状态下最大排油量约</w:t>
            </w:r>
            <w:r>
              <w:rPr>
                <w:rFonts w:hint="eastAsia"/>
                <w:lang w:eastAsia="zh-CN"/>
              </w:rPr>
              <w:t>1.16t</w:t>
            </w:r>
            <w:r>
              <w:t>/</w:t>
            </w:r>
            <w:r>
              <w:rPr>
                <w:rFonts w:hint="eastAsia"/>
              </w:rPr>
              <w:t>台</w:t>
            </w:r>
            <w:r>
              <w:t>，</w:t>
            </w:r>
            <w:r>
              <w:rPr>
                <w:rFonts w:hint="eastAsia"/>
              </w:rPr>
              <w:t>各箱变均配套设置事故油池1座，每座有效容积</w:t>
            </w:r>
            <w:r>
              <w:t>为</w:t>
            </w:r>
            <w:r>
              <w:rPr>
                <w:rFonts w:hint="eastAsia"/>
              </w:rPr>
              <w:t>1.5m³，池底和池壁进行防腐防渗处理，用以收集箱变的事故排油，可有效避免其进入外环境造成土壤污染和水污染风险。</w:t>
            </w:r>
          </w:p>
          <w:p>
            <w:pPr>
              <w:pStyle w:val="29"/>
              <w:ind w:firstLine="480"/>
            </w:pPr>
            <w:r>
              <w:rPr>
                <w:rFonts w:hint="eastAsia"/>
              </w:rPr>
              <w:t>在发生主变压器或箱变泄漏绝缘油事故时，事故油池内收集的事故油经过油水分离处理，分离后的油大部分可回收利用，不可利用的少量废油由有资质的专业公司回收。</w:t>
            </w:r>
          </w:p>
          <w:p>
            <w:pPr>
              <w:pStyle w:val="29"/>
              <w:ind w:firstLine="480"/>
            </w:pPr>
            <w:r>
              <w:rPr>
                <w:rFonts w:hint="eastAsia"/>
              </w:rPr>
              <w:t>（3）环境风险管理措施</w:t>
            </w:r>
          </w:p>
          <w:p>
            <w:pPr>
              <w:pStyle w:val="29"/>
              <w:ind w:firstLine="480"/>
            </w:pPr>
            <w:r>
              <w:rPr>
                <w:rFonts w:hint="eastAsia"/>
              </w:rPr>
              <w:t>建设单位应加强防范并做好应急预案，通过采用定期检测变压器油色谱情况，早期发现变压器内部故障，实现安全生产；定期对事故油池进行检查，预防破损；主变发生火灾等事故时，为避免消防水随雨沟排出，优选使用消防沙及消防灭火器进行灭火，如必须使用消防水时，做好主变下集油坑及事故油池的围挡措施，避免消防水进入事故油池并溢流，配置吸油毡等应急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vAlign w:val="center"/>
          </w:tcPr>
          <w:p>
            <w:pPr>
              <w:adjustRightInd w:val="0"/>
              <w:snapToGrid w:val="0"/>
              <w:spacing w:line="240" w:lineRule="auto"/>
              <w:ind w:firstLine="0" w:firstLineChars="0"/>
              <w:jc w:val="center"/>
              <w:rPr>
                <w:rFonts w:ascii="宋体" w:hAnsi="宋体" w:cs="宋体"/>
                <w:bCs/>
                <w:spacing w:val="10"/>
                <w:szCs w:val="21"/>
              </w:rPr>
            </w:pPr>
            <w:r>
              <w:rPr>
                <w:rFonts w:hint="eastAsia" w:ascii="宋体" w:hAnsi="宋体"/>
                <w:bCs/>
                <w:szCs w:val="21"/>
              </w:rPr>
              <w:t>其他</w:t>
            </w:r>
          </w:p>
        </w:tc>
        <w:tc>
          <w:tcPr>
            <w:tcW w:w="8887" w:type="dxa"/>
          </w:tcPr>
          <w:p>
            <w:pPr>
              <w:pStyle w:val="29"/>
              <w:ind w:firstLine="482"/>
              <w:rPr>
                <w:b/>
                <w:bCs/>
              </w:rPr>
            </w:pPr>
            <w:r>
              <w:rPr>
                <w:rFonts w:hint="eastAsia"/>
                <w:b/>
                <w:bCs/>
              </w:rPr>
              <w:t>5.</w:t>
            </w:r>
            <w:r>
              <w:rPr>
                <w:b/>
                <w:bCs/>
              </w:rPr>
              <w:t>5</w:t>
            </w:r>
            <w:r>
              <w:rPr>
                <w:rFonts w:hint="eastAsia"/>
                <w:b/>
                <w:bCs/>
              </w:rPr>
              <w:t xml:space="preserve"> 环境管理与环境监测计划</w:t>
            </w:r>
          </w:p>
          <w:p>
            <w:pPr>
              <w:pStyle w:val="29"/>
              <w:ind w:firstLine="482"/>
              <w:rPr>
                <w:b/>
                <w:bCs/>
              </w:rPr>
            </w:pPr>
            <w:r>
              <w:rPr>
                <w:rFonts w:hint="eastAsia"/>
                <w:b/>
                <w:bCs/>
              </w:rPr>
              <w:t>5.</w:t>
            </w:r>
            <w:r>
              <w:rPr>
                <w:b/>
                <w:bCs/>
              </w:rPr>
              <w:t>5</w:t>
            </w:r>
            <w:r>
              <w:rPr>
                <w:rFonts w:hint="eastAsia"/>
                <w:b/>
                <w:bCs/>
              </w:rPr>
              <w:t>.1 环境管理</w:t>
            </w:r>
          </w:p>
          <w:p>
            <w:pPr>
              <w:pStyle w:val="29"/>
              <w:ind w:firstLine="480"/>
            </w:pPr>
            <w:r>
              <w:rPr>
                <w:rFonts w:hint="eastAsia"/>
              </w:rPr>
              <w:t>建设单位必须严格执行环保“三同时”制度，切实贯彻落实各项污染治理、水土保持措施和生态保护措施。施工期环境管理机构应由主管部门和实施单位设置专人负责，建立专门的环境管理部门，完善合理的环境管理体系。施工期间，项目建设指挥部设专人负责项目的环境保护事宜。对施工队伍的施工机械、施工方法、施工进度提出环境保护要求，以及对施工过程中扬尘、噪声排放强度等的限制和措施，并对施工过程的环保措施的实施进行检查、监督。运营期环境管理工作要纳入光伏电场日常管理工作之中。</w:t>
            </w:r>
          </w:p>
          <w:p>
            <w:pPr>
              <w:pStyle w:val="29"/>
              <w:ind w:firstLine="480"/>
            </w:pPr>
            <w:r>
              <w:rPr>
                <w:rFonts w:hint="eastAsia"/>
              </w:rPr>
              <w:t>生态环境管理的内容可分为自然资源管理和生态环境质量管理。具体内容包括：识别生态环境因素，特别要注意识别和判断具有重大影响的因素和具有一定敏感性的因素；寻找并保存控制破坏因素、保护敏感因素的国家和地方的法律、法规和标准；针对管理对象的特点，制订管理目标和指标；制订旨在实现上述管理目标和指标的管理方案，管理方案应包括管理方法、时间和经费等详细情况；落实机构和人员编制，进行职能和职责分工，进行必要的能力培训；建立档案保存、查询制度和重大事件报告制度；制订并实施生态环境监测计划，建立项目建设区域生态环境档案库。</w:t>
            </w:r>
          </w:p>
          <w:p>
            <w:pPr>
              <w:pStyle w:val="29"/>
              <w:ind w:firstLine="482"/>
              <w:rPr>
                <w:b/>
                <w:bCs/>
              </w:rPr>
            </w:pPr>
            <w:r>
              <w:rPr>
                <w:rFonts w:hint="eastAsia"/>
                <w:b/>
                <w:bCs/>
              </w:rPr>
              <w:t>5.</w:t>
            </w:r>
            <w:r>
              <w:rPr>
                <w:b/>
                <w:bCs/>
              </w:rPr>
              <w:t>5.2</w:t>
            </w:r>
            <w:r>
              <w:rPr>
                <w:rFonts w:hint="eastAsia"/>
                <w:b/>
                <w:bCs/>
              </w:rPr>
              <w:t xml:space="preserve"> 环境监测计划</w:t>
            </w:r>
          </w:p>
          <w:p>
            <w:pPr>
              <w:pStyle w:val="29"/>
              <w:ind w:firstLine="480"/>
            </w:pPr>
            <w:r>
              <w:rPr>
                <w:rFonts w:hint="eastAsia"/>
              </w:rPr>
              <w:t>环境监测包括施工期环境监测和运营期环境监测两部分。施工期环境监测可纳入环境监理工作中，运营期环境监测委托有资质单位进行。监测计划见表</w:t>
            </w:r>
            <w:r>
              <w:t>5</w:t>
            </w:r>
            <w:r>
              <w:rPr>
                <w:rFonts w:hint="eastAsia"/>
              </w:rPr>
              <w:t>-1。</w:t>
            </w:r>
          </w:p>
          <w:p>
            <w:pPr>
              <w:pStyle w:val="29"/>
              <w:ind w:firstLine="0" w:firstLineChars="0"/>
              <w:jc w:val="center"/>
              <w:rPr>
                <w:b/>
              </w:rPr>
            </w:pPr>
            <w:r>
              <w:rPr>
                <w:rFonts w:hint="eastAsia"/>
              </w:rPr>
              <w:t>表5-1</w:t>
            </w:r>
            <w:r>
              <w:t xml:space="preserve">  </w:t>
            </w:r>
            <w:r>
              <w:rPr>
                <w:rFonts w:hint="eastAsia"/>
              </w:rPr>
              <w:t>环境监测计划</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83"/>
              <w:gridCol w:w="1704"/>
              <w:gridCol w:w="3054"/>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 w:type="dxa"/>
                  <w:vAlign w:val="center"/>
                </w:tcPr>
                <w:p>
                  <w:pPr>
                    <w:pStyle w:val="28"/>
                  </w:pPr>
                  <w:r>
                    <w:t>阶段</w:t>
                  </w:r>
                </w:p>
              </w:tc>
              <w:tc>
                <w:tcPr>
                  <w:tcW w:w="1183" w:type="dxa"/>
                  <w:vAlign w:val="center"/>
                </w:tcPr>
                <w:p>
                  <w:pPr>
                    <w:pStyle w:val="28"/>
                  </w:pPr>
                  <w:r>
                    <w:t>监测内容</w:t>
                  </w:r>
                </w:p>
              </w:tc>
              <w:tc>
                <w:tcPr>
                  <w:tcW w:w="1704" w:type="dxa"/>
                  <w:vAlign w:val="center"/>
                </w:tcPr>
                <w:p>
                  <w:pPr>
                    <w:pStyle w:val="28"/>
                  </w:pPr>
                  <w:r>
                    <w:t>监测时间及频率</w:t>
                  </w:r>
                </w:p>
              </w:tc>
              <w:tc>
                <w:tcPr>
                  <w:tcW w:w="3054" w:type="dxa"/>
                  <w:vAlign w:val="center"/>
                </w:tcPr>
                <w:p>
                  <w:pPr>
                    <w:pStyle w:val="28"/>
                  </w:pPr>
                  <w:r>
                    <w:t>监测地点</w:t>
                  </w:r>
                </w:p>
              </w:tc>
              <w:tc>
                <w:tcPr>
                  <w:tcW w:w="1892" w:type="dxa"/>
                  <w:vAlign w:val="center"/>
                </w:tcPr>
                <w:p>
                  <w:pPr>
                    <w:pStyle w:val="28"/>
                  </w:pPr>
                  <w: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 w:type="dxa"/>
                  <w:vMerge w:val="restart"/>
                  <w:vAlign w:val="center"/>
                </w:tcPr>
                <w:p>
                  <w:pPr>
                    <w:pStyle w:val="28"/>
                  </w:pPr>
                  <w:r>
                    <w:t>运营期</w:t>
                  </w:r>
                </w:p>
              </w:tc>
              <w:tc>
                <w:tcPr>
                  <w:tcW w:w="1183" w:type="dxa"/>
                  <w:vAlign w:val="center"/>
                </w:tcPr>
                <w:p>
                  <w:pPr>
                    <w:pStyle w:val="28"/>
                  </w:pPr>
                  <w:r>
                    <w:t>噪声</w:t>
                  </w:r>
                </w:p>
              </w:tc>
              <w:tc>
                <w:tcPr>
                  <w:tcW w:w="1704" w:type="dxa"/>
                  <w:vMerge w:val="restart"/>
                  <w:vAlign w:val="center"/>
                </w:tcPr>
                <w:p>
                  <w:pPr>
                    <w:pStyle w:val="28"/>
                  </w:pPr>
                  <w:r>
                    <w:rPr>
                      <w:rFonts w:hint="eastAsia"/>
                    </w:rPr>
                    <w:t>竣工环保验收时监测1次</w:t>
                  </w:r>
                </w:p>
              </w:tc>
              <w:tc>
                <w:tcPr>
                  <w:tcW w:w="3054" w:type="dxa"/>
                  <w:vAlign w:val="center"/>
                </w:tcPr>
                <w:p>
                  <w:pPr>
                    <w:pStyle w:val="28"/>
                  </w:pPr>
                  <w:r>
                    <w:t>升压站四周站界、</w:t>
                  </w:r>
                  <w:r>
                    <w:rPr>
                      <w:rFonts w:hint="eastAsia"/>
                    </w:rPr>
                    <w:t>升压站西侧居民点</w:t>
                  </w:r>
                </w:p>
              </w:tc>
              <w:tc>
                <w:tcPr>
                  <w:tcW w:w="1892" w:type="dxa"/>
                  <w:vAlign w:val="center"/>
                </w:tcPr>
                <w:p>
                  <w:pPr>
                    <w:pStyle w:val="28"/>
                  </w:pPr>
                  <w:r>
                    <w:t>等效A声级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 w:type="dxa"/>
                  <w:vMerge w:val="continue"/>
                  <w:vAlign w:val="center"/>
                </w:tcPr>
                <w:p>
                  <w:pPr>
                    <w:pStyle w:val="28"/>
                  </w:pPr>
                </w:p>
              </w:tc>
              <w:tc>
                <w:tcPr>
                  <w:tcW w:w="1183" w:type="dxa"/>
                  <w:vAlign w:val="center"/>
                </w:tcPr>
                <w:p>
                  <w:pPr>
                    <w:pStyle w:val="28"/>
                  </w:pPr>
                  <w:r>
                    <w:t>电磁环境</w:t>
                  </w:r>
                </w:p>
              </w:tc>
              <w:tc>
                <w:tcPr>
                  <w:tcW w:w="1704" w:type="dxa"/>
                  <w:vMerge w:val="continue"/>
                  <w:vAlign w:val="center"/>
                </w:tcPr>
                <w:p>
                  <w:pPr>
                    <w:pStyle w:val="28"/>
                  </w:pPr>
                </w:p>
              </w:tc>
              <w:tc>
                <w:tcPr>
                  <w:tcW w:w="3054" w:type="dxa"/>
                  <w:vAlign w:val="center"/>
                </w:tcPr>
                <w:p>
                  <w:pPr>
                    <w:pStyle w:val="28"/>
                  </w:pPr>
                  <w:r>
                    <w:t>升压站四周站界</w:t>
                  </w:r>
                </w:p>
              </w:tc>
              <w:tc>
                <w:tcPr>
                  <w:tcW w:w="1892" w:type="dxa"/>
                  <w:vAlign w:val="center"/>
                </w:tcPr>
                <w:p>
                  <w:pPr>
                    <w:pStyle w:val="28"/>
                  </w:pPr>
                  <w:r>
                    <w:t>工频电场强度、磁感应强度</w:t>
                  </w:r>
                </w:p>
              </w:tc>
            </w:tr>
          </w:tbl>
          <w:p>
            <w:pPr>
              <w:pStyle w:val="29"/>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vAlign w:val="center"/>
          </w:tcPr>
          <w:p>
            <w:pPr>
              <w:adjustRightInd w:val="0"/>
              <w:snapToGrid w:val="0"/>
              <w:spacing w:line="240" w:lineRule="auto"/>
              <w:ind w:firstLine="0" w:firstLineChars="0"/>
              <w:rPr>
                <w:rFonts w:ascii="宋体" w:hAnsi="宋体" w:cs="宋体"/>
                <w:bCs/>
                <w:spacing w:val="10"/>
                <w:szCs w:val="21"/>
              </w:rPr>
            </w:pPr>
            <w:r>
              <w:rPr>
                <w:rFonts w:hint="eastAsia" w:ascii="宋体" w:hAnsi="宋体"/>
                <w:bCs/>
                <w:szCs w:val="21"/>
              </w:rPr>
              <w:t>环保投资</w:t>
            </w:r>
          </w:p>
        </w:tc>
        <w:tc>
          <w:tcPr>
            <w:tcW w:w="8887" w:type="dxa"/>
          </w:tcPr>
          <w:p>
            <w:pPr>
              <w:pStyle w:val="29"/>
              <w:ind w:firstLine="480"/>
            </w:pPr>
            <w:r>
              <w:rPr>
                <w:rFonts w:hint="eastAsia"/>
              </w:rPr>
              <w:t>本项目总投资</w:t>
            </w:r>
            <w:r>
              <w:rPr>
                <w:rFonts w:hint="eastAsia"/>
                <w:lang w:eastAsia="zh-CN"/>
              </w:rPr>
              <w:t>25000万元</w:t>
            </w:r>
            <w:r>
              <w:rPr>
                <w:rFonts w:hint="eastAsia"/>
              </w:rPr>
              <w:t>，其中环保投资155万元，占工程总投资的</w:t>
            </w:r>
            <w:r>
              <w:rPr>
                <w:rFonts w:hint="eastAsia"/>
                <w:lang w:eastAsia="zh-CN"/>
              </w:rPr>
              <w:t>0.62%</w:t>
            </w:r>
            <w:r>
              <w:rPr>
                <w:rFonts w:hint="eastAsia"/>
              </w:rPr>
              <w:t>。</w:t>
            </w:r>
          </w:p>
          <w:p>
            <w:pPr>
              <w:pStyle w:val="29"/>
              <w:ind w:firstLine="0" w:firstLineChars="0"/>
              <w:jc w:val="center"/>
            </w:pPr>
            <w:r>
              <w:rPr>
                <w:rFonts w:hint="eastAsia"/>
              </w:rPr>
              <w:t>表5-2  本项目环保投资一览表</w:t>
            </w:r>
          </w:p>
          <w:tbl>
            <w:tblPr>
              <w:tblStyle w:val="14"/>
              <w:tblW w:w="8593" w:type="dxa"/>
              <w:jc w:val="center"/>
              <w:tblLayout w:type="fixed"/>
              <w:tblCellMar>
                <w:top w:w="0" w:type="dxa"/>
                <w:left w:w="108" w:type="dxa"/>
                <w:bottom w:w="0" w:type="dxa"/>
                <w:right w:w="108" w:type="dxa"/>
              </w:tblCellMar>
            </w:tblPr>
            <w:tblGrid>
              <w:gridCol w:w="461"/>
              <w:gridCol w:w="1185"/>
              <w:gridCol w:w="2221"/>
              <w:gridCol w:w="3856"/>
              <w:gridCol w:w="870"/>
            </w:tblGrid>
            <w:tr>
              <w:tblPrEx>
                <w:tblCellMar>
                  <w:top w:w="0" w:type="dxa"/>
                  <w:left w:w="108" w:type="dxa"/>
                  <w:bottom w:w="0" w:type="dxa"/>
                  <w:right w:w="108" w:type="dxa"/>
                </w:tblCellMar>
              </w:tblPrEx>
              <w:trPr>
                <w:trHeight w:val="454" w:hRule="atLeast"/>
                <w:tblHeader/>
                <w:jc w:val="center"/>
              </w:trPr>
              <w:tc>
                <w:tcPr>
                  <w:tcW w:w="268" w:type="pct"/>
                  <w:tcBorders>
                    <w:top w:val="single" w:color="auto" w:sz="4" w:space="0"/>
                    <w:left w:val="single" w:color="auto" w:sz="4" w:space="0"/>
                    <w:bottom w:val="single" w:color="auto" w:sz="4" w:space="0"/>
                    <w:right w:val="single" w:color="auto" w:sz="4" w:space="0"/>
                  </w:tcBorders>
                  <w:vAlign w:val="center"/>
                </w:tcPr>
                <w:p>
                  <w:pPr>
                    <w:pStyle w:val="28"/>
                  </w:pPr>
                  <w:r>
                    <w:t>序号</w:t>
                  </w:r>
                </w:p>
              </w:tc>
              <w:tc>
                <w:tcPr>
                  <w:tcW w:w="1981" w:type="pct"/>
                  <w:gridSpan w:val="2"/>
                  <w:tcBorders>
                    <w:top w:val="single" w:color="auto" w:sz="4" w:space="0"/>
                    <w:left w:val="nil"/>
                    <w:bottom w:val="single" w:color="auto" w:sz="4" w:space="0"/>
                    <w:right w:val="single" w:color="auto" w:sz="4" w:space="0"/>
                  </w:tcBorders>
                  <w:vAlign w:val="center"/>
                </w:tcPr>
                <w:p>
                  <w:pPr>
                    <w:pStyle w:val="28"/>
                  </w:pPr>
                  <w:r>
                    <w:t>项目</w:t>
                  </w:r>
                </w:p>
              </w:tc>
              <w:tc>
                <w:tcPr>
                  <w:tcW w:w="2243" w:type="pct"/>
                  <w:tcBorders>
                    <w:top w:val="single" w:color="auto" w:sz="4" w:space="0"/>
                    <w:left w:val="nil"/>
                    <w:bottom w:val="single" w:color="auto" w:sz="4" w:space="0"/>
                    <w:right w:val="single" w:color="auto" w:sz="4" w:space="0"/>
                  </w:tcBorders>
                  <w:vAlign w:val="center"/>
                </w:tcPr>
                <w:p>
                  <w:pPr>
                    <w:pStyle w:val="28"/>
                  </w:pPr>
                  <w:r>
                    <w:t>环境保护投资具体内容</w:t>
                  </w:r>
                </w:p>
              </w:tc>
              <w:tc>
                <w:tcPr>
                  <w:tcW w:w="506" w:type="pct"/>
                  <w:tcBorders>
                    <w:top w:val="single" w:color="auto" w:sz="4" w:space="0"/>
                    <w:left w:val="nil"/>
                    <w:bottom w:val="single" w:color="auto" w:sz="4" w:space="0"/>
                    <w:right w:val="single" w:color="auto" w:sz="4" w:space="0"/>
                  </w:tcBorders>
                  <w:vAlign w:val="center"/>
                </w:tcPr>
                <w:p>
                  <w:pPr>
                    <w:pStyle w:val="28"/>
                  </w:pPr>
                  <w:r>
                    <w:t>投资</w:t>
                  </w:r>
                  <w:r>
                    <w:rPr>
                      <w:rFonts w:hint="eastAsia"/>
                    </w:rPr>
                    <w:t>（</w:t>
                  </w:r>
                  <w:r>
                    <w:t>万元</w:t>
                  </w:r>
                  <w:r>
                    <w:rPr>
                      <w:rFonts w:hint="eastAsia"/>
                    </w:rPr>
                    <w:t>）</w:t>
                  </w:r>
                </w:p>
              </w:tc>
            </w:tr>
            <w:tr>
              <w:tblPrEx>
                <w:tblCellMar>
                  <w:top w:w="0" w:type="dxa"/>
                  <w:left w:w="108" w:type="dxa"/>
                  <w:bottom w:w="0" w:type="dxa"/>
                  <w:right w:w="108" w:type="dxa"/>
                </w:tblCellMar>
              </w:tblPrEx>
              <w:trPr>
                <w:trHeight w:val="454" w:hRule="atLeast"/>
                <w:jc w:val="center"/>
              </w:trPr>
              <w:tc>
                <w:tcPr>
                  <w:tcW w:w="268" w:type="pct"/>
                  <w:vMerge w:val="restart"/>
                  <w:tcBorders>
                    <w:top w:val="nil"/>
                    <w:left w:val="single" w:color="auto" w:sz="4" w:space="0"/>
                    <w:right w:val="single" w:color="auto" w:sz="4" w:space="0"/>
                  </w:tcBorders>
                  <w:vAlign w:val="center"/>
                </w:tcPr>
                <w:p>
                  <w:pPr>
                    <w:pStyle w:val="28"/>
                  </w:pPr>
                  <w:r>
                    <w:t>1</w:t>
                  </w:r>
                </w:p>
              </w:tc>
              <w:tc>
                <w:tcPr>
                  <w:tcW w:w="689" w:type="pct"/>
                  <w:vMerge w:val="restart"/>
                  <w:tcBorders>
                    <w:top w:val="nil"/>
                    <w:left w:val="nil"/>
                    <w:right w:val="single" w:color="auto" w:sz="4" w:space="0"/>
                  </w:tcBorders>
                  <w:vAlign w:val="center"/>
                </w:tcPr>
                <w:p>
                  <w:pPr>
                    <w:pStyle w:val="28"/>
                  </w:pPr>
                  <w:r>
                    <w:t>声环境污染防治</w:t>
                  </w:r>
                </w:p>
              </w:tc>
              <w:tc>
                <w:tcPr>
                  <w:tcW w:w="1292" w:type="pct"/>
                  <w:tcBorders>
                    <w:top w:val="nil"/>
                    <w:left w:val="nil"/>
                    <w:bottom w:val="single" w:color="auto" w:sz="4" w:space="0"/>
                    <w:right w:val="single" w:color="auto" w:sz="4" w:space="0"/>
                  </w:tcBorders>
                  <w:vAlign w:val="center"/>
                </w:tcPr>
                <w:p>
                  <w:pPr>
                    <w:pStyle w:val="28"/>
                  </w:pPr>
                  <w:r>
                    <w:t>施工期噪声污染防治</w:t>
                  </w:r>
                </w:p>
              </w:tc>
              <w:tc>
                <w:tcPr>
                  <w:tcW w:w="2243" w:type="pct"/>
                  <w:tcBorders>
                    <w:top w:val="nil"/>
                    <w:left w:val="nil"/>
                    <w:bottom w:val="single" w:color="auto" w:sz="4" w:space="0"/>
                    <w:right w:val="single" w:color="auto" w:sz="4" w:space="0"/>
                  </w:tcBorders>
                  <w:vAlign w:val="center"/>
                </w:tcPr>
                <w:p>
                  <w:pPr>
                    <w:pStyle w:val="28"/>
                  </w:pPr>
                  <w:r>
                    <w:t>合理布局高噪声设备，采用先进施工机械，加强运输车辆管理，合理安排施工时间，对高噪声设备采取必要的隔声处理</w:t>
                  </w:r>
                </w:p>
              </w:tc>
              <w:tc>
                <w:tcPr>
                  <w:tcW w:w="506" w:type="pct"/>
                  <w:tcBorders>
                    <w:top w:val="nil"/>
                    <w:left w:val="nil"/>
                    <w:bottom w:val="single" w:color="auto" w:sz="4" w:space="0"/>
                    <w:right w:val="single" w:color="auto" w:sz="4" w:space="0"/>
                  </w:tcBorders>
                  <w:vAlign w:val="center"/>
                </w:tcPr>
                <w:p>
                  <w:pPr>
                    <w:pStyle w:val="28"/>
                    <w:rPr>
                      <w:rFonts w:hint="eastAsia" w:eastAsia="宋体"/>
                      <w:lang w:eastAsia="zh-CN"/>
                    </w:rPr>
                  </w:pPr>
                  <w:r>
                    <w:rPr>
                      <w:rFonts w:hint="eastAsia"/>
                      <w:lang w:val="en-US" w:eastAsia="zh-CN"/>
                    </w:rPr>
                    <w:t>5</w:t>
                  </w:r>
                </w:p>
              </w:tc>
            </w:tr>
            <w:tr>
              <w:tblPrEx>
                <w:tblCellMar>
                  <w:top w:w="0" w:type="dxa"/>
                  <w:left w:w="108" w:type="dxa"/>
                  <w:bottom w:w="0" w:type="dxa"/>
                  <w:right w:w="108" w:type="dxa"/>
                </w:tblCellMar>
              </w:tblPrEx>
              <w:trPr>
                <w:trHeight w:val="454" w:hRule="atLeast"/>
                <w:jc w:val="center"/>
              </w:trPr>
              <w:tc>
                <w:tcPr>
                  <w:tcW w:w="268" w:type="pct"/>
                  <w:vMerge w:val="continue"/>
                  <w:tcBorders>
                    <w:left w:val="single" w:color="auto" w:sz="4" w:space="0"/>
                    <w:bottom w:val="single" w:color="auto" w:sz="4" w:space="0"/>
                    <w:right w:val="single" w:color="auto" w:sz="4" w:space="0"/>
                  </w:tcBorders>
                  <w:vAlign w:val="center"/>
                </w:tcPr>
                <w:p>
                  <w:pPr>
                    <w:pStyle w:val="28"/>
                  </w:pPr>
                </w:p>
              </w:tc>
              <w:tc>
                <w:tcPr>
                  <w:tcW w:w="689" w:type="pct"/>
                  <w:vMerge w:val="continue"/>
                  <w:tcBorders>
                    <w:left w:val="nil"/>
                    <w:bottom w:val="single" w:color="auto" w:sz="4" w:space="0"/>
                    <w:right w:val="single" w:color="auto" w:sz="4" w:space="0"/>
                  </w:tcBorders>
                  <w:vAlign w:val="center"/>
                </w:tcPr>
                <w:p>
                  <w:pPr>
                    <w:pStyle w:val="28"/>
                  </w:pPr>
                </w:p>
              </w:tc>
              <w:tc>
                <w:tcPr>
                  <w:tcW w:w="1292" w:type="pct"/>
                  <w:tcBorders>
                    <w:top w:val="nil"/>
                    <w:left w:val="nil"/>
                    <w:bottom w:val="single" w:color="auto" w:sz="4" w:space="0"/>
                    <w:right w:val="single" w:color="auto" w:sz="4" w:space="0"/>
                  </w:tcBorders>
                  <w:vAlign w:val="center"/>
                </w:tcPr>
                <w:p>
                  <w:pPr>
                    <w:pStyle w:val="28"/>
                  </w:pPr>
                  <w:r>
                    <w:rPr>
                      <w:rFonts w:hint="eastAsia"/>
                      <w:lang w:val="en-US" w:eastAsia="zh-CN"/>
                    </w:rPr>
                    <w:t>运营</w:t>
                  </w:r>
                  <w:r>
                    <w:t>期噪声污染防治</w:t>
                  </w:r>
                </w:p>
              </w:tc>
              <w:tc>
                <w:tcPr>
                  <w:tcW w:w="2243" w:type="pct"/>
                  <w:tcBorders>
                    <w:top w:val="nil"/>
                    <w:left w:val="nil"/>
                    <w:bottom w:val="single" w:color="auto" w:sz="4" w:space="0"/>
                    <w:right w:val="single" w:color="auto" w:sz="4" w:space="0"/>
                  </w:tcBorders>
                  <w:vAlign w:val="center"/>
                </w:tcPr>
                <w:p>
                  <w:pPr>
                    <w:pStyle w:val="28"/>
                  </w:pPr>
                  <w:r>
                    <w:rPr>
                      <w:rFonts w:hint="default"/>
                      <w:lang w:eastAsia="zh-CN"/>
                    </w:rPr>
                    <w:t>选用低噪声设备，并采取消声、隔声、减振措施</w:t>
                  </w:r>
                </w:p>
              </w:tc>
              <w:tc>
                <w:tcPr>
                  <w:tcW w:w="506" w:type="pct"/>
                  <w:tcBorders>
                    <w:top w:val="nil"/>
                    <w:left w:val="nil"/>
                    <w:bottom w:val="single" w:color="auto" w:sz="4" w:space="0"/>
                    <w:right w:val="single" w:color="auto" w:sz="4" w:space="0"/>
                  </w:tcBorders>
                  <w:vAlign w:val="center"/>
                </w:tcPr>
                <w:p>
                  <w:pPr>
                    <w:pStyle w:val="28"/>
                    <w:rPr>
                      <w:rFonts w:hint="eastAsia" w:eastAsia="宋体"/>
                      <w:lang w:val="en-US" w:eastAsia="zh-CN"/>
                    </w:rPr>
                  </w:pPr>
                  <w:r>
                    <w:rPr>
                      <w:rFonts w:hint="eastAsia"/>
                      <w:lang w:val="en-US" w:eastAsia="zh-CN"/>
                    </w:rPr>
                    <w:t>4</w:t>
                  </w:r>
                </w:p>
              </w:tc>
            </w:tr>
            <w:tr>
              <w:tblPrEx>
                <w:tblCellMar>
                  <w:top w:w="0" w:type="dxa"/>
                  <w:left w:w="108" w:type="dxa"/>
                  <w:bottom w:w="0" w:type="dxa"/>
                  <w:right w:w="108" w:type="dxa"/>
                </w:tblCellMar>
              </w:tblPrEx>
              <w:trPr>
                <w:trHeight w:val="454" w:hRule="atLeast"/>
                <w:jc w:val="center"/>
              </w:trPr>
              <w:tc>
                <w:tcPr>
                  <w:tcW w:w="268" w:type="pct"/>
                  <w:vMerge w:val="restart"/>
                  <w:tcBorders>
                    <w:top w:val="nil"/>
                    <w:left w:val="single" w:color="auto" w:sz="4" w:space="0"/>
                    <w:right w:val="single" w:color="auto" w:sz="4" w:space="0"/>
                  </w:tcBorders>
                  <w:vAlign w:val="center"/>
                </w:tcPr>
                <w:p>
                  <w:pPr>
                    <w:pStyle w:val="28"/>
                  </w:pPr>
                  <w:r>
                    <w:t>2</w:t>
                  </w:r>
                </w:p>
              </w:tc>
              <w:tc>
                <w:tcPr>
                  <w:tcW w:w="689" w:type="pct"/>
                  <w:vMerge w:val="restart"/>
                  <w:tcBorders>
                    <w:top w:val="nil"/>
                    <w:left w:val="nil"/>
                    <w:right w:val="single" w:color="auto" w:sz="4" w:space="0"/>
                  </w:tcBorders>
                  <w:vAlign w:val="center"/>
                </w:tcPr>
                <w:p>
                  <w:pPr>
                    <w:pStyle w:val="28"/>
                  </w:pPr>
                  <w:r>
                    <w:t>环境空气污染治理</w:t>
                  </w:r>
                </w:p>
              </w:tc>
              <w:tc>
                <w:tcPr>
                  <w:tcW w:w="1292" w:type="pct"/>
                  <w:tcBorders>
                    <w:top w:val="nil"/>
                    <w:left w:val="nil"/>
                    <w:bottom w:val="single" w:color="auto" w:sz="4" w:space="0"/>
                    <w:right w:val="single" w:color="auto" w:sz="4" w:space="0"/>
                  </w:tcBorders>
                  <w:vAlign w:val="center"/>
                </w:tcPr>
                <w:p>
                  <w:pPr>
                    <w:pStyle w:val="28"/>
                  </w:pPr>
                  <w:r>
                    <w:t>施工场地扬尘</w:t>
                  </w:r>
                </w:p>
              </w:tc>
              <w:tc>
                <w:tcPr>
                  <w:tcW w:w="2243" w:type="pct"/>
                  <w:tcBorders>
                    <w:top w:val="nil"/>
                    <w:left w:val="nil"/>
                    <w:bottom w:val="single" w:color="auto" w:sz="4" w:space="0"/>
                    <w:right w:val="single" w:color="auto" w:sz="4" w:space="0"/>
                  </w:tcBorders>
                  <w:vAlign w:val="center"/>
                </w:tcPr>
                <w:p>
                  <w:pPr>
                    <w:pStyle w:val="28"/>
                  </w:pPr>
                  <w:r>
                    <w:t>洒水降尘措施</w:t>
                  </w:r>
                </w:p>
              </w:tc>
              <w:tc>
                <w:tcPr>
                  <w:tcW w:w="506" w:type="pct"/>
                  <w:vMerge w:val="restart"/>
                  <w:tcBorders>
                    <w:top w:val="nil"/>
                    <w:left w:val="nil"/>
                    <w:right w:val="single" w:color="auto" w:sz="4" w:space="0"/>
                  </w:tcBorders>
                  <w:vAlign w:val="center"/>
                </w:tcPr>
                <w:p>
                  <w:pPr>
                    <w:pStyle w:val="28"/>
                    <w:rPr>
                      <w:rFonts w:hint="eastAsia" w:eastAsia="宋体"/>
                      <w:lang w:eastAsia="zh-CN"/>
                    </w:rPr>
                  </w:pPr>
                  <w:r>
                    <w:t>2</w:t>
                  </w:r>
                  <w:r>
                    <w:rPr>
                      <w:rFonts w:hint="eastAsia"/>
                      <w:lang w:val="en-US" w:eastAsia="zh-CN"/>
                    </w:rPr>
                    <w:t>0</w:t>
                  </w:r>
                </w:p>
              </w:tc>
            </w:tr>
            <w:tr>
              <w:tblPrEx>
                <w:tblCellMar>
                  <w:top w:w="0" w:type="dxa"/>
                  <w:left w:w="108" w:type="dxa"/>
                  <w:bottom w:w="0" w:type="dxa"/>
                  <w:right w:w="108" w:type="dxa"/>
                </w:tblCellMar>
              </w:tblPrEx>
              <w:trPr>
                <w:trHeight w:val="454" w:hRule="atLeast"/>
                <w:jc w:val="center"/>
              </w:trPr>
              <w:tc>
                <w:tcPr>
                  <w:tcW w:w="268" w:type="pct"/>
                  <w:vMerge w:val="continue"/>
                  <w:tcBorders>
                    <w:left w:val="single" w:color="auto" w:sz="4" w:space="0"/>
                    <w:right w:val="single" w:color="auto" w:sz="4" w:space="0"/>
                  </w:tcBorders>
                  <w:vAlign w:val="center"/>
                </w:tcPr>
                <w:p>
                  <w:pPr>
                    <w:pStyle w:val="28"/>
                  </w:pPr>
                </w:p>
              </w:tc>
              <w:tc>
                <w:tcPr>
                  <w:tcW w:w="689" w:type="pct"/>
                  <w:vMerge w:val="continue"/>
                  <w:tcBorders>
                    <w:left w:val="nil"/>
                    <w:right w:val="single" w:color="auto" w:sz="4" w:space="0"/>
                  </w:tcBorders>
                  <w:vAlign w:val="center"/>
                </w:tcPr>
                <w:p>
                  <w:pPr>
                    <w:pStyle w:val="28"/>
                  </w:pPr>
                </w:p>
              </w:tc>
              <w:tc>
                <w:tcPr>
                  <w:tcW w:w="1292" w:type="pct"/>
                  <w:tcBorders>
                    <w:top w:val="nil"/>
                    <w:left w:val="nil"/>
                    <w:bottom w:val="single" w:color="auto" w:sz="4" w:space="0"/>
                    <w:right w:val="single" w:color="auto" w:sz="4" w:space="0"/>
                  </w:tcBorders>
                  <w:vAlign w:val="center"/>
                </w:tcPr>
                <w:p>
                  <w:pPr>
                    <w:pStyle w:val="28"/>
                  </w:pPr>
                  <w:r>
                    <w:t>堆料场和运输扬尘污染防治措施</w:t>
                  </w:r>
                </w:p>
              </w:tc>
              <w:tc>
                <w:tcPr>
                  <w:tcW w:w="2243" w:type="pct"/>
                  <w:tcBorders>
                    <w:top w:val="nil"/>
                    <w:left w:val="nil"/>
                    <w:bottom w:val="single" w:color="auto" w:sz="4" w:space="0"/>
                    <w:right w:val="single" w:color="auto" w:sz="4" w:space="0"/>
                  </w:tcBorders>
                  <w:vAlign w:val="center"/>
                </w:tcPr>
                <w:p>
                  <w:pPr>
                    <w:pStyle w:val="28"/>
                  </w:pPr>
                  <w:r>
                    <w:t>购买堆料场和运输车辆篷布购买费用</w:t>
                  </w:r>
                </w:p>
              </w:tc>
              <w:tc>
                <w:tcPr>
                  <w:tcW w:w="506" w:type="pct"/>
                  <w:vMerge w:val="continue"/>
                  <w:tcBorders>
                    <w:left w:val="nil"/>
                    <w:bottom w:val="single" w:color="auto" w:sz="4" w:space="0"/>
                    <w:right w:val="single" w:color="auto" w:sz="4" w:space="0"/>
                  </w:tcBorders>
                  <w:vAlign w:val="center"/>
                </w:tcPr>
                <w:p>
                  <w:pPr>
                    <w:pStyle w:val="28"/>
                  </w:pPr>
                </w:p>
              </w:tc>
            </w:tr>
            <w:tr>
              <w:tblPrEx>
                <w:tblCellMar>
                  <w:top w:w="0" w:type="dxa"/>
                  <w:left w:w="108" w:type="dxa"/>
                  <w:bottom w:w="0" w:type="dxa"/>
                  <w:right w:w="108" w:type="dxa"/>
                </w:tblCellMar>
              </w:tblPrEx>
              <w:trPr>
                <w:trHeight w:val="454" w:hRule="atLeast"/>
                <w:jc w:val="center"/>
              </w:trPr>
              <w:tc>
                <w:tcPr>
                  <w:tcW w:w="268" w:type="pct"/>
                  <w:vMerge w:val="continue"/>
                  <w:tcBorders>
                    <w:left w:val="single" w:color="auto" w:sz="4" w:space="0"/>
                    <w:bottom w:val="single" w:color="auto" w:sz="4" w:space="0"/>
                    <w:right w:val="single" w:color="auto" w:sz="4" w:space="0"/>
                  </w:tcBorders>
                  <w:vAlign w:val="center"/>
                </w:tcPr>
                <w:p>
                  <w:pPr>
                    <w:pStyle w:val="28"/>
                  </w:pPr>
                </w:p>
              </w:tc>
              <w:tc>
                <w:tcPr>
                  <w:tcW w:w="689" w:type="pct"/>
                  <w:vMerge w:val="continue"/>
                  <w:tcBorders>
                    <w:left w:val="nil"/>
                    <w:bottom w:val="single" w:color="auto" w:sz="4" w:space="0"/>
                    <w:right w:val="single" w:color="auto" w:sz="4" w:space="0"/>
                  </w:tcBorders>
                  <w:vAlign w:val="center"/>
                </w:tcPr>
                <w:p>
                  <w:pPr>
                    <w:pStyle w:val="28"/>
                  </w:pPr>
                </w:p>
              </w:tc>
              <w:tc>
                <w:tcPr>
                  <w:tcW w:w="1292" w:type="pct"/>
                  <w:tcBorders>
                    <w:top w:val="nil"/>
                    <w:left w:val="nil"/>
                    <w:bottom w:val="single" w:color="auto" w:sz="4" w:space="0"/>
                    <w:right w:val="single" w:color="auto" w:sz="4" w:space="0"/>
                  </w:tcBorders>
                  <w:vAlign w:val="center"/>
                </w:tcPr>
                <w:p>
                  <w:pPr>
                    <w:pStyle w:val="28"/>
                    <w:bidi w:val="0"/>
                    <w:rPr>
                      <w:rFonts w:hint="default"/>
                      <w:lang w:val="en-US" w:eastAsia="zh-CN"/>
                    </w:rPr>
                  </w:pPr>
                  <w:r>
                    <w:rPr>
                      <w:rFonts w:hint="eastAsia"/>
                      <w:lang w:val="en-US" w:eastAsia="zh-CN"/>
                    </w:rPr>
                    <w:t>食堂油烟</w:t>
                  </w:r>
                </w:p>
              </w:tc>
              <w:tc>
                <w:tcPr>
                  <w:tcW w:w="2243" w:type="pct"/>
                  <w:tcBorders>
                    <w:top w:val="nil"/>
                    <w:left w:val="nil"/>
                    <w:bottom w:val="single" w:color="auto" w:sz="4" w:space="0"/>
                    <w:right w:val="single" w:color="auto" w:sz="4" w:space="0"/>
                  </w:tcBorders>
                  <w:vAlign w:val="center"/>
                </w:tcPr>
                <w:p>
                  <w:pPr>
                    <w:pStyle w:val="28"/>
                    <w:bidi w:val="0"/>
                  </w:pPr>
                  <w:r>
                    <w:rPr>
                      <w:rFonts w:hint="default"/>
                      <w:lang w:eastAsia="zh-CN"/>
                    </w:rPr>
                    <w:t>厨房安装风量不小于2000</w:t>
                  </w:r>
                  <w:r>
                    <w:rPr>
                      <w:rFonts w:hint="eastAsia"/>
                      <w:lang w:val="en-US" w:eastAsia="zh-CN"/>
                    </w:rPr>
                    <w:t>m³</w:t>
                  </w:r>
                  <w:r>
                    <w:rPr>
                      <w:rFonts w:hint="default"/>
                      <w:lang w:eastAsia="zh-CN"/>
                    </w:rPr>
                    <w:t>/h抽风机、处理效率不低于80%的油烟处理设施，经</w:t>
                  </w:r>
                  <w:r>
                    <w:rPr>
                      <w:rFonts w:hint="eastAsia"/>
                      <w:lang w:val="en-US" w:eastAsia="zh-CN"/>
                    </w:rPr>
                    <w:t>专用管道引至</w:t>
                  </w:r>
                  <w:r>
                    <w:rPr>
                      <w:rFonts w:hint="default"/>
                      <w:lang w:eastAsia="zh-CN"/>
                    </w:rPr>
                    <w:t>楼顶排放</w:t>
                  </w:r>
                </w:p>
              </w:tc>
              <w:tc>
                <w:tcPr>
                  <w:tcW w:w="506" w:type="pct"/>
                  <w:tcBorders>
                    <w:left w:val="nil"/>
                    <w:bottom w:val="single" w:color="auto" w:sz="4" w:space="0"/>
                    <w:right w:val="single" w:color="auto" w:sz="4" w:space="0"/>
                  </w:tcBorders>
                  <w:vAlign w:val="center"/>
                </w:tcPr>
                <w:p>
                  <w:pPr>
                    <w:pStyle w:val="28"/>
                    <w:rPr>
                      <w:rFonts w:hint="eastAsia" w:eastAsia="宋体"/>
                      <w:lang w:val="en-US" w:eastAsia="zh-CN"/>
                    </w:rPr>
                  </w:pPr>
                  <w:r>
                    <w:rPr>
                      <w:rFonts w:hint="eastAsia"/>
                      <w:lang w:val="en-US" w:eastAsia="zh-CN"/>
                    </w:rPr>
                    <w:t>1</w:t>
                  </w:r>
                </w:p>
              </w:tc>
            </w:tr>
            <w:tr>
              <w:tblPrEx>
                <w:tblCellMar>
                  <w:top w:w="0" w:type="dxa"/>
                  <w:left w:w="108" w:type="dxa"/>
                  <w:bottom w:w="0" w:type="dxa"/>
                  <w:right w:w="108" w:type="dxa"/>
                </w:tblCellMar>
              </w:tblPrEx>
              <w:trPr>
                <w:trHeight w:val="454" w:hRule="atLeast"/>
                <w:jc w:val="center"/>
              </w:trPr>
              <w:tc>
                <w:tcPr>
                  <w:tcW w:w="268" w:type="pct"/>
                  <w:vMerge w:val="restart"/>
                  <w:tcBorders>
                    <w:top w:val="nil"/>
                    <w:left w:val="single" w:color="auto" w:sz="4" w:space="0"/>
                    <w:right w:val="single" w:color="auto" w:sz="4" w:space="0"/>
                  </w:tcBorders>
                  <w:vAlign w:val="center"/>
                </w:tcPr>
                <w:p>
                  <w:pPr>
                    <w:pStyle w:val="28"/>
                  </w:pPr>
                  <w:r>
                    <w:t>3</w:t>
                  </w:r>
                </w:p>
              </w:tc>
              <w:tc>
                <w:tcPr>
                  <w:tcW w:w="689" w:type="pct"/>
                  <w:vMerge w:val="restart"/>
                  <w:tcBorders>
                    <w:top w:val="nil"/>
                    <w:left w:val="nil"/>
                    <w:right w:val="single" w:color="auto" w:sz="4" w:space="0"/>
                  </w:tcBorders>
                  <w:vAlign w:val="center"/>
                </w:tcPr>
                <w:p>
                  <w:pPr>
                    <w:pStyle w:val="28"/>
                  </w:pPr>
                  <w:r>
                    <w:t>水污染防治</w:t>
                  </w:r>
                </w:p>
              </w:tc>
              <w:tc>
                <w:tcPr>
                  <w:tcW w:w="1292" w:type="pct"/>
                  <w:tcBorders>
                    <w:top w:val="nil"/>
                    <w:left w:val="nil"/>
                    <w:bottom w:val="single" w:color="auto" w:sz="4" w:space="0"/>
                    <w:right w:val="single" w:color="auto" w:sz="4" w:space="0"/>
                  </w:tcBorders>
                  <w:vAlign w:val="center"/>
                </w:tcPr>
                <w:p>
                  <w:pPr>
                    <w:pStyle w:val="28"/>
                  </w:pPr>
                  <w:r>
                    <w:t>施工期生产废水</w:t>
                  </w:r>
                </w:p>
              </w:tc>
              <w:tc>
                <w:tcPr>
                  <w:tcW w:w="2243" w:type="pct"/>
                  <w:tcBorders>
                    <w:top w:val="nil"/>
                    <w:left w:val="nil"/>
                    <w:bottom w:val="single" w:color="auto" w:sz="4" w:space="0"/>
                    <w:right w:val="single" w:color="auto" w:sz="4" w:space="0"/>
                  </w:tcBorders>
                  <w:vAlign w:val="center"/>
                </w:tcPr>
                <w:p>
                  <w:pPr>
                    <w:pStyle w:val="28"/>
                  </w:pPr>
                  <w:r>
                    <w:t>经隔油、沉砂池处理后回用</w:t>
                  </w:r>
                </w:p>
              </w:tc>
              <w:tc>
                <w:tcPr>
                  <w:tcW w:w="506" w:type="pct"/>
                  <w:vMerge w:val="restart"/>
                  <w:tcBorders>
                    <w:top w:val="nil"/>
                    <w:left w:val="nil"/>
                    <w:right w:val="single" w:color="auto" w:sz="4" w:space="0"/>
                  </w:tcBorders>
                  <w:vAlign w:val="center"/>
                </w:tcPr>
                <w:p>
                  <w:pPr>
                    <w:pStyle w:val="28"/>
                  </w:pPr>
                  <w:r>
                    <w:rPr>
                      <w:rFonts w:hint="eastAsia"/>
                    </w:rPr>
                    <w:t>2</w:t>
                  </w:r>
                  <w:r>
                    <w:t>5</w:t>
                  </w:r>
                </w:p>
              </w:tc>
            </w:tr>
            <w:tr>
              <w:tblPrEx>
                <w:tblCellMar>
                  <w:top w:w="0" w:type="dxa"/>
                  <w:left w:w="108" w:type="dxa"/>
                  <w:bottom w:w="0" w:type="dxa"/>
                  <w:right w:w="108" w:type="dxa"/>
                </w:tblCellMar>
              </w:tblPrEx>
              <w:trPr>
                <w:trHeight w:val="454" w:hRule="atLeast"/>
                <w:jc w:val="center"/>
              </w:trPr>
              <w:tc>
                <w:tcPr>
                  <w:tcW w:w="268" w:type="pct"/>
                  <w:vMerge w:val="continue"/>
                  <w:tcBorders>
                    <w:left w:val="single" w:color="auto" w:sz="4" w:space="0"/>
                    <w:right w:val="single" w:color="auto" w:sz="4" w:space="0"/>
                  </w:tcBorders>
                  <w:vAlign w:val="center"/>
                </w:tcPr>
                <w:p>
                  <w:pPr>
                    <w:pStyle w:val="28"/>
                  </w:pPr>
                </w:p>
              </w:tc>
              <w:tc>
                <w:tcPr>
                  <w:tcW w:w="689" w:type="pct"/>
                  <w:vMerge w:val="continue"/>
                  <w:tcBorders>
                    <w:left w:val="nil"/>
                    <w:right w:val="single" w:color="auto" w:sz="4" w:space="0"/>
                  </w:tcBorders>
                  <w:vAlign w:val="center"/>
                </w:tcPr>
                <w:p>
                  <w:pPr>
                    <w:pStyle w:val="28"/>
                  </w:pPr>
                </w:p>
              </w:tc>
              <w:tc>
                <w:tcPr>
                  <w:tcW w:w="1292" w:type="pct"/>
                  <w:tcBorders>
                    <w:top w:val="nil"/>
                    <w:left w:val="nil"/>
                    <w:bottom w:val="single" w:color="auto" w:sz="4" w:space="0"/>
                    <w:right w:val="single" w:color="auto" w:sz="4" w:space="0"/>
                  </w:tcBorders>
                  <w:vAlign w:val="center"/>
                </w:tcPr>
                <w:p>
                  <w:pPr>
                    <w:pStyle w:val="28"/>
                  </w:pPr>
                  <w:r>
                    <w:t>施工期生活污水</w:t>
                  </w:r>
                </w:p>
              </w:tc>
              <w:tc>
                <w:tcPr>
                  <w:tcW w:w="2243" w:type="pct"/>
                  <w:tcBorders>
                    <w:top w:val="nil"/>
                    <w:left w:val="nil"/>
                    <w:bottom w:val="single" w:color="auto" w:sz="4" w:space="0"/>
                    <w:right w:val="single" w:color="auto" w:sz="4" w:space="0"/>
                  </w:tcBorders>
                  <w:vAlign w:val="center"/>
                </w:tcPr>
                <w:p>
                  <w:pPr>
                    <w:pStyle w:val="28"/>
                  </w:pPr>
                  <w:r>
                    <w:t>采用旱厕和化粪池收集，用于施工营地周边林草浇灌</w:t>
                  </w:r>
                </w:p>
              </w:tc>
              <w:tc>
                <w:tcPr>
                  <w:tcW w:w="506" w:type="pct"/>
                  <w:vMerge w:val="continue"/>
                  <w:tcBorders>
                    <w:left w:val="nil"/>
                    <w:right w:val="single" w:color="auto" w:sz="4" w:space="0"/>
                  </w:tcBorders>
                  <w:vAlign w:val="center"/>
                </w:tcPr>
                <w:p>
                  <w:pPr>
                    <w:pStyle w:val="28"/>
                  </w:pPr>
                </w:p>
              </w:tc>
            </w:tr>
            <w:tr>
              <w:tblPrEx>
                <w:tblCellMar>
                  <w:top w:w="0" w:type="dxa"/>
                  <w:left w:w="108" w:type="dxa"/>
                  <w:bottom w:w="0" w:type="dxa"/>
                  <w:right w:w="108" w:type="dxa"/>
                </w:tblCellMar>
              </w:tblPrEx>
              <w:trPr>
                <w:trHeight w:val="454" w:hRule="atLeast"/>
                <w:jc w:val="center"/>
              </w:trPr>
              <w:tc>
                <w:tcPr>
                  <w:tcW w:w="268" w:type="pct"/>
                  <w:vMerge w:val="continue"/>
                  <w:tcBorders>
                    <w:left w:val="single" w:color="auto" w:sz="4" w:space="0"/>
                    <w:bottom w:val="single" w:color="auto" w:sz="4" w:space="0"/>
                    <w:right w:val="single" w:color="auto" w:sz="4" w:space="0"/>
                  </w:tcBorders>
                  <w:vAlign w:val="center"/>
                </w:tcPr>
                <w:p>
                  <w:pPr>
                    <w:pStyle w:val="28"/>
                  </w:pPr>
                </w:p>
              </w:tc>
              <w:tc>
                <w:tcPr>
                  <w:tcW w:w="689" w:type="pct"/>
                  <w:vMerge w:val="continue"/>
                  <w:tcBorders>
                    <w:left w:val="nil"/>
                    <w:bottom w:val="single" w:color="auto" w:sz="4" w:space="0"/>
                    <w:right w:val="single" w:color="auto" w:sz="4" w:space="0"/>
                  </w:tcBorders>
                  <w:vAlign w:val="center"/>
                </w:tcPr>
                <w:p>
                  <w:pPr>
                    <w:pStyle w:val="28"/>
                  </w:pPr>
                </w:p>
              </w:tc>
              <w:tc>
                <w:tcPr>
                  <w:tcW w:w="1292" w:type="pct"/>
                  <w:tcBorders>
                    <w:top w:val="nil"/>
                    <w:left w:val="nil"/>
                    <w:bottom w:val="single" w:color="auto" w:sz="4" w:space="0"/>
                    <w:right w:val="single" w:color="auto" w:sz="4" w:space="0"/>
                  </w:tcBorders>
                  <w:vAlign w:val="center"/>
                </w:tcPr>
                <w:p>
                  <w:pPr>
                    <w:pStyle w:val="28"/>
                  </w:pPr>
                  <w:r>
                    <w:rPr>
                      <w:rFonts w:hint="eastAsia"/>
                    </w:rPr>
                    <w:t>运营期废水</w:t>
                  </w:r>
                </w:p>
              </w:tc>
              <w:tc>
                <w:tcPr>
                  <w:tcW w:w="2243" w:type="pct"/>
                  <w:tcBorders>
                    <w:top w:val="nil"/>
                    <w:left w:val="nil"/>
                    <w:bottom w:val="single" w:color="auto" w:sz="4" w:space="0"/>
                    <w:right w:val="single" w:color="auto" w:sz="4" w:space="0"/>
                  </w:tcBorders>
                  <w:vAlign w:val="center"/>
                </w:tcPr>
                <w:p>
                  <w:pPr>
                    <w:pStyle w:val="28"/>
                    <w:rPr>
                      <w:rFonts w:hint="eastAsia" w:eastAsia="宋体"/>
                      <w:lang w:eastAsia="zh-CN"/>
                    </w:rPr>
                  </w:pPr>
                  <w:r>
                    <w:t>采用化粪池</w:t>
                  </w:r>
                  <w:r>
                    <w:rPr>
                      <w:rFonts w:hint="eastAsia"/>
                    </w:rPr>
                    <w:t>及</w:t>
                  </w:r>
                  <w:r>
                    <w:rPr>
                      <w:rFonts w:hint="eastAsia"/>
                      <w:lang w:val="en-US" w:eastAsia="zh-CN"/>
                    </w:rPr>
                    <w:t>一体化处理设施</w:t>
                  </w:r>
                  <w:r>
                    <w:rPr>
                      <w:rFonts w:hint="eastAsia"/>
                      <w:lang w:eastAsia="zh-CN"/>
                    </w:rPr>
                    <w:t>，经处理后用作周边农肥，不外排</w:t>
                  </w:r>
                </w:p>
              </w:tc>
              <w:tc>
                <w:tcPr>
                  <w:tcW w:w="506" w:type="pct"/>
                  <w:vMerge w:val="continue"/>
                  <w:tcBorders>
                    <w:left w:val="nil"/>
                    <w:bottom w:val="single" w:color="auto" w:sz="4" w:space="0"/>
                    <w:right w:val="single" w:color="auto" w:sz="4" w:space="0"/>
                  </w:tcBorders>
                  <w:vAlign w:val="center"/>
                </w:tcPr>
                <w:p>
                  <w:pPr>
                    <w:pStyle w:val="28"/>
                  </w:pPr>
                </w:p>
              </w:tc>
            </w:tr>
            <w:tr>
              <w:tblPrEx>
                <w:tblCellMar>
                  <w:top w:w="0" w:type="dxa"/>
                  <w:left w:w="108" w:type="dxa"/>
                  <w:bottom w:w="0" w:type="dxa"/>
                  <w:right w:w="108" w:type="dxa"/>
                </w:tblCellMar>
              </w:tblPrEx>
              <w:trPr>
                <w:trHeight w:val="454" w:hRule="atLeast"/>
                <w:jc w:val="center"/>
              </w:trPr>
              <w:tc>
                <w:tcPr>
                  <w:tcW w:w="268" w:type="pct"/>
                  <w:vMerge w:val="restart"/>
                  <w:tcBorders>
                    <w:top w:val="nil"/>
                    <w:left w:val="single" w:color="auto" w:sz="4" w:space="0"/>
                    <w:right w:val="single" w:color="auto" w:sz="4" w:space="0"/>
                  </w:tcBorders>
                  <w:vAlign w:val="center"/>
                </w:tcPr>
                <w:p>
                  <w:pPr>
                    <w:pStyle w:val="28"/>
                  </w:pPr>
                  <w:r>
                    <w:t>4</w:t>
                  </w:r>
                </w:p>
              </w:tc>
              <w:tc>
                <w:tcPr>
                  <w:tcW w:w="689" w:type="pct"/>
                  <w:vMerge w:val="restart"/>
                  <w:tcBorders>
                    <w:top w:val="nil"/>
                    <w:left w:val="nil"/>
                    <w:right w:val="single" w:color="auto" w:sz="4" w:space="0"/>
                  </w:tcBorders>
                  <w:vAlign w:val="center"/>
                </w:tcPr>
                <w:p>
                  <w:pPr>
                    <w:pStyle w:val="28"/>
                  </w:pPr>
                  <w:r>
                    <w:t>固体废弃物污染防治</w:t>
                  </w:r>
                </w:p>
              </w:tc>
              <w:tc>
                <w:tcPr>
                  <w:tcW w:w="1292" w:type="pct"/>
                  <w:tcBorders>
                    <w:top w:val="nil"/>
                    <w:left w:val="nil"/>
                    <w:bottom w:val="single" w:color="auto" w:sz="4" w:space="0"/>
                    <w:right w:val="single" w:color="auto" w:sz="4" w:space="0"/>
                  </w:tcBorders>
                  <w:vAlign w:val="center"/>
                </w:tcPr>
                <w:p>
                  <w:pPr>
                    <w:pStyle w:val="28"/>
                  </w:pPr>
                  <w:r>
                    <w:t>生活垃圾处置</w:t>
                  </w:r>
                </w:p>
              </w:tc>
              <w:tc>
                <w:tcPr>
                  <w:tcW w:w="2243" w:type="pct"/>
                  <w:tcBorders>
                    <w:top w:val="nil"/>
                    <w:left w:val="nil"/>
                    <w:bottom w:val="single" w:color="auto" w:sz="4" w:space="0"/>
                    <w:right w:val="single" w:color="auto" w:sz="4" w:space="0"/>
                  </w:tcBorders>
                  <w:vAlign w:val="center"/>
                </w:tcPr>
                <w:p>
                  <w:pPr>
                    <w:pStyle w:val="28"/>
                    <w:rPr>
                      <w:rFonts w:hint="eastAsia" w:eastAsia="宋体"/>
                      <w:lang w:val="en-US" w:eastAsia="zh-CN"/>
                    </w:rPr>
                  </w:pPr>
                  <w:r>
                    <w:t>生活垃圾</w:t>
                  </w:r>
                  <w:r>
                    <w:rPr>
                      <w:rFonts w:hint="eastAsia"/>
                      <w:lang w:val="en-US" w:eastAsia="zh-CN"/>
                    </w:rPr>
                    <w:t>清运</w:t>
                  </w:r>
                </w:p>
              </w:tc>
              <w:tc>
                <w:tcPr>
                  <w:tcW w:w="506" w:type="pct"/>
                  <w:vMerge w:val="restart"/>
                  <w:tcBorders>
                    <w:top w:val="nil"/>
                    <w:left w:val="nil"/>
                    <w:right w:val="single" w:color="auto" w:sz="4" w:space="0"/>
                  </w:tcBorders>
                  <w:vAlign w:val="center"/>
                </w:tcPr>
                <w:p>
                  <w:pPr>
                    <w:pStyle w:val="28"/>
                  </w:pPr>
                  <w:r>
                    <w:t>10</w:t>
                  </w:r>
                </w:p>
              </w:tc>
            </w:tr>
            <w:tr>
              <w:tblPrEx>
                <w:tblCellMar>
                  <w:top w:w="0" w:type="dxa"/>
                  <w:left w:w="108" w:type="dxa"/>
                  <w:bottom w:w="0" w:type="dxa"/>
                  <w:right w:w="108" w:type="dxa"/>
                </w:tblCellMar>
              </w:tblPrEx>
              <w:trPr>
                <w:trHeight w:val="454" w:hRule="atLeast"/>
                <w:jc w:val="center"/>
              </w:trPr>
              <w:tc>
                <w:tcPr>
                  <w:tcW w:w="268" w:type="pct"/>
                  <w:vMerge w:val="continue"/>
                  <w:tcBorders>
                    <w:left w:val="single" w:color="auto" w:sz="4" w:space="0"/>
                    <w:bottom w:val="single" w:color="auto" w:sz="4" w:space="0"/>
                    <w:right w:val="single" w:color="auto" w:sz="4" w:space="0"/>
                  </w:tcBorders>
                  <w:vAlign w:val="center"/>
                </w:tcPr>
                <w:p>
                  <w:pPr>
                    <w:pStyle w:val="28"/>
                  </w:pPr>
                </w:p>
              </w:tc>
              <w:tc>
                <w:tcPr>
                  <w:tcW w:w="689" w:type="pct"/>
                  <w:vMerge w:val="continue"/>
                  <w:tcBorders>
                    <w:left w:val="nil"/>
                    <w:bottom w:val="single" w:color="auto" w:sz="4" w:space="0"/>
                    <w:right w:val="single" w:color="auto" w:sz="4" w:space="0"/>
                  </w:tcBorders>
                  <w:vAlign w:val="center"/>
                </w:tcPr>
                <w:p>
                  <w:pPr>
                    <w:pStyle w:val="28"/>
                  </w:pPr>
                </w:p>
              </w:tc>
              <w:tc>
                <w:tcPr>
                  <w:tcW w:w="1292" w:type="pct"/>
                  <w:tcBorders>
                    <w:top w:val="nil"/>
                    <w:left w:val="nil"/>
                    <w:bottom w:val="single" w:color="auto" w:sz="4" w:space="0"/>
                    <w:right w:val="single" w:color="auto" w:sz="4" w:space="0"/>
                  </w:tcBorders>
                  <w:vAlign w:val="center"/>
                </w:tcPr>
                <w:p>
                  <w:pPr>
                    <w:pStyle w:val="28"/>
                  </w:pPr>
                  <w:r>
                    <w:t>弃渣和建筑垃圾处置</w:t>
                  </w:r>
                </w:p>
              </w:tc>
              <w:tc>
                <w:tcPr>
                  <w:tcW w:w="2243" w:type="pct"/>
                  <w:tcBorders>
                    <w:top w:val="nil"/>
                    <w:left w:val="nil"/>
                    <w:bottom w:val="single" w:color="auto" w:sz="4" w:space="0"/>
                    <w:right w:val="single" w:color="auto" w:sz="4" w:space="0"/>
                  </w:tcBorders>
                  <w:vAlign w:val="center"/>
                </w:tcPr>
                <w:p>
                  <w:pPr>
                    <w:pStyle w:val="28"/>
                  </w:pPr>
                  <w:r>
                    <w:t>弃土和建筑垃圾清运</w:t>
                  </w:r>
                  <w:r>
                    <w:rPr>
                      <w:rFonts w:hint="eastAsia"/>
                    </w:rPr>
                    <w:t>费</w:t>
                  </w:r>
                  <w:r>
                    <w:t>，纳入工程主体投资，不重复计列</w:t>
                  </w:r>
                </w:p>
              </w:tc>
              <w:tc>
                <w:tcPr>
                  <w:tcW w:w="506" w:type="pct"/>
                  <w:vMerge w:val="continue"/>
                  <w:tcBorders>
                    <w:left w:val="nil"/>
                    <w:bottom w:val="single" w:color="auto" w:sz="4" w:space="0"/>
                    <w:right w:val="single" w:color="auto" w:sz="4" w:space="0"/>
                  </w:tcBorders>
                  <w:vAlign w:val="center"/>
                </w:tcPr>
                <w:p>
                  <w:pPr>
                    <w:pStyle w:val="28"/>
                  </w:pPr>
                </w:p>
              </w:tc>
            </w:tr>
            <w:tr>
              <w:tblPrEx>
                <w:tblCellMar>
                  <w:top w:w="0" w:type="dxa"/>
                  <w:left w:w="108" w:type="dxa"/>
                  <w:bottom w:w="0" w:type="dxa"/>
                  <w:right w:w="108" w:type="dxa"/>
                </w:tblCellMar>
              </w:tblPrEx>
              <w:trPr>
                <w:trHeight w:val="454" w:hRule="atLeast"/>
                <w:jc w:val="center"/>
              </w:trPr>
              <w:tc>
                <w:tcPr>
                  <w:tcW w:w="268" w:type="pct"/>
                  <w:tcBorders>
                    <w:top w:val="nil"/>
                    <w:left w:val="single" w:color="auto" w:sz="4" w:space="0"/>
                    <w:bottom w:val="single" w:color="auto" w:sz="4" w:space="0"/>
                    <w:right w:val="single" w:color="auto" w:sz="4" w:space="0"/>
                  </w:tcBorders>
                  <w:vAlign w:val="center"/>
                </w:tcPr>
                <w:p>
                  <w:pPr>
                    <w:pStyle w:val="28"/>
                  </w:pPr>
                  <w:r>
                    <w:t>5</w:t>
                  </w:r>
                </w:p>
              </w:tc>
              <w:tc>
                <w:tcPr>
                  <w:tcW w:w="689" w:type="pct"/>
                  <w:tcBorders>
                    <w:top w:val="nil"/>
                    <w:left w:val="nil"/>
                    <w:bottom w:val="single" w:color="auto" w:sz="4" w:space="0"/>
                    <w:right w:val="single" w:color="auto" w:sz="4" w:space="0"/>
                  </w:tcBorders>
                  <w:vAlign w:val="center"/>
                </w:tcPr>
                <w:p>
                  <w:pPr>
                    <w:pStyle w:val="28"/>
                  </w:pPr>
                  <w:r>
                    <w:t>环境风险防范措施</w:t>
                  </w:r>
                </w:p>
              </w:tc>
              <w:tc>
                <w:tcPr>
                  <w:tcW w:w="1292" w:type="pct"/>
                  <w:tcBorders>
                    <w:top w:val="nil"/>
                    <w:left w:val="nil"/>
                    <w:bottom w:val="single" w:color="auto" w:sz="4" w:space="0"/>
                    <w:right w:val="single" w:color="auto" w:sz="4" w:space="0"/>
                  </w:tcBorders>
                  <w:vAlign w:val="center"/>
                </w:tcPr>
                <w:p>
                  <w:pPr>
                    <w:pStyle w:val="28"/>
                  </w:pPr>
                  <w:r>
                    <w:t>主变事故排油风险防范措施</w:t>
                  </w:r>
                </w:p>
              </w:tc>
              <w:tc>
                <w:tcPr>
                  <w:tcW w:w="2243" w:type="pct"/>
                  <w:tcBorders>
                    <w:top w:val="nil"/>
                    <w:left w:val="nil"/>
                    <w:bottom w:val="single" w:color="auto" w:sz="4" w:space="0"/>
                    <w:right w:val="single" w:color="auto" w:sz="4" w:space="0"/>
                  </w:tcBorders>
                  <w:vAlign w:val="center"/>
                </w:tcPr>
                <w:p>
                  <w:pPr>
                    <w:pStyle w:val="28"/>
                  </w:pPr>
                  <w:r>
                    <w:rPr>
                      <w:rFonts w:hint="eastAsia"/>
                    </w:rPr>
                    <w:t>事故油池</w:t>
                  </w:r>
                  <w:r>
                    <w:t>、排油管道</w:t>
                  </w:r>
                </w:p>
              </w:tc>
              <w:tc>
                <w:tcPr>
                  <w:tcW w:w="506" w:type="pct"/>
                  <w:tcBorders>
                    <w:top w:val="nil"/>
                    <w:left w:val="nil"/>
                    <w:bottom w:val="single" w:color="auto" w:sz="4" w:space="0"/>
                    <w:right w:val="single" w:color="auto" w:sz="4" w:space="0"/>
                  </w:tcBorders>
                  <w:vAlign w:val="center"/>
                </w:tcPr>
                <w:p>
                  <w:pPr>
                    <w:pStyle w:val="28"/>
                    <w:rPr>
                      <w:rFonts w:hint="default" w:eastAsia="宋体"/>
                      <w:lang w:val="en-US" w:eastAsia="zh-CN"/>
                    </w:rPr>
                  </w:pPr>
                  <w:r>
                    <w:rPr>
                      <w:rFonts w:hint="eastAsia"/>
                      <w:lang w:val="en-US" w:eastAsia="zh-CN"/>
                    </w:rPr>
                    <w:t>25</w:t>
                  </w:r>
                </w:p>
              </w:tc>
            </w:tr>
            <w:tr>
              <w:tblPrEx>
                <w:tblCellMar>
                  <w:top w:w="0" w:type="dxa"/>
                  <w:left w:w="108" w:type="dxa"/>
                  <w:bottom w:w="0" w:type="dxa"/>
                  <w:right w:w="108" w:type="dxa"/>
                </w:tblCellMar>
              </w:tblPrEx>
              <w:trPr>
                <w:trHeight w:val="454" w:hRule="atLeast"/>
                <w:jc w:val="center"/>
              </w:trPr>
              <w:tc>
                <w:tcPr>
                  <w:tcW w:w="268" w:type="pct"/>
                  <w:vMerge w:val="restart"/>
                  <w:tcBorders>
                    <w:top w:val="nil"/>
                    <w:left w:val="single" w:color="auto" w:sz="4" w:space="0"/>
                    <w:right w:val="single" w:color="auto" w:sz="4" w:space="0"/>
                  </w:tcBorders>
                  <w:vAlign w:val="center"/>
                </w:tcPr>
                <w:p>
                  <w:pPr>
                    <w:pStyle w:val="28"/>
                  </w:pPr>
                  <w:r>
                    <w:t>6</w:t>
                  </w:r>
                </w:p>
              </w:tc>
              <w:tc>
                <w:tcPr>
                  <w:tcW w:w="689" w:type="pct"/>
                  <w:vMerge w:val="restart"/>
                  <w:tcBorders>
                    <w:top w:val="nil"/>
                    <w:left w:val="nil"/>
                    <w:right w:val="single" w:color="auto" w:sz="4" w:space="0"/>
                  </w:tcBorders>
                  <w:vAlign w:val="center"/>
                </w:tcPr>
                <w:p>
                  <w:pPr>
                    <w:pStyle w:val="28"/>
                  </w:pPr>
                  <w:r>
                    <w:t>生态环境保护</w:t>
                  </w:r>
                </w:p>
              </w:tc>
              <w:tc>
                <w:tcPr>
                  <w:tcW w:w="1292" w:type="pct"/>
                  <w:tcBorders>
                    <w:top w:val="nil"/>
                    <w:left w:val="nil"/>
                    <w:bottom w:val="single" w:color="auto" w:sz="4" w:space="0"/>
                    <w:right w:val="single" w:color="auto" w:sz="4" w:space="0"/>
                  </w:tcBorders>
                  <w:vAlign w:val="center"/>
                </w:tcPr>
                <w:p>
                  <w:pPr>
                    <w:pStyle w:val="28"/>
                  </w:pPr>
                  <w:r>
                    <w:t>新增水土保持投资</w:t>
                  </w:r>
                  <w:r>
                    <w:rPr>
                      <w:rFonts w:hint="eastAsia"/>
                    </w:rPr>
                    <w:t>、</w:t>
                  </w:r>
                  <w:r>
                    <w:t>绿化工程</w:t>
                  </w:r>
                  <w:r>
                    <w:rPr>
                      <w:rFonts w:hint="eastAsia"/>
                    </w:rPr>
                    <w:t>、</w:t>
                  </w:r>
                  <w:r>
                    <w:t>水及防护工程</w:t>
                  </w:r>
                  <w:r>
                    <w:rPr>
                      <w:rFonts w:hint="eastAsia"/>
                    </w:rPr>
                    <w:t>、</w:t>
                  </w:r>
                  <w:r>
                    <w:t>临时用地复垦费或植被恢复费</w:t>
                  </w:r>
                </w:p>
              </w:tc>
              <w:tc>
                <w:tcPr>
                  <w:tcW w:w="2243" w:type="pct"/>
                  <w:tcBorders>
                    <w:top w:val="nil"/>
                    <w:left w:val="single" w:color="auto" w:sz="4" w:space="0"/>
                    <w:bottom w:val="single" w:color="000000" w:sz="4" w:space="0"/>
                    <w:right w:val="single" w:color="auto" w:sz="4" w:space="0"/>
                  </w:tcBorders>
                  <w:vAlign w:val="center"/>
                </w:tcPr>
                <w:p>
                  <w:pPr>
                    <w:pStyle w:val="28"/>
                  </w:pPr>
                  <w:r>
                    <w:t>由主体工程或水保工程设计，已列入主体工程投资、水保投资或林地使用补偿投资中</w:t>
                  </w:r>
                </w:p>
              </w:tc>
              <w:tc>
                <w:tcPr>
                  <w:tcW w:w="506" w:type="pct"/>
                  <w:vMerge w:val="restart"/>
                  <w:tcBorders>
                    <w:top w:val="nil"/>
                    <w:left w:val="nil"/>
                    <w:right w:val="single" w:color="auto" w:sz="4" w:space="0"/>
                  </w:tcBorders>
                  <w:vAlign w:val="center"/>
                </w:tcPr>
                <w:p>
                  <w:pPr>
                    <w:pStyle w:val="28"/>
                  </w:pPr>
                  <w:r>
                    <w:t>25</w:t>
                  </w:r>
                </w:p>
              </w:tc>
            </w:tr>
            <w:tr>
              <w:tblPrEx>
                <w:tblCellMar>
                  <w:top w:w="0" w:type="dxa"/>
                  <w:left w:w="108" w:type="dxa"/>
                  <w:bottom w:w="0" w:type="dxa"/>
                  <w:right w:w="108" w:type="dxa"/>
                </w:tblCellMar>
              </w:tblPrEx>
              <w:trPr>
                <w:trHeight w:val="454" w:hRule="atLeast"/>
                <w:jc w:val="center"/>
              </w:trPr>
              <w:tc>
                <w:tcPr>
                  <w:tcW w:w="268" w:type="pct"/>
                  <w:vMerge w:val="continue"/>
                  <w:tcBorders>
                    <w:left w:val="single" w:color="auto" w:sz="4" w:space="0"/>
                    <w:right w:val="single" w:color="auto" w:sz="4" w:space="0"/>
                  </w:tcBorders>
                  <w:vAlign w:val="center"/>
                </w:tcPr>
                <w:p>
                  <w:pPr>
                    <w:pStyle w:val="28"/>
                  </w:pPr>
                </w:p>
              </w:tc>
              <w:tc>
                <w:tcPr>
                  <w:tcW w:w="689" w:type="pct"/>
                  <w:vMerge w:val="continue"/>
                  <w:tcBorders>
                    <w:left w:val="nil"/>
                    <w:right w:val="single" w:color="auto" w:sz="4" w:space="0"/>
                  </w:tcBorders>
                  <w:vAlign w:val="center"/>
                </w:tcPr>
                <w:p>
                  <w:pPr>
                    <w:pStyle w:val="28"/>
                  </w:pPr>
                </w:p>
              </w:tc>
              <w:tc>
                <w:tcPr>
                  <w:tcW w:w="1292" w:type="pct"/>
                  <w:tcBorders>
                    <w:top w:val="nil"/>
                    <w:left w:val="nil"/>
                    <w:bottom w:val="single" w:color="auto" w:sz="4" w:space="0"/>
                    <w:right w:val="single" w:color="auto" w:sz="4" w:space="0"/>
                  </w:tcBorders>
                  <w:vAlign w:val="center"/>
                </w:tcPr>
                <w:p>
                  <w:pPr>
                    <w:pStyle w:val="28"/>
                  </w:pPr>
                  <w:r>
                    <w:t>植物防疫检查、外来植物清理</w:t>
                  </w:r>
                </w:p>
              </w:tc>
              <w:tc>
                <w:tcPr>
                  <w:tcW w:w="2243" w:type="pct"/>
                  <w:tcBorders>
                    <w:top w:val="nil"/>
                    <w:left w:val="single" w:color="auto" w:sz="4" w:space="0"/>
                    <w:bottom w:val="single" w:color="000000" w:sz="4" w:space="0"/>
                    <w:right w:val="single" w:color="auto" w:sz="4" w:space="0"/>
                  </w:tcBorders>
                  <w:vAlign w:val="center"/>
                </w:tcPr>
                <w:p>
                  <w:pPr>
                    <w:pStyle w:val="28"/>
                  </w:pPr>
                  <w:r>
                    <w:t>预留</w:t>
                  </w:r>
                </w:p>
              </w:tc>
              <w:tc>
                <w:tcPr>
                  <w:tcW w:w="506" w:type="pct"/>
                  <w:vMerge w:val="continue"/>
                  <w:tcBorders>
                    <w:left w:val="nil"/>
                    <w:right w:val="single" w:color="auto" w:sz="4" w:space="0"/>
                  </w:tcBorders>
                  <w:vAlign w:val="center"/>
                </w:tcPr>
                <w:p>
                  <w:pPr>
                    <w:pStyle w:val="28"/>
                  </w:pPr>
                </w:p>
              </w:tc>
            </w:tr>
            <w:tr>
              <w:trPr>
                <w:trHeight w:val="454" w:hRule="atLeast"/>
                <w:jc w:val="center"/>
              </w:trPr>
              <w:tc>
                <w:tcPr>
                  <w:tcW w:w="268" w:type="pct"/>
                  <w:vMerge w:val="continue"/>
                  <w:tcBorders>
                    <w:left w:val="single" w:color="auto" w:sz="4" w:space="0"/>
                    <w:right w:val="single" w:color="auto" w:sz="4" w:space="0"/>
                  </w:tcBorders>
                  <w:vAlign w:val="center"/>
                </w:tcPr>
                <w:p>
                  <w:pPr>
                    <w:pStyle w:val="28"/>
                  </w:pPr>
                </w:p>
              </w:tc>
              <w:tc>
                <w:tcPr>
                  <w:tcW w:w="689" w:type="pct"/>
                  <w:vMerge w:val="continue"/>
                  <w:tcBorders>
                    <w:left w:val="nil"/>
                    <w:right w:val="single" w:color="auto" w:sz="4" w:space="0"/>
                  </w:tcBorders>
                  <w:vAlign w:val="center"/>
                </w:tcPr>
                <w:p>
                  <w:pPr>
                    <w:pStyle w:val="28"/>
                  </w:pPr>
                </w:p>
              </w:tc>
              <w:tc>
                <w:tcPr>
                  <w:tcW w:w="1292" w:type="pct"/>
                  <w:tcBorders>
                    <w:top w:val="nil"/>
                    <w:left w:val="nil"/>
                    <w:bottom w:val="single" w:color="auto" w:sz="4" w:space="0"/>
                    <w:right w:val="single" w:color="auto" w:sz="4" w:space="0"/>
                  </w:tcBorders>
                  <w:vAlign w:val="center"/>
                </w:tcPr>
                <w:p>
                  <w:pPr>
                    <w:pStyle w:val="28"/>
                  </w:pPr>
                  <w:r>
                    <w:t>宣传教育费</w:t>
                  </w:r>
                </w:p>
              </w:tc>
              <w:tc>
                <w:tcPr>
                  <w:tcW w:w="2243" w:type="pct"/>
                  <w:tcBorders>
                    <w:top w:val="nil"/>
                    <w:left w:val="nil"/>
                    <w:bottom w:val="single" w:color="auto" w:sz="4" w:space="0"/>
                    <w:right w:val="single" w:color="auto" w:sz="4" w:space="0"/>
                  </w:tcBorders>
                  <w:vAlign w:val="center"/>
                </w:tcPr>
                <w:p>
                  <w:pPr>
                    <w:pStyle w:val="28"/>
                  </w:pPr>
                  <w:r>
                    <w:t>环保宣传教育宣传册制作、宣传牌、警示牌购置和安装费</w:t>
                  </w:r>
                </w:p>
              </w:tc>
              <w:tc>
                <w:tcPr>
                  <w:tcW w:w="506" w:type="pct"/>
                  <w:vMerge w:val="continue"/>
                  <w:tcBorders>
                    <w:left w:val="nil"/>
                    <w:right w:val="single" w:color="auto" w:sz="4" w:space="0"/>
                  </w:tcBorders>
                  <w:vAlign w:val="center"/>
                </w:tcPr>
                <w:p>
                  <w:pPr>
                    <w:pStyle w:val="28"/>
                  </w:pPr>
                </w:p>
              </w:tc>
            </w:tr>
            <w:tr>
              <w:tblPrEx>
                <w:tblCellMar>
                  <w:top w:w="0" w:type="dxa"/>
                  <w:left w:w="108" w:type="dxa"/>
                  <w:bottom w:w="0" w:type="dxa"/>
                  <w:right w:w="108" w:type="dxa"/>
                </w:tblCellMar>
              </w:tblPrEx>
              <w:trPr>
                <w:trHeight w:val="454" w:hRule="atLeast"/>
                <w:jc w:val="center"/>
              </w:trPr>
              <w:tc>
                <w:tcPr>
                  <w:tcW w:w="268" w:type="pct"/>
                  <w:vMerge w:val="continue"/>
                  <w:tcBorders>
                    <w:left w:val="single" w:color="auto" w:sz="4" w:space="0"/>
                    <w:bottom w:val="single" w:color="auto" w:sz="4" w:space="0"/>
                    <w:right w:val="single" w:color="auto" w:sz="4" w:space="0"/>
                  </w:tcBorders>
                  <w:vAlign w:val="center"/>
                </w:tcPr>
                <w:p>
                  <w:pPr>
                    <w:pStyle w:val="28"/>
                  </w:pPr>
                </w:p>
              </w:tc>
              <w:tc>
                <w:tcPr>
                  <w:tcW w:w="689" w:type="pct"/>
                  <w:vMerge w:val="continue"/>
                  <w:tcBorders>
                    <w:left w:val="nil"/>
                    <w:bottom w:val="single" w:color="auto" w:sz="4" w:space="0"/>
                    <w:right w:val="single" w:color="auto" w:sz="4" w:space="0"/>
                  </w:tcBorders>
                  <w:vAlign w:val="center"/>
                </w:tcPr>
                <w:p>
                  <w:pPr>
                    <w:pStyle w:val="28"/>
                  </w:pPr>
                </w:p>
              </w:tc>
              <w:tc>
                <w:tcPr>
                  <w:tcW w:w="1292" w:type="pct"/>
                  <w:tcBorders>
                    <w:top w:val="nil"/>
                    <w:left w:val="nil"/>
                    <w:bottom w:val="single" w:color="auto" w:sz="4" w:space="0"/>
                    <w:right w:val="single" w:color="auto" w:sz="4" w:space="0"/>
                  </w:tcBorders>
                  <w:vAlign w:val="center"/>
                </w:tcPr>
                <w:p>
                  <w:pPr>
                    <w:pStyle w:val="28"/>
                  </w:pPr>
                  <w:r>
                    <w:t>鸟类、动物救护</w:t>
                  </w:r>
                </w:p>
              </w:tc>
              <w:tc>
                <w:tcPr>
                  <w:tcW w:w="2243" w:type="pct"/>
                  <w:tcBorders>
                    <w:top w:val="nil"/>
                    <w:left w:val="nil"/>
                    <w:bottom w:val="single" w:color="auto" w:sz="4" w:space="0"/>
                    <w:right w:val="single" w:color="auto" w:sz="4" w:space="0"/>
                  </w:tcBorders>
                  <w:vAlign w:val="bottom"/>
                </w:tcPr>
                <w:p>
                  <w:pPr>
                    <w:pStyle w:val="28"/>
                  </w:pPr>
                  <w:r>
                    <w:t>预留费用</w:t>
                  </w:r>
                </w:p>
              </w:tc>
              <w:tc>
                <w:tcPr>
                  <w:tcW w:w="506" w:type="pct"/>
                  <w:vMerge w:val="continue"/>
                  <w:tcBorders>
                    <w:left w:val="nil"/>
                    <w:bottom w:val="single" w:color="auto" w:sz="4" w:space="0"/>
                    <w:right w:val="single" w:color="auto" w:sz="4" w:space="0"/>
                  </w:tcBorders>
                  <w:vAlign w:val="center"/>
                </w:tcPr>
                <w:p>
                  <w:pPr>
                    <w:pStyle w:val="28"/>
                  </w:pPr>
                </w:p>
              </w:tc>
            </w:tr>
            <w:tr>
              <w:tblPrEx>
                <w:tblCellMar>
                  <w:top w:w="0" w:type="dxa"/>
                  <w:left w:w="108" w:type="dxa"/>
                  <w:bottom w:w="0" w:type="dxa"/>
                  <w:right w:w="108" w:type="dxa"/>
                </w:tblCellMar>
              </w:tblPrEx>
              <w:trPr>
                <w:trHeight w:val="454" w:hRule="atLeast"/>
                <w:jc w:val="center"/>
              </w:trPr>
              <w:tc>
                <w:tcPr>
                  <w:tcW w:w="268" w:type="pct"/>
                  <w:tcBorders>
                    <w:top w:val="nil"/>
                    <w:left w:val="single" w:color="auto" w:sz="4" w:space="0"/>
                    <w:bottom w:val="single" w:color="auto" w:sz="4" w:space="0"/>
                    <w:right w:val="single" w:color="auto" w:sz="4" w:space="0"/>
                  </w:tcBorders>
                  <w:vAlign w:val="center"/>
                </w:tcPr>
                <w:p>
                  <w:pPr>
                    <w:pStyle w:val="28"/>
                  </w:pPr>
                  <w:r>
                    <w:rPr>
                      <w:rFonts w:hint="eastAsia"/>
                    </w:rPr>
                    <w:t>7</w:t>
                  </w:r>
                </w:p>
              </w:tc>
              <w:tc>
                <w:tcPr>
                  <w:tcW w:w="689" w:type="pct"/>
                  <w:tcBorders>
                    <w:top w:val="single" w:color="auto" w:sz="4" w:space="0"/>
                    <w:left w:val="nil"/>
                    <w:bottom w:val="single" w:color="auto" w:sz="4" w:space="0"/>
                    <w:right w:val="single" w:color="auto" w:sz="4" w:space="0"/>
                  </w:tcBorders>
                  <w:vAlign w:val="center"/>
                </w:tcPr>
                <w:p>
                  <w:pPr>
                    <w:pStyle w:val="28"/>
                  </w:pPr>
                  <w:r>
                    <w:t>环境管理费</w:t>
                  </w:r>
                </w:p>
              </w:tc>
              <w:tc>
                <w:tcPr>
                  <w:tcW w:w="3536" w:type="pct"/>
                  <w:gridSpan w:val="2"/>
                  <w:tcBorders>
                    <w:top w:val="single" w:color="auto" w:sz="4" w:space="0"/>
                    <w:left w:val="nil"/>
                    <w:bottom w:val="single" w:color="auto" w:sz="4" w:space="0"/>
                    <w:right w:val="single" w:color="auto" w:sz="4" w:space="0"/>
                  </w:tcBorders>
                  <w:vAlign w:val="center"/>
                </w:tcPr>
                <w:p>
                  <w:pPr>
                    <w:pStyle w:val="28"/>
                  </w:pPr>
                  <w:r>
                    <w:rPr>
                      <w:rFonts w:hint="eastAsia"/>
                    </w:rPr>
                    <w:t>竣工环保验收费</w:t>
                  </w:r>
                </w:p>
              </w:tc>
              <w:tc>
                <w:tcPr>
                  <w:tcW w:w="506" w:type="pct"/>
                  <w:tcBorders>
                    <w:top w:val="nil"/>
                    <w:left w:val="nil"/>
                    <w:bottom w:val="single" w:color="auto" w:sz="4" w:space="0"/>
                    <w:right w:val="single" w:color="auto" w:sz="4" w:space="0"/>
                  </w:tcBorders>
                  <w:vAlign w:val="center"/>
                </w:tcPr>
                <w:p>
                  <w:pPr>
                    <w:pStyle w:val="28"/>
                  </w:pPr>
                  <w:r>
                    <w:t>10</w:t>
                  </w:r>
                </w:p>
              </w:tc>
            </w:tr>
            <w:tr>
              <w:tblPrEx>
                <w:tblCellMar>
                  <w:top w:w="0" w:type="dxa"/>
                  <w:left w:w="108" w:type="dxa"/>
                  <w:bottom w:w="0" w:type="dxa"/>
                  <w:right w:w="108" w:type="dxa"/>
                </w:tblCellMar>
              </w:tblPrEx>
              <w:trPr>
                <w:trHeight w:val="454" w:hRule="atLeast"/>
                <w:jc w:val="center"/>
              </w:trPr>
              <w:tc>
                <w:tcPr>
                  <w:tcW w:w="268" w:type="pct"/>
                  <w:tcBorders>
                    <w:top w:val="nil"/>
                    <w:left w:val="single" w:color="auto" w:sz="4" w:space="0"/>
                    <w:bottom w:val="single" w:color="auto" w:sz="4" w:space="0"/>
                    <w:right w:val="single" w:color="auto" w:sz="4" w:space="0"/>
                  </w:tcBorders>
                  <w:vAlign w:val="center"/>
                </w:tcPr>
                <w:p>
                  <w:pPr>
                    <w:pStyle w:val="28"/>
                  </w:pPr>
                  <w:r>
                    <w:rPr>
                      <w:rFonts w:hint="eastAsia"/>
                    </w:rPr>
                    <w:t>9</w:t>
                  </w:r>
                </w:p>
              </w:tc>
              <w:tc>
                <w:tcPr>
                  <w:tcW w:w="4225" w:type="pct"/>
                  <w:gridSpan w:val="3"/>
                  <w:tcBorders>
                    <w:top w:val="nil"/>
                    <w:left w:val="nil"/>
                    <w:bottom w:val="single" w:color="auto" w:sz="4" w:space="0"/>
                    <w:right w:val="single" w:color="auto" w:sz="4" w:space="0"/>
                  </w:tcBorders>
                  <w:vAlign w:val="center"/>
                </w:tcPr>
                <w:p>
                  <w:pPr>
                    <w:pStyle w:val="28"/>
                  </w:pPr>
                  <w:r>
                    <w:t>基本预备费</w:t>
                  </w:r>
                </w:p>
              </w:tc>
              <w:tc>
                <w:tcPr>
                  <w:tcW w:w="506" w:type="pct"/>
                  <w:tcBorders>
                    <w:top w:val="nil"/>
                    <w:left w:val="nil"/>
                    <w:bottom w:val="single" w:color="auto" w:sz="4" w:space="0"/>
                    <w:right w:val="single" w:color="auto" w:sz="4" w:space="0"/>
                  </w:tcBorders>
                  <w:vAlign w:val="center"/>
                </w:tcPr>
                <w:p>
                  <w:pPr>
                    <w:pStyle w:val="28"/>
                  </w:pPr>
                  <w:r>
                    <w:t>30</w:t>
                  </w:r>
                </w:p>
              </w:tc>
            </w:tr>
            <w:tr>
              <w:tblPrEx>
                <w:tblCellMar>
                  <w:top w:w="0" w:type="dxa"/>
                  <w:left w:w="108" w:type="dxa"/>
                  <w:bottom w:w="0" w:type="dxa"/>
                  <w:right w:w="108" w:type="dxa"/>
                </w:tblCellMar>
              </w:tblPrEx>
              <w:trPr>
                <w:trHeight w:val="454" w:hRule="atLeast"/>
                <w:jc w:val="center"/>
              </w:trPr>
              <w:tc>
                <w:tcPr>
                  <w:tcW w:w="4493" w:type="pct"/>
                  <w:gridSpan w:val="4"/>
                  <w:tcBorders>
                    <w:top w:val="single" w:color="auto" w:sz="4" w:space="0"/>
                    <w:left w:val="single" w:color="auto" w:sz="4" w:space="0"/>
                    <w:bottom w:val="single" w:color="auto" w:sz="4" w:space="0"/>
                    <w:right w:val="single" w:color="auto" w:sz="4" w:space="0"/>
                  </w:tcBorders>
                  <w:vAlign w:val="center"/>
                </w:tcPr>
                <w:p>
                  <w:pPr>
                    <w:pStyle w:val="28"/>
                  </w:pPr>
                  <w:r>
                    <w:t>合计</w:t>
                  </w:r>
                </w:p>
              </w:tc>
              <w:tc>
                <w:tcPr>
                  <w:tcW w:w="506" w:type="pct"/>
                  <w:tcBorders>
                    <w:top w:val="nil"/>
                    <w:left w:val="nil"/>
                    <w:bottom w:val="single" w:color="auto" w:sz="4" w:space="0"/>
                    <w:right w:val="single" w:color="auto" w:sz="4" w:space="0"/>
                  </w:tcBorders>
                  <w:vAlign w:val="center"/>
                </w:tcPr>
                <w:p>
                  <w:pPr>
                    <w:pStyle w:val="28"/>
                  </w:pPr>
                  <w:r>
                    <w:t>155</w:t>
                  </w:r>
                </w:p>
              </w:tc>
            </w:tr>
          </w:tbl>
          <w:p>
            <w:pPr>
              <w:pStyle w:val="29"/>
              <w:ind w:firstLine="0" w:firstLineChars="0"/>
            </w:pPr>
          </w:p>
          <w:p>
            <w:pPr>
              <w:pStyle w:val="29"/>
              <w:ind w:firstLine="0" w:firstLineChars="0"/>
            </w:pPr>
          </w:p>
          <w:p>
            <w:pPr>
              <w:pStyle w:val="29"/>
              <w:ind w:firstLine="0" w:firstLineChars="0"/>
            </w:pPr>
          </w:p>
          <w:p>
            <w:pPr>
              <w:pStyle w:val="29"/>
              <w:ind w:firstLine="0" w:firstLineChars="0"/>
            </w:pPr>
          </w:p>
          <w:p>
            <w:pPr>
              <w:pStyle w:val="29"/>
              <w:ind w:firstLine="0" w:firstLineChars="0"/>
            </w:pPr>
          </w:p>
          <w:p>
            <w:pPr>
              <w:pStyle w:val="29"/>
              <w:ind w:firstLine="0" w:firstLineChars="0"/>
            </w:pPr>
          </w:p>
          <w:p>
            <w:pPr>
              <w:pStyle w:val="29"/>
              <w:ind w:firstLine="0" w:firstLineChars="0"/>
            </w:pPr>
          </w:p>
          <w:p>
            <w:pPr>
              <w:pStyle w:val="29"/>
              <w:ind w:firstLine="0" w:firstLineChars="0"/>
            </w:pPr>
          </w:p>
          <w:p>
            <w:pPr>
              <w:pStyle w:val="29"/>
              <w:ind w:firstLine="0" w:firstLineChars="0"/>
            </w:pPr>
          </w:p>
          <w:p>
            <w:pPr>
              <w:pStyle w:val="29"/>
              <w:ind w:firstLine="0" w:firstLineChars="0"/>
            </w:pPr>
          </w:p>
        </w:tc>
      </w:tr>
    </w:tbl>
    <w:p>
      <w:pPr>
        <w:ind w:firstLine="480"/>
        <w:sectPr>
          <w:pgSz w:w="11907" w:h="16840"/>
          <w:pgMar w:top="1417" w:right="1417" w:bottom="1417" w:left="1417" w:header="851" w:footer="1077" w:gutter="0"/>
          <w:cols w:space="720" w:num="1"/>
          <w:docGrid w:linePitch="312" w:charSpace="0"/>
        </w:sectPr>
      </w:pPr>
    </w:p>
    <w:p>
      <w:pPr>
        <w:pStyle w:val="12"/>
        <w:ind w:firstLine="600"/>
        <w:jc w:val="center"/>
        <w:outlineLvl w:val="0"/>
        <w:rPr>
          <w:rFonts w:ascii="黑体" w:hAnsi="黑体" w:eastAsia="黑体"/>
          <w:snapToGrid w:val="0"/>
          <w:sz w:val="30"/>
          <w:szCs w:val="30"/>
        </w:rPr>
      </w:pPr>
      <w:r>
        <w:rPr>
          <w:rFonts w:hint="eastAsia" w:ascii="黑体" w:hAnsi="黑体" w:eastAsia="黑体"/>
          <w:snapToGrid w:val="0"/>
          <w:sz w:val="30"/>
          <w:szCs w:val="30"/>
        </w:rPr>
        <w:t>六、生态环境保护措施监督检查清单</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4418"/>
        <w:gridCol w:w="1843"/>
        <w:gridCol w:w="3803"/>
        <w:gridCol w:w="30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restart"/>
            <w:tcBorders>
              <w:tl2br w:val="single" w:color="auto" w:sz="4" w:space="0"/>
            </w:tcBorders>
          </w:tcPr>
          <w:p>
            <w:pPr>
              <w:pStyle w:val="12"/>
              <w:adjustRightInd w:val="0"/>
              <w:snapToGrid w:val="0"/>
              <w:spacing w:before="72" w:beforeLines="30" w:beforeAutospacing="0" w:after="0" w:afterAutospacing="0" w:line="240" w:lineRule="auto"/>
              <w:jc w:val="both"/>
              <w:outlineLvl w:val="0"/>
              <w:rPr>
                <w:rFonts w:hint="eastAsia" w:ascii="黑体" w:hAnsi="黑体" w:eastAsia="黑体" w:cs="宋体"/>
                <w:kern w:val="2"/>
                <w:sz w:val="21"/>
                <w:szCs w:val="21"/>
              </w:rPr>
            </w:pPr>
            <w:r>
              <w:rPr>
                <w:rFonts w:hint="eastAsia" w:ascii="黑体" w:hAnsi="黑体" w:eastAsia="黑体" w:cs="宋体"/>
                <w:kern w:val="2"/>
                <w:sz w:val="21"/>
                <w:szCs w:val="21"/>
              </w:rPr>
              <w:t>内容</w:t>
            </w:r>
          </w:p>
          <w:p>
            <w:pPr>
              <w:pStyle w:val="12"/>
              <w:adjustRightInd w:val="0"/>
              <w:snapToGrid w:val="0"/>
              <w:spacing w:before="0" w:beforeAutospacing="0" w:after="0" w:afterAutospacing="0" w:line="240" w:lineRule="auto"/>
              <w:ind w:firstLine="0" w:firstLineChars="0"/>
              <w:outlineLvl w:val="0"/>
              <w:rPr>
                <w:rFonts w:ascii="黑体" w:hAnsi="黑体" w:eastAsia="黑体" w:cs="宋体"/>
                <w:kern w:val="2"/>
                <w:sz w:val="21"/>
                <w:szCs w:val="21"/>
              </w:rPr>
            </w:pPr>
            <w:r>
              <w:rPr>
                <w:rFonts w:hint="eastAsia" w:ascii="黑体" w:hAnsi="黑体" w:eastAsia="黑体" w:cs="宋体"/>
                <w:kern w:val="2"/>
                <w:sz w:val="21"/>
                <w:szCs w:val="21"/>
              </w:rPr>
              <w:t>要素</w:t>
            </w:r>
          </w:p>
        </w:tc>
        <w:tc>
          <w:tcPr>
            <w:tcW w:w="2201" w:type="pct"/>
            <w:gridSpan w:val="2"/>
            <w:vAlign w:val="center"/>
          </w:tcPr>
          <w:p>
            <w:pPr>
              <w:pStyle w:val="12"/>
              <w:adjustRightInd w:val="0"/>
              <w:snapToGrid w:val="0"/>
              <w:spacing w:before="0" w:beforeAutospacing="0" w:after="0" w:afterAutospacing="0" w:line="240" w:lineRule="auto"/>
              <w:ind w:firstLine="0" w:firstLineChars="0"/>
              <w:jc w:val="center"/>
              <w:outlineLvl w:val="0"/>
              <w:rPr>
                <w:rFonts w:ascii="黑体" w:hAnsi="黑体" w:eastAsia="黑体" w:cs="宋体"/>
                <w:kern w:val="2"/>
                <w:sz w:val="21"/>
                <w:szCs w:val="21"/>
              </w:rPr>
            </w:pPr>
            <w:r>
              <w:rPr>
                <w:rFonts w:hint="eastAsia" w:ascii="黑体" w:hAnsi="黑体" w:eastAsia="黑体" w:cs="宋体"/>
                <w:kern w:val="2"/>
                <w:sz w:val="21"/>
                <w:szCs w:val="21"/>
              </w:rPr>
              <w:t>施工期</w:t>
            </w:r>
          </w:p>
        </w:tc>
        <w:tc>
          <w:tcPr>
            <w:tcW w:w="2415" w:type="pct"/>
            <w:gridSpan w:val="2"/>
            <w:vAlign w:val="center"/>
          </w:tcPr>
          <w:p>
            <w:pPr>
              <w:pStyle w:val="12"/>
              <w:adjustRightInd w:val="0"/>
              <w:snapToGrid w:val="0"/>
              <w:spacing w:before="0" w:beforeAutospacing="0" w:after="0" w:afterAutospacing="0" w:line="240" w:lineRule="auto"/>
              <w:ind w:firstLine="0" w:firstLineChars="0"/>
              <w:jc w:val="center"/>
              <w:outlineLvl w:val="0"/>
              <w:rPr>
                <w:rFonts w:ascii="黑体" w:hAnsi="黑体" w:eastAsia="黑体" w:cs="宋体"/>
                <w:kern w:val="2"/>
                <w:sz w:val="21"/>
                <w:szCs w:val="21"/>
              </w:rPr>
            </w:pPr>
            <w:r>
              <w:rPr>
                <w:rFonts w:hint="eastAsia" w:ascii="黑体" w:hAnsi="黑体" w:eastAsia="黑体" w:cs="宋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tcPr>
          <w:p>
            <w:pPr>
              <w:pStyle w:val="12"/>
              <w:adjustRightInd w:val="0"/>
              <w:snapToGrid w:val="0"/>
              <w:spacing w:before="0" w:beforeAutospacing="0" w:after="0" w:afterAutospacing="0" w:line="240" w:lineRule="auto"/>
              <w:ind w:firstLine="0" w:firstLineChars="0"/>
              <w:jc w:val="center"/>
              <w:outlineLvl w:val="0"/>
              <w:rPr>
                <w:rFonts w:ascii="黑体" w:hAnsi="黑体" w:eastAsia="黑体" w:cs="宋体"/>
                <w:kern w:val="2"/>
                <w:sz w:val="21"/>
                <w:szCs w:val="21"/>
              </w:rPr>
            </w:pPr>
          </w:p>
        </w:tc>
        <w:tc>
          <w:tcPr>
            <w:tcW w:w="1553" w:type="pct"/>
            <w:vAlign w:val="center"/>
          </w:tcPr>
          <w:p>
            <w:pPr>
              <w:pStyle w:val="12"/>
              <w:adjustRightInd w:val="0"/>
              <w:snapToGrid w:val="0"/>
              <w:spacing w:before="0" w:beforeAutospacing="0" w:after="0" w:afterAutospacing="0" w:line="240" w:lineRule="auto"/>
              <w:ind w:firstLine="0" w:firstLineChars="0"/>
              <w:jc w:val="center"/>
              <w:outlineLvl w:val="0"/>
              <w:rPr>
                <w:rFonts w:ascii="黑体" w:hAnsi="黑体" w:eastAsia="黑体" w:cs="宋体"/>
                <w:kern w:val="2"/>
                <w:sz w:val="21"/>
                <w:szCs w:val="21"/>
              </w:rPr>
            </w:pPr>
            <w:r>
              <w:rPr>
                <w:rFonts w:hint="eastAsia" w:ascii="黑体" w:hAnsi="黑体" w:eastAsia="黑体" w:cs="宋体"/>
                <w:kern w:val="2"/>
                <w:sz w:val="21"/>
                <w:szCs w:val="21"/>
              </w:rPr>
              <w:t>环境保护措施</w:t>
            </w:r>
          </w:p>
        </w:tc>
        <w:tc>
          <w:tcPr>
            <w:tcW w:w="647" w:type="pct"/>
            <w:vAlign w:val="center"/>
          </w:tcPr>
          <w:p>
            <w:pPr>
              <w:pStyle w:val="12"/>
              <w:adjustRightInd w:val="0"/>
              <w:snapToGrid w:val="0"/>
              <w:spacing w:before="0" w:beforeAutospacing="0" w:after="0" w:afterAutospacing="0" w:line="240" w:lineRule="auto"/>
              <w:ind w:firstLine="0" w:firstLineChars="0"/>
              <w:jc w:val="center"/>
              <w:outlineLvl w:val="0"/>
              <w:rPr>
                <w:rFonts w:ascii="黑体" w:hAnsi="黑体" w:eastAsia="黑体" w:cs="宋体"/>
                <w:kern w:val="2"/>
                <w:sz w:val="21"/>
                <w:szCs w:val="21"/>
              </w:rPr>
            </w:pPr>
            <w:r>
              <w:rPr>
                <w:rFonts w:hint="eastAsia" w:ascii="黑体" w:hAnsi="黑体" w:eastAsia="黑体" w:cs="宋体"/>
                <w:kern w:val="2"/>
                <w:sz w:val="21"/>
                <w:szCs w:val="21"/>
              </w:rPr>
              <w:t>验收要求</w:t>
            </w:r>
          </w:p>
        </w:tc>
        <w:tc>
          <w:tcPr>
            <w:tcW w:w="1337" w:type="pct"/>
            <w:vAlign w:val="center"/>
          </w:tcPr>
          <w:p>
            <w:pPr>
              <w:pStyle w:val="12"/>
              <w:adjustRightInd w:val="0"/>
              <w:snapToGrid w:val="0"/>
              <w:spacing w:before="0" w:beforeAutospacing="0" w:after="0" w:afterAutospacing="0" w:line="240" w:lineRule="auto"/>
              <w:ind w:firstLine="0" w:firstLineChars="0"/>
              <w:jc w:val="center"/>
              <w:outlineLvl w:val="0"/>
              <w:rPr>
                <w:rFonts w:ascii="黑体" w:hAnsi="黑体" w:eastAsia="黑体" w:cs="宋体"/>
                <w:kern w:val="2"/>
                <w:sz w:val="21"/>
                <w:szCs w:val="21"/>
              </w:rPr>
            </w:pPr>
            <w:r>
              <w:rPr>
                <w:rFonts w:hint="eastAsia" w:ascii="黑体" w:hAnsi="黑体" w:eastAsia="黑体" w:cs="宋体"/>
                <w:kern w:val="2"/>
                <w:sz w:val="21"/>
                <w:szCs w:val="21"/>
              </w:rPr>
              <w:t>环境保护措施</w:t>
            </w:r>
          </w:p>
        </w:tc>
        <w:tc>
          <w:tcPr>
            <w:tcW w:w="1077" w:type="pct"/>
            <w:vAlign w:val="center"/>
          </w:tcPr>
          <w:p>
            <w:pPr>
              <w:pStyle w:val="12"/>
              <w:adjustRightInd w:val="0"/>
              <w:snapToGrid w:val="0"/>
              <w:spacing w:before="0" w:beforeAutospacing="0" w:after="0" w:afterAutospacing="0" w:line="240" w:lineRule="auto"/>
              <w:ind w:firstLine="0" w:firstLineChars="0"/>
              <w:jc w:val="center"/>
              <w:outlineLvl w:val="0"/>
              <w:rPr>
                <w:rFonts w:ascii="黑体" w:hAnsi="黑体" w:eastAsia="黑体" w:cs="宋体"/>
                <w:kern w:val="2"/>
                <w:sz w:val="21"/>
                <w:szCs w:val="21"/>
              </w:rPr>
            </w:pPr>
            <w:r>
              <w:rPr>
                <w:rFonts w:hint="eastAsia" w:ascii="黑体" w:hAnsi="黑体" w:eastAsia="黑体" w:cs="宋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陆生生态</w:t>
            </w:r>
          </w:p>
        </w:tc>
        <w:tc>
          <w:tcPr>
            <w:tcW w:w="1553" w:type="pct"/>
            <w:vAlign w:val="center"/>
          </w:tcPr>
          <w:p>
            <w:pPr>
              <w:pStyle w:val="28"/>
            </w:pPr>
            <w:r>
              <w:rPr>
                <w:rFonts w:hint="eastAsia"/>
              </w:rPr>
              <w:t>1、严格控制工程破坏植被的面积，增加植被的保护措施；</w:t>
            </w:r>
          </w:p>
          <w:p>
            <w:pPr>
              <w:pStyle w:val="28"/>
            </w:pPr>
            <w:r>
              <w:rPr>
                <w:rFonts w:hint="eastAsia"/>
              </w:rPr>
              <w:t>2、防止水土流失，裸露面要及时加固，工程结束后应立即植草护坡；</w:t>
            </w:r>
          </w:p>
          <w:p>
            <w:pPr>
              <w:pStyle w:val="28"/>
            </w:pPr>
            <w:r>
              <w:rPr>
                <w:rFonts w:hint="eastAsia"/>
              </w:rPr>
              <w:t>3、加强宣传教育和管理，严禁非法猎捕野生动物；</w:t>
            </w:r>
          </w:p>
          <w:p>
            <w:pPr>
              <w:pStyle w:val="28"/>
            </w:pPr>
            <w:r>
              <w:rPr>
                <w:rFonts w:hint="eastAsia"/>
              </w:rPr>
              <w:t>4、做好施工方式和时间计划，施工工期尽量避开生物的繁殖期，避免灯光、噪声对夜间动物活动的惊扰；</w:t>
            </w:r>
          </w:p>
          <w:p>
            <w:pPr>
              <w:pStyle w:val="28"/>
            </w:pPr>
            <w:r>
              <w:rPr>
                <w:rFonts w:hint="eastAsia"/>
              </w:rPr>
              <w:t>5、加强对保护植物及古树名木的识别和保护；</w:t>
            </w:r>
          </w:p>
          <w:p>
            <w:pPr>
              <w:pStyle w:val="28"/>
            </w:pPr>
            <w:r>
              <w:rPr>
                <w:rFonts w:hint="eastAsia"/>
              </w:rPr>
              <w:t>6、严格做到文明施工，严禁非法猎捕野生动物。一旦发现重点保护野生动物，应采取保护措施，并及时报告当地主管部门。</w:t>
            </w:r>
          </w:p>
          <w:p>
            <w:pPr>
              <w:pStyle w:val="28"/>
            </w:pPr>
            <w:r>
              <w:rPr>
                <w:rFonts w:hint="eastAsia"/>
              </w:rPr>
              <w:t>7、施工结束后对施工场地进行植被恢复，对永久占地进行生态补偿。</w:t>
            </w:r>
          </w:p>
        </w:tc>
        <w:tc>
          <w:tcPr>
            <w:tcW w:w="647" w:type="pct"/>
            <w:vAlign w:val="center"/>
          </w:tcPr>
          <w:p>
            <w:pPr>
              <w:pStyle w:val="28"/>
            </w:pPr>
            <w:r>
              <w:rPr>
                <w:rFonts w:hint="default"/>
                <w:lang w:val="en-US" w:eastAsia="zh-CN"/>
              </w:rPr>
              <w:t>1</w:t>
            </w:r>
            <w:r>
              <w:rPr>
                <w:rFonts w:hint="eastAsia"/>
                <w:lang w:val="en-US" w:eastAsia="zh-CN"/>
              </w:rPr>
              <w:t>、项目不占生态保护红线、公益林、基本农田；</w:t>
            </w:r>
            <w:r>
              <w:rPr>
                <w:rFonts w:hint="default"/>
                <w:lang w:val="en-US" w:eastAsia="zh-CN"/>
              </w:rPr>
              <w:t>2</w:t>
            </w:r>
            <w:r>
              <w:rPr>
                <w:rFonts w:hint="eastAsia"/>
                <w:lang w:val="en-US" w:eastAsia="zh-CN"/>
              </w:rPr>
              <w:t>、无乱砍滥伐、猎杀野生动物现象发生</w:t>
            </w:r>
            <w:r>
              <w:rPr>
                <w:rFonts w:hint="default"/>
                <w:lang w:val="en-US" w:eastAsia="zh-CN"/>
              </w:rPr>
              <w:t>3</w:t>
            </w:r>
            <w:r>
              <w:rPr>
                <w:rFonts w:hint="eastAsia"/>
                <w:lang w:val="en-US" w:eastAsia="zh-CN"/>
              </w:rPr>
              <w:t>、按要求完成生态补偿；</w:t>
            </w:r>
            <w:r>
              <w:rPr>
                <w:rFonts w:hint="default"/>
                <w:lang w:val="en-US" w:eastAsia="zh-CN"/>
              </w:rPr>
              <w:t>4</w:t>
            </w:r>
            <w:r>
              <w:rPr>
                <w:rFonts w:hint="eastAsia"/>
                <w:lang w:val="en-US" w:eastAsia="zh-CN"/>
              </w:rPr>
              <w:t>、临时占地区均已进行植被恢复，且恢复状态良好；</w:t>
            </w:r>
          </w:p>
        </w:tc>
        <w:tc>
          <w:tcPr>
            <w:tcW w:w="1337" w:type="pct"/>
            <w:vAlign w:val="center"/>
          </w:tcPr>
          <w:p>
            <w:pPr>
              <w:pStyle w:val="28"/>
            </w:pPr>
            <w:r>
              <w:rPr>
                <w:rFonts w:hint="eastAsia"/>
              </w:rPr>
              <w:t>项目建设和布局外观应注意与周围环境景观的协调，光伏组件的布局在满足设计要求的同时，尽量依山势布置，以减少对景观在形态上的影响。</w:t>
            </w:r>
          </w:p>
        </w:tc>
        <w:tc>
          <w:tcPr>
            <w:tcW w:w="1077" w:type="pct"/>
            <w:vAlign w:val="center"/>
          </w:tcPr>
          <w:p>
            <w:pPr>
              <w:pStyle w:val="28"/>
            </w:pPr>
            <w:r>
              <w:t>1</w:t>
            </w:r>
            <w:r>
              <w:rPr>
                <w:rFonts w:hint="eastAsia"/>
              </w:rPr>
              <w:t>、施工现场无未清理的弃渣</w:t>
            </w:r>
          </w:p>
          <w:p>
            <w:pPr>
              <w:pStyle w:val="28"/>
            </w:pPr>
            <w:r>
              <w:rPr>
                <w:rFonts w:hint="eastAsia"/>
              </w:rPr>
              <w:t>2、各临时占地区按照生态恢复方案完成平整、草籽撒播和灌木种植的，植被生长状态良好；</w:t>
            </w:r>
          </w:p>
          <w:p>
            <w:pPr>
              <w:pStyle w:val="2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水生生态</w:t>
            </w:r>
          </w:p>
        </w:tc>
        <w:tc>
          <w:tcPr>
            <w:tcW w:w="1553" w:type="pct"/>
            <w:vAlign w:val="center"/>
          </w:tcPr>
          <w:p>
            <w:pPr>
              <w:pStyle w:val="28"/>
            </w:pPr>
            <w:r>
              <w:rPr>
                <w:rFonts w:hint="eastAsia"/>
              </w:rPr>
              <w:t>/</w:t>
            </w:r>
          </w:p>
        </w:tc>
        <w:tc>
          <w:tcPr>
            <w:tcW w:w="647" w:type="pct"/>
            <w:vAlign w:val="center"/>
          </w:tcPr>
          <w:p>
            <w:pPr>
              <w:pStyle w:val="28"/>
            </w:pPr>
            <w:r>
              <w:rPr>
                <w:rFonts w:hint="eastAsia"/>
              </w:rPr>
              <w:t>/</w:t>
            </w:r>
          </w:p>
        </w:tc>
        <w:tc>
          <w:tcPr>
            <w:tcW w:w="1337" w:type="pct"/>
            <w:vAlign w:val="center"/>
          </w:tcPr>
          <w:p>
            <w:pPr>
              <w:pStyle w:val="28"/>
            </w:pPr>
            <w:r>
              <w:rPr>
                <w:rFonts w:hint="eastAsia"/>
              </w:rPr>
              <w:t>/</w:t>
            </w:r>
          </w:p>
        </w:tc>
        <w:tc>
          <w:tcPr>
            <w:tcW w:w="1077" w:type="pct"/>
            <w:vAlign w:val="center"/>
          </w:tcPr>
          <w:p>
            <w:pPr>
              <w:pStyle w:val="28"/>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地表水环境</w:t>
            </w:r>
          </w:p>
        </w:tc>
        <w:tc>
          <w:tcPr>
            <w:tcW w:w="1553" w:type="pct"/>
            <w:vAlign w:val="center"/>
          </w:tcPr>
          <w:p>
            <w:pPr>
              <w:pStyle w:val="28"/>
            </w:pPr>
            <w:r>
              <w:rPr>
                <w:rFonts w:hint="eastAsia"/>
              </w:rPr>
              <w:t>一、施工作业废水经沉淀后回用于场地洒水；</w:t>
            </w:r>
          </w:p>
          <w:p>
            <w:pPr>
              <w:pStyle w:val="28"/>
            </w:pPr>
            <w:r>
              <w:rPr>
                <w:rFonts w:hint="eastAsia"/>
              </w:rPr>
              <w:t>二、施工生活污水利用当地居民原有的污水处理设施处理后用于周边农用；</w:t>
            </w:r>
          </w:p>
          <w:p>
            <w:pPr>
              <w:pStyle w:val="28"/>
            </w:pPr>
            <w:r>
              <w:rPr>
                <w:rFonts w:hint="eastAsia"/>
              </w:rPr>
              <w:t>三、严格控制施工用地范围，禁止向沿线随意排放污水；</w:t>
            </w:r>
          </w:p>
          <w:p>
            <w:pPr>
              <w:pStyle w:val="28"/>
            </w:pPr>
            <w:r>
              <w:rPr>
                <w:rFonts w:hint="eastAsia"/>
              </w:rPr>
              <w:t>四、施工结束后，及时清理、恢复施工带植被；</w:t>
            </w:r>
          </w:p>
          <w:p>
            <w:pPr>
              <w:pStyle w:val="28"/>
            </w:pPr>
            <w:r>
              <w:rPr>
                <w:rFonts w:hint="eastAsia"/>
              </w:rPr>
              <w:t>五、加强施工机械养护，防止油的跑、冒、滴、漏，机械设备若有泄油现象要及时清理散落机油，收集后待施工结束后统一清运处理</w:t>
            </w:r>
          </w:p>
        </w:tc>
        <w:tc>
          <w:tcPr>
            <w:tcW w:w="647" w:type="pct"/>
            <w:vAlign w:val="center"/>
          </w:tcPr>
          <w:p>
            <w:pPr>
              <w:pStyle w:val="28"/>
            </w:pPr>
            <w:r>
              <w:rPr>
                <w:rFonts w:hint="eastAsia"/>
              </w:rPr>
              <w:t>/</w:t>
            </w:r>
          </w:p>
        </w:tc>
        <w:tc>
          <w:tcPr>
            <w:tcW w:w="1337" w:type="pct"/>
            <w:vAlign w:val="center"/>
          </w:tcPr>
          <w:p>
            <w:pPr>
              <w:pStyle w:val="28"/>
            </w:pPr>
            <w:r>
              <w:rPr>
                <w:rFonts w:hint="eastAsia"/>
                <w:lang w:val="en-US" w:eastAsia="zh-CN"/>
              </w:rPr>
              <w:t>1</w:t>
            </w:r>
            <w:r>
              <w:rPr>
                <w:rFonts w:hint="eastAsia"/>
              </w:rPr>
              <w:t>、光伏电池组件表面清洗采</w:t>
            </w:r>
            <w:r>
              <w:rPr>
                <w:rFonts w:ascii="Times New Roman" w:hAnsi="Times New Roman"/>
                <w:b w:val="0"/>
                <w:bCs w:val="0"/>
                <w:color w:val="auto"/>
                <w:highlight w:val="none"/>
              </w:rPr>
              <w:t>用</w:t>
            </w:r>
            <w:r>
              <w:rPr>
                <w:rFonts w:hint="eastAsia" w:ascii="Times New Roman" w:hAnsi="Times New Roman"/>
                <w:b w:val="0"/>
                <w:bCs w:val="0"/>
                <w:color w:val="auto"/>
                <w:highlight w:val="none"/>
                <w:lang w:val="en-US" w:eastAsia="zh-CN"/>
              </w:rPr>
              <w:t>工程车辆清洗</w:t>
            </w:r>
            <w:r>
              <w:rPr>
                <w:rFonts w:ascii="Times New Roman" w:hAnsi="Times New Roman"/>
                <w:b w:val="0"/>
                <w:bCs w:val="0"/>
                <w:color w:val="auto"/>
                <w:highlight w:val="none"/>
              </w:rPr>
              <w:t>方式</w:t>
            </w:r>
            <w:r>
              <w:rPr>
                <w:rFonts w:hint="eastAsia"/>
              </w:rPr>
              <w:t>，清洗产生的废水作为光伏发电单元下方种植的农作物的灌溉。</w:t>
            </w:r>
          </w:p>
          <w:p>
            <w:pPr>
              <w:pStyle w:val="28"/>
            </w:pPr>
            <w:r>
              <w:rPr>
                <w:rFonts w:hint="eastAsia"/>
                <w:lang w:val="en-US" w:eastAsia="zh-CN"/>
              </w:rPr>
              <w:t>2</w:t>
            </w:r>
            <w:r>
              <w:rPr>
                <w:rFonts w:hint="eastAsia"/>
              </w:rPr>
              <w:t>、生活污水采用化粪池及</w:t>
            </w:r>
            <w:r>
              <w:rPr>
                <w:rFonts w:hint="eastAsia"/>
                <w:lang w:val="en-US" w:eastAsia="zh-CN"/>
              </w:rPr>
              <w:t>一体化处理设施处理</w:t>
            </w:r>
            <w:r>
              <w:rPr>
                <w:rFonts w:hint="eastAsia"/>
                <w:lang w:eastAsia="zh-CN"/>
              </w:rPr>
              <w:t>后用作周边农肥，不外排</w:t>
            </w:r>
            <w:r>
              <w:rPr>
                <w:rFonts w:hint="eastAsia"/>
              </w:rPr>
              <w:t>。</w:t>
            </w:r>
          </w:p>
          <w:p>
            <w:pPr>
              <w:pStyle w:val="28"/>
              <w:rPr>
                <w:rFonts w:hint="eastAsia" w:eastAsia="宋体"/>
                <w:lang w:eastAsia="zh-CN"/>
              </w:rPr>
            </w:pPr>
            <w:r>
              <w:rPr>
                <w:rFonts w:hint="eastAsia"/>
                <w:lang w:val="en-US" w:eastAsia="zh-CN"/>
              </w:rPr>
              <w:t>3</w:t>
            </w:r>
            <w:r>
              <w:rPr>
                <w:rFonts w:hint="eastAsia"/>
              </w:rPr>
              <w:t>、进一步优化布局，光伏发电组件安装位置应尽量远离水域</w:t>
            </w:r>
            <w:r>
              <w:rPr>
                <w:rFonts w:hint="eastAsia"/>
                <w:lang w:eastAsia="zh-CN"/>
              </w:rPr>
              <w:t>。</w:t>
            </w:r>
          </w:p>
        </w:tc>
        <w:tc>
          <w:tcPr>
            <w:tcW w:w="1077" w:type="pct"/>
            <w:vAlign w:val="center"/>
          </w:tcPr>
          <w:p>
            <w:pPr>
              <w:pStyle w:val="28"/>
            </w:pPr>
            <w:r>
              <w:rPr>
                <w:rFonts w:hint="eastAsia"/>
              </w:rPr>
              <w:t>无废水排放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地下水及土壤环境</w:t>
            </w:r>
          </w:p>
        </w:tc>
        <w:tc>
          <w:tcPr>
            <w:tcW w:w="1553" w:type="pct"/>
            <w:vAlign w:val="center"/>
          </w:tcPr>
          <w:p>
            <w:pPr>
              <w:pStyle w:val="28"/>
            </w:pPr>
            <w:r>
              <w:rPr>
                <w:rFonts w:hint="eastAsia"/>
              </w:rPr>
              <w:t>/</w:t>
            </w:r>
          </w:p>
        </w:tc>
        <w:tc>
          <w:tcPr>
            <w:tcW w:w="647" w:type="pct"/>
            <w:vAlign w:val="center"/>
          </w:tcPr>
          <w:p>
            <w:pPr>
              <w:pStyle w:val="28"/>
            </w:pPr>
            <w:r>
              <w:rPr>
                <w:rFonts w:hint="eastAsia"/>
              </w:rPr>
              <w:t>/</w:t>
            </w:r>
          </w:p>
        </w:tc>
        <w:tc>
          <w:tcPr>
            <w:tcW w:w="1337" w:type="pct"/>
            <w:vAlign w:val="center"/>
          </w:tcPr>
          <w:p>
            <w:pPr>
              <w:pStyle w:val="28"/>
            </w:pPr>
            <w:r>
              <w:rPr>
                <w:rFonts w:hint="eastAsia"/>
              </w:rPr>
              <w:t>/</w:t>
            </w:r>
          </w:p>
        </w:tc>
        <w:tc>
          <w:tcPr>
            <w:tcW w:w="1077" w:type="pct"/>
            <w:vAlign w:val="center"/>
          </w:tcPr>
          <w:p>
            <w:pPr>
              <w:pStyle w:val="28"/>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声环境</w:t>
            </w:r>
          </w:p>
        </w:tc>
        <w:tc>
          <w:tcPr>
            <w:tcW w:w="1553" w:type="pct"/>
            <w:vAlign w:val="center"/>
          </w:tcPr>
          <w:p>
            <w:pPr>
              <w:pStyle w:val="28"/>
            </w:pPr>
            <w:r>
              <w:t>选用低噪声的施工机械或工艺，加强机械维护保养</w:t>
            </w:r>
            <w:r>
              <w:rPr>
                <w:rFonts w:hint="eastAsia"/>
              </w:rPr>
              <w:t>，合理安排施工布置和施工时间，加强施工期高噪声设备的管理</w:t>
            </w:r>
          </w:p>
        </w:tc>
        <w:tc>
          <w:tcPr>
            <w:tcW w:w="647" w:type="pct"/>
            <w:vAlign w:val="center"/>
          </w:tcPr>
          <w:p>
            <w:pPr>
              <w:pStyle w:val="28"/>
            </w:pPr>
            <w:r>
              <w:t>施工期</w:t>
            </w:r>
            <w:r>
              <w:rPr>
                <w:rFonts w:hint="eastAsia"/>
              </w:rPr>
              <w:t>噪声影响得到有效控制，出现施工噪声投诉已得到妥善解决</w:t>
            </w:r>
          </w:p>
        </w:tc>
        <w:tc>
          <w:tcPr>
            <w:tcW w:w="1337" w:type="pct"/>
            <w:vAlign w:val="center"/>
          </w:tcPr>
          <w:p>
            <w:pPr>
              <w:pStyle w:val="28"/>
            </w:pPr>
            <w:r>
              <w:rPr>
                <w:rFonts w:hint="eastAsia"/>
              </w:rPr>
              <w:t>选用低噪声设备；主要噪声源尽量远离场界布置；加强升压站站区植树绿化；在升压站四周设围墙</w:t>
            </w:r>
          </w:p>
        </w:tc>
        <w:tc>
          <w:tcPr>
            <w:tcW w:w="1077" w:type="pct"/>
            <w:vAlign w:val="center"/>
          </w:tcPr>
          <w:p>
            <w:pPr>
              <w:pStyle w:val="28"/>
            </w:pPr>
            <w:r>
              <w:rPr>
                <w:rFonts w:hint="eastAsia"/>
              </w:rPr>
              <w:t>升压站场界噪声满足《工业企业厂界环境噪声排放标准》（GB12348-2008）</w:t>
            </w:r>
            <w:r>
              <w:rPr>
                <w:rFonts w:hint="eastAsia"/>
                <w:lang w:val="en-US" w:eastAsia="zh-CN"/>
              </w:rPr>
              <w:t>2</w:t>
            </w:r>
            <w:r>
              <w:rPr>
                <w:rFonts w:hint="eastAsia"/>
              </w:rPr>
              <w:t>类标准环境敏感目标满足《声环境质量标准》（GB3096-2008）2类标准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振动</w:t>
            </w:r>
          </w:p>
        </w:tc>
        <w:tc>
          <w:tcPr>
            <w:tcW w:w="1553" w:type="pct"/>
            <w:vAlign w:val="center"/>
          </w:tcPr>
          <w:p>
            <w:pPr>
              <w:pStyle w:val="28"/>
            </w:pPr>
            <w:r>
              <w:rPr>
                <w:rFonts w:hint="eastAsia"/>
              </w:rPr>
              <w:t>/</w:t>
            </w:r>
          </w:p>
        </w:tc>
        <w:tc>
          <w:tcPr>
            <w:tcW w:w="647" w:type="pct"/>
            <w:vAlign w:val="center"/>
          </w:tcPr>
          <w:p>
            <w:pPr>
              <w:pStyle w:val="28"/>
            </w:pPr>
            <w:r>
              <w:rPr>
                <w:rFonts w:hint="eastAsia"/>
              </w:rPr>
              <w:t>/</w:t>
            </w:r>
          </w:p>
        </w:tc>
        <w:tc>
          <w:tcPr>
            <w:tcW w:w="1337" w:type="pct"/>
            <w:vAlign w:val="center"/>
          </w:tcPr>
          <w:p>
            <w:pPr>
              <w:pStyle w:val="28"/>
            </w:pPr>
            <w:r>
              <w:rPr>
                <w:rFonts w:hint="eastAsia"/>
              </w:rPr>
              <w:t>/</w:t>
            </w:r>
          </w:p>
        </w:tc>
        <w:tc>
          <w:tcPr>
            <w:tcW w:w="1077" w:type="pct"/>
            <w:vAlign w:val="center"/>
          </w:tcPr>
          <w:p>
            <w:pPr>
              <w:pStyle w:val="28"/>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大气环境</w:t>
            </w:r>
          </w:p>
        </w:tc>
        <w:tc>
          <w:tcPr>
            <w:tcW w:w="1553" w:type="pct"/>
            <w:vAlign w:val="center"/>
          </w:tcPr>
          <w:p>
            <w:pPr>
              <w:pStyle w:val="28"/>
            </w:pPr>
            <w:r>
              <w:rPr>
                <w:rFonts w:hint="eastAsia"/>
              </w:rPr>
              <w:t>采用先进施工机械，车辆尾气达标排放，对易产生扬尘物料采取密闭运输；禁止超高超载运输，施工场区禁燃高硫煤，禁止焚烧垃圾</w:t>
            </w:r>
          </w:p>
        </w:tc>
        <w:tc>
          <w:tcPr>
            <w:tcW w:w="647" w:type="pct"/>
            <w:vAlign w:val="center"/>
          </w:tcPr>
          <w:p>
            <w:pPr>
              <w:pStyle w:val="28"/>
            </w:pPr>
            <w:r>
              <w:rPr>
                <w:rFonts w:hint="eastAsia"/>
              </w:rPr>
              <w:t>不造成扬尘污染</w:t>
            </w:r>
          </w:p>
        </w:tc>
        <w:tc>
          <w:tcPr>
            <w:tcW w:w="1337" w:type="pct"/>
            <w:vAlign w:val="center"/>
          </w:tcPr>
          <w:p>
            <w:pPr>
              <w:pStyle w:val="28"/>
            </w:pPr>
            <w:r>
              <w:t>食堂油烟废气经集气罩收集后进入油烟净化器处理</w:t>
            </w:r>
            <w:r>
              <w:rPr>
                <w:rFonts w:hint="eastAsia"/>
                <w:lang w:val="en-US" w:eastAsia="zh-CN"/>
              </w:rPr>
              <w:t>后通过专用烟道引至屋顶排放</w:t>
            </w:r>
            <w:r>
              <w:rPr>
                <w:rFonts w:hint="eastAsia"/>
              </w:rPr>
              <w:t>。</w:t>
            </w:r>
          </w:p>
        </w:tc>
        <w:tc>
          <w:tcPr>
            <w:tcW w:w="1077" w:type="pct"/>
            <w:vAlign w:val="center"/>
          </w:tcPr>
          <w:p>
            <w:pPr>
              <w:pStyle w:val="28"/>
            </w:pPr>
            <w:r>
              <w:rPr>
                <w:rFonts w:hint="eastAsia"/>
                <w:lang w:val="en-US" w:eastAsia="zh-CN"/>
              </w:rPr>
              <w:t>食堂经净化处理后可达标排放，对周边大气环境影响较小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固体废物</w:t>
            </w:r>
          </w:p>
        </w:tc>
        <w:tc>
          <w:tcPr>
            <w:tcW w:w="1553" w:type="pct"/>
            <w:vAlign w:val="center"/>
          </w:tcPr>
          <w:p>
            <w:pPr>
              <w:pStyle w:val="28"/>
            </w:pPr>
            <w:r>
              <w:rPr>
                <w:rFonts w:hint="eastAsia"/>
              </w:rPr>
              <w:t>施工人员生活垃圾交当地环卫部门统一处理；</w:t>
            </w:r>
          </w:p>
          <w:p>
            <w:pPr>
              <w:pStyle w:val="28"/>
            </w:pPr>
            <w:r>
              <w:rPr>
                <w:rFonts w:hint="eastAsia"/>
              </w:rPr>
              <w:t>建筑垃圾统一运至当地指定的建筑垃圾消纳场进行处理</w:t>
            </w:r>
          </w:p>
        </w:tc>
        <w:tc>
          <w:tcPr>
            <w:tcW w:w="647" w:type="pct"/>
            <w:vAlign w:val="center"/>
          </w:tcPr>
          <w:p>
            <w:pPr>
              <w:pStyle w:val="28"/>
            </w:pPr>
            <w:r>
              <w:t>施工现场未发现随意弃土弃渣迹地，按照水土保持方案进行建设</w:t>
            </w:r>
          </w:p>
        </w:tc>
        <w:tc>
          <w:tcPr>
            <w:tcW w:w="1337" w:type="pct"/>
            <w:vAlign w:val="center"/>
          </w:tcPr>
          <w:p>
            <w:pPr>
              <w:pStyle w:val="28"/>
            </w:pPr>
            <w:r>
              <w:rPr>
                <w:rFonts w:hint="eastAsia"/>
              </w:rPr>
              <w:t>1、升压站内设置一般工业固废贮存间一座，面积5m</w:t>
            </w:r>
            <w:r>
              <w:rPr>
                <w:rFonts w:hint="eastAsia"/>
                <w:vertAlign w:val="superscript"/>
              </w:rPr>
              <w:t>2</w:t>
            </w:r>
            <w:r>
              <w:rPr>
                <w:rFonts w:hint="eastAsia"/>
              </w:rPr>
              <w:t>，用于废弃的太阳能光伏板的暂存，贮存间地面采用防渗处理</w:t>
            </w:r>
          </w:p>
          <w:p>
            <w:pPr>
              <w:pStyle w:val="28"/>
            </w:pPr>
            <w:r>
              <w:rPr>
                <w:rFonts w:hint="eastAsia"/>
              </w:rPr>
              <w:t>2、升压站内设置26.16m</w:t>
            </w:r>
            <w:r>
              <w:rPr>
                <w:rFonts w:hint="eastAsia"/>
                <w:vertAlign w:val="superscript"/>
              </w:rPr>
              <w:t>2</w:t>
            </w:r>
            <w:r>
              <w:rPr>
                <w:rFonts w:hint="eastAsia"/>
              </w:rPr>
              <w:t>专用</w:t>
            </w:r>
            <w:r>
              <w:rPr>
                <w:rFonts w:hint="eastAsia"/>
                <w:lang w:eastAsia="zh-CN"/>
              </w:rPr>
              <w:t>危废贮存点</w:t>
            </w:r>
            <w:r>
              <w:rPr>
                <w:rFonts w:hint="eastAsia"/>
              </w:rPr>
              <w:t>，用于废变压油暂存，并与有资质单位签订危废处置协议</w:t>
            </w:r>
          </w:p>
        </w:tc>
        <w:tc>
          <w:tcPr>
            <w:tcW w:w="1077" w:type="pct"/>
            <w:vAlign w:val="center"/>
          </w:tcPr>
          <w:p>
            <w:pPr>
              <w:pStyle w:val="28"/>
            </w:pPr>
            <w:r>
              <w:rPr>
                <w:rFonts w:hint="eastAsia"/>
              </w:rPr>
              <w:t>按相关规范要求建设</w:t>
            </w:r>
            <w:r>
              <w:rPr>
                <w:rFonts w:hint="eastAsia"/>
                <w:lang w:eastAsia="zh-CN"/>
              </w:rPr>
              <w:t>危废贮存点</w:t>
            </w:r>
            <w:r>
              <w:rPr>
                <w:rFonts w:hint="eastAsia"/>
              </w:rPr>
              <w:t>和一般工业固废贮存间；与有资质单位签订相关危废处置协议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电磁环境</w:t>
            </w:r>
          </w:p>
        </w:tc>
        <w:tc>
          <w:tcPr>
            <w:tcW w:w="1553" w:type="pct"/>
            <w:vAlign w:val="center"/>
          </w:tcPr>
          <w:p>
            <w:pPr>
              <w:pStyle w:val="28"/>
            </w:pPr>
            <w:r>
              <w:rPr>
                <w:rFonts w:hint="eastAsia"/>
              </w:rPr>
              <w:t>/</w:t>
            </w:r>
          </w:p>
        </w:tc>
        <w:tc>
          <w:tcPr>
            <w:tcW w:w="647" w:type="pct"/>
            <w:vAlign w:val="center"/>
          </w:tcPr>
          <w:p>
            <w:pPr>
              <w:pStyle w:val="28"/>
            </w:pPr>
            <w:r>
              <w:rPr>
                <w:rFonts w:hint="eastAsia"/>
              </w:rPr>
              <w:t>/</w:t>
            </w:r>
          </w:p>
        </w:tc>
        <w:tc>
          <w:tcPr>
            <w:tcW w:w="1337" w:type="pct"/>
            <w:vAlign w:val="center"/>
          </w:tcPr>
          <w:p>
            <w:pPr>
              <w:pStyle w:val="28"/>
            </w:pPr>
            <w:r>
              <w:rPr>
                <w:rFonts w:hint="eastAsia"/>
              </w:rPr>
              <w:t>升压站内电气设备接地</w:t>
            </w:r>
          </w:p>
        </w:tc>
        <w:tc>
          <w:tcPr>
            <w:tcW w:w="1077" w:type="pct"/>
            <w:vAlign w:val="center"/>
          </w:tcPr>
          <w:p>
            <w:pPr>
              <w:pStyle w:val="28"/>
            </w:pPr>
            <w:r>
              <w:t>升压站四周站界电磁环境监测值满足《电磁环境控制限值》（GB8702-2014）标准限值要求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环境风险</w:t>
            </w:r>
          </w:p>
        </w:tc>
        <w:tc>
          <w:tcPr>
            <w:tcW w:w="1553" w:type="pct"/>
            <w:vAlign w:val="center"/>
          </w:tcPr>
          <w:p>
            <w:pPr>
              <w:pStyle w:val="28"/>
            </w:pPr>
            <w:r>
              <w:rPr>
                <w:rFonts w:hint="eastAsia"/>
              </w:rPr>
              <w:t>/</w:t>
            </w:r>
          </w:p>
        </w:tc>
        <w:tc>
          <w:tcPr>
            <w:tcW w:w="647" w:type="pct"/>
            <w:vAlign w:val="center"/>
          </w:tcPr>
          <w:p>
            <w:pPr>
              <w:pStyle w:val="28"/>
            </w:pPr>
            <w:r>
              <w:rPr>
                <w:rFonts w:hint="eastAsia"/>
              </w:rPr>
              <w:t>/</w:t>
            </w:r>
          </w:p>
        </w:tc>
        <w:tc>
          <w:tcPr>
            <w:tcW w:w="1337" w:type="pct"/>
            <w:vAlign w:val="center"/>
          </w:tcPr>
          <w:p>
            <w:pPr>
              <w:pStyle w:val="28"/>
            </w:pPr>
            <w:r>
              <w:rPr>
                <w:rFonts w:hint="eastAsia"/>
              </w:rPr>
              <w:t>1、升压站主变下方设置</w:t>
            </w:r>
            <w:r>
              <w:rPr>
                <w:rFonts w:hint="eastAsia"/>
                <w:lang w:eastAsia="zh-CN"/>
              </w:rPr>
              <w:t>事故油坑</w:t>
            </w:r>
            <w:r>
              <w:rPr>
                <w:rFonts w:hint="eastAsia"/>
              </w:rPr>
              <w:t>，通过专用输油管道连接至</w:t>
            </w:r>
            <w:r>
              <w:rPr>
                <w:rFonts w:hint="eastAsia"/>
                <w:lang w:eastAsia="zh-CN"/>
              </w:rPr>
              <w:t>事故油池</w:t>
            </w:r>
            <w:r>
              <w:rPr>
                <w:rFonts w:hint="eastAsia"/>
              </w:rPr>
              <w:t>，</w:t>
            </w:r>
            <w:r>
              <w:rPr>
                <w:rFonts w:hint="eastAsia"/>
                <w:lang w:eastAsia="zh-CN"/>
              </w:rPr>
              <w:t>事故油池</w:t>
            </w:r>
            <w:r>
              <w:rPr>
                <w:rFonts w:hint="eastAsia"/>
              </w:rPr>
              <w:t>有效容积35m³并做好防腐防渗措施，具备油水隔离功能。</w:t>
            </w:r>
          </w:p>
          <w:p>
            <w:pPr>
              <w:pStyle w:val="28"/>
            </w:pPr>
            <w:r>
              <w:rPr>
                <w:rFonts w:hint="eastAsia"/>
              </w:rPr>
              <w:t>2、光伏场区内的箱变下方设置事故油收集池，有效容积为1.5m³，池底和池壁进行防腐防渗处理</w:t>
            </w:r>
          </w:p>
        </w:tc>
        <w:tc>
          <w:tcPr>
            <w:tcW w:w="1077" w:type="pct"/>
            <w:vAlign w:val="center"/>
          </w:tcPr>
          <w:p>
            <w:pPr>
              <w:pStyle w:val="28"/>
            </w:pPr>
            <w:r>
              <w:rPr>
                <w:rFonts w:hint="eastAsia"/>
              </w:rPr>
              <w:t>1、升压站主变下方事故油</w:t>
            </w:r>
            <w:r>
              <w:rPr>
                <w:rFonts w:hint="eastAsia"/>
                <w:lang w:val="en-US" w:eastAsia="zh-CN"/>
              </w:rPr>
              <w:t>坑</w:t>
            </w:r>
            <w:r>
              <w:rPr>
                <w:rFonts w:hint="eastAsia"/>
              </w:rPr>
              <w:t>、</w:t>
            </w:r>
            <w:r>
              <w:rPr>
                <w:rFonts w:hint="eastAsia"/>
                <w:lang w:val="en-US" w:eastAsia="zh-CN"/>
              </w:rPr>
              <w:t>导流沟</w:t>
            </w:r>
            <w:r>
              <w:rPr>
                <w:rFonts w:hint="eastAsia"/>
              </w:rPr>
              <w:t>以及</w:t>
            </w:r>
            <w:r>
              <w:rPr>
                <w:rFonts w:hint="eastAsia"/>
                <w:lang w:eastAsia="zh-CN"/>
              </w:rPr>
              <w:t>事故油池</w:t>
            </w:r>
            <w:r>
              <w:rPr>
                <w:rFonts w:hint="eastAsia"/>
              </w:rPr>
              <w:t>建设完成，</w:t>
            </w:r>
            <w:r>
              <w:rPr>
                <w:rFonts w:hint="eastAsia"/>
                <w:lang w:eastAsia="zh-CN"/>
              </w:rPr>
              <w:t>事故油池</w:t>
            </w:r>
            <w:r>
              <w:rPr>
                <w:rFonts w:hint="eastAsia"/>
              </w:rPr>
              <w:t>有效容积需大于主变绝缘油量并做好防腐防渗措施，具备油水隔离功能。</w:t>
            </w:r>
          </w:p>
          <w:p>
            <w:pPr>
              <w:pStyle w:val="28"/>
            </w:pPr>
            <w:r>
              <w:rPr>
                <w:rFonts w:hint="eastAsia"/>
              </w:rPr>
              <w:t>2、光伏场区内的箱变下方设置事故油收集池，其有效容积大于单台箱变绝缘油量并做好防腐防渗处理。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环境监测</w:t>
            </w:r>
          </w:p>
        </w:tc>
        <w:tc>
          <w:tcPr>
            <w:tcW w:w="1553" w:type="pct"/>
            <w:vAlign w:val="center"/>
          </w:tcPr>
          <w:p>
            <w:pPr>
              <w:pStyle w:val="28"/>
            </w:pPr>
            <w:r>
              <w:rPr>
                <w:rFonts w:hint="eastAsia"/>
              </w:rPr>
              <w:t>由环境监理根据要求开展施工期监测要求</w:t>
            </w:r>
          </w:p>
        </w:tc>
        <w:tc>
          <w:tcPr>
            <w:tcW w:w="647" w:type="pct"/>
            <w:vAlign w:val="center"/>
          </w:tcPr>
          <w:p>
            <w:pPr>
              <w:pStyle w:val="28"/>
            </w:pPr>
            <w:r>
              <w:rPr>
                <w:rFonts w:hint="eastAsia"/>
              </w:rPr>
              <w:t>按要求委托有资质的监测机构开展环境监测，并出具监测报告</w:t>
            </w:r>
          </w:p>
        </w:tc>
        <w:tc>
          <w:tcPr>
            <w:tcW w:w="1337" w:type="pct"/>
            <w:vAlign w:val="center"/>
          </w:tcPr>
          <w:p>
            <w:pPr>
              <w:pStyle w:val="28"/>
            </w:pPr>
            <w:r>
              <w:rPr>
                <w:rFonts w:hint="eastAsia"/>
              </w:rPr>
              <w:t>升压站四周站界及</w:t>
            </w:r>
            <w:r>
              <w:rPr>
                <w:rFonts w:hint="eastAsia"/>
                <w:lang w:val="en-US" w:eastAsia="zh-CN"/>
              </w:rPr>
              <w:t>西</w:t>
            </w:r>
            <w:r>
              <w:rPr>
                <w:rFonts w:hint="eastAsia"/>
              </w:rPr>
              <w:t>侧敏感点噪声满足噪声排放标准，升压站周边敏感点声环境质量达标；</w:t>
            </w:r>
          </w:p>
          <w:p>
            <w:pPr>
              <w:pStyle w:val="28"/>
              <w:rPr>
                <w:rFonts w:hint="default"/>
                <w:lang w:val="en-US" w:eastAsia="zh-CN"/>
              </w:rPr>
            </w:pPr>
            <w:r>
              <w:rPr>
                <w:rFonts w:hint="eastAsia"/>
              </w:rPr>
              <w:t>升压站站界</w:t>
            </w:r>
            <w:r>
              <w:rPr>
                <w:rFonts w:hint="eastAsia"/>
                <w:lang w:val="en-US" w:eastAsia="zh-CN"/>
              </w:rPr>
              <w:t>四周</w:t>
            </w:r>
            <w:r>
              <w:rPr>
                <w:rFonts w:hint="eastAsia"/>
              </w:rPr>
              <w:t>满足《电磁环境控制限值》（GB8702-2014）中相应标准要求</w:t>
            </w:r>
            <w:r>
              <w:rPr>
                <w:rFonts w:hint="eastAsia"/>
                <w:lang w:eastAsia="zh-CN"/>
              </w:rPr>
              <w:t>；</w:t>
            </w:r>
          </w:p>
        </w:tc>
        <w:tc>
          <w:tcPr>
            <w:tcW w:w="1077" w:type="pct"/>
            <w:vAlign w:val="center"/>
          </w:tcPr>
          <w:p>
            <w:pPr>
              <w:pStyle w:val="28"/>
            </w:pPr>
            <w:r>
              <w:rPr>
                <w:rFonts w:hint="eastAsia"/>
              </w:rPr>
              <w:t>按要求委托有资质的监测机构开展施工期环境监测，并出具监测报告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其他</w:t>
            </w:r>
          </w:p>
        </w:tc>
        <w:tc>
          <w:tcPr>
            <w:tcW w:w="1553" w:type="pct"/>
            <w:vAlign w:val="center"/>
          </w:tcPr>
          <w:p>
            <w:pPr>
              <w:pStyle w:val="28"/>
            </w:pPr>
            <w:r>
              <w:rPr>
                <w:rFonts w:hint="eastAsia"/>
              </w:rPr>
              <w:t>/</w:t>
            </w:r>
          </w:p>
        </w:tc>
        <w:tc>
          <w:tcPr>
            <w:tcW w:w="647" w:type="pct"/>
            <w:vAlign w:val="center"/>
          </w:tcPr>
          <w:p>
            <w:pPr>
              <w:pStyle w:val="28"/>
            </w:pPr>
            <w:r>
              <w:rPr>
                <w:rFonts w:hint="eastAsia"/>
              </w:rPr>
              <w:t>/</w:t>
            </w:r>
          </w:p>
        </w:tc>
        <w:tc>
          <w:tcPr>
            <w:tcW w:w="1337" w:type="pct"/>
            <w:vAlign w:val="center"/>
          </w:tcPr>
          <w:p>
            <w:pPr>
              <w:pStyle w:val="28"/>
            </w:pPr>
            <w:r>
              <w:rPr>
                <w:rFonts w:hint="eastAsia"/>
              </w:rPr>
              <w:t>/</w:t>
            </w:r>
          </w:p>
        </w:tc>
        <w:tc>
          <w:tcPr>
            <w:tcW w:w="1077" w:type="pct"/>
            <w:vAlign w:val="center"/>
          </w:tcPr>
          <w:p>
            <w:pPr>
              <w:pStyle w:val="28"/>
            </w:pPr>
            <w:r>
              <w:rPr>
                <w:rFonts w:hint="eastAsia"/>
              </w:rPr>
              <w:t>/</w:t>
            </w:r>
          </w:p>
        </w:tc>
      </w:tr>
    </w:tbl>
    <w:p>
      <w:pPr>
        <w:ind w:left="0" w:leftChars="0" w:firstLine="0" w:firstLineChars="0"/>
        <w:rPr>
          <w:rFonts w:ascii="宋体" w:cs="宋体"/>
          <w:szCs w:val="21"/>
        </w:rPr>
        <w:sectPr>
          <w:pgSz w:w="16838" w:h="11906" w:orient="landscape"/>
          <w:pgMar w:top="1417" w:right="1417" w:bottom="1417" w:left="1417" w:header="851" w:footer="1077" w:gutter="0"/>
          <w:cols w:space="720" w:num="1"/>
          <w:docGrid w:linePitch="312" w:charSpace="0"/>
        </w:sectPr>
      </w:pPr>
    </w:p>
    <w:p>
      <w:pPr>
        <w:pStyle w:val="12"/>
        <w:ind w:firstLine="600"/>
        <w:jc w:val="center"/>
        <w:outlineLvl w:val="0"/>
        <w:rPr>
          <w:rFonts w:hint="eastAsia" w:ascii="黑体" w:hAnsi="黑体" w:eastAsia="黑体"/>
          <w:snapToGrid w:val="0"/>
          <w:sz w:val="30"/>
          <w:szCs w:val="30"/>
          <w:lang w:val="en-US" w:eastAsia="zh-CN"/>
        </w:rPr>
      </w:pPr>
      <w:r>
        <w:rPr>
          <w:rFonts w:hint="eastAsia" w:ascii="黑体" w:hAnsi="黑体" w:eastAsia="黑体"/>
          <w:snapToGrid w:val="0"/>
          <w:sz w:val="30"/>
          <w:szCs w:val="30"/>
          <w:lang w:val="en-US" w:eastAsia="zh-CN"/>
        </w:rPr>
        <w:t>七、结论</w:t>
      </w:r>
    </w:p>
    <w:tbl>
      <w:tblPr>
        <w:tblStyle w:val="1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pStyle w:val="29"/>
              <w:ind w:firstLine="480"/>
              <w:jc w:val="both"/>
            </w:pPr>
            <w:r>
              <w:rPr>
                <w:rFonts w:hint="eastAsia"/>
              </w:rPr>
              <w:t>本项目符合国家产业政策、符合环保政策，符合“三线一单”管控要求，符合区域发展规划</w:t>
            </w:r>
            <w:r>
              <w:t>。</w:t>
            </w:r>
            <w:r>
              <w:rPr>
                <w:rFonts w:hint="eastAsia"/>
              </w:rPr>
              <w:t>在严格落实评价提出的各项污染防治措施和生态保护措施的前提下，本工程施工期的环境影响范围和时段均较为有限，可为环境所接受；工程运营期可能产生的工频电磁场和噪声等主要环境影响，通过认真落实本评价和工程设计中提出的各项环保措施要求，可缓解或消除工程建设可能产生的不利环境影响。同时本次评价公众沟通采取现场公告、发放问卷的方式进行，公示期间未收到反馈意见。</w:t>
            </w:r>
          </w:p>
          <w:p>
            <w:pPr>
              <w:pStyle w:val="29"/>
              <w:ind w:firstLine="480"/>
              <w:jc w:val="both"/>
              <w:rPr>
                <w:rFonts w:ascii="宋体" w:hAnsi="宋体" w:cs="宋体"/>
                <w:szCs w:val="21"/>
              </w:rPr>
            </w:pPr>
            <w:r>
              <w:rPr>
                <w:rFonts w:hint="eastAsia"/>
              </w:rPr>
              <w:t>综上，从环境保护角度分析，本工程建设可行</w:t>
            </w:r>
            <w:r>
              <w:t>。</w:t>
            </w:r>
          </w:p>
        </w:tc>
      </w:tr>
    </w:tbl>
    <w:p>
      <w:pPr>
        <w:ind w:left="0" w:leftChars="0" w:firstLine="0" w:firstLineChars="0"/>
        <w:rPr>
          <w:rFonts w:hint="default" w:ascii="宋体" w:cs="宋体"/>
          <w:szCs w:val="21"/>
          <w:lang w:val="en-US" w:eastAsia="zh-CN"/>
        </w:rPr>
      </w:pPr>
    </w:p>
    <w:sectPr>
      <w:pgSz w:w="11906" w:h="16838"/>
      <w:pgMar w:top="1417" w:right="1417" w:bottom="1417" w:left="1417" w:header="851" w:footer="1077"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B86F24-CEED-47C0-BEF0-AE43DA1549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2" w:fontKey="{E46CCA36-AE8D-4C1B-8B1F-C4F4DD2526B2}"/>
  </w:font>
  <w:font w:name="方正小标宋_GBK">
    <w:panose1 w:val="02000000000000000000"/>
    <w:charset w:val="86"/>
    <w:family w:val="script"/>
    <w:pitch w:val="default"/>
    <w:sig w:usb0="A00002BF" w:usb1="38CF7CFA" w:usb2="00082016" w:usb3="00000000" w:csb0="00040001" w:csb1="00000000"/>
    <w:embedRegular r:id="rId3" w:fontKey="{0598CA46-7481-41DF-A7E9-3A4FCFC5BFD4}"/>
  </w:font>
  <w:font w:name="华文仿宋">
    <w:panose1 w:val="02010600040101010101"/>
    <w:charset w:val="86"/>
    <w:family w:val="auto"/>
    <w:pitch w:val="default"/>
    <w:sig w:usb0="00000287" w:usb1="080F0000" w:usb2="00000000" w:usb3="00000000" w:csb0="0004009F" w:csb1="DFD70000"/>
    <w:embedRegular r:id="rId4" w:fontKey="{B476B67B-A7BD-46B9-A7FA-B1D2AFFDBF3A}"/>
  </w:font>
  <w:font w:name="仿宋">
    <w:panose1 w:val="02010609060101010101"/>
    <w:charset w:val="86"/>
    <w:family w:val="modern"/>
    <w:pitch w:val="default"/>
    <w:sig w:usb0="800002BF" w:usb1="38CF7CFA" w:usb2="00000016" w:usb3="00000000" w:csb0="00040001" w:csb1="00000000"/>
    <w:embedRegular r:id="rId5" w:fontKey="{369295ED-F1F6-4AD8-A373-D33FA2B0E188}"/>
  </w:font>
  <w:font w:name="Wingdings 2">
    <w:panose1 w:val="05020102010507070707"/>
    <w:charset w:val="02"/>
    <w:family w:val="roman"/>
    <w:pitch w:val="default"/>
    <w:sig w:usb0="00000000" w:usb1="00000000" w:usb2="00000000" w:usb3="00000000" w:csb0="80000000" w:csb1="00000000"/>
    <w:embedRegular r:id="rId6" w:fontKey="{DC036266-C708-4220-A4E1-E466532C50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ind w:firstLine="360"/>
      <w:rPr>
        <w:rStyle w:val="17"/>
      </w:rPr>
    </w:pPr>
    <w:r>
      <w:rPr>
        <w:rStyle w:val="17"/>
      </w:rPr>
      <w:fldChar w:fldCharType="begin"/>
    </w:r>
    <w:r>
      <w:rPr>
        <w:rStyle w:val="17"/>
      </w:rPr>
      <w:instrText xml:space="preserve">PAGE  </w:instrText>
    </w:r>
    <w:r>
      <w:rPr>
        <w:rStyle w:val="17"/>
      </w:rPr>
      <w:fldChar w:fldCharType="end"/>
    </w:r>
  </w:p>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ind w:firstLine="560"/>
      <w:rPr>
        <w:rStyle w:val="17"/>
        <w:rFonts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Style w:val="17"/>
        <w:rFonts w:ascii="宋体" w:hAnsi="宋体"/>
        <w:sz w:val="26"/>
        <w:szCs w:val="26"/>
      </w:rPr>
      <w:fldChar w:fldCharType="begin"/>
    </w:r>
    <w:r>
      <w:rPr>
        <w:rStyle w:val="17"/>
        <w:rFonts w:ascii="宋体" w:hAnsi="宋体"/>
        <w:sz w:val="26"/>
        <w:szCs w:val="26"/>
      </w:rPr>
      <w:instrText xml:space="preserve">PAGE  </w:instrText>
    </w:r>
    <w:r>
      <w:rPr>
        <w:rStyle w:val="17"/>
        <w:rFonts w:ascii="宋体" w:hAnsi="宋体"/>
        <w:sz w:val="26"/>
        <w:szCs w:val="26"/>
      </w:rPr>
      <w:fldChar w:fldCharType="separate"/>
    </w:r>
    <w:r>
      <w:rPr>
        <w:rStyle w:val="17"/>
        <w:rFonts w:ascii="宋体" w:hAnsi="宋体"/>
        <w:sz w:val="26"/>
        <w:szCs w:val="26"/>
      </w:rPr>
      <w:t>84</w:t>
    </w:r>
    <w:r>
      <w:rPr>
        <w:rStyle w:val="17"/>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p>
    <w:pPr>
      <w:pStyle w:val="1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DDB1F0"/>
    <w:multiLevelType w:val="singleLevel"/>
    <w:tmpl w:val="0CDDB1F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2Njg5YWJhZGVkNTFlMGU1NThjNmFkYTE5ZTcxNmYifQ=="/>
    <w:docVar w:name="KSO_WPS_MARK_KEY" w:val="848e0bf1-d9de-4105-87eb-27396e547c5f"/>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740"/>
    <w:rsid w:val="00082A29"/>
    <w:rsid w:val="0008331D"/>
    <w:rsid w:val="00083C18"/>
    <w:rsid w:val="00092899"/>
    <w:rsid w:val="00094126"/>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A7943"/>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075C6"/>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4051"/>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1E54"/>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12878"/>
    <w:rsid w:val="007225C9"/>
    <w:rsid w:val="00735CD7"/>
    <w:rsid w:val="00754034"/>
    <w:rsid w:val="00754BF1"/>
    <w:rsid w:val="00755A30"/>
    <w:rsid w:val="00755E1C"/>
    <w:rsid w:val="00756556"/>
    <w:rsid w:val="0076132B"/>
    <w:rsid w:val="00761ED6"/>
    <w:rsid w:val="007623AE"/>
    <w:rsid w:val="00770B19"/>
    <w:rsid w:val="00774FA0"/>
    <w:rsid w:val="00776620"/>
    <w:rsid w:val="00777B6D"/>
    <w:rsid w:val="00784855"/>
    <w:rsid w:val="00784F39"/>
    <w:rsid w:val="0078545C"/>
    <w:rsid w:val="007906C4"/>
    <w:rsid w:val="007940EA"/>
    <w:rsid w:val="007967E8"/>
    <w:rsid w:val="007A63F2"/>
    <w:rsid w:val="007B5F08"/>
    <w:rsid w:val="007B68DE"/>
    <w:rsid w:val="007C1857"/>
    <w:rsid w:val="007C514F"/>
    <w:rsid w:val="007D0F95"/>
    <w:rsid w:val="007D7ECB"/>
    <w:rsid w:val="007E25A1"/>
    <w:rsid w:val="007E4BD2"/>
    <w:rsid w:val="007E7145"/>
    <w:rsid w:val="007F3916"/>
    <w:rsid w:val="00801179"/>
    <w:rsid w:val="00802479"/>
    <w:rsid w:val="00805372"/>
    <w:rsid w:val="00805B7B"/>
    <w:rsid w:val="00806522"/>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16BA"/>
    <w:rsid w:val="008A18F8"/>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47B"/>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BF522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096C"/>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E2782"/>
    <w:rsid w:val="00DF1930"/>
    <w:rsid w:val="00DF514A"/>
    <w:rsid w:val="00E0358D"/>
    <w:rsid w:val="00E06327"/>
    <w:rsid w:val="00E07C6E"/>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24CC9"/>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87705"/>
    <w:rsid w:val="00F90AA7"/>
    <w:rsid w:val="00F9212D"/>
    <w:rsid w:val="00FA301A"/>
    <w:rsid w:val="00FA406A"/>
    <w:rsid w:val="00FA5CB6"/>
    <w:rsid w:val="00FC66AC"/>
    <w:rsid w:val="00FD18F4"/>
    <w:rsid w:val="00FD74B4"/>
    <w:rsid w:val="00FF6FCE"/>
    <w:rsid w:val="00FF7518"/>
    <w:rsid w:val="00FF7FD8"/>
    <w:rsid w:val="01AC5842"/>
    <w:rsid w:val="055937F4"/>
    <w:rsid w:val="05742AC8"/>
    <w:rsid w:val="06352F05"/>
    <w:rsid w:val="063E7D85"/>
    <w:rsid w:val="070875E0"/>
    <w:rsid w:val="07293586"/>
    <w:rsid w:val="07295285"/>
    <w:rsid w:val="07770C56"/>
    <w:rsid w:val="07951048"/>
    <w:rsid w:val="092217DD"/>
    <w:rsid w:val="093A7294"/>
    <w:rsid w:val="098A5E26"/>
    <w:rsid w:val="0B382689"/>
    <w:rsid w:val="0BD27BF6"/>
    <w:rsid w:val="0CE64B43"/>
    <w:rsid w:val="0E110D06"/>
    <w:rsid w:val="0F13775A"/>
    <w:rsid w:val="0F9A112B"/>
    <w:rsid w:val="106D2F64"/>
    <w:rsid w:val="10B63710"/>
    <w:rsid w:val="10E404D5"/>
    <w:rsid w:val="111C2F7A"/>
    <w:rsid w:val="113013DE"/>
    <w:rsid w:val="122B06C2"/>
    <w:rsid w:val="1279637A"/>
    <w:rsid w:val="13951726"/>
    <w:rsid w:val="14396509"/>
    <w:rsid w:val="1447165C"/>
    <w:rsid w:val="17735226"/>
    <w:rsid w:val="1A1C66C0"/>
    <w:rsid w:val="1A42393B"/>
    <w:rsid w:val="1B046F80"/>
    <w:rsid w:val="1B3267B5"/>
    <w:rsid w:val="1BC25DC8"/>
    <w:rsid w:val="1C5E7925"/>
    <w:rsid w:val="1C887FC8"/>
    <w:rsid w:val="1D43607F"/>
    <w:rsid w:val="1D5F6196"/>
    <w:rsid w:val="1D6132A5"/>
    <w:rsid w:val="1D8E56D5"/>
    <w:rsid w:val="1E7A43DA"/>
    <w:rsid w:val="1EB277FE"/>
    <w:rsid w:val="1F6129BE"/>
    <w:rsid w:val="1FE7539E"/>
    <w:rsid w:val="20963CB8"/>
    <w:rsid w:val="20B07FB6"/>
    <w:rsid w:val="20CC5161"/>
    <w:rsid w:val="213B74B1"/>
    <w:rsid w:val="215A2310"/>
    <w:rsid w:val="21DE318A"/>
    <w:rsid w:val="21EF5B80"/>
    <w:rsid w:val="22576990"/>
    <w:rsid w:val="229C4EAB"/>
    <w:rsid w:val="252778DC"/>
    <w:rsid w:val="252D53FE"/>
    <w:rsid w:val="25DA3E7C"/>
    <w:rsid w:val="25EC2D81"/>
    <w:rsid w:val="264528BD"/>
    <w:rsid w:val="27545EB0"/>
    <w:rsid w:val="27D15DD1"/>
    <w:rsid w:val="27ED6E2C"/>
    <w:rsid w:val="28A76295"/>
    <w:rsid w:val="29206EB8"/>
    <w:rsid w:val="29E325E0"/>
    <w:rsid w:val="2A452503"/>
    <w:rsid w:val="2BA936A8"/>
    <w:rsid w:val="2C315A5A"/>
    <w:rsid w:val="2D9E56F5"/>
    <w:rsid w:val="2E0E173A"/>
    <w:rsid w:val="2E667F96"/>
    <w:rsid w:val="2E8226AB"/>
    <w:rsid w:val="2F832C79"/>
    <w:rsid w:val="2FEF2D58"/>
    <w:rsid w:val="30580BC9"/>
    <w:rsid w:val="308F4C3A"/>
    <w:rsid w:val="311E2ED7"/>
    <w:rsid w:val="315C449C"/>
    <w:rsid w:val="31B452AF"/>
    <w:rsid w:val="31B82709"/>
    <w:rsid w:val="32400B34"/>
    <w:rsid w:val="32855023"/>
    <w:rsid w:val="329E6876"/>
    <w:rsid w:val="33D934D4"/>
    <w:rsid w:val="33FE2F6A"/>
    <w:rsid w:val="343D1459"/>
    <w:rsid w:val="36074A7F"/>
    <w:rsid w:val="36923549"/>
    <w:rsid w:val="36B75FBF"/>
    <w:rsid w:val="36FB4891"/>
    <w:rsid w:val="3701157D"/>
    <w:rsid w:val="379C3015"/>
    <w:rsid w:val="37B337F0"/>
    <w:rsid w:val="38F12CD3"/>
    <w:rsid w:val="38F94775"/>
    <w:rsid w:val="392971ED"/>
    <w:rsid w:val="39CE564E"/>
    <w:rsid w:val="3AB94550"/>
    <w:rsid w:val="3B3763D1"/>
    <w:rsid w:val="3B9F436C"/>
    <w:rsid w:val="3CDA245A"/>
    <w:rsid w:val="3CEE0A37"/>
    <w:rsid w:val="3F660E74"/>
    <w:rsid w:val="407A6407"/>
    <w:rsid w:val="41203490"/>
    <w:rsid w:val="423A3BCC"/>
    <w:rsid w:val="42F36794"/>
    <w:rsid w:val="433A6FE6"/>
    <w:rsid w:val="4350713C"/>
    <w:rsid w:val="436653E0"/>
    <w:rsid w:val="44CD14E0"/>
    <w:rsid w:val="458946E9"/>
    <w:rsid w:val="46D955A7"/>
    <w:rsid w:val="47133957"/>
    <w:rsid w:val="4779329E"/>
    <w:rsid w:val="47A07E0C"/>
    <w:rsid w:val="4870272E"/>
    <w:rsid w:val="49DC7715"/>
    <w:rsid w:val="4A023139"/>
    <w:rsid w:val="4A7B576F"/>
    <w:rsid w:val="4C4A0649"/>
    <w:rsid w:val="4CA46E0E"/>
    <w:rsid w:val="4CE470D3"/>
    <w:rsid w:val="4DEC4FB0"/>
    <w:rsid w:val="4E075D8A"/>
    <w:rsid w:val="4FC62A8C"/>
    <w:rsid w:val="4FE20F0D"/>
    <w:rsid w:val="50406E4E"/>
    <w:rsid w:val="50504C4B"/>
    <w:rsid w:val="509C6E7C"/>
    <w:rsid w:val="51055BA4"/>
    <w:rsid w:val="5162104E"/>
    <w:rsid w:val="53A039CC"/>
    <w:rsid w:val="53A1505A"/>
    <w:rsid w:val="53B870C2"/>
    <w:rsid w:val="54063E08"/>
    <w:rsid w:val="543437E8"/>
    <w:rsid w:val="559B174B"/>
    <w:rsid w:val="55CE0CF4"/>
    <w:rsid w:val="56B22A9C"/>
    <w:rsid w:val="57A8352A"/>
    <w:rsid w:val="57B72A76"/>
    <w:rsid w:val="5A3C747D"/>
    <w:rsid w:val="5A7871E4"/>
    <w:rsid w:val="5ABE2233"/>
    <w:rsid w:val="5B276D18"/>
    <w:rsid w:val="5BA2213E"/>
    <w:rsid w:val="5BDF5D95"/>
    <w:rsid w:val="5CA0261B"/>
    <w:rsid w:val="5DF87A0F"/>
    <w:rsid w:val="5F1A2B43"/>
    <w:rsid w:val="5FB837BB"/>
    <w:rsid w:val="60AF49FF"/>
    <w:rsid w:val="60B77FA4"/>
    <w:rsid w:val="62364782"/>
    <w:rsid w:val="62C7371D"/>
    <w:rsid w:val="63D40BE9"/>
    <w:rsid w:val="63E0211F"/>
    <w:rsid w:val="650224CC"/>
    <w:rsid w:val="65373578"/>
    <w:rsid w:val="673F2C7A"/>
    <w:rsid w:val="681F6961"/>
    <w:rsid w:val="68610A2F"/>
    <w:rsid w:val="68805514"/>
    <w:rsid w:val="68AB627E"/>
    <w:rsid w:val="694E2071"/>
    <w:rsid w:val="697A3B33"/>
    <w:rsid w:val="699E2456"/>
    <w:rsid w:val="6B080817"/>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E216D8"/>
    <w:rsid w:val="71F744C6"/>
    <w:rsid w:val="71F960CF"/>
    <w:rsid w:val="724A54B2"/>
    <w:rsid w:val="731F5D5E"/>
    <w:rsid w:val="737C3274"/>
    <w:rsid w:val="741E793C"/>
    <w:rsid w:val="758D75E2"/>
    <w:rsid w:val="759A6655"/>
    <w:rsid w:val="767A25C1"/>
    <w:rsid w:val="76E45ED5"/>
    <w:rsid w:val="77762421"/>
    <w:rsid w:val="780F09F4"/>
    <w:rsid w:val="789C4F47"/>
    <w:rsid w:val="78A90480"/>
    <w:rsid w:val="79811327"/>
    <w:rsid w:val="7A364017"/>
    <w:rsid w:val="7A8265E1"/>
    <w:rsid w:val="7AC874C3"/>
    <w:rsid w:val="7B686D42"/>
    <w:rsid w:val="7B841746"/>
    <w:rsid w:val="7C4B6CA3"/>
    <w:rsid w:val="7D0239FF"/>
    <w:rsid w:val="7D5E40CD"/>
    <w:rsid w:val="7D693BED"/>
    <w:rsid w:val="7E0443EB"/>
    <w:rsid w:val="7E30491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ocked="1"/>
    <w:lsdException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3">
    <w:name w:val="caption"/>
    <w:basedOn w:val="1"/>
    <w:next w:val="1"/>
    <w:autoRedefine/>
    <w:qFormat/>
    <w:locked/>
    <w:uiPriority w:val="0"/>
    <w:rPr>
      <w:rFonts w:ascii="Arial" w:hAnsi="Arial" w:eastAsia="黑体" w:cs="Arial"/>
      <w:sz w:val="20"/>
      <w:szCs w:val="20"/>
    </w:rPr>
  </w:style>
  <w:style w:type="paragraph" w:styleId="4">
    <w:name w:val="annotation text"/>
    <w:basedOn w:val="1"/>
    <w:link w:val="19"/>
    <w:autoRedefine/>
    <w:semiHidden/>
    <w:qFormat/>
    <w:uiPriority w:val="0"/>
    <w:pPr>
      <w:jc w:val="left"/>
    </w:pPr>
    <w:rPr>
      <w:kern w:val="0"/>
      <w:sz w:val="20"/>
    </w:rPr>
  </w:style>
  <w:style w:type="paragraph" w:styleId="5">
    <w:name w:val="Body Text"/>
    <w:basedOn w:val="1"/>
    <w:link w:val="20"/>
    <w:autoRedefine/>
    <w:qFormat/>
    <w:uiPriority w:val="0"/>
    <w:pPr>
      <w:widowControl/>
      <w:snapToGrid w:val="0"/>
      <w:spacing w:before="60" w:after="160" w:line="259" w:lineRule="auto"/>
      <w:ind w:right="113"/>
    </w:pPr>
    <w:rPr>
      <w:kern w:val="0"/>
      <w:sz w:val="18"/>
      <w:szCs w:val="18"/>
    </w:rPr>
  </w:style>
  <w:style w:type="paragraph" w:styleId="6">
    <w:name w:val="Body Text Indent"/>
    <w:basedOn w:val="1"/>
    <w:link w:val="21"/>
    <w:autoRedefine/>
    <w:semiHidden/>
    <w:qFormat/>
    <w:uiPriority w:val="0"/>
    <w:pPr>
      <w:spacing w:after="120"/>
      <w:ind w:left="420" w:leftChars="200"/>
    </w:pPr>
  </w:style>
  <w:style w:type="paragraph" w:styleId="7">
    <w:name w:val="Plain Text"/>
    <w:basedOn w:val="1"/>
    <w:autoRedefine/>
    <w:qFormat/>
    <w:uiPriority w:val="0"/>
    <w:rPr>
      <w:rFonts w:ascii="宋体" w:hAnsi="Courier New"/>
    </w:rPr>
  </w:style>
  <w:style w:type="paragraph" w:styleId="8">
    <w:name w:val="Date"/>
    <w:basedOn w:val="1"/>
    <w:next w:val="1"/>
    <w:link w:val="22"/>
    <w:autoRedefine/>
    <w:qFormat/>
    <w:uiPriority w:val="0"/>
    <w:pPr>
      <w:ind w:left="100" w:leftChars="2500"/>
    </w:pPr>
    <w:rPr>
      <w:kern w:val="0"/>
      <w:sz w:val="20"/>
    </w:rPr>
  </w:style>
  <w:style w:type="paragraph" w:styleId="9">
    <w:name w:val="Balloon Text"/>
    <w:basedOn w:val="1"/>
    <w:link w:val="23"/>
    <w:autoRedefine/>
    <w:semiHidden/>
    <w:qFormat/>
    <w:uiPriority w:val="0"/>
    <w:rPr>
      <w:sz w:val="18"/>
      <w:szCs w:val="18"/>
    </w:rPr>
  </w:style>
  <w:style w:type="paragraph" w:styleId="10">
    <w:name w:val="footer"/>
    <w:basedOn w:val="1"/>
    <w:link w:val="24"/>
    <w:autoRedefine/>
    <w:qFormat/>
    <w:uiPriority w:val="0"/>
    <w:pPr>
      <w:tabs>
        <w:tab w:val="center" w:pos="4153"/>
        <w:tab w:val="right" w:pos="8306"/>
      </w:tabs>
      <w:snapToGrid w:val="0"/>
      <w:jc w:val="left"/>
    </w:pPr>
    <w:rPr>
      <w:sz w:val="18"/>
      <w:szCs w:val="18"/>
    </w:rPr>
  </w:style>
  <w:style w:type="paragraph" w:styleId="11">
    <w:name w:val="header"/>
    <w:basedOn w:val="1"/>
    <w:link w:val="25"/>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link w:val="26"/>
    <w:autoRedefine/>
    <w:qFormat/>
    <w:uiPriority w:val="0"/>
    <w:pPr>
      <w:widowControl/>
      <w:spacing w:before="100" w:beforeAutospacing="1" w:after="100" w:afterAutospacing="1"/>
      <w:jc w:val="left"/>
    </w:pPr>
    <w:rPr>
      <w:rFonts w:ascii="宋体" w:hAnsi="宋体"/>
      <w:kern w:val="0"/>
    </w:rPr>
  </w:style>
  <w:style w:type="paragraph" w:styleId="13">
    <w:name w:val="annotation subject"/>
    <w:basedOn w:val="4"/>
    <w:next w:val="4"/>
    <w:link w:val="27"/>
    <w:autoRedefine/>
    <w:semiHidden/>
    <w:qFormat/>
    <w:uiPriority w:val="0"/>
    <w:rPr>
      <w:b/>
      <w:bCs/>
    </w:rPr>
  </w:style>
  <w:style w:type="table" w:styleId="15">
    <w:name w:val="Table Grid"/>
    <w:basedOn w:val="1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annotation reference"/>
    <w:basedOn w:val="16"/>
    <w:autoRedefine/>
    <w:semiHidden/>
    <w:qFormat/>
    <w:uiPriority w:val="0"/>
    <w:rPr>
      <w:sz w:val="21"/>
    </w:rPr>
  </w:style>
  <w:style w:type="character" w:customStyle="1" w:styleId="19">
    <w:name w:val="批注文字 字符"/>
    <w:link w:val="4"/>
    <w:autoRedefine/>
    <w:qFormat/>
    <w:locked/>
    <w:uiPriority w:val="0"/>
    <w:rPr>
      <w:rFonts w:ascii="Times New Roman" w:hAnsi="Times New Roman" w:eastAsia="宋体"/>
      <w:sz w:val="24"/>
    </w:rPr>
  </w:style>
  <w:style w:type="character" w:customStyle="1" w:styleId="20">
    <w:name w:val="正文文本 字符"/>
    <w:link w:val="5"/>
    <w:autoRedefine/>
    <w:qFormat/>
    <w:locked/>
    <w:uiPriority w:val="0"/>
    <w:rPr>
      <w:sz w:val="18"/>
    </w:rPr>
  </w:style>
  <w:style w:type="character" w:customStyle="1" w:styleId="21">
    <w:name w:val="正文文本缩进 字符"/>
    <w:basedOn w:val="16"/>
    <w:link w:val="6"/>
    <w:autoRedefine/>
    <w:semiHidden/>
    <w:qFormat/>
    <w:locked/>
    <w:uiPriority w:val="0"/>
    <w:rPr>
      <w:rFonts w:ascii="Times New Roman" w:hAnsi="Times New Roman" w:eastAsia="宋体" w:cs="Times New Roman"/>
      <w:sz w:val="24"/>
      <w:szCs w:val="24"/>
    </w:rPr>
  </w:style>
  <w:style w:type="character" w:customStyle="1" w:styleId="22">
    <w:name w:val="日期 字符"/>
    <w:link w:val="8"/>
    <w:autoRedefine/>
    <w:qFormat/>
    <w:locked/>
    <w:uiPriority w:val="0"/>
    <w:rPr>
      <w:rFonts w:ascii="Times New Roman" w:hAnsi="Times New Roman" w:eastAsia="宋体"/>
      <w:sz w:val="24"/>
    </w:rPr>
  </w:style>
  <w:style w:type="character" w:customStyle="1" w:styleId="23">
    <w:name w:val="批注框文本 字符"/>
    <w:basedOn w:val="16"/>
    <w:link w:val="9"/>
    <w:autoRedefine/>
    <w:semiHidden/>
    <w:qFormat/>
    <w:locked/>
    <w:uiPriority w:val="0"/>
    <w:rPr>
      <w:rFonts w:ascii="Times New Roman" w:hAnsi="Times New Roman" w:eastAsia="宋体" w:cs="Times New Roman"/>
      <w:sz w:val="18"/>
      <w:szCs w:val="18"/>
    </w:rPr>
  </w:style>
  <w:style w:type="character" w:customStyle="1" w:styleId="24">
    <w:name w:val="页脚 字符"/>
    <w:basedOn w:val="16"/>
    <w:link w:val="10"/>
    <w:autoRedefine/>
    <w:qFormat/>
    <w:locked/>
    <w:uiPriority w:val="0"/>
    <w:rPr>
      <w:rFonts w:cs="Times New Roman"/>
      <w:sz w:val="18"/>
      <w:szCs w:val="18"/>
    </w:rPr>
  </w:style>
  <w:style w:type="character" w:customStyle="1" w:styleId="25">
    <w:name w:val="页眉 字符"/>
    <w:basedOn w:val="16"/>
    <w:link w:val="11"/>
    <w:autoRedefine/>
    <w:qFormat/>
    <w:locked/>
    <w:uiPriority w:val="0"/>
    <w:rPr>
      <w:rFonts w:cs="Times New Roman"/>
      <w:sz w:val="18"/>
      <w:szCs w:val="18"/>
    </w:rPr>
  </w:style>
  <w:style w:type="character" w:customStyle="1" w:styleId="26">
    <w:name w:val="普通(网站) 字符"/>
    <w:link w:val="12"/>
    <w:autoRedefine/>
    <w:qFormat/>
    <w:locked/>
    <w:uiPriority w:val="0"/>
    <w:rPr>
      <w:rFonts w:ascii="宋体" w:hAnsi="宋体" w:eastAsia="宋体"/>
      <w:sz w:val="24"/>
    </w:rPr>
  </w:style>
  <w:style w:type="character" w:customStyle="1" w:styleId="27">
    <w:name w:val="批注主题 字符"/>
    <w:basedOn w:val="19"/>
    <w:link w:val="13"/>
    <w:autoRedefine/>
    <w:semiHidden/>
    <w:qFormat/>
    <w:locked/>
    <w:uiPriority w:val="0"/>
    <w:rPr>
      <w:rFonts w:ascii="Times New Roman" w:hAnsi="Times New Roman" w:eastAsia="宋体" w:cs="Times New Roman"/>
      <w:b/>
      <w:bCs/>
      <w:kern w:val="2"/>
      <w:sz w:val="24"/>
      <w:szCs w:val="24"/>
    </w:rPr>
  </w:style>
  <w:style w:type="paragraph" w:customStyle="1" w:styleId="28">
    <w:name w:val="表格瓜"/>
    <w:autoRedefine/>
    <w:qFormat/>
    <w:uiPriority w:val="0"/>
    <w:pPr>
      <w:jc w:val="center"/>
    </w:pPr>
    <w:rPr>
      <w:rFonts w:ascii="Times New Roman" w:hAnsi="Times New Roman" w:eastAsia="宋体" w:cs="Times New Roman"/>
      <w:sz w:val="21"/>
      <w:lang w:val="en-US" w:eastAsia="zh-CN" w:bidi="ar-SA"/>
    </w:rPr>
  </w:style>
  <w:style w:type="paragraph" w:customStyle="1" w:styleId="29">
    <w:name w:val="正文瓜"/>
    <w:link w:val="31"/>
    <w:autoRedefine/>
    <w:qFormat/>
    <w:uiPriority w:val="0"/>
    <w:pPr>
      <w:widowControl w:val="0"/>
      <w:wordWrap w:val="0"/>
      <w:spacing w:line="360" w:lineRule="auto"/>
      <w:ind w:firstLine="720" w:firstLineChars="200"/>
    </w:pPr>
    <w:rPr>
      <w:rFonts w:ascii="Times New Roman" w:hAnsi="Times New Roman" w:eastAsia="宋体" w:cs="Times New Roman"/>
      <w:sz w:val="24"/>
      <w:lang w:val="en-US" w:eastAsia="zh-CN" w:bidi="ar-SA"/>
    </w:rPr>
  </w:style>
  <w:style w:type="table" w:customStyle="1" w:styleId="30">
    <w:name w:val="Table Normal"/>
    <w:autoRedefine/>
    <w:unhideWhenUsed/>
    <w:qFormat/>
    <w:uiPriority w:val="0"/>
    <w:tblPr>
      <w:tblCellMar>
        <w:top w:w="0" w:type="dxa"/>
        <w:left w:w="0" w:type="dxa"/>
        <w:bottom w:w="0" w:type="dxa"/>
        <w:right w:w="0" w:type="dxa"/>
      </w:tblCellMar>
    </w:tblPr>
  </w:style>
  <w:style w:type="character" w:customStyle="1" w:styleId="31">
    <w:name w:val="正文瓜 Char"/>
    <w:link w:val="29"/>
    <w:autoRedefine/>
    <w:qFormat/>
    <w:uiPriority w:val="0"/>
    <w:rPr>
      <w:rFonts w:ascii="Times New Roman" w:hAnsi="Times New Roman" w:eastAsia="宋体" w:cs="Times New Roman"/>
      <w:sz w:val="24"/>
    </w:rPr>
  </w:style>
  <w:style w:type="paragraph" w:customStyle="1" w:styleId="32">
    <w:name w:val="表内字"/>
    <w:basedOn w:val="33"/>
    <w:autoRedefine/>
    <w:qFormat/>
    <w:uiPriority w:val="0"/>
    <w:pPr>
      <w:autoSpaceDE w:val="0"/>
      <w:autoSpaceDN w:val="0"/>
      <w:spacing w:line="320" w:lineRule="exact"/>
    </w:pPr>
    <w:rPr>
      <w:rFonts w:ascii="宋体" w:hAnsi="宋体" w:eastAsiaTheme="minorEastAsia" w:cstheme="minorBidi"/>
      <w:kern w:val="2"/>
    </w:rPr>
  </w:style>
  <w:style w:type="paragraph" w:customStyle="1" w:styleId="33">
    <w:name w:val="表格"/>
    <w:basedOn w:val="3"/>
    <w:next w:val="1"/>
    <w:autoRedefine/>
    <w:qFormat/>
    <w:uiPriority w:val="0"/>
    <w:pPr>
      <w:adjustRightInd w:val="0"/>
      <w:snapToGrid w:val="0"/>
      <w:spacing w:before="100" w:beforeAutospacing="1" w:after="100" w:afterAutospacing="1" w:line="360" w:lineRule="auto"/>
      <w:jc w:val="center"/>
    </w:pPr>
    <w:rPr>
      <w:rFonts w:eastAsia="宋体"/>
      <w:snapToGrid w:val="0"/>
      <w:kern w:val="0"/>
      <w:sz w:val="21"/>
      <w:szCs w:val="21"/>
    </w:rPr>
  </w:style>
  <w:style w:type="paragraph" w:customStyle="1" w:styleId="34">
    <w:name w:val="表内字1"/>
    <w:basedOn w:val="1"/>
    <w:autoRedefine/>
    <w:qFormat/>
    <w:uiPriority w:val="0"/>
    <w:pPr>
      <w:adjustRightInd w:val="0"/>
      <w:snapToGrid w:val="0"/>
      <w:spacing w:line="260" w:lineRule="exact"/>
      <w:jc w:val="center"/>
    </w:pPr>
    <w:rPr>
      <w:rFonts w:ascii="Calibri" w:hAnsi="Calibri"/>
      <w:color w:val="000000"/>
      <w:sz w:val="22"/>
      <w:szCs w:val="21"/>
    </w:rPr>
  </w:style>
  <w:style w:type="paragraph" w:customStyle="1" w:styleId="35">
    <w:name w:val="Table Text"/>
    <w:basedOn w:val="1"/>
    <w:autoRedefine/>
    <w:semiHidden/>
    <w:qFormat/>
    <w:uiPriority w:val="0"/>
    <w:rPr>
      <w:rFonts w:eastAsia="Times New Roman"/>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extobjs>
    <extobj name="ECB019B1-382A-4266-B25C-5B523AA43C14-1">
      <extobjdata type="ECB019B1-382A-4266-B25C-5B523AA43C14" data="ewoJIkZpbGVJZCIgOiAiMjk3NDUyMzIxODYxIiwKCSJHcm91cElkIiA6ICI4NzI0MDg0NzYiLAoJIkltYWdlIiA6ICJpVkJPUncwS0dnb0FBQUFOU1VoRVVnQUFBemtBQUFHNkNBWUFBQUFycVloR0FBQUFBWE5TUjBJQXJzNGM2UUFBSUFCSlJFRlVlSnpzM1hsOEZPWGhCdkRubld1elMwSkNRaEJDbEFEaHlKS0V4S0F0ZUZTcFJWdXRCN1ZpdllxMnhiWnFGZkNuVW9SNllpdEg4VUNLZU44WEtKVUszbHFMSWtnVEVraEFyZ0RoRHBDRUhIdk52TDgvc3JQZEhDQWtnVEhKOC8xOC9CamVuWDNuMlpsM1p2YmRtWGtI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BNC8wZkNITE1qeFRPcWpzQUFBQUFTVVZPUks1Q1lJST0iLAoJIlRoZW1lIiA6ICIiLAoJIlR5cGUiIDogImZsb3ciLAoJIlZlcnNpb24iIDogIiIKfQo="/>
    </extobj>
    <extobj name="ECB019B1-382A-4266-B25C-5B523AA43C14-2">
      <extobjdata type="ECB019B1-382A-4266-B25C-5B523AA43C14" data="ewoJIkZpbGVJZCIgOiAiMzAzMDE1MTgzNzMyIiwKCSJHcm91cElkIiA6ICI4NzI0MDg0NzYiLAoJIkltYWdlIiA6ICJpVkJPUncwS0dnb0FBQUFOU1VoRVVnQUFBd1FBQUFIa0NBWUFBQUNBSU9oSkFBQUFBWE5TUjBJQXJzNGM2UUFBSUFCSlJFRlVlSnpzM1hkY0UrY2ZCL0RQSldHRElrVUZ0UmF0MWxrSGF0MTExdGI5VTZ2VjF0VzY2NjYxUmJUdXVrVkJxcmd0amxxMTdqMHJUdXFxdFdweGd1SkdaVVJXa3J2Zkh5RW5NUWtFUlVIeWViOWVDcmw3N3U2NThPVHlmTytlQVJ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"/>
    </extobj>
    <extobj name="ECB019B1-382A-4266-B25C-5B523AA43C14-3">
      <extobjdata type="ECB019B1-382A-4266-B25C-5B523AA43C14" data="ewoJIkZpbGVJZCIgOiAiMjk4MzIzODg5NTc0IiwKCSJHcm91cElkIiA6ICI4NzI0MDg0NzYiLAoJIkltYWdlIiA6ICJpVkJPUncwS0dnb0FBQUFOU1VoRVVnQUFBaDBBQUFPTkNBWUFBQUFpY2RJUUFBQUFBWE5TUjBJQXJzNGM2UUFBSUFCSlJFRlVlSnpzM1hkOHpQZmpCL0RYNSs0eVJRUkJFUE5MaWFJMFZxdGFxbFN0Vmt0U1d3bHF0R0x6UlpXbzFxYXhncmJFanRvZDZOZGVpUmtydzBoakJSRjFra2d1dWZINS9aSGU1NWR6ZDhtRitGd1NyK2ZqNGNGOTV2dE9jdmU2OXdT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88</Pages>
  <Words>64517</Words>
  <Characters>71779</Characters>
  <Lines>523</Lines>
  <Paragraphs>147</Paragraphs>
  <TotalTime>5</TotalTime>
  <ScaleCrop>false</ScaleCrop>
  <LinksUpToDate>false</LinksUpToDate>
  <CharactersWithSpaces>72179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果果果果果果果灬</cp:lastModifiedBy>
  <cp:lastPrinted>2020-12-24T01:50:00Z</cp:lastPrinted>
  <dcterms:modified xsi:type="dcterms:W3CDTF">2024-06-18T09:03:22Z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CD8A0DD06F6A493EB960DF47C81AEB84_13</vt:lpwstr>
  </property>
</Properties>
</file>