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ascii="宋体" w:hAnsi="宋体" w:eastAsia="宋体"/>
          <w:b w:val="0"/>
          <w:bCs/>
          <w:color w:val="FF0000"/>
          <w:sz w:val="44"/>
          <w:szCs w:val="44"/>
        </w:rPr>
      </w:pPr>
      <w:bookmarkStart w:id="0" w:name="docNum"/>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3"/>
        <w:keepNext w:val="0"/>
        <w:keepLines w:val="0"/>
        <w:pageBreakBefore w:val="0"/>
        <w:widowControl/>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渝（奉）环准〔2024〕1</w:t>
      </w:r>
      <w:r>
        <w:rPr>
          <w:rFonts w:hint="eastAsia" w:ascii="方正仿宋_GBK" w:hAnsi="宋体" w:eastAsia="方正仿宋_GBK"/>
          <w:bCs/>
          <w:lang w:val="en-US" w:eastAsia="zh-CN"/>
        </w:rPr>
        <w:t>7</w:t>
      </w:r>
      <w:r>
        <w:rPr>
          <w:rFonts w:hint="eastAsia" w:ascii="方正仿宋_GBK" w:hAnsi="宋体" w:eastAsia="方正仿宋_GBK"/>
          <w:bCs/>
          <w:lang w:eastAsia="zh-CN"/>
        </w:rPr>
        <w:t>号</w:t>
      </w:r>
      <w:bookmarkEnd w:id="0"/>
    </w:p>
    <w:p>
      <w:pPr>
        <w:pStyle w:val="11"/>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color w:val="auto"/>
          <w:sz w:val="32"/>
          <w:szCs w:val="32"/>
          <w:u w:val="none"/>
          <w:lang w:val="en-US" w:eastAsia="zh-CN" w:bidi="ar-SA"/>
        </w:rPr>
      </w:pPr>
      <w:bookmarkStart w:id="1" w:name="companyName"/>
      <w:r>
        <w:rPr>
          <w:rFonts w:hint="eastAsia" w:ascii="Times New Roman" w:hAnsi="Times New Roman" w:eastAsia="仿宋" w:cs="Times New Roman"/>
          <w:color w:val="auto"/>
          <w:sz w:val="32"/>
          <w:szCs w:val="32"/>
          <w:u w:val="none"/>
          <w:lang w:val="en-US" w:eastAsia="zh-CN" w:bidi="ar-SA"/>
        </w:rPr>
        <w:t>国网重庆市电力公司奉节供电分公司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重庆奉节金凤山风电场扩建（望天坪）110千伏送出工程（项目编码：2307-500236-04-01-932982）</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表及相关材料收悉，根据《中华人民共和国环境影响评价法》等法律法规的有关规定，我局原则同意重庆港力环保股份有限公司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统一社会信用代码：915001076635719127</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编制的项目环境影响报告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结论及其提出的环境保护措施。</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本项目位于重庆市奉节县冯坪乡、新民镇</w:t>
      </w:r>
      <w:r>
        <w:rPr>
          <w:rFonts w:hint="eastAsia" w:ascii="Times New Roman" w:hAnsi="Times New Roman" w:eastAsia="仿宋" w:cs="Times New Roman"/>
          <w:color w:val="auto"/>
          <w:sz w:val="32"/>
          <w:szCs w:val="32"/>
          <w:u w:val="none"/>
          <w:lang w:val="en-US" w:eastAsia="zh-CN"/>
        </w:rPr>
        <w:t>，扩建铁甲220千伏变电站110千伏出线间隔1个，扩建间隔位置在现茅铁线进线间隔的右侧，采用户外GIS架空出线，完善相关一、二次设备。本工程仅涉及间隔建设及完善，不涉及主变等建设内容，不新增变电站用地。开断茅草坝风电场—铁甲变电站110kV茅铁线N45-N46，将铁甲变电站侧线路改接至望天坪风电场升压站，新建架空线路全长约5.9km。采用单回路架设，新建杆塔24基（本线路23基，另外1基为原茅铁线N45塔大号侧新立的1基耐张塔新46#，茅铁线原45#~46#之间架空线路开断后由原45#塔接回新46#塔，保留原茅草坝风电场—新46#塔之间线路，不进行拆除</w:t>
      </w:r>
      <w:r>
        <w:rPr>
          <w:rFonts w:hint="eastAsia" w:ascii="仿宋" w:hAnsi="仿宋" w:eastAsia="仿宋" w:cs="仿宋"/>
          <w:color w:val="auto"/>
          <w:sz w:val="32"/>
          <w:szCs w:val="32"/>
          <w:u w:val="none"/>
          <w:lang w:val="en-US" w:eastAsia="zh-CN"/>
        </w:rPr>
        <w:t>)</w:t>
      </w:r>
      <w:r>
        <w:rPr>
          <w:rFonts w:hint="eastAsia" w:ascii="Times New Roman" w:hAnsi="Times New Roman" w:eastAsia="仿宋" w:cs="Times New Roman"/>
          <w:color w:val="auto"/>
          <w:sz w:val="32"/>
          <w:szCs w:val="32"/>
          <w:u w:val="none"/>
          <w:lang w:val="en-US" w:eastAsia="zh-CN"/>
        </w:rPr>
        <w:t>。导线采用JLHA1/G1A-300/50钢芯铝合金绞线。</w:t>
      </w:r>
      <w:r>
        <w:rPr>
          <w:rFonts w:hint="default" w:ascii="Times New Roman" w:hAnsi="Times New Roman" w:eastAsia="仿宋" w:cs="Times New Roman"/>
          <w:color w:val="auto"/>
          <w:sz w:val="32"/>
          <w:szCs w:val="32"/>
          <w:u w:val="none"/>
          <w:lang w:val="en-US" w:eastAsia="zh-CN"/>
        </w:rPr>
        <w:t>项目</w:t>
      </w:r>
      <w:r>
        <w:rPr>
          <w:rFonts w:hint="eastAsia" w:ascii="Times New Roman" w:hAnsi="Times New Roman" w:eastAsia="仿宋" w:cs="Times New Roman"/>
          <w:color w:val="auto"/>
          <w:sz w:val="32"/>
          <w:szCs w:val="32"/>
          <w:u w:val="none"/>
          <w:lang w:val="en-US" w:eastAsia="zh-CN" w:bidi="ar-SA"/>
        </w:rPr>
        <w:t>总</w:t>
      </w:r>
      <w:r>
        <w:rPr>
          <w:rFonts w:hint="default" w:ascii="Times New Roman" w:hAnsi="Times New Roman" w:eastAsia="仿宋" w:cs="Times New Roman"/>
          <w:color w:val="auto"/>
          <w:sz w:val="32"/>
          <w:szCs w:val="32"/>
          <w:u w:val="none"/>
          <w:lang w:val="en-US" w:eastAsia="zh-CN" w:bidi="ar-SA"/>
        </w:rPr>
        <w:t>投资</w:t>
      </w:r>
      <w:r>
        <w:rPr>
          <w:rFonts w:hint="eastAsia" w:ascii="Times New Roman" w:hAnsi="Times New Roman" w:eastAsia="仿宋" w:cs="Times New Roman"/>
          <w:color w:val="auto"/>
          <w:sz w:val="32"/>
          <w:szCs w:val="32"/>
          <w:u w:val="none"/>
          <w:lang w:val="en-US" w:eastAsia="zh-CN" w:bidi="ar-SA"/>
        </w:rPr>
        <w:t>1713万元</w:t>
      </w:r>
      <w:r>
        <w:rPr>
          <w:rFonts w:hint="default" w:ascii="Times New Roman" w:hAnsi="Times New Roman" w:eastAsia="仿宋" w:cs="Times New Roman"/>
          <w:color w:val="auto"/>
          <w:sz w:val="32"/>
          <w:szCs w:val="32"/>
          <w:u w:val="none"/>
          <w:lang w:val="en-US" w:eastAsia="zh-CN" w:bidi="ar-SA"/>
        </w:rPr>
        <w:t>，其中环保投资</w:t>
      </w:r>
      <w:r>
        <w:rPr>
          <w:rFonts w:hint="eastAsia" w:ascii="Times New Roman" w:hAnsi="Times New Roman" w:eastAsia="仿宋" w:cs="Times New Roman"/>
          <w:color w:val="auto"/>
          <w:sz w:val="32"/>
          <w:szCs w:val="32"/>
          <w:u w:val="none"/>
          <w:lang w:val="en-US" w:eastAsia="zh-CN" w:bidi="ar-SA"/>
        </w:rPr>
        <w:t>93</w:t>
      </w:r>
      <w:r>
        <w:rPr>
          <w:rFonts w:hint="default" w:ascii="Times New Roman" w:hAnsi="Times New Roman" w:eastAsia="仿宋" w:cs="Times New Roman"/>
          <w:color w:val="auto"/>
          <w:sz w:val="32"/>
          <w:szCs w:val="32"/>
          <w:u w:val="none"/>
          <w:lang w:val="en-US" w:eastAsia="zh-CN" w:bidi="ar-SA"/>
        </w:rPr>
        <w:t>万</w:t>
      </w:r>
      <w:r>
        <w:rPr>
          <w:rFonts w:hint="eastAsia" w:ascii="Times New Roman" w:hAnsi="Times New Roman" w:eastAsia="仿宋" w:cs="Times New Roman"/>
          <w:color w:val="auto"/>
          <w:sz w:val="32"/>
          <w:szCs w:val="32"/>
          <w:u w:val="none"/>
          <w:lang w:val="en-US" w:eastAsia="zh-CN" w:bidi="ar-SA"/>
        </w:rPr>
        <w:t>元。</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rPr>
        <w:t>二、该项目在设计、建设和运行过程中，应认真落实本项目环境影响报告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中提出的各项生态保护及污染防治措施，严格执</w:t>
      </w:r>
      <w:r>
        <w:rPr>
          <w:rFonts w:hint="default" w:ascii="Times New Roman" w:hAnsi="Times New Roman" w:eastAsia="仿宋" w:cs="Times New Roman"/>
          <w:color w:val="auto"/>
          <w:kern w:val="2"/>
          <w:sz w:val="32"/>
          <w:szCs w:val="32"/>
          <w:u w:val="none"/>
          <w:lang w:val="en-US" w:eastAsia="zh-CN" w:bidi="ar-SA"/>
        </w:rPr>
        <w:t>行相</w:t>
      </w:r>
      <w:r>
        <w:rPr>
          <w:rFonts w:hint="default" w:ascii="Times New Roman" w:hAnsi="Times New Roman" w:eastAsia="仿宋" w:cs="Times New Roman"/>
          <w:color w:val="auto"/>
          <w:sz w:val="32"/>
          <w:szCs w:val="32"/>
          <w:u w:val="none"/>
          <w:lang w:val="en-US" w:eastAsia="zh-CN" w:bidi="ar-SA"/>
        </w:rPr>
        <w:t>关污染物排放标准和总量控制的要求，并重点做好以下工作：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（一）水污染防治措施。</w:t>
      </w:r>
      <w:r>
        <w:rPr>
          <w:rFonts w:hint="eastAsia" w:ascii="Times New Roman" w:hAnsi="Times New Roman" w:eastAsia="仿宋" w:cs="Times New Roman"/>
          <w:color w:val="auto"/>
          <w:sz w:val="32"/>
          <w:szCs w:val="32"/>
          <w:u w:val="none"/>
          <w:lang w:val="en-US" w:eastAsia="zh-CN"/>
        </w:rPr>
        <w:t>施工期间做好施工场地周围的拦挡措施，尽量避免雨季开挖作业；施工人</w:t>
      </w:r>
      <w:r>
        <w:rPr>
          <w:rFonts w:hint="eastAsia" w:ascii="Times New Roman" w:hAnsi="Times New Roman" w:eastAsia="仿宋" w:cs="Times New Roman"/>
          <w:color w:val="auto"/>
          <w:sz w:val="32"/>
          <w:szCs w:val="32"/>
          <w:u w:val="none"/>
          <w:lang w:val="en-US" w:eastAsia="zh-CN" w:bidi="ar-SA"/>
        </w:rPr>
        <w:t>员</w:t>
      </w:r>
      <w:r>
        <w:rPr>
          <w:rFonts w:hint="eastAsia" w:ascii="Times New Roman" w:hAnsi="Times New Roman" w:eastAsia="仿宋" w:cs="Times New Roman"/>
          <w:color w:val="auto"/>
          <w:sz w:val="32"/>
          <w:szCs w:val="32"/>
          <w:u w:val="none"/>
          <w:lang w:val="en-US" w:eastAsia="zh-CN"/>
        </w:rPr>
        <w:t>生活污水全部依托周边已有的污水处理设施处理，不外排；</w:t>
      </w:r>
      <w:r>
        <w:rPr>
          <w:rFonts w:hint="default" w:ascii="Times New Roman" w:hAnsi="Times New Roman" w:eastAsia="仿宋" w:cs="Times New Roman"/>
          <w:color w:val="auto"/>
          <w:sz w:val="32"/>
          <w:szCs w:val="32"/>
          <w:u w:val="none"/>
        </w:rPr>
        <w:t>施工废水经简易沉淀池处理后上清液回用洒水，少量混凝土养护废水自然蒸发。</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（二）废气污染防治措施。</w:t>
      </w:r>
      <w:r>
        <w:rPr>
          <w:rFonts w:hint="eastAsia" w:ascii="Times New Roman" w:hAnsi="Times New Roman" w:eastAsia="仿宋" w:cs="Times New Roman"/>
          <w:color w:val="auto"/>
          <w:sz w:val="32"/>
          <w:szCs w:val="32"/>
          <w:u w:val="none"/>
          <w:lang w:val="en-US" w:eastAsia="zh-CN" w:bidi="ar-SA"/>
        </w:rPr>
        <w:t>制定合理施工计划，缩短施工周期，减少施工作业面，减轻施工扬尘；选用符合国家有关标准的施工机械和运输工具，使用优质动力燃料；合理规划运输车辆行驶路线，加蓬密闭运输材料，严禁运输车辆超重、超高装载，及时清洗轮胎，清扫路面，洒水抑尘，车辆减速慢行；施工场地设置围挡，临时堆土等应采用密闭式防尘布（网）进行苫盖；禁止将包装物、可燃垃圾等固体废弃物就地焚烧。</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（三）噪声污染防治措施。</w:t>
      </w:r>
      <w:r>
        <w:rPr>
          <w:rFonts w:hint="eastAsia" w:ascii="Times New Roman" w:hAnsi="Times New Roman" w:eastAsia="仿宋" w:cs="Times New Roman"/>
          <w:color w:val="auto"/>
          <w:sz w:val="32"/>
          <w:szCs w:val="32"/>
          <w:u w:val="none"/>
          <w:lang w:val="en-US" w:eastAsia="zh-CN" w:bidi="ar-SA"/>
        </w:rPr>
        <w:t>合理布置施工场地，选用低噪声施工设备和机具；优选低噪声施工作业方式，严禁爆破</w:t>
      </w:r>
      <w:bookmarkStart w:id="2" w:name="_GoBack"/>
      <w:bookmarkEnd w:id="2"/>
      <w:r>
        <w:rPr>
          <w:rFonts w:hint="eastAsia" w:ascii="Times New Roman" w:hAnsi="Times New Roman" w:eastAsia="仿宋" w:cs="Times New Roman"/>
          <w:color w:val="auto"/>
          <w:sz w:val="32"/>
          <w:szCs w:val="32"/>
          <w:u w:val="none"/>
          <w:lang w:val="en-US" w:eastAsia="zh-CN" w:bidi="ar-SA"/>
        </w:rPr>
        <w:t>作业；避免夜间施工。</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（四）</w:t>
      </w:r>
      <w:r>
        <w:rPr>
          <w:rFonts w:hint="default" w:ascii="Times New Roman" w:hAnsi="Times New Roman" w:eastAsia="仿宋" w:cs="Times New Roman"/>
          <w:color w:val="auto"/>
          <w:sz w:val="32"/>
          <w:szCs w:val="32"/>
          <w:u w:val="none"/>
          <w:lang w:val="en-US" w:eastAsia="zh-CN" w:bidi="ar-SA"/>
        </w:rPr>
        <w:t>固体废弃物污染治理措施。</w:t>
      </w:r>
      <w:r>
        <w:rPr>
          <w:rFonts w:hint="eastAsia" w:ascii="Times New Roman" w:hAnsi="Times New Roman" w:eastAsia="仿宋" w:cs="Times New Roman"/>
          <w:color w:val="auto"/>
          <w:sz w:val="32"/>
          <w:szCs w:val="32"/>
          <w:u w:val="none"/>
          <w:lang w:val="en-US" w:eastAsia="zh-CN" w:bidi="ar-SA"/>
        </w:rPr>
        <w:t>尽可能减少开挖面积和开挖量，土方尽量回填；基础开挖应避开暴雨季节，防止水土流失；工程挖方用于周边平场或回填，工程沿线不设置弃渣场。</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（五）电磁防治</w:t>
      </w:r>
      <w:r>
        <w:rPr>
          <w:rFonts w:hint="default" w:ascii="Times New Roman" w:hAnsi="Times New Roman" w:eastAsia="仿宋" w:cs="Times New Roman"/>
          <w:color w:val="auto"/>
          <w:sz w:val="32"/>
          <w:szCs w:val="32"/>
          <w:u w:val="none"/>
          <w:lang w:val="en-US" w:eastAsia="zh-CN" w:bidi="ar-SA"/>
        </w:rPr>
        <w:t>措施</w:t>
      </w:r>
      <w:r>
        <w:rPr>
          <w:rFonts w:hint="eastAsia" w:ascii="Times New Roman" w:hAnsi="Times New Roman" w:eastAsia="仿宋" w:cs="Times New Roman"/>
          <w:color w:val="auto"/>
          <w:sz w:val="32"/>
          <w:szCs w:val="32"/>
          <w:u w:val="none"/>
          <w:lang w:val="en-US" w:eastAsia="zh-CN" w:bidi="ar-SA"/>
        </w:rPr>
        <w:t>。在不考虑风偏的情况下，导线需与沿线敏感点建筑保持以下距离：与边导线的水平距离至少为4m，或与下相导线线下垂直距离至少为3m（满足二者条件之一即可）；加强环境管理，定期进行环境监测工作，确保项目周边电磁环境小于《电磁环境控制限值》（GB8702-2014）中的公众曝露控制限值；线路选择时应尽量避开集中敏感点，在与道路等交叉跨越时应严格按规程要求留有净空距离；建立健全环保管理机构，加强环境管理工作，落实环境保护主体责任，做好工程的环保竣工验收工作。</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六</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生态环境保护措施。优</w:t>
      </w:r>
      <w:r>
        <w:rPr>
          <w:rFonts w:hint="default" w:ascii="Times New Roman" w:hAnsi="Times New Roman" w:eastAsia="仿宋" w:cs="Times New Roman"/>
          <w:color w:val="auto"/>
          <w:sz w:val="32"/>
          <w:szCs w:val="32"/>
          <w:u w:val="none"/>
          <w:lang w:val="en-US" w:eastAsia="zh-CN" w:bidi="ar-SA"/>
        </w:rPr>
        <w:t>化设计</w:t>
      </w:r>
      <w:r>
        <w:rPr>
          <w:rFonts w:hint="eastAsia" w:ascii="Times New Roman" w:hAnsi="Times New Roman" w:eastAsia="仿宋" w:cs="Times New Roman"/>
          <w:color w:val="auto"/>
          <w:sz w:val="32"/>
          <w:szCs w:val="32"/>
          <w:u w:val="none"/>
          <w:lang w:val="en-US" w:eastAsia="zh-CN" w:bidi="ar-SA"/>
        </w:rPr>
        <w:t>，输电线路路径尽量选择在人口较为稀少的地区，或远离居民区、环境敏感目标及各类保护目标；</w:t>
      </w:r>
      <w:r>
        <w:rPr>
          <w:rFonts w:hint="default" w:ascii="Times New Roman" w:hAnsi="Times New Roman" w:eastAsia="仿宋" w:cs="Times New Roman"/>
          <w:color w:val="auto"/>
          <w:sz w:val="32"/>
          <w:szCs w:val="32"/>
          <w:u w:val="none"/>
          <w:lang w:val="en-US" w:eastAsia="zh-CN" w:bidi="ar-SA"/>
        </w:rPr>
        <w:t>合理规划施工场地，限制施工范围</w:t>
      </w:r>
      <w:r>
        <w:rPr>
          <w:rFonts w:hint="eastAsia" w:ascii="Times New Roman" w:hAnsi="Times New Roman" w:eastAsia="仿宋" w:cs="Times New Roman"/>
          <w:color w:val="auto"/>
          <w:sz w:val="32"/>
          <w:szCs w:val="32"/>
          <w:u w:val="none"/>
          <w:lang w:val="en-US" w:eastAsia="zh-CN" w:bidi="ar-SA"/>
        </w:rPr>
        <w:t>，减少对植被的破坏，</w:t>
      </w:r>
      <w:r>
        <w:rPr>
          <w:rFonts w:hint="default" w:ascii="Times New Roman" w:hAnsi="Times New Roman" w:eastAsia="仿宋" w:cs="Times New Roman"/>
          <w:color w:val="auto"/>
          <w:sz w:val="32"/>
          <w:szCs w:val="32"/>
          <w:u w:val="none"/>
          <w:lang w:val="en-US" w:eastAsia="zh-CN" w:bidi="ar-SA"/>
        </w:rPr>
        <w:t>设置截排水沟，减少水土流失</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尽量利用原有道路</w:t>
      </w:r>
      <w:r>
        <w:rPr>
          <w:rFonts w:hint="eastAsia" w:ascii="Times New Roman" w:hAnsi="Times New Roman" w:eastAsia="仿宋" w:cs="Times New Roman"/>
          <w:color w:val="auto"/>
          <w:sz w:val="32"/>
          <w:szCs w:val="32"/>
          <w:u w:val="none"/>
          <w:lang w:val="en-US" w:eastAsia="zh-CN" w:bidi="ar-SA"/>
        </w:rPr>
        <w:t>，新建施工便道，尽可能避开茂密林地；合理安排施工工序，</w:t>
      </w:r>
      <w:r>
        <w:rPr>
          <w:rFonts w:hint="default" w:ascii="Times New Roman" w:hAnsi="Times New Roman" w:eastAsia="仿宋" w:cs="Times New Roman"/>
          <w:color w:val="auto"/>
          <w:sz w:val="32"/>
          <w:szCs w:val="32"/>
          <w:u w:val="none"/>
          <w:lang w:val="en-US" w:eastAsia="zh-CN" w:bidi="ar-SA"/>
        </w:rPr>
        <w:t>采用先进的组塔方式和架线工艺</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对施工人员进行保护植物相关知识培训，</w:t>
      </w:r>
      <w:r>
        <w:rPr>
          <w:rFonts w:hint="eastAsia" w:ascii="Times New Roman" w:hAnsi="Times New Roman" w:eastAsia="仿宋" w:cs="Times New Roman"/>
          <w:color w:val="auto"/>
          <w:sz w:val="32"/>
          <w:szCs w:val="32"/>
          <w:u w:val="none"/>
          <w:lang w:val="en-US" w:eastAsia="zh-CN" w:bidi="ar-SA"/>
        </w:rPr>
        <w:t>增强</w:t>
      </w:r>
      <w:r>
        <w:rPr>
          <w:rFonts w:hint="default" w:ascii="Times New Roman" w:hAnsi="Times New Roman" w:eastAsia="仿宋" w:cs="Times New Roman"/>
          <w:color w:val="auto"/>
          <w:sz w:val="32"/>
          <w:szCs w:val="32"/>
          <w:u w:val="none"/>
          <w:lang w:val="en-US" w:eastAsia="zh-CN" w:bidi="ar-SA"/>
        </w:rPr>
        <w:t>施工人员</w:t>
      </w:r>
      <w:r>
        <w:rPr>
          <w:rFonts w:hint="eastAsia" w:ascii="Times New Roman" w:hAnsi="Times New Roman" w:eastAsia="仿宋" w:cs="Times New Roman"/>
          <w:color w:val="auto"/>
          <w:sz w:val="32"/>
          <w:szCs w:val="32"/>
          <w:u w:val="none"/>
          <w:lang w:val="en-US" w:eastAsia="zh-CN" w:bidi="ar-SA"/>
        </w:rPr>
        <w:t>的</w:t>
      </w:r>
      <w:r>
        <w:rPr>
          <w:rFonts w:hint="default" w:ascii="Times New Roman" w:hAnsi="Times New Roman" w:eastAsia="仿宋" w:cs="Times New Roman"/>
          <w:color w:val="auto"/>
          <w:sz w:val="32"/>
          <w:szCs w:val="32"/>
          <w:u w:val="none"/>
          <w:lang w:val="en-US" w:eastAsia="zh-CN" w:bidi="ar-SA"/>
        </w:rPr>
        <w:t>保护意识及鉴别能力</w:t>
      </w:r>
      <w:r>
        <w:rPr>
          <w:rFonts w:hint="eastAsia" w:ascii="Times New Roman" w:hAnsi="Times New Roman" w:eastAsia="仿宋" w:cs="Times New Roman"/>
          <w:color w:val="auto"/>
          <w:sz w:val="32"/>
          <w:szCs w:val="32"/>
          <w:u w:val="none"/>
          <w:lang w:val="en-US" w:eastAsia="zh-CN" w:bidi="ar-SA"/>
        </w:rPr>
        <w:t>；评价区内有</w:t>
      </w:r>
      <w:r>
        <w:rPr>
          <w:rFonts w:hint="default" w:ascii="Times New Roman" w:hAnsi="Times New Roman" w:eastAsia="仿宋" w:cs="Times New Roman"/>
          <w:color w:val="auto"/>
          <w:sz w:val="32"/>
          <w:szCs w:val="32"/>
          <w:u w:val="none"/>
          <w:lang w:val="en-US" w:eastAsia="zh-CN" w:bidi="ar-SA"/>
        </w:rPr>
        <w:t>2</w:t>
      </w:r>
      <w:r>
        <w:rPr>
          <w:rFonts w:hint="eastAsia" w:ascii="Times New Roman" w:hAnsi="Times New Roman" w:eastAsia="仿宋" w:cs="Times New Roman"/>
          <w:color w:val="auto"/>
          <w:sz w:val="32"/>
          <w:szCs w:val="32"/>
          <w:u w:val="none"/>
          <w:lang w:val="en-US" w:eastAsia="zh-CN" w:bidi="ar-SA"/>
        </w:rPr>
        <w:t>株古树，在其周围设置范围大于其冠幅的围栏，并设置警示牌；</w:t>
      </w:r>
      <w:r>
        <w:rPr>
          <w:rFonts w:hint="default" w:ascii="Times New Roman" w:hAnsi="Times New Roman" w:eastAsia="仿宋" w:cs="Times New Roman"/>
          <w:color w:val="auto"/>
          <w:sz w:val="32"/>
          <w:szCs w:val="32"/>
          <w:u w:val="none"/>
          <w:lang w:val="en-US" w:eastAsia="zh-CN" w:bidi="ar-SA"/>
        </w:rPr>
        <w:t>加强野生动物保护宣传工作，加强对施工人员的管理，严禁捕杀野生动物，严禁</w:t>
      </w:r>
      <w:r>
        <w:rPr>
          <w:rFonts w:hint="default" w:ascii="Times New Roman" w:hAnsi="Times New Roman" w:eastAsia="仿宋" w:cs="Times New Roman"/>
          <w:color w:val="auto"/>
          <w:sz w:val="32"/>
          <w:szCs w:val="32"/>
          <w:u w:val="none"/>
          <w:lang w:val="it-IT" w:eastAsia="zh-CN" w:bidi="ar-SA"/>
        </w:rPr>
        <w:t>破坏野生动物栖息地</w:t>
      </w:r>
      <w:r>
        <w:rPr>
          <w:rFonts w:hint="eastAsia" w:ascii="Times New Roman" w:hAnsi="Times New Roman" w:eastAsia="仿宋" w:cs="Times New Roman"/>
          <w:color w:val="auto"/>
          <w:sz w:val="32"/>
          <w:szCs w:val="32"/>
          <w:u w:val="none"/>
          <w:lang w:val="it-IT" w:eastAsia="zh-CN" w:bidi="ar-SA"/>
        </w:rPr>
        <w:t>，</w:t>
      </w:r>
      <w:r>
        <w:rPr>
          <w:rFonts w:hint="default" w:ascii="Times New Roman" w:hAnsi="Times New Roman" w:eastAsia="仿宋" w:cs="Times New Roman"/>
          <w:color w:val="auto"/>
          <w:sz w:val="32"/>
          <w:szCs w:val="32"/>
          <w:u w:val="none"/>
          <w:lang w:val="en-US" w:eastAsia="zh-CN" w:bidi="ar-SA"/>
        </w:rPr>
        <w:t>在林地区域内设置告示牌和警告牌</w:t>
      </w:r>
      <w:r>
        <w:rPr>
          <w:rFonts w:hint="eastAsia" w:ascii="Times New Roman" w:hAnsi="Times New Roman" w:eastAsia="仿宋" w:cs="Times New Roman"/>
          <w:color w:val="auto"/>
          <w:sz w:val="32"/>
          <w:szCs w:val="32"/>
          <w:u w:val="none"/>
          <w:lang w:val="en-US" w:eastAsia="zh-CN" w:bidi="ar-SA"/>
        </w:rPr>
        <w:t>；生态保护红线</w:t>
      </w:r>
      <w:r>
        <w:rPr>
          <w:rFonts w:hint="default" w:ascii="Times New Roman" w:hAnsi="Times New Roman" w:eastAsia="仿宋" w:cs="Times New Roman"/>
          <w:color w:val="auto"/>
          <w:sz w:val="32"/>
          <w:szCs w:val="32"/>
          <w:u w:val="none"/>
          <w:lang w:val="en-US" w:eastAsia="zh-CN" w:bidi="ar-SA"/>
        </w:rPr>
        <w:t>内不设置牵张场、</w:t>
      </w:r>
      <w:r>
        <w:rPr>
          <w:rFonts w:hint="eastAsia" w:ascii="Times New Roman" w:hAnsi="Times New Roman" w:eastAsia="仿宋" w:cs="Times New Roman"/>
          <w:color w:val="auto"/>
          <w:sz w:val="32"/>
          <w:szCs w:val="32"/>
          <w:u w:val="none"/>
          <w:lang w:val="en-US" w:eastAsia="zh-CN" w:bidi="ar-SA"/>
        </w:rPr>
        <w:t>不设置施工便道等</w:t>
      </w:r>
      <w:r>
        <w:rPr>
          <w:rFonts w:hint="default" w:ascii="Times New Roman" w:hAnsi="Times New Roman" w:eastAsia="仿宋" w:cs="Times New Roman"/>
          <w:color w:val="auto"/>
          <w:sz w:val="32"/>
          <w:szCs w:val="32"/>
          <w:u w:val="none"/>
          <w:lang w:val="en-US" w:eastAsia="zh-CN" w:bidi="ar-SA"/>
        </w:rPr>
        <w:t>临时工程</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施工区使用完毕，施工单位必须对塔基区及塔基施工场地区域进行清理，做到</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工完、料尽、场地清</w:t>
      </w:r>
      <w:r>
        <w:rPr>
          <w:rFonts w:hint="eastAsia" w:ascii="Times New Roman" w:hAnsi="Times New Roman" w:eastAsia="仿宋" w:cs="Times New Roman"/>
          <w:color w:val="auto"/>
          <w:sz w:val="32"/>
          <w:szCs w:val="32"/>
          <w:u w:val="none"/>
          <w:lang w:val="en-US" w:eastAsia="zh-CN" w:bidi="ar-SA"/>
        </w:rPr>
        <w:t>”，及时绿化或恢复原有用地性质。</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项目建设必须严格执行环境保护设施与主体工程同时设</w:t>
      </w:r>
      <w:r>
        <w:rPr>
          <w:rFonts w:hint="default" w:ascii="Times New Roman" w:hAnsi="Times New Roman" w:eastAsia="仿宋" w:cs="Times New Roman"/>
          <w:color w:val="auto"/>
          <w:sz w:val="32"/>
          <w:szCs w:val="32"/>
          <w:u w:val="none"/>
          <w:lang w:val="en-US" w:eastAsia="zh-CN"/>
        </w:rPr>
        <w:t>计、同时施工、同时投入使用的环境保护</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三同时</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u w:val="none"/>
          <w:lang w:val="en-US" w:eastAsia="zh-CN" w:bidi="ar-SA"/>
        </w:rPr>
        <w:t>5</w:t>
      </w:r>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1"/>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5440" w:firstLineChars="1700"/>
        <w:textAlignment w:val="auto"/>
        <w:rPr>
          <w:rFonts w:hint="eastAsia" w:ascii="Times New Roman" w:hAnsi="Times New Roman" w:eastAsia="仿宋" w:cs="Times New Roman"/>
          <w:color w:val="auto"/>
          <w:sz w:val="32"/>
          <w:szCs w:val="32"/>
          <w:u w:val="none"/>
          <w:lang w:eastAsia="zh-CN"/>
        </w:rPr>
      </w:pPr>
      <w:r>
        <w:rPr>
          <w:rFonts w:hint="eastAsia" w:ascii="Times New Roman" w:hAnsi="Times New Roman" w:eastAsia="仿宋" w:cs="Times New Roman"/>
          <w:color w:val="auto"/>
          <w:sz w:val="32"/>
          <w:szCs w:val="32"/>
          <w:u w:val="none"/>
          <w:lang w:eastAsia="zh-CN"/>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9</w:t>
      </w:r>
      <w:r>
        <w:rPr>
          <w:rFonts w:hint="default"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none"/>
          <w:lang w:val="en-US" w:eastAsia="zh-CN"/>
        </w:rPr>
        <w:t>2</w:t>
      </w:r>
      <w:r>
        <w:rPr>
          <w:rFonts w:hint="default" w:ascii="Times New Roman" w:hAnsi="Times New Roman" w:eastAsia="仿宋_GB2312" w:cs="Times New Roman"/>
          <w:color w:val="auto"/>
          <w:sz w:val="32"/>
          <w:szCs w:val="32"/>
          <w:u w:val="none"/>
          <w:lang w:val="en-US" w:eastAsia="zh-CN"/>
        </w:rPr>
        <w:t>日</w:t>
      </w:r>
      <w:r>
        <w:rPr>
          <w:rFonts w:hint="eastAsia" w:ascii="方正仿宋_GBK" w:hAnsi="方正仿宋_GBK" w:eastAsia="方正仿宋_GBK" w:cs="方正仿宋_GBK"/>
          <w:color w:val="auto"/>
          <w:sz w:val="32"/>
          <w:szCs w:val="32"/>
          <w:u w:val="none"/>
          <w:lang w:val="en-US" w:eastAsia="zh-CN"/>
        </w:rPr>
        <w:t xml:space="preserve">        </w:t>
      </w: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p>
    <w:p>
      <w:pPr>
        <w:pStyle w:val="6"/>
        <w:keepNext w:val="0"/>
        <w:keepLines w:val="0"/>
        <w:pageBreakBefore w:val="0"/>
        <w:widowControl w:val="0"/>
        <w:kinsoku/>
        <w:wordWrap w:val="0"/>
        <w:overflowPunct/>
        <w:topLinePunct w:val="0"/>
        <w:autoSpaceDE/>
        <w:autoSpaceDN/>
        <w:bidi w:val="0"/>
        <w:adjustRightInd w:val="0"/>
        <w:snapToGrid w:val="0"/>
        <w:spacing w:line="594" w:lineRule="exact"/>
        <w:ind w:left="0" w:leftChars="0" w:right="0" w:rightChars="0" w:firstLine="0" w:firstLineChars="0"/>
        <w:jc w:val="both"/>
        <w:textAlignment w:val="auto"/>
        <w:rPr>
          <w:rFonts w:hint="default" w:ascii="方正仿宋_GBK" w:hAnsi="方正仿宋_GBK" w:eastAsia="方正仿宋_GBK" w:cs="方正仿宋_GBK"/>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230" w:firstLineChars="100"/>
        <w:textAlignment w:val="auto"/>
        <w:rPr>
          <w:rFonts w:hint="eastAsia" w:ascii="方正仿宋_GBK" w:hAnsi="方正仿宋_GBK" w:eastAsia="方正仿宋_GBK" w:cs="方正仿宋_GBK"/>
          <w:bCs/>
          <w:color w:val="auto"/>
          <w:spacing w:val="-11"/>
          <w:w w:val="90"/>
          <w:kern w:val="0"/>
          <w:sz w:val="28"/>
          <w:szCs w:val="28"/>
          <w:u w:val="none"/>
        </w:rPr>
      </w:pP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重庆港力环保股份有限公司</w:t>
      </w:r>
      <w:r>
        <w:rPr>
          <w:rFonts w:hint="eastAsia" w:ascii="方正仿宋_GBK" w:hAnsi="方正仿宋_GBK" w:eastAsia="方正仿宋_GBK" w:cs="方正仿宋_GBK"/>
          <w:bCs/>
          <w:color w:val="auto"/>
          <w:spacing w:val="-11"/>
          <w:w w:val="90"/>
          <w:kern w:val="0"/>
          <w:sz w:val="28"/>
          <w:szCs w:val="28"/>
          <w:u w:val="none"/>
        </w:rPr>
        <w:t>。</w:t>
      </w:r>
    </w:p>
    <w:bookmarkEnd w:id="1"/>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color w:val="auto"/>
          <w:u w:val="none"/>
        </w:rPr>
      </w:pPr>
      <w:r>
        <w:rPr>
          <w:rFonts w:ascii="方正仿宋_GBK" w:eastAsia="方正仿宋_GBK"/>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6pt;height:0pt;width:450pt;z-index:251659264;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GnBXVAAAACQEAAA8AAAAA&#10;AAAAAQAgAAAAIgAAAGRycy9kb3ducmV2LnhtbFBLAQIUABQAAAAIAIdO4kBwnICw3gEAAKQDAAAO&#10;AAAAAAAAAAEAIAAAACQBAABkcnMvZTJvRG9jLnhtbFBLBQYAAAAABgAGAFkBAAB0BQAAAAA=&#10;">
                <v:fill on="f" focussize="0,0"/>
                <v:stroke color="#000000" joinstyle="round"/>
                <v:imagedata o:title=""/>
                <o:lock v:ext="edit" aspectratio="f"/>
              </v:line>
            </w:pict>
          </mc:Fallback>
        </mc:AlternateConten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E6571"/>
    <w:multiLevelType w:val="singleLevel"/>
    <w:tmpl w:val="950E6571"/>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ZGEwNTg4YjAxOTRhMGFmMjMxZTZjMTMwN2YwZTEifQ=="/>
  </w:docVars>
  <w:rsids>
    <w:rsidRoot w:val="00D31D50"/>
    <w:rsid w:val="00011A0D"/>
    <w:rsid w:val="00323B43"/>
    <w:rsid w:val="003D37D8"/>
    <w:rsid w:val="00426133"/>
    <w:rsid w:val="004358AB"/>
    <w:rsid w:val="008B7726"/>
    <w:rsid w:val="00D31D50"/>
    <w:rsid w:val="085033C2"/>
    <w:rsid w:val="0AA43604"/>
    <w:rsid w:val="0EB17D04"/>
    <w:rsid w:val="1AA64478"/>
    <w:rsid w:val="1D6D21E9"/>
    <w:rsid w:val="2004545C"/>
    <w:rsid w:val="242D23BA"/>
    <w:rsid w:val="2ACA48B3"/>
    <w:rsid w:val="2BD028EF"/>
    <w:rsid w:val="32C02363"/>
    <w:rsid w:val="33A00DB4"/>
    <w:rsid w:val="357513A0"/>
    <w:rsid w:val="3C4B1010"/>
    <w:rsid w:val="3EA63039"/>
    <w:rsid w:val="5CEF5F12"/>
    <w:rsid w:val="661A3845"/>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next w:val="4"/>
    <w:qFormat/>
    <w:uiPriority w:val="0"/>
    <w:pPr>
      <w:widowControl/>
      <w:jc w:val="left"/>
    </w:pPr>
    <w:rPr>
      <w:kern w:val="0"/>
      <w:sz w:val="32"/>
      <w:szCs w:val="20"/>
    </w:rPr>
  </w:style>
  <w:style w:type="paragraph" w:styleId="4">
    <w:name w:val="List Bullet 5"/>
    <w:basedOn w:val="1"/>
    <w:semiHidden/>
    <w:unhideWhenUsed/>
    <w:qFormat/>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3"/>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tb"/>
    <w:basedOn w:val="1"/>
    <w:qFormat/>
    <w:uiPriority w:val="0"/>
    <w:pPr>
      <w:spacing w:line="400" w:lineRule="atLeast"/>
    </w:pPr>
    <w:rPr>
      <w:rFonts w:ascii="宋体" w:hAnsi="Arial"/>
      <w:sz w:val="24"/>
      <w:szCs w:val="22"/>
    </w:rPr>
  </w:style>
  <w:style w:type="paragraph" w:customStyle="1" w:styleId="12">
    <w:name w:val="样式 (符号) 宋体 小四 行距: 1.5 倍行距"/>
    <w:basedOn w:val="1"/>
    <w:qFormat/>
    <w:uiPriority w:val="0"/>
    <w:pPr>
      <w:adjustRightInd w:val="0"/>
      <w:spacing w:line="360" w:lineRule="auto"/>
      <w:ind w:firstLine="480" w:firstLineChars="200"/>
    </w:pPr>
    <w:rPr>
      <w:rFonts w:hAnsi="宋体" w:eastAsia="Times New Roman"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2002</Words>
  <Characters>2132</Characters>
  <Lines>1</Lines>
  <Paragraphs>1</Paragraphs>
  <TotalTime>12</TotalTime>
  <ScaleCrop>false</ScaleCrop>
  <LinksUpToDate>false</LinksUpToDate>
  <CharactersWithSpaces>2262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2024-07-23T03:40:00Z</cp:lastPrinted>
  <dcterms:modified xsi:type="dcterms:W3CDTF">2024-09-02T01:11:40Z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29297CA01BB24BBCA6272F1BA0E31A8C_13</vt:lpwstr>
  </property>
</Properties>
</file>