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rPr>
          <w:rFonts w:ascii="宋体" w:hAnsi="宋体" w:eastAsia="宋体"/>
          <w:b w:val="0"/>
          <w:bCs/>
          <w:color w:val="FF0000"/>
          <w:sz w:val="44"/>
          <w:szCs w:val="44"/>
        </w:rPr>
      </w:pPr>
      <w:r>
        <w:rPr>
          <w:rFonts w:hint="eastAsia" w:ascii="宋体" w:hAnsi="宋体" w:eastAsia="宋体"/>
          <w:b w:val="0"/>
          <w:bCs/>
          <w:color w:val="FF0000"/>
          <w:sz w:val="44"/>
          <w:szCs w:val="44"/>
        </w:rPr>
        <w:t>重庆市建设项目环境影响评价文件批准书</w:t>
      </w:r>
    </w:p>
    <w:p>
      <w:pPr>
        <w:rPr>
          <w:rFonts w:ascii="宋体" w:hAnsi="宋体"/>
          <w:bCs/>
          <w:spacing w:val="50"/>
          <w:sz w:val="28"/>
        </w:rPr>
      </w:pPr>
    </w:p>
    <w:p>
      <w:pPr>
        <w:adjustRightInd w:val="0"/>
        <w:snapToGrid w:val="0"/>
        <w:rPr>
          <w:rFonts w:hint="default" w:eastAsia="微软雅黑"/>
          <w:dstrike/>
          <w:spacing w:val="50"/>
          <w:sz w:val="28"/>
          <w:szCs w:val="28"/>
          <w:lang w:val="en-US" w:eastAsia="zh-CN"/>
        </w:rPr>
      </w:pPr>
      <w:r>
        <w:rPr>
          <w:rFonts w:hint="eastAsia"/>
          <w:spacing w:val="50"/>
          <w:sz w:val="28"/>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2"/>
        <w:keepNext w:val="0"/>
        <w:keepLines w:val="0"/>
        <w:pageBreakBefore w:val="0"/>
        <w:widowControl/>
        <w:kinsoku/>
        <w:wordWrap/>
        <w:overflowPunct/>
        <w:topLinePunct w:val="0"/>
        <w:autoSpaceDE/>
        <w:autoSpaceDN/>
        <w:bidi w:val="0"/>
        <w:snapToGrid w:val="0"/>
        <w:spacing w:after="0" w:line="594" w:lineRule="exact"/>
        <w:jc w:val="center"/>
        <w:textAlignment w:val="auto"/>
        <w:rPr>
          <w:rFonts w:hint="eastAsia" w:ascii="方正仿宋_GBK" w:hAnsi="宋体" w:eastAsia="方正仿宋_GBK"/>
          <w:bCs/>
          <w:lang w:eastAsia="zh-CN"/>
        </w:rPr>
      </w:pPr>
      <w:bookmarkStart w:id="0" w:name="docNum"/>
      <w:r>
        <w:rPr>
          <w:rFonts w:hint="eastAsia" w:ascii="方正仿宋_GBK" w:hAnsi="宋体" w:eastAsia="方正仿宋_GBK"/>
          <w:bCs/>
          <w:lang w:eastAsia="zh-CN"/>
        </w:rPr>
        <w:t>渝（奉）环准〔2024〕15号</w:t>
      </w:r>
      <w:bookmarkEnd w:id="0"/>
    </w:p>
    <w:p>
      <w:pPr>
        <w:pStyle w:val="10"/>
        <w:keepNext w:val="0"/>
        <w:keepLines w:val="0"/>
        <w:pageBreakBefore w:val="0"/>
        <w:widowControl/>
        <w:kinsoku/>
        <w:wordWrap/>
        <w:overflowPunct/>
        <w:topLinePunct w:val="0"/>
        <w:autoSpaceDE/>
        <w:autoSpaceDN/>
        <w:bidi w:val="0"/>
        <w:adjustRightInd/>
        <w:snapToGrid w:val="0"/>
        <w:spacing w:after="0" w:line="594" w:lineRule="exact"/>
        <w:textAlignment w:val="auto"/>
        <w:rPr>
          <w:rFonts w:hint="default" w:ascii="Times New Roman" w:hAnsi="Times New Roman" w:eastAsia="仿宋" w:cs="Times New Roman"/>
          <w:color w:val="auto"/>
          <w:sz w:val="32"/>
          <w:szCs w:val="32"/>
          <w:u w:val="none"/>
          <w:lang w:val="en-US" w:eastAsia="zh-CN" w:bidi="ar-SA"/>
        </w:rPr>
      </w:pPr>
      <w:bookmarkStart w:id="1" w:name="companyName"/>
      <w:r>
        <w:rPr>
          <w:rFonts w:hint="eastAsia" w:ascii="Times New Roman" w:hAnsi="Times New Roman" w:eastAsia="仿宋" w:cs="Times New Roman"/>
          <w:color w:val="auto"/>
          <w:sz w:val="32"/>
          <w:szCs w:val="32"/>
          <w:u w:val="none"/>
          <w:lang w:val="en-US" w:eastAsia="zh-CN" w:bidi="ar-SA"/>
        </w:rPr>
        <w:t>奉节爱尔眼科医院有限公司</w:t>
      </w:r>
      <w:r>
        <w:rPr>
          <w:rFonts w:hint="default" w:ascii="Times New Roman" w:hAnsi="Times New Roman" w:eastAsia="仿宋" w:cs="Times New Roman"/>
          <w:color w:val="auto"/>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你单位报送的</w:t>
      </w:r>
      <w:r>
        <w:rPr>
          <w:rFonts w:hint="eastAsia" w:ascii="Times New Roman" w:hAnsi="Times New Roman" w:eastAsia="仿宋" w:cs="Times New Roman"/>
          <w:color w:val="auto"/>
          <w:sz w:val="32"/>
          <w:szCs w:val="32"/>
          <w:u w:val="none"/>
          <w:lang w:eastAsia="zh-CN"/>
        </w:rPr>
        <w:t>奉节爱尔搬迁装修项目（项目编码：2402-500236-04-01-901471）</w:t>
      </w:r>
      <w:r>
        <w:rPr>
          <w:rFonts w:hint="default" w:ascii="Times New Roman" w:hAnsi="Times New Roman" w:eastAsia="仿宋" w:cs="Times New Roman"/>
          <w:color w:val="auto"/>
          <w:sz w:val="32"/>
          <w:szCs w:val="32"/>
          <w:u w:val="none"/>
        </w:rPr>
        <w:t>环境影响评价文件审批申</w:t>
      </w:r>
      <w:r>
        <w:rPr>
          <w:rFonts w:hint="eastAsia" w:ascii="Times New Roman" w:hAnsi="Times New Roman" w:eastAsia="仿宋" w:cs="Times New Roman"/>
          <w:color w:val="auto"/>
          <w:sz w:val="32"/>
          <w:szCs w:val="32"/>
          <w:u w:val="none"/>
          <w:lang w:eastAsia="zh-CN"/>
        </w:rPr>
        <w:t>请</w:t>
      </w:r>
      <w:r>
        <w:rPr>
          <w:rFonts w:hint="default" w:ascii="Times New Roman" w:hAnsi="Times New Roman" w:eastAsia="仿宋" w:cs="Times New Roman"/>
          <w:color w:val="auto"/>
          <w:sz w:val="32"/>
          <w:szCs w:val="32"/>
          <w:u w:val="none"/>
        </w:rPr>
        <w:t>表及相关材料收悉，根据《中华人民共和国环境影响评价法》等法律法规的有关规定，我局原则同意重庆泓泰和正生态环境科技有限公司</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统一社会信用代码：91500000MA5YXLWY66</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u w:val="none"/>
        </w:rPr>
        <w:t>编制的项目环境影响报告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结论及其提出的环境保护措施。</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一、项目的建设内容和规模：</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建设单位租赁位于重庆市奉节县夔州街道西部新区胡家社区4社的维也纳酒店负1楼部分区域、负1楼夹层、1楼2~5号门面以</w:t>
      </w:r>
      <w:bookmarkStart w:id="2" w:name="_GoBack"/>
      <w:r>
        <w:rPr>
          <w:rFonts w:hint="eastAsia" w:ascii="Times New Roman" w:hAnsi="Times New Roman" w:eastAsia="仿宋" w:cs="Times New Roman"/>
          <w:color w:val="auto"/>
          <w:w w:val="96"/>
          <w:sz w:val="32"/>
          <w:szCs w:val="32"/>
          <w:u w:val="none"/>
          <w:lang w:val="en-US" w:eastAsia="zh-CN" w:bidi="ar-SA"/>
        </w:rPr>
        <w:t>及2~4楼进行建设（总占地面积约1210m</w:t>
      </w:r>
      <w:r>
        <w:rPr>
          <w:rFonts w:hint="eastAsia" w:ascii="Times New Roman" w:hAnsi="Times New Roman" w:eastAsia="仿宋" w:cs="Times New Roman"/>
          <w:color w:val="auto"/>
          <w:w w:val="96"/>
          <w:sz w:val="32"/>
          <w:szCs w:val="32"/>
          <w:u w:val="none"/>
          <w:vertAlign w:val="superscript"/>
          <w:lang w:val="en-US" w:eastAsia="zh-CN" w:bidi="ar-SA"/>
        </w:rPr>
        <w:t>2</w:t>
      </w:r>
      <w:r>
        <w:rPr>
          <w:rFonts w:hint="eastAsia" w:ascii="Times New Roman" w:hAnsi="Times New Roman" w:eastAsia="仿宋" w:cs="Times New Roman"/>
          <w:color w:val="auto"/>
          <w:w w:val="96"/>
          <w:sz w:val="32"/>
          <w:szCs w:val="32"/>
          <w:u w:val="none"/>
          <w:lang w:val="en-US" w:eastAsia="zh-CN" w:bidi="ar-SA"/>
        </w:rPr>
        <w:t>，建筑面积约3287.88m</w:t>
      </w:r>
      <w:r>
        <w:rPr>
          <w:rFonts w:hint="eastAsia" w:ascii="Times New Roman" w:hAnsi="Times New Roman" w:eastAsia="仿宋" w:cs="Times New Roman"/>
          <w:color w:val="auto"/>
          <w:w w:val="96"/>
          <w:sz w:val="32"/>
          <w:szCs w:val="32"/>
          <w:u w:val="none"/>
          <w:vertAlign w:val="superscript"/>
          <w:lang w:val="en-US" w:eastAsia="zh-CN" w:bidi="ar-SA"/>
        </w:rPr>
        <w:t>2</w:t>
      </w:r>
      <w:r>
        <w:rPr>
          <w:rFonts w:hint="eastAsia" w:ascii="Times New Roman" w:hAnsi="Times New Roman" w:eastAsia="仿宋" w:cs="Times New Roman"/>
          <w:color w:val="auto"/>
          <w:w w:val="96"/>
          <w:sz w:val="32"/>
          <w:szCs w:val="32"/>
          <w:u w:val="none"/>
          <w:lang w:val="en-US" w:eastAsia="zh-CN" w:bidi="ar-SA"/>
        </w:rPr>
        <w:t>）</w:t>
      </w:r>
      <w:bookmarkEnd w:id="2"/>
      <w:r>
        <w:rPr>
          <w:rFonts w:hint="eastAsia" w:ascii="Times New Roman" w:hAnsi="Times New Roman" w:eastAsia="仿宋" w:cs="Times New Roman"/>
          <w:color w:val="auto"/>
          <w:w w:val="98"/>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并对现有建筑内部进行改造装修。拟设置40张床位，设有内科、眼科、麻醉科、医学检验科、医学影像科（超声诊断专业、心电诊断专业）。主要建设内容由主体工程、辅助工程、储运工程、公用工程和环保工程组成。</w:t>
      </w:r>
      <w:r>
        <w:rPr>
          <w:rFonts w:hint="default" w:ascii="Times New Roman" w:hAnsi="Times New Roman" w:eastAsia="仿宋" w:cs="Times New Roman"/>
          <w:color w:val="auto"/>
          <w:sz w:val="32"/>
          <w:szCs w:val="32"/>
          <w:u w:val="none"/>
          <w:lang w:val="en-US" w:eastAsia="zh-CN"/>
        </w:rPr>
        <w:t>项目</w:t>
      </w:r>
      <w:r>
        <w:rPr>
          <w:rFonts w:hint="eastAsia" w:ascii="Times New Roman" w:hAnsi="Times New Roman" w:eastAsia="仿宋" w:cs="Times New Roman"/>
          <w:color w:val="auto"/>
          <w:sz w:val="32"/>
          <w:szCs w:val="32"/>
          <w:u w:val="none"/>
          <w:lang w:val="en-US" w:eastAsia="zh-CN" w:bidi="ar-SA"/>
        </w:rPr>
        <w:t>总</w:t>
      </w:r>
      <w:r>
        <w:rPr>
          <w:rFonts w:hint="default" w:ascii="Times New Roman" w:hAnsi="Times New Roman" w:eastAsia="仿宋" w:cs="Times New Roman"/>
          <w:color w:val="auto"/>
          <w:sz w:val="32"/>
          <w:szCs w:val="32"/>
          <w:u w:val="none"/>
          <w:lang w:val="en-US" w:eastAsia="zh-CN" w:bidi="ar-SA"/>
        </w:rPr>
        <w:t>投资</w:t>
      </w:r>
      <w:r>
        <w:rPr>
          <w:rFonts w:hint="eastAsia" w:ascii="Times New Roman" w:hAnsi="Times New Roman" w:eastAsia="仿宋" w:cs="Times New Roman"/>
          <w:color w:val="auto"/>
          <w:sz w:val="32"/>
          <w:szCs w:val="32"/>
          <w:u w:val="none"/>
          <w:lang w:val="en-US" w:eastAsia="zh-CN" w:bidi="ar-SA"/>
        </w:rPr>
        <w:t>400万元</w:t>
      </w:r>
      <w:r>
        <w:rPr>
          <w:rFonts w:hint="default" w:ascii="Times New Roman" w:hAnsi="Times New Roman" w:eastAsia="仿宋" w:cs="Times New Roman"/>
          <w:color w:val="auto"/>
          <w:sz w:val="32"/>
          <w:szCs w:val="32"/>
          <w:u w:val="none"/>
          <w:lang w:val="en-US" w:eastAsia="zh-CN" w:bidi="ar-SA"/>
        </w:rPr>
        <w:t>，其中环保投资</w:t>
      </w:r>
      <w:r>
        <w:rPr>
          <w:rFonts w:hint="eastAsia" w:ascii="Times New Roman" w:hAnsi="Times New Roman" w:eastAsia="仿宋" w:cs="Times New Roman"/>
          <w:color w:val="auto"/>
          <w:sz w:val="32"/>
          <w:szCs w:val="32"/>
          <w:u w:val="none"/>
          <w:lang w:val="en-US" w:eastAsia="zh-CN" w:bidi="ar-SA"/>
        </w:rPr>
        <w:t>30</w:t>
      </w:r>
      <w:r>
        <w:rPr>
          <w:rFonts w:hint="default" w:ascii="Times New Roman" w:hAnsi="Times New Roman" w:eastAsia="仿宋" w:cs="Times New Roman"/>
          <w:color w:val="auto"/>
          <w:sz w:val="32"/>
          <w:szCs w:val="32"/>
          <w:u w:val="none"/>
          <w:lang w:val="en-US" w:eastAsia="zh-CN" w:bidi="ar-SA"/>
        </w:rPr>
        <w:t>万</w:t>
      </w:r>
      <w:r>
        <w:rPr>
          <w:rFonts w:hint="eastAsia" w:ascii="Times New Roman" w:hAnsi="Times New Roman" w:eastAsia="仿宋" w:cs="Times New Roman"/>
          <w:color w:val="auto"/>
          <w:sz w:val="32"/>
          <w:szCs w:val="32"/>
          <w:u w:val="none"/>
          <w:lang w:val="en-US" w:eastAsia="zh-CN" w:bidi="ar-SA"/>
        </w:rPr>
        <w:t>元。占总投资的7.5%。</w:t>
      </w:r>
    </w:p>
    <w:p>
      <w:pPr>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kern w:val="2"/>
          <w:sz w:val="32"/>
          <w:szCs w:val="32"/>
          <w:u w:val="none"/>
          <w:lang w:val="en-US" w:eastAsia="zh-CN" w:bidi="ar-SA"/>
        </w:rPr>
      </w:pPr>
      <w:r>
        <w:rPr>
          <w:rFonts w:hint="default" w:ascii="Times New Roman" w:hAnsi="Times New Roman" w:eastAsia="仿宋" w:cs="Times New Roman"/>
          <w:color w:val="auto"/>
          <w:sz w:val="32"/>
          <w:szCs w:val="32"/>
          <w:u w:val="none"/>
        </w:rPr>
        <w:t>二、该项目在设计、建设和运行过程中，应认真落实本项目环境影响报告</w:t>
      </w:r>
      <w:r>
        <w:rPr>
          <w:rFonts w:hint="eastAsia" w:ascii="Times New Roman" w:hAnsi="Times New Roman" w:eastAsia="仿宋" w:cs="Times New Roman"/>
          <w:color w:val="auto"/>
          <w:sz w:val="32"/>
          <w:szCs w:val="32"/>
          <w:u w:val="none"/>
          <w:lang w:eastAsia="zh-CN"/>
        </w:rPr>
        <w:t>表</w:t>
      </w:r>
      <w:r>
        <w:rPr>
          <w:rFonts w:hint="default" w:ascii="Times New Roman" w:hAnsi="Times New Roman" w:eastAsia="仿宋" w:cs="Times New Roman"/>
          <w:color w:val="auto"/>
          <w:sz w:val="32"/>
          <w:szCs w:val="32"/>
          <w:u w:val="none"/>
        </w:rPr>
        <w:t>中提出的各项生态保护及污染防治措施，严格执</w:t>
      </w:r>
      <w:r>
        <w:rPr>
          <w:rFonts w:hint="default" w:ascii="Times New Roman" w:hAnsi="Times New Roman" w:eastAsia="仿宋" w:cs="Times New Roman"/>
          <w:color w:val="auto"/>
          <w:kern w:val="2"/>
          <w:sz w:val="32"/>
          <w:szCs w:val="32"/>
          <w:u w:val="none"/>
          <w:lang w:val="en-US" w:eastAsia="zh-CN" w:bidi="ar-SA"/>
        </w:rPr>
        <w:t>行相关污染物排放标准和总量控制的要求，并重点做好以下工作：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（一）水污染防治措施。</w:t>
      </w:r>
      <w:r>
        <w:rPr>
          <w:rFonts w:hint="eastAsia" w:ascii="Times New Roman" w:hAnsi="Times New Roman" w:eastAsia="仿宋" w:cs="Times New Roman"/>
          <w:color w:val="auto"/>
          <w:sz w:val="32"/>
          <w:szCs w:val="32"/>
          <w:u w:val="none"/>
          <w:lang w:val="en-US" w:eastAsia="zh-CN" w:bidi="ar-SA"/>
        </w:rPr>
        <w:t>本项目在负一层设置</w:t>
      </w:r>
      <w:r>
        <w:rPr>
          <w:rFonts w:hint="default" w:ascii="Times New Roman" w:hAnsi="Times New Roman" w:eastAsia="仿宋" w:cs="Times New Roman"/>
          <w:color w:val="auto"/>
          <w:sz w:val="32"/>
          <w:szCs w:val="32"/>
          <w:u w:val="none"/>
          <w:lang w:val="en-US" w:eastAsia="zh-CN" w:bidi="ar-SA"/>
        </w:rPr>
        <w:t>污水处理站</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内设有化粪池、污水处理设施、应急事故池</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。医疗污水排入化粪池</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处理能力30m</w:t>
      </w:r>
      <w:r>
        <w:rPr>
          <w:rFonts w:hint="default" w:ascii="Times New Roman" w:hAnsi="Times New Roman" w:eastAsia="仿宋" w:cs="Times New Roman"/>
          <w:color w:val="auto"/>
          <w:sz w:val="32"/>
          <w:szCs w:val="32"/>
          <w:u w:val="none"/>
          <w:vertAlign w:val="superscript"/>
          <w:lang w:val="en-US" w:eastAsia="zh-CN" w:bidi="ar-SA"/>
        </w:rPr>
        <w:t>3</w:t>
      </w:r>
      <w:r>
        <w:rPr>
          <w:rFonts w:hint="default" w:ascii="Times New Roman" w:hAnsi="Times New Roman" w:eastAsia="仿宋" w:cs="Times New Roman"/>
          <w:color w:val="auto"/>
          <w:sz w:val="32"/>
          <w:szCs w:val="32"/>
          <w:u w:val="none"/>
          <w:lang w:val="en-US" w:eastAsia="zh-CN" w:bidi="ar-SA"/>
        </w:rPr>
        <w:t>/d</w:t>
      </w:r>
      <w:r>
        <w:rPr>
          <w:rFonts w:hint="eastAsia" w:ascii="Times New Roman" w:hAnsi="Times New Roman" w:eastAsia="仿宋" w:cs="Times New Roman"/>
          <w:color w:val="auto"/>
          <w:sz w:val="32"/>
          <w:szCs w:val="32"/>
          <w:u w:val="none"/>
          <w:lang w:val="en-US" w:eastAsia="zh-CN" w:bidi="ar-SA"/>
        </w:rPr>
        <w:t>）初步</w:t>
      </w:r>
      <w:r>
        <w:rPr>
          <w:rFonts w:hint="default" w:ascii="Times New Roman" w:hAnsi="Times New Roman" w:eastAsia="仿宋" w:cs="Times New Roman"/>
          <w:color w:val="auto"/>
          <w:sz w:val="32"/>
          <w:szCs w:val="32"/>
          <w:u w:val="none"/>
          <w:lang w:val="en-US" w:eastAsia="zh-CN" w:bidi="ar-SA"/>
        </w:rPr>
        <w:t>处理</w:t>
      </w:r>
      <w:r>
        <w:rPr>
          <w:rFonts w:hint="eastAsia" w:ascii="Times New Roman" w:hAnsi="Times New Roman" w:eastAsia="仿宋" w:cs="Times New Roman"/>
          <w:color w:val="auto"/>
          <w:sz w:val="32"/>
          <w:szCs w:val="32"/>
          <w:u w:val="none"/>
          <w:lang w:val="en-US" w:eastAsia="zh-CN" w:bidi="ar-SA"/>
        </w:rPr>
        <w:t>，再通过水泵提升至</w:t>
      </w:r>
      <w:r>
        <w:rPr>
          <w:rFonts w:hint="default" w:ascii="Times New Roman" w:hAnsi="Times New Roman" w:eastAsia="仿宋" w:cs="Times New Roman"/>
          <w:color w:val="auto"/>
          <w:sz w:val="32"/>
          <w:szCs w:val="32"/>
          <w:u w:val="none"/>
          <w:lang w:val="en-US" w:eastAsia="zh-CN" w:bidi="ar-SA"/>
        </w:rPr>
        <w:t>污水处理设施</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处理能力30m</w:t>
      </w:r>
      <w:r>
        <w:rPr>
          <w:rFonts w:hint="default" w:ascii="Times New Roman" w:hAnsi="Times New Roman" w:eastAsia="仿宋" w:cs="Times New Roman"/>
          <w:color w:val="auto"/>
          <w:sz w:val="32"/>
          <w:szCs w:val="32"/>
          <w:u w:val="none"/>
          <w:vertAlign w:val="superscript"/>
          <w:lang w:val="en-US" w:eastAsia="zh-CN" w:bidi="ar-SA"/>
        </w:rPr>
        <w:t>3</w:t>
      </w:r>
      <w:r>
        <w:rPr>
          <w:rFonts w:hint="default" w:ascii="Times New Roman" w:hAnsi="Times New Roman" w:eastAsia="仿宋" w:cs="Times New Roman"/>
          <w:color w:val="auto"/>
          <w:sz w:val="32"/>
          <w:szCs w:val="32"/>
          <w:u w:val="none"/>
          <w:lang w:val="en-US" w:eastAsia="zh-CN" w:bidi="ar-SA"/>
        </w:rPr>
        <w:t>/d</w:t>
      </w:r>
      <w:r>
        <w:rPr>
          <w:rFonts w:hint="eastAsia" w:ascii="Times New Roman" w:hAnsi="Times New Roman" w:eastAsia="仿宋" w:cs="Times New Roman"/>
          <w:color w:val="auto"/>
          <w:sz w:val="32"/>
          <w:szCs w:val="32"/>
          <w:u w:val="none"/>
          <w:lang w:val="en-US" w:eastAsia="zh-CN" w:bidi="ar-SA"/>
        </w:rPr>
        <w:t>）深度</w:t>
      </w:r>
      <w:r>
        <w:rPr>
          <w:rFonts w:hint="default" w:ascii="Times New Roman" w:hAnsi="Times New Roman" w:eastAsia="仿宋" w:cs="Times New Roman"/>
          <w:color w:val="auto"/>
          <w:sz w:val="32"/>
          <w:szCs w:val="32"/>
          <w:u w:val="none"/>
          <w:lang w:val="en-US" w:eastAsia="zh-CN" w:bidi="ar-SA"/>
        </w:rPr>
        <w:t>处理</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达《医疗机构水污染物排放标准》</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GB18466-2005</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中的表2综合医疗机构中的预处理标准后，</w:t>
      </w:r>
      <w:r>
        <w:rPr>
          <w:rFonts w:hint="eastAsia" w:ascii="Times New Roman" w:hAnsi="Times New Roman" w:eastAsia="仿宋" w:cs="Times New Roman"/>
          <w:color w:val="auto"/>
          <w:sz w:val="32"/>
          <w:szCs w:val="32"/>
          <w:u w:val="none"/>
          <w:lang w:val="en-US" w:eastAsia="zh-CN" w:bidi="ar-SA"/>
        </w:rPr>
        <w:t>再</w:t>
      </w:r>
      <w:r>
        <w:rPr>
          <w:rFonts w:hint="default" w:ascii="Times New Roman" w:hAnsi="Times New Roman" w:eastAsia="仿宋" w:cs="Times New Roman"/>
          <w:color w:val="auto"/>
          <w:sz w:val="32"/>
          <w:szCs w:val="32"/>
          <w:u w:val="none"/>
          <w:lang w:val="en-US" w:eastAsia="zh-CN" w:bidi="ar-SA"/>
        </w:rPr>
        <w:t>通过市政污水管网排入奉节县西部新城污水处理达《城镇污水处理厂污染物排放标准》（GB18918-2002）一级</w:t>
      </w:r>
      <w:r>
        <w:rPr>
          <w:rFonts w:hint="eastAsia" w:ascii="Times New Roman" w:hAnsi="Times New Roman" w:eastAsia="仿宋" w:cs="Times New Roman"/>
          <w:color w:val="auto"/>
          <w:sz w:val="32"/>
          <w:szCs w:val="32"/>
          <w:u w:val="none"/>
          <w:lang w:val="en-US" w:eastAsia="zh-CN" w:bidi="ar-SA"/>
        </w:rPr>
        <w:t>A</w:t>
      </w:r>
      <w:r>
        <w:rPr>
          <w:rFonts w:hint="default" w:ascii="Times New Roman" w:hAnsi="Times New Roman" w:eastAsia="仿宋" w:cs="Times New Roman"/>
          <w:color w:val="auto"/>
          <w:sz w:val="32"/>
          <w:szCs w:val="32"/>
          <w:u w:val="none"/>
          <w:lang w:val="en-US" w:eastAsia="zh-CN" w:bidi="ar-SA"/>
        </w:rPr>
        <w:t>标准</w:t>
      </w:r>
      <w:r>
        <w:rPr>
          <w:rFonts w:hint="eastAsia" w:ascii="Times New Roman" w:hAnsi="Times New Roman" w:eastAsia="仿宋" w:cs="Times New Roman"/>
          <w:color w:val="auto"/>
          <w:sz w:val="32"/>
          <w:szCs w:val="32"/>
          <w:u w:val="none"/>
          <w:lang w:val="en-US" w:eastAsia="zh-CN" w:bidi="ar-SA"/>
        </w:rPr>
        <w:t>后排入朱衣河。</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（二）废气污染防治措施。</w:t>
      </w:r>
      <w:r>
        <w:rPr>
          <w:rFonts w:hint="eastAsia" w:ascii="Times New Roman" w:hAnsi="Times New Roman" w:eastAsia="仿宋" w:cs="Times New Roman"/>
          <w:color w:val="auto"/>
          <w:sz w:val="32"/>
          <w:szCs w:val="32"/>
          <w:u w:val="none"/>
          <w:lang w:val="en-US" w:eastAsia="zh-CN" w:bidi="ar-SA"/>
        </w:rPr>
        <w:t>污水处理站恶臭经活性炭吸附处理后通过专用管道引至租赁建筑物北侧绿化带排放。同时，向化粪池和污水处理设施中投加除臭剂，减少恶臭的排放。危险废物贮存点通过</w:t>
      </w:r>
      <w:r>
        <w:rPr>
          <w:rFonts w:hint="default" w:ascii="Times New Roman" w:hAnsi="Times New Roman" w:eastAsia="仿宋" w:cs="Times New Roman"/>
          <w:color w:val="auto"/>
          <w:sz w:val="32"/>
          <w:szCs w:val="32"/>
          <w:u w:val="none"/>
          <w:lang w:val="en-US" w:eastAsia="zh-CN" w:bidi="ar-SA"/>
        </w:rPr>
        <w:t>紫外</w:t>
      </w:r>
      <w:r>
        <w:rPr>
          <w:rFonts w:hint="eastAsia" w:ascii="Times New Roman" w:hAnsi="Times New Roman" w:eastAsia="仿宋" w:cs="Times New Roman"/>
          <w:color w:val="auto"/>
          <w:sz w:val="32"/>
          <w:szCs w:val="32"/>
          <w:u w:val="none"/>
          <w:lang w:val="en-US" w:eastAsia="zh-CN" w:bidi="ar-SA"/>
        </w:rPr>
        <w:t>线灯管</w:t>
      </w:r>
      <w:r>
        <w:rPr>
          <w:rFonts w:hint="default" w:ascii="Times New Roman" w:hAnsi="Times New Roman" w:eastAsia="仿宋" w:cs="Times New Roman"/>
          <w:color w:val="auto"/>
          <w:sz w:val="32"/>
          <w:szCs w:val="32"/>
          <w:u w:val="none"/>
          <w:lang w:val="en-US" w:eastAsia="zh-CN" w:bidi="ar-SA"/>
        </w:rPr>
        <w:t>消毒、通风</w:t>
      </w:r>
      <w:r>
        <w:rPr>
          <w:rFonts w:hint="eastAsia" w:ascii="Times New Roman" w:hAnsi="Times New Roman" w:eastAsia="仿宋" w:cs="Times New Roman"/>
          <w:color w:val="auto"/>
          <w:sz w:val="32"/>
          <w:szCs w:val="32"/>
          <w:u w:val="none"/>
          <w:lang w:val="en-US" w:eastAsia="zh-CN" w:bidi="ar-SA"/>
        </w:rPr>
        <w:t>减少恶臭的影响；柴油发电机废气</w:t>
      </w:r>
      <w:r>
        <w:rPr>
          <w:rFonts w:hint="default" w:ascii="Times New Roman" w:hAnsi="Times New Roman" w:eastAsia="仿宋" w:cs="Times New Roman"/>
          <w:color w:val="auto"/>
          <w:sz w:val="32"/>
          <w:szCs w:val="32"/>
          <w:u w:val="none"/>
          <w:lang w:val="en-US" w:eastAsia="zh-CN" w:bidi="ar-SA"/>
        </w:rPr>
        <w:t>依托维也纳酒店柴油发电机房专用烟道排出室外</w:t>
      </w:r>
      <w:r>
        <w:rPr>
          <w:rFonts w:hint="eastAsia" w:ascii="Times New Roman" w:hAnsi="Times New Roman" w:eastAsia="仿宋" w:cs="Times New Roman"/>
          <w:color w:val="auto"/>
          <w:sz w:val="32"/>
          <w:szCs w:val="32"/>
          <w:u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（三）噪声污染防治措施。选用低噪声设备，通过基础减振、建筑隔声等措施进行降噪，医院内部合理布置、加强门诊部管理。</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（四）</w:t>
      </w:r>
      <w:r>
        <w:rPr>
          <w:rFonts w:hint="default" w:ascii="Times New Roman" w:hAnsi="Times New Roman" w:eastAsia="仿宋" w:cs="Times New Roman"/>
          <w:color w:val="auto"/>
          <w:sz w:val="32"/>
          <w:szCs w:val="32"/>
          <w:u w:val="none"/>
          <w:lang w:val="en-US" w:eastAsia="zh-CN" w:bidi="ar-SA"/>
        </w:rPr>
        <w:t>固体废弃物污染治理措施。纯水制备系统产生的废RO膜、废活性炭滤料</w:t>
      </w:r>
      <w:r>
        <w:rPr>
          <w:rFonts w:hint="eastAsia" w:ascii="Times New Roman" w:hAnsi="Times New Roman" w:eastAsia="仿宋" w:cs="Times New Roman"/>
          <w:color w:val="auto"/>
          <w:sz w:val="32"/>
          <w:szCs w:val="32"/>
          <w:u w:val="none"/>
          <w:lang w:val="en-US" w:eastAsia="zh-CN" w:bidi="ar-SA"/>
        </w:rPr>
        <w:t>等</w:t>
      </w:r>
      <w:r>
        <w:rPr>
          <w:rFonts w:hint="default" w:ascii="Times New Roman" w:hAnsi="Times New Roman" w:eastAsia="仿宋" w:cs="Times New Roman"/>
          <w:color w:val="auto"/>
          <w:sz w:val="32"/>
          <w:szCs w:val="32"/>
          <w:u w:val="none"/>
          <w:lang w:val="en-US" w:eastAsia="zh-CN" w:bidi="ar-SA"/>
        </w:rPr>
        <w:t>一般工业固体废物由厂家更换回收，不在院区暂存。每层楼设置医疗垃圾收集桶，负一层设置一处危险废物贮存点，面积约12m</w:t>
      </w:r>
      <w:r>
        <w:rPr>
          <w:rFonts w:hint="default" w:ascii="Times New Roman" w:hAnsi="Times New Roman" w:eastAsia="仿宋" w:cs="Times New Roman"/>
          <w:color w:val="auto"/>
          <w:sz w:val="32"/>
          <w:szCs w:val="32"/>
          <w:u w:val="none"/>
          <w:vertAlign w:val="superscript"/>
          <w:lang w:val="en-US" w:eastAsia="zh-CN" w:bidi="ar-SA"/>
        </w:rPr>
        <w:t>2</w:t>
      </w:r>
      <w:r>
        <w:rPr>
          <w:rFonts w:hint="default" w:ascii="Times New Roman" w:hAnsi="Times New Roman" w:eastAsia="仿宋" w:cs="Times New Roman"/>
          <w:color w:val="auto"/>
          <w:sz w:val="32"/>
          <w:szCs w:val="32"/>
          <w:u w:val="none"/>
          <w:lang w:val="en-US" w:eastAsia="zh-CN" w:bidi="ar-SA"/>
        </w:rPr>
        <w:t>，用于暂存医疗废物、废紫外线灯管、污水处理站恶臭处理过程中产生的废活性炭。化粪池和污水处理设施所产生的污泥定期消毒后清掏，并交环卫部门处置。各层设置生活垃圾收集桶，收集后统一交由环卫部门清运处置。</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eastAsia" w:ascii="Times New Roman" w:hAnsi="Times New Roman" w:eastAsia="仿宋" w:cs="Times New Roman"/>
          <w:color w:val="auto"/>
          <w:sz w:val="32"/>
          <w:szCs w:val="32"/>
          <w:u w:val="none"/>
          <w:lang w:val="en-US" w:eastAsia="zh-CN" w:bidi="ar-SA"/>
        </w:rPr>
        <w:t>（五）地下水及土壤：柴油储油间</w:t>
      </w: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化粪池、</w:t>
      </w:r>
      <w:r>
        <w:rPr>
          <w:rFonts w:hint="default" w:ascii="Times New Roman" w:hAnsi="Times New Roman" w:eastAsia="仿宋" w:cs="Times New Roman"/>
          <w:color w:val="auto"/>
          <w:sz w:val="32"/>
          <w:szCs w:val="32"/>
          <w:u w:val="none"/>
          <w:lang w:val="en-US" w:eastAsia="zh-CN" w:bidi="ar-SA"/>
        </w:rPr>
        <w:t>污水处理设施及应急事故池进行重点防渗</w:t>
      </w:r>
      <w:r>
        <w:rPr>
          <w:rFonts w:hint="eastAsia" w:ascii="Times New Roman" w:hAnsi="Times New Roman" w:eastAsia="仿宋" w:cs="Times New Roman"/>
          <w:color w:val="auto"/>
          <w:sz w:val="32"/>
          <w:szCs w:val="32"/>
          <w:u w:val="none"/>
          <w:lang w:val="en-US" w:eastAsia="zh-CN" w:bidi="ar-SA"/>
        </w:rPr>
        <w:t>，危险废物贮存点采取防风、防晒、防雨、防漏、防渗、防腐的“六防”措施</w:t>
      </w: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办公室划为简单防渗区，采用一般地面硬化。除上述区域外，院区其他区域</w:t>
      </w:r>
      <w:r>
        <w:rPr>
          <w:rFonts w:hint="default" w:ascii="Times New Roman" w:hAnsi="Times New Roman" w:eastAsia="仿宋" w:cs="Times New Roman"/>
          <w:color w:val="auto"/>
          <w:sz w:val="32"/>
          <w:szCs w:val="32"/>
          <w:u w:val="none"/>
          <w:lang w:val="en-US" w:eastAsia="zh-CN" w:bidi="ar-SA"/>
        </w:rPr>
        <w:t>进行一般防渗</w:t>
      </w:r>
      <w:r>
        <w:rPr>
          <w:rFonts w:hint="eastAsia" w:ascii="Times New Roman" w:hAnsi="Times New Roman" w:eastAsia="仿宋" w:cs="Times New Roman"/>
          <w:color w:val="auto"/>
          <w:sz w:val="32"/>
          <w:szCs w:val="32"/>
          <w:u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eastAsia"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六</w:t>
      </w:r>
      <w:r>
        <w:rPr>
          <w:rFonts w:hint="default" w:ascii="Times New Roman" w:hAnsi="Times New Roman" w:eastAsia="仿宋" w:cs="Times New Roman"/>
          <w:color w:val="auto"/>
          <w:sz w:val="32"/>
          <w:szCs w:val="32"/>
          <w:u w:val="none"/>
          <w:lang w:val="en-US" w:eastAsia="zh-CN" w:bidi="ar-SA"/>
        </w:rPr>
        <w:t>）</w:t>
      </w:r>
      <w:r>
        <w:rPr>
          <w:rFonts w:hint="eastAsia" w:ascii="Times New Roman" w:hAnsi="Times New Roman" w:eastAsia="仿宋" w:cs="Times New Roman"/>
          <w:color w:val="auto"/>
          <w:sz w:val="32"/>
          <w:szCs w:val="32"/>
          <w:u w:val="none"/>
          <w:lang w:val="en-US" w:eastAsia="zh-CN" w:bidi="ar-SA"/>
        </w:rPr>
        <w:t>严格</w:t>
      </w:r>
      <w:r>
        <w:rPr>
          <w:rFonts w:hint="default" w:ascii="Times New Roman" w:hAnsi="Times New Roman" w:eastAsia="仿宋" w:cs="Times New Roman"/>
          <w:color w:val="auto"/>
          <w:sz w:val="32"/>
          <w:szCs w:val="32"/>
          <w:u w:val="none"/>
          <w:lang w:val="en-US" w:eastAsia="zh-CN" w:bidi="ar-SA"/>
        </w:rPr>
        <w:t>环境风险</w:t>
      </w:r>
      <w:r>
        <w:rPr>
          <w:rFonts w:hint="eastAsia" w:ascii="Times New Roman" w:hAnsi="Times New Roman" w:eastAsia="仿宋" w:cs="Times New Roman"/>
          <w:color w:val="auto"/>
          <w:sz w:val="32"/>
          <w:szCs w:val="32"/>
          <w:u w:val="none"/>
          <w:lang w:val="en-US" w:eastAsia="zh-CN" w:bidi="ar-SA"/>
        </w:rPr>
        <w:t>防范。</w:t>
      </w:r>
      <w:r>
        <w:rPr>
          <w:rFonts w:hint="default" w:ascii="Times New Roman" w:hAnsi="Times New Roman" w:eastAsia="仿宋" w:cs="Times New Roman"/>
          <w:color w:val="auto"/>
          <w:sz w:val="32"/>
          <w:szCs w:val="32"/>
          <w:u w:val="none"/>
          <w:lang w:val="en-US" w:eastAsia="zh-CN" w:bidi="ar-SA"/>
        </w:rPr>
        <w:t>柴油限量储存</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柴油储油间地面</w:t>
      </w:r>
      <w:r>
        <w:rPr>
          <w:rFonts w:hint="eastAsia" w:ascii="Times New Roman" w:hAnsi="Times New Roman" w:eastAsia="仿宋" w:cs="Times New Roman"/>
          <w:color w:val="auto"/>
          <w:sz w:val="32"/>
          <w:szCs w:val="32"/>
          <w:u w:val="none"/>
          <w:lang w:val="en-US" w:eastAsia="zh-CN" w:bidi="ar-SA"/>
        </w:rPr>
        <w:t>做</w:t>
      </w:r>
      <w:r>
        <w:rPr>
          <w:rFonts w:hint="default" w:ascii="Times New Roman" w:hAnsi="Times New Roman" w:eastAsia="仿宋" w:cs="Times New Roman"/>
          <w:color w:val="auto"/>
          <w:sz w:val="32"/>
          <w:szCs w:val="32"/>
          <w:u w:val="none"/>
          <w:lang w:val="en-US" w:eastAsia="zh-CN" w:bidi="ar-SA"/>
        </w:rPr>
        <w:t>防渗处理，四周设置围堰</w:t>
      </w:r>
      <w:r>
        <w:rPr>
          <w:rFonts w:hint="eastAsia" w:ascii="Times New Roman" w:hAnsi="Times New Roman" w:eastAsia="仿宋" w:cs="Times New Roman"/>
          <w:color w:val="auto"/>
          <w:sz w:val="32"/>
          <w:szCs w:val="32"/>
          <w:u w:val="none"/>
          <w:lang w:val="en-US" w:eastAsia="zh-CN" w:bidi="ar-SA"/>
        </w:rPr>
        <w:t>，并</w:t>
      </w:r>
      <w:r>
        <w:rPr>
          <w:rFonts w:hint="default" w:ascii="Times New Roman" w:hAnsi="Times New Roman" w:eastAsia="仿宋" w:cs="Times New Roman"/>
          <w:color w:val="auto"/>
          <w:sz w:val="32"/>
          <w:szCs w:val="32"/>
          <w:u w:val="none"/>
          <w:lang w:val="en-US" w:eastAsia="zh-CN" w:bidi="ar-SA"/>
        </w:rPr>
        <w:t>在发电机房和</w:t>
      </w:r>
      <w:r>
        <w:rPr>
          <w:rFonts w:hint="eastAsia" w:ascii="Times New Roman" w:hAnsi="Times New Roman" w:eastAsia="仿宋" w:cs="Times New Roman"/>
          <w:color w:val="auto"/>
          <w:sz w:val="32"/>
          <w:szCs w:val="32"/>
          <w:u w:val="none"/>
          <w:lang w:val="en-US" w:eastAsia="zh-CN" w:bidi="ar-SA"/>
        </w:rPr>
        <w:t>柴油</w:t>
      </w:r>
      <w:r>
        <w:rPr>
          <w:rFonts w:hint="default" w:ascii="Times New Roman" w:hAnsi="Times New Roman" w:eastAsia="仿宋" w:cs="Times New Roman"/>
          <w:color w:val="auto"/>
          <w:sz w:val="32"/>
          <w:szCs w:val="32"/>
          <w:u w:val="none"/>
          <w:lang w:val="en-US" w:eastAsia="zh-CN" w:bidi="ar-SA"/>
        </w:rPr>
        <w:t>储油间安装火灾自动报警系统</w:t>
      </w:r>
      <w:r>
        <w:rPr>
          <w:rFonts w:hint="eastAsia" w:ascii="Times New Roman" w:hAnsi="Times New Roman" w:eastAsia="仿宋" w:cs="Times New Roman"/>
          <w:color w:val="auto"/>
          <w:sz w:val="32"/>
          <w:szCs w:val="32"/>
          <w:u w:val="none"/>
          <w:lang w:val="en-US" w:eastAsia="zh-CN" w:bidi="ar-SA"/>
        </w:rPr>
        <w:t>。项目危险物品的储存保管应做到防火、防爆，通风、降温，挡光照、雨淋，储存管理符合有关储存管理规定，远离火种、热源，密封包装。剧毒化学品专用仓库安装“铁门、铁窗、铁护栏”，设置防盗报警装置，设有明显的剧毒化学品警示标志，严禁无关人员进入。</w:t>
      </w:r>
      <w:r>
        <w:rPr>
          <w:rFonts w:hint="default" w:ascii="Times New Roman" w:hAnsi="Times New Roman" w:eastAsia="仿宋" w:cs="Times New Roman"/>
          <w:color w:val="auto"/>
          <w:sz w:val="32"/>
          <w:szCs w:val="32"/>
          <w:u w:val="none"/>
          <w:lang w:val="en-US" w:eastAsia="zh-CN" w:bidi="ar-SA"/>
        </w:rPr>
        <w:t>氧气瓶存放于</w:t>
      </w:r>
      <w:r>
        <w:rPr>
          <w:rFonts w:hint="eastAsia" w:ascii="Times New Roman" w:hAnsi="Times New Roman" w:eastAsia="仿宋" w:cs="Times New Roman"/>
          <w:color w:val="auto"/>
          <w:sz w:val="32"/>
          <w:szCs w:val="32"/>
          <w:u w:val="none"/>
          <w:lang w:val="en-US" w:eastAsia="zh-CN" w:bidi="ar-SA"/>
        </w:rPr>
        <w:t>气体存放间</w:t>
      </w:r>
      <w:r>
        <w:rPr>
          <w:rFonts w:hint="default" w:ascii="Times New Roman" w:hAnsi="Times New Roman" w:eastAsia="仿宋" w:cs="Times New Roman"/>
          <w:color w:val="auto"/>
          <w:sz w:val="32"/>
          <w:szCs w:val="32"/>
          <w:u w:val="none"/>
          <w:lang w:val="en-US" w:eastAsia="zh-CN" w:bidi="ar-SA"/>
        </w:rPr>
        <w:t>，室内保持通风，氧气瓶与盛有易燃、易爆物质及氧化性气体的容器和气瓶的间距不小于8米</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与空调装置、空气压缩机和通风设备等吸风口的间距不小于20米</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与其他可燃性气体贮存地点的间距不小于20米</w:t>
      </w:r>
      <w:r>
        <w:rPr>
          <w:rFonts w:hint="eastAsia" w:ascii="Times New Roman" w:hAnsi="Times New Roman" w:eastAsia="仿宋" w:cs="Times New Roman"/>
          <w:color w:val="auto"/>
          <w:sz w:val="32"/>
          <w:szCs w:val="32"/>
          <w:u w:val="none"/>
          <w:lang w:val="en-US" w:eastAsia="zh-CN" w:bidi="ar-SA"/>
        </w:rPr>
        <w:t>，同时</w:t>
      </w:r>
      <w:r>
        <w:rPr>
          <w:rFonts w:hint="default" w:ascii="Times New Roman" w:hAnsi="Times New Roman" w:eastAsia="仿宋" w:cs="Times New Roman"/>
          <w:color w:val="auto"/>
          <w:sz w:val="32"/>
          <w:szCs w:val="32"/>
          <w:u w:val="none"/>
          <w:lang w:val="en-US" w:eastAsia="zh-CN" w:bidi="ar-SA"/>
        </w:rPr>
        <w:t>禁止敲击、碰撞</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不得靠近热源</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夏季防止暴晒</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加强医疗污水处理</w:t>
      </w:r>
      <w:r>
        <w:rPr>
          <w:rFonts w:hint="eastAsia" w:ascii="Times New Roman" w:hAnsi="Times New Roman" w:eastAsia="仿宋" w:cs="Times New Roman"/>
          <w:color w:val="auto"/>
          <w:sz w:val="32"/>
          <w:szCs w:val="32"/>
          <w:u w:val="none"/>
          <w:lang w:val="en-US" w:eastAsia="zh-CN" w:bidi="ar-SA"/>
        </w:rPr>
        <w:t>站</w:t>
      </w:r>
      <w:r>
        <w:rPr>
          <w:rFonts w:hint="default" w:ascii="Times New Roman" w:hAnsi="Times New Roman" w:eastAsia="仿宋" w:cs="Times New Roman"/>
          <w:color w:val="auto"/>
          <w:sz w:val="32"/>
          <w:szCs w:val="32"/>
          <w:u w:val="none"/>
          <w:lang w:val="en-US" w:eastAsia="zh-CN" w:bidi="ar-SA"/>
        </w:rPr>
        <w:t>的维护保养</w:t>
      </w:r>
      <w:r>
        <w:rPr>
          <w:rFonts w:hint="eastAsia" w:ascii="Times New Roman" w:hAnsi="Times New Roman" w:eastAsia="仿宋" w:cs="Times New Roman"/>
          <w:color w:val="auto"/>
          <w:sz w:val="32"/>
          <w:szCs w:val="32"/>
          <w:u w:val="none"/>
          <w:lang w:val="en-US" w:eastAsia="zh-CN" w:bidi="ar-SA"/>
        </w:rPr>
        <w:t>，设置</w:t>
      </w:r>
      <w:r>
        <w:rPr>
          <w:rFonts w:hint="default" w:ascii="Times New Roman" w:hAnsi="Times New Roman" w:eastAsia="仿宋" w:cs="Times New Roman"/>
          <w:color w:val="auto"/>
          <w:sz w:val="32"/>
          <w:szCs w:val="32"/>
          <w:u w:val="none"/>
          <w:lang w:val="en-US" w:eastAsia="zh-CN" w:bidi="ar-SA"/>
        </w:rPr>
        <w:t>有效容积</w:t>
      </w:r>
      <w:r>
        <w:rPr>
          <w:rFonts w:hint="eastAsia" w:ascii="Times New Roman" w:hAnsi="Times New Roman" w:eastAsia="仿宋" w:cs="Times New Roman"/>
          <w:color w:val="auto"/>
          <w:sz w:val="32"/>
          <w:szCs w:val="32"/>
          <w:u w:val="none"/>
          <w:lang w:val="en-US" w:eastAsia="zh-CN" w:bidi="ar-SA"/>
        </w:rPr>
        <w:t>约10</w:t>
      </w:r>
      <w:r>
        <w:rPr>
          <w:rFonts w:hint="default" w:ascii="Times New Roman" w:hAnsi="Times New Roman" w:eastAsia="仿宋" w:cs="Times New Roman"/>
          <w:color w:val="auto"/>
          <w:sz w:val="32"/>
          <w:szCs w:val="32"/>
          <w:u w:val="none"/>
          <w:lang w:val="en-US" w:eastAsia="zh-CN" w:bidi="ar-SA"/>
        </w:rPr>
        <w:t>m</w:t>
      </w:r>
      <w:r>
        <w:rPr>
          <w:rFonts w:hint="eastAsia" w:ascii="Times New Roman" w:hAnsi="Times New Roman" w:eastAsia="仿宋" w:cs="Times New Roman"/>
          <w:color w:val="auto"/>
          <w:sz w:val="32"/>
          <w:szCs w:val="32"/>
          <w:u w:val="none"/>
          <w:vertAlign w:val="superscript"/>
          <w:lang w:val="en-US" w:eastAsia="zh-CN" w:bidi="ar-SA"/>
        </w:rPr>
        <w:t>3</w:t>
      </w:r>
      <w:r>
        <w:rPr>
          <w:rFonts w:hint="default" w:ascii="Times New Roman" w:hAnsi="Times New Roman" w:eastAsia="仿宋" w:cs="Times New Roman"/>
          <w:color w:val="auto"/>
          <w:sz w:val="32"/>
          <w:szCs w:val="32"/>
          <w:u w:val="none"/>
          <w:lang w:val="en-US" w:eastAsia="zh-CN" w:bidi="ar-SA"/>
        </w:rPr>
        <w:t>的</w:t>
      </w:r>
      <w:r>
        <w:rPr>
          <w:rFonts w:hint="eastAsia" w:ascii="Times New Roman" w:hAnsi="Times New Roman" w:eastAsia="仿宋" w:cs="Times New Roman"/>
          <w:color w:val="auto"/>
          <w:sz w:val="32"/>
          <w:szCs w:val="32"/>
          <w:u w:val="none"/>
          <w:lang w:val="en-US" w:eastAsia="zh-CN" w:bidi="ar-SA"/>
        </w:rPr>
        <w:t>应急</w:t>
      </w:r>
      <w:r>
        <w:rPr>
          <w:rFonts w:hint="default" w:ascii="Times New Roman" w:hAnsi="Times New Roman" w:eastAsia="仿宋" w:cs="Times New Roman"/>
          <w:color w:val="auto"/>
          <w:sz w:val="32"/>
          <w:szCs w:val="32"/>
          <w:u w:val="none"/>
          <w:lang w:val="en-US" w:eastAsia="zh-CN" w:bidi="ar-SA"/>
        </w:rPr>
        <w:t>事故池</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制定事故应急预案</w:t>
      </w:r>
      <w:r>
        <w:rPr>
          <w:rFonts w:hint="eastAsia" w:ascii="Times New Roman" w:hAnsi="Times New Roman" w:eastAsia="仿宋" w:cs="Times New Roman"/>
          <w:color w:val="auto"/>
          <w:sz w:val="32"/>
          <w:szCs w:val="32"/>
          <w:u w:val="none"/>
          <w:lang w:val="en-US" w:eastAsia="zh-CN" w:bidi="ar-SA"/>
        </w:rPr>
        <w:t>。</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bidi="ar-SA"/>
        </w:rPr>
        <w:t>三</w:t>
      </w:r>
      <w:r>
        <w:rPr>
          <w:rFonts w:hint="eastAsia" w:ascii="Times New Roman" w:hAnsi="Times New Roman" w:eastAsia="仿宋" w:cs="Times New Roman"/>
          <w:color w:val="auto"/>
          <w:sz w:val="32"/>
          <w:szCs w:val="32"/>
          <w:u w:val="none"/>
          <w:lang w:val="en-US" w:eastAsia="zh-CN" w:bidi="ar-SA"/>
        </w:rPr>
        <w:t>、</w:t>
      </w:r>
      <w:r>
        <w:rPr>
          <w:rFonts w:hint="default" w:ascii="Times New Roman" w:hAnsi="Times New Roman" w:eastAsia="仿宋" w:cs="Times New Roman"/>
          <w:color w:val="auto"/>
          <w:sz w:val="32"/>
          <w:szCs w:val="32"/>
          <w:u w:val="none"/>
          <w:lang w:val="en-US" w:eastAsia="zh-CN" w:bidi="ar-SA"/>
        </w:rPr>
        <w:t>项目</w:t>
      </w:r>
      <w:r>
        <w:rPr>
          <w:rFonts w:hint="default" w:ascii="Times New Roman" w:hAnsi="Times New Roman" w:eastAsia="仿宋" w:cs="Times New Roman"/>
          <w:color w:val="auto"/>
          <w:sz w:val="32"/>
          <w:szCs w:val="32"/>
          <w:u w:val="none"/>
          <w:lang w:val="en-US" w:eastAsia="zh-CN"/>
        </w:rPr>
        <w:t>建设必须严格执行环境保护设施与主体工程同时设计、同时施工、同时投入使用的环境保护</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三同时</w:t>
      </w:r>
      <w:r>
        <w:rPr>
          <w:rFonts w:hint="eastAsia" w:ascii="Times New Roman" w:hAnsi="Times New Roman" w:eastAsia="仿宋" w:cs="Times New Roman"/>
          <w:color w:val="auto"/>
          <w:sz w:val="32"/>
          <w:szCs w:val="32"/>
          <w:u w:val="none"/>
          <w:lang w:val="en-US" w:eastAsia="zh-CN"/>
        </w:rPr>
        <w:t>”</w:t>
      </w:r>
      <w:r>
        <w:rPr>
          <w:rFonts w:hint="default" w:ascii="Times New Roman" w:hAnsi="Times New Roman" w:eastAsia="仿宋" w:cs="Times New Roman"/>
          <w:color w:val="auto"/>
          <w:sz w:val="32"/>
          <w:szCs w:val="32"/>
          <w:u w:val="none"/>
          <w:lang w:val="en-US" w:eastAsia="zh-CN"/>
        </w:rPr>
        <w:t>制度。项目环保投资应纳入工程投资概算并予以落实。项目竣工后，应按照有关规定对配套建设的环境保护设施进行验收，编制验收报告并依法向社会公开验收报告，公示期满5个工作日内，应登录全国建设项目竣工环境保护验收信息平台，填报验收等相关信息。</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四、该项目的性质、规模、地点、采用的生产工艺或者防治污染、防止生态破坏的措施发生重大变动的，应当重新报批该项目的环境影响评价文件。自批准之日起超过</w:t>
      </w:r>
      <w:r>
        <w:rPr>
          <w:rFonts w:hint="eastAsia" w:ascii="Times New Roman" w:hAnsi="Times New Roman" w:eastAsia="仿宋" w:cs="Times New Roman"/>
          <w:color w:val="auto"/>
          <w:sz w:val="32"/>
          <w:szCs w:val="32"/>
          <w:u w:val="none"/>
          <w:lang w:val="en-US" w:eastAsia="zh-CN" w:bidi="ar-SA"/>
        </w:rPr>
        <w:t>5</w:t>
      </w:r>
      <w:r>
        <w:rPr>
          <w:rFonts w:hint="default" w:ascii="Times New Roman" w:hAnsi="Times New Roman" w:eastAsia="仿宋" w:cs="Times New Roman"/>
          <w:color w:val="auto"/>
          <w:sz w:val="32"/>
          <w:szCs w:val="32"/>
          <w:u w:val="none"/>
          <w:lang w:val="en-US" w:eastAsia="zh-CN" w:bidi="ar-SA"/>
        </w:rPr>
        <w:t>年方决定该项目开工建设的，其环境影响评价文件应当报我局重新审核。</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lang w:val="en-US" w:eastAsia="zh-CN" w:bidi="ar-SA"/>
        </w:rPr>
      </w:pPr>
      <w:r>
        <w:rPr>
          <w:rFonts w:hint="default" w:ascii="Times New Roman" w:hAnsi="Times New Roman" w:eastAsia="仿宋" w:cs="Times New Roman"/>
          <w:color w:val="auto"/>
          <w:sz w:val="32"/>
          <w:szCs w:val="32"/>
          <w:u w:val="none"/>
          <w:lang w:val="en-US" w:eastAsia="zh-CN" w:bidi="ar-SA"/>
        </w:rPr>
        <w:t>五、请奉节县生态环境保护综合行政执法支队负责该项目环境保护日常监督管理工作。</w:t>
      </w: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640" w:firstLineChars="200"/>
        <w:textAlignment w:val="auto"/>
        <w:rPr>
          <w:rFonts w:hint="default" w:ascii="Times New Roman" w:hAnsi="Times New Roman" w:eastAsia="仿宋" w:cs="Times New Roman"/>
          <w:color w:val="auto"/>
          <w:sz w:val="32"/>
          <w:szCs w:val="32"/>
          <w:u w:val="none"/>
        </w:rPr>
      </w:pPr>
    </w:p>
    <w:p>
      <w:pPr>
        <w:pStyle w:val="10"/>
        <w:keepNext w:val="0"/>
        <w:keepLines w:val="0"/>
        <w:pageBreakBefore w:val="0"/>
        <w:widowControl w:val="0"/>
        <w:kinsoku/>
        <w:wordWrap/>
        <w:overflowPunct/>
        <w:topLinePunct w:val="0"/>
        <w:autoSpaceDE/>
        <w:autoSpaceDN/>
        <w:bidi w:val="0"/>
        <w:adjustRightInd/>
        <w:snapToGrid/>
        <w:spacing w:beforeAutospacing="0" w:after="0" w:line="594" w:lineRule="exact"/>
        <w:ind w:right="0" w:rightChars="0" w:firstLine="5440" w:firstLineChars="1700"/>
        <w:textAlignment w:val="auto"/>
        <w:rPr>
          <w:rFonts w:hint="eastAsia" w:ascii="Times New Roman" w:hAnsi="Times New Roman" w:eastAsia="仿宋" w:cs="Times New Roman"/>
          <w:color w:val="auto"/>
          <w:sz w:val="32"/>
          <w:szCs w:val="32"/>
          <w:u w:val="none"/>
          <w:lang w:eastAsia="zh-CN"/>
        </w:rPr>
      </w:pPr>
      <w:r>
        <w:rPr>
          <w:rFonts w:hint="eastAsia" w:ascii="Times New Roman" w:hAnsi="Times New Roman" w:eastAsia="仿宋" w:cs="Times New Roman"/>
          <w:color w:val="auto"/>
          <w:sz w:val="32"/>
          <w:szCs w:val="32"/>
          <w:u w:val="none"/>
          <w:lang w:eastAsia="zh-CN"/>
        </w:rPr>
        <w:t>奉节县生态环境局</w:t>
      </w:r>
    </w:p>
    <w:p>
      <w:pPr>
        <w:pStyle w:val="6"/>
        <w:keepNext w:val="0"/>
        <w:keepLines w:val="0"/>
        <w:pageBreakBefore w:val="0"/>
        <w:widowControl w:val="0"/>
        <w:kinsoku/>
        <w:wordWrap w:val="0"/>
        <w:overflowPunct/>
        <w:topLinePunct w:val="0"/>
        <w:autoSpaceDE/>
        <w:autoSpaceDN/>
        <w:bidi w:val="0"/>
        <w:adjustRightInd w:val="0"/>
        <w:snapToGrid w:val="0"/>
        <w:spacing w:after="0" w:line="594" w:lineRule="exact"/>
        <w:ind w:left="0" w:leftChars="0" w:right="0" w:rightChars="0" w:firstLine="640" w:firstLineChars="200"/>
        <w:jc w:val="center"/>
        <w:textAlignment w:val="auto"/>
        <w:rPr>
          <w:rFonts w:hint="eastAsia" w:ascii="方正仿宋_GBK" w:hAnsi="方正仿宋_GBK" w:eastAsia="方正仿宋_GBK" w:cs="方正仿宋_GBK"/>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202</w:t>
      </w:r>
      <w:r>
        <w:rPr>
          <w:rFonts w:hint="eastAsia" w:ascii="Times New Roman" w:hAnsi="Times New Roman" w:eastAsia="仿宋_GB2312" w:cs="Times New Roman"/>
          <w:color w:val="auto"/>
          <w:sz w:val="32"/>
          <w:szCs w:val="32"/>
          <w:u w:val="none"/>
          <w:lang w:val="en-US" w:eastAsia="zh-CN"/>
        </w:rPr>
        <w:t>4</w:t>
      </w:r>
      <w:r>
        <w:rPr>
          <w:rFonts w:hint="default" w:ascii="Times New Roman" w:hAnsi="Times New Roman" w:eastAsia="仿宋_GB2312" w:cs="Times New Roman"/>
          <w:color w:val="auto"/>
          <w:sz w:val="32"/>
          <w:szCs w:val="32"/>
          <w:u w:val="none"/>
          <w:lang w:val="en-US" w:eastAsia="zh-CN"/>
        </w:rPr>
        <w:t>年</w:t>
      </w:r>
      <w:r>
        <w:rPr>
          <w:rFonts w:hint="eastAsia" w:ascii="Times New Roman" w:hAnsi="Times New Roman" w:eastAsia="仿宋_GB2312" w:cs="Times New Roman"/>
          <w:color w:val="auto"/>
          <w:sz w:val="32"/>
          <w:szCs w:val="32"/>
          <w:u w:val="none"/>
          <w:lang w:val="en-US" w:eastAsia="zh-CN"/>
        </w:rPr>
        <w:t>7</w:t>
      </w:r>
      <w:r>
        <w:rPr>
          <w:rFonts w:hint="default" w:ascii="Times New Roman" w:hAnsi="Times New Roman" w:eastAsia="仿宋_GB2312" w:cs="Times New Roman"/>
          <w:color w:val="auto"/>
          <w:sz w:val="32"/>
          <w:szCs w:val="32"/>
          <w:u w:val="none"/>
          <w:lang w:val="en-US" w:eastAsia="zh-CN"/>
        </w:rPr>
        <w:t>月</w:t>
      </w:r>
      <w:r>
        <w:rPr>
          <w:rFonts w:hint="eastAsia" w:ascii="Times New Roman" w:hAnsi="Times New Roman" w:eastAsia="仿宋_GB2312" w:cs="Times New Roman"/>
          <w:color w:val="auto"/>
          <w:sz w:val="32"/>
          <w:szCs w:val="32"/>
          <w:u w:val="none"/>
          <w:lang w:val="en-US" w:eastAsia="zh-CN"/>
        </w:rPr>
        <w:t>19</w:t>
      </w:r>
      <w:r>
        <w:rPr>
          <w:rFonts w:hint="default" w:ascii="Times New Roman" w:hAnsi="Times New Roman" w:eastAsia="仿宋_GB2312" w:cs="Times New Roman"/>
          <w:color w:val="auto"/>
          <w:sz w:val="32"/>
          <w:szCs w:val="32"/>
          <w:u w:val="none"/>
          <w:lang w:val="en-US" w:eastAsia="zh-CN"/>
        </w:rPr>
        <w:t>日</w:t>
      </w:r>
      <w:r>
        <w:rPr>
          <w:rFonts w:hint="eastAsia" w:ascii="方正仿宋_GBK" w:hAnsi="方正仿宋_GBK" w:eastAsia="方正仿宋_GBK" w:cs="方正仿宋_GBK"/>
          <w:color w:val="auto"/>
          <w:sz w:val="32"/>
          <w:szCs w:val="32"/>
          <w:u w:val="none"/>
          <w:lang w:val="en-US" w:eastAsia="zh-CN"/>
        </w:rPr>
        <w:t xml:space="preserve">        </w:t>
      </w: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right"/>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right"/>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after="0" w:line="594"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u w:val="none"/>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textAlignment w:val="auto"/>
        <w:rPr>
          <w:rFonts w:hint="eastAsia" w:ascii="方正仿宋_GBK" w:hAnsi="方正仿宋_GBK" w:eastAsia="方正仿宋_GBK" w:cs="方正仿宋_GBK"/>
          <w:bCs/>
          <w:color w:val="auto"/>
          <w:spacing w:val="-11"/>
          <w:w w:val="90"/>
          <w:kern w:val="0"/>
          <w:sz w:val="28"/>
          <w:szCs w:val="28"/>
          <w:u w:val="none"/>
        </w:rPr>
      </w:pPr>
    </w:p>
    <w:p>
      <w:pPr>
        <w:keepNext w:val="0"/>
        <w:keepLines w:val="0"/>
        <w:pageBreakBefore w:val="0"/>
        <w:widowControl/>
        <w:kinsoku/>
        <w:wordWrap/>
        <w:overflowPunct/>
        <w:topLinePunct w:val="0"/>
        <w:autoSpaceDE/>
        <w:autoSpaceDN/>
        <w:bidi w:val="0"/>
        <w:adjustRightInd w:val="0"/>
        <w:snapToGrid w:val="0"/>
        <w:spacing w:after="0" w:line="560" w:lineRule="exact"/>
        <w:ind w:right="0" w:rightChars="0" w:firstLine="230" w:firstLineChars="100"/>
        <w:textAlignment w:val="auto"/>
        <w:rPr>
          <w:rFonts w:hint="eastAsia" w:ascii="方正仿宋_GBK" w:eastAsia="方正仿宋_GBK"/>
          <w:color w:val="auto"/>
          <w:w w:val="90"/>
          <w:u w:val="none"/>
        </w:rPr>
      </w:pPr>
      <w:r>
        <w:rPr>
          <w:rFonts w:hint="eastAsia" w:ascii="方正仿宋_GBK" w:hAnsi="方正仿宋_GBK" w:eastAsia="方正仿宋_GBK" w:cs="方正仿宋_GBK"/>
          <w:bCs/>
          <w:color w:val="auto"/>
          <w:spacing w:val="-11"/>
          <w:w w:val="90"/>
          <w:kern w:val="0"/>
          <w:sz w:val="28"/>
          <w:szCs w:val="28"/>
          <w:u w:val="none"/>
        </w:rPr>
        <w:t>抄送：奉节县生态环境保护综合行政执法支队，</w:t>
      </w:r>
      <w:r>
        <w:rPr>
          <w:rFonts w:hint="default" w:ascii="方正仿宋_GBK" w:hAnsi="方正仿宋_GBK" w:eastAsia="方正仿宋_GBK" w:cs="方正仿宋_GBK"/>
          <w:bCs/>
          <w:color w:val="auto"/>
          <w:spacing w:val="-11"/>
          <w:w w:val="90"/>
          <w:kern w:val="0"/>
          <w:sz w:val="28"/>
          <w:szCs w:val="28"/>
          <w:u w:val="none"/>
        </w:rPr>
        <w:t>重庆泓泰和正生态环境科技有限公司</w:t>
      </w:r>
      <w:r>
        <w:rPr>
          <w:rFonts w:hint="eastAsia" w:ascii="方正仿宋_GBK" w:hAnsi="方正仿宋_GBK" w:eastAsia="方正仿宋_GBK" w:cs="方正仿宋_GBK"/>
          <w:bCs/>
          <w:color w:val="auto"/>
          <w:spacing w:val="-11"/>
          <w:w w:val="90"/>
          <w:kern w:val="0"/>
          <w:sz w:val="28"/>
          <w:szCs w:val="28"/>
          <w:u w:val="none"/>
        </w:rPr>
        <w:t>。</w:t>
      </w:r>
    </w:p>
    <w:bookmarkEnd w:id="1"/>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eastAsia="方正仿宋_GBK"/>
        </w:rPr>
      </w:pPr>
      <w:r>
        <w:rPr>
          <w:rFonts w:ascii="方正仿宋_GBK" w:eastAsia="方正仿宋_GBK"/>
          <w:color w:val="auto"/>
          <w:sz w:val="32"/>
          <w:u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6pt;height:0pt;width:450pt;z-index:251659264;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0GnBXVAAAACQEAAA8AAAAA&#10;AAAAAQAgAAAAIgAAAGRycy9kb3ducmV2LnhtbFBLAQIUABQAAAAIAIdO4kBwnICw3gEAAKQDAAAO&#10;AAAAAAAAAAEAIAAAACQBAABkcnMvZTJvRG9jLnhtbFBLBQYAAAAABgAGAFkBAAB0BQAAAAA=&#10;">
                <v:fill on="f" focussize="0,0"/>
                <v:stroke color="#000000" joinstyle="round"/>
                <v:imagedata o:title=""/>
                <o:lock v:ext="edit" aspectratio="f"/>
              </v:line>
            </w:pict>
          </mc:Fallback>
        </mc:AlternateContent>
      </w:r>
      <w:r>
        <w:rPr>
          <w:rFonts w:ascii="方正仿宋_GBK" w:eastAsia="方正仿宋_GBK"/>
          <w:sz w:val="32"/>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83820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6.6pt;height:0pt;width:450pt;z-index:251658240;mso-width-relative:page;mso-height-relative:page;" filled="f" stroked="t" coordsize="21600,21600"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QacFdUAAAAJAQAADwAAAAAAAAAB&#10;ACAAAAAiAAAAZHJzL2Rvd25yZXYueG1sUEsBAhQAFAAAAAgAh07iQN4cv4TaAQAAlgMAAA4AAAAA&#10;AAAAAQAgAAAAJAEAAGRycy9lMm9Eb2MueG1sUEsFBgAAAAAGAAYAWQEAAHAFAAAAAA==&#10;">
                <v:fill on="f" focussize="0,0"/>
                <v:stroke color="#000000" joinstyle="round"/>
                <v:imagedata o:title=""/>
                <o:lock v:ext="edit" aspectratio="f"/>
              </v:line>
            </w:pict>
          </mc:Fallback>
        </mc:AlternateContent>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BAAE8"/>
    <w:multiLevelType w:val="singleLevel"/>
    <w:tmpl w:val="DF3BAAE8"/>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1F070A35"/>
    <w:rsid w:val="2ACA48B3"/>
    <w:rsid w:val="3EA63039"/>
    <w:rsid w:val="67B660B0"/>
    <w:rsid w:val="74F8478F"/>
    <w:rsid w:val="79D828B8"/>
    <w:rsid w:val="7B0159F0"/>
    <w:rsid w:val="7EF9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widowControl/>
      <w:jc w:val="left"/>
    </w:pPr>
    <w:rPr>
      <w:kern w:val="0"/>
      <w:sz w:val="32"/>
      <w:szCs w:val="20"/>
    </w:rPr>
  </w:style>
  <w:style w:type="paragraph" w:styleId="3">
    <w:name w:val="List Bullet 5"/>
    <w:basedOn w:val="1"/>
    <w:semiHidden/>
    <w:unhideWhenUsed/>
    <w:uiPriority w:val="99"/>
    <w:pPr>
      <w:numPr>
        <w:ilvl w:val="0"/>
        <w:numId w:val="1"/>
      </w:numPr>
    </w:pPr>
  </w:style>
  <w:style w:type="paragraph" w:styleId="5">
    <w:name w:val="Body Text Indent"/>
    <w:basedOn w:val="1"/>
    <w:next w:val="1"/>
    <w:unhideWhenUsed/>
    <w:qFormat/>
    <w:uiPriority w:val="99"/>
    <w:pPr>
      <w:spacing w:after="120"/>
      <w:ind w:left="420" w:leftChars="200"/>
    </w:pPr>
  </w:style>
  <w:style w:type="paragraph" w:styleId="6">
    <w:name w:val="Body Text First Indent"/>
    <w:basedOn w:val="2"/>
    <w:qFormat/>
    <w:uiPriority w:val="0"/>
    <w:pPr>
      <w:widowControl w:val="0"/>
      <w:spacing w:after="120"/>
      <w:ind w:firstLine="420" w:firstLineChars="100"/>
      <w:jc w:val="both"/>
    </w:pPr>
    <w:rPr>
      <w:kern w:val="2"/>
      <w:sz w:val="21"/>
      <w:szCs w:val="24"/>
    </w:rPr>
  </w:style>
  <w:style w:type="paragraph" w:styleId="7">
    <w:name w:val="Body Text First Indent 2"/>
    <w:basedOn w:val="5"/>
    <w:next w:val="1"/>
    <w:unhideWhenUsed/>
    <w:qFormat/>
    <w:uiPriority w:val="99"/>
    <w:pPr>
      <w:spacing w:before="100" w:beforeAutospacing="1"/>
      <w:ind w:firstLine="420" w:firstLineChars="200"/>
    </w:pPr>
  </w:style>
  <w:style w:type="paragraph" w:customStyle="1" w:styleId="10">
    <w:name w:val="tb"/>
    <w:basedOn w:val="1"/>
    <w:qFormat/>
    <w:uiPriority w:val="0"/>
    <w:pPr>
      <w:spacing w:line="400" w:lineRule="atLeast"/>
    </w:pPr>
    <w:rPr>
      <w:rFonts w:ascii="宋体" w:hAnsi="Arial"/>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18</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2024-07-22T07:07:28Z</cp:lastPrinted>
  <dcterms:modified xsi:type="dcterms:W3CDTF">2024-07-22T07:12:17Z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