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bookmarkStart w:id="2" w:name="_GoBack"/>
      <w:bookmarkEnd w:id="2"/>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snapToGrid w:val="0"/>
        <w:spacing w:line="240" w:lineRule="atLeast"/>
        <w:jc w:val="center"/>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渝（奉）环准〔2024〕13号</w:t>
      </w:r>
      <w:bookmarkEnd w:id="0"/>
    </w:p>
    <w:p>
      <w:pPr>
        <w:pStyle w:val="10"/>
        <w:adjustRightInd/>
        <w:spacing w:after="0" w:line="594" w:lineRule="exact"/>
        <w:rPr>
          <w:rFonts w:ascii="Times New Roman" w:hAnsi="Times New Roman" w:eastAsia="仿宋" w:cs="Times New Roman"/>
          <w:sz w:val="32"/>
          <w:szCs w:val="32"/>
        </w:rPr>
      </w:pPr>
      <w:bookmarkStart w:id="1" w:name="companyName"/>
      <w:r>
        <w:rPr>
          <w:rFonts w:hint="eastAsia" w:ascii="Times New Roman" w:hAnsi="Times New Roman" w:eastAsia="仿宋" w:cs="Times New Roman"/>
          <w:sz w:val="32"/>
          <w:szCs w:val="32"/>
        </w:rPr>
        <w:t>重庆市奉节县汇东石化销售有限公司</w:t>
      </w:r>
      <w:r>
        <w:rPr>
          <w:rFonts w:ascii="Times New Roman" w:hAnsi="Times New Roman" w:eastAsia="仿宋" w:cs="Times New Roman"/>
          <w:sz w:val="32"/>
          <w:szCs w:val="32"/>
        </w:rPr>
        <w:t>：</w:t>
      </w:r>
    </w:p>
    <w:p>
      <w:pPr>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你单位报送的</w:t>
      </w:r>
      <w:r>
        <w:rPr>
          <w:rFonts w:hint="eastAsia" w:ascii="Times New Roman" w:hAnsi="Times New Roman" w:eastAsia="仿宋" w:cs="Times New Roman"/>
          <w:sz w:val="32"/>
          <w:szCs w:val="32"/>
        </w:rPr>
        <w:t>重庆市奉节县汇东石化销售有限公司熊家包加油站（项目编码：2310-500236-04-05-517113）</w:t>
      </w:r>
      <w:r>
        <w:rPr>
          <w:rFonts w:ascii="Times New Roman" w:hAnsi="Times New Roman" w:eastAsia="仿宋" w:cs="Times New Roman"/>
          <w:sz w:val="32"/>
          <w:szCs w:val="32"/>
        </w:rPr>
        <w:t>环境影响评价文件审批申</w:t>
      </w:r>
      <w:r>
        <w:rPr>
          <w:rFonts w:hint="eastAsia" w:ascii="Times New Roman" w:hAnsi="Times New Roman" w:eastAsia="仿宋" w:cs="Times New Roman"/>
          <w:sz w:val="32"/>
          <w:szCs w:val="32"/>
        </w:rPr>
        <w:t>请</w:t>
      </w:r>
      <w:r>
        <w:rPr>
          <w:rFonts w:ascii="Times New Roman" w:hAnsi="Times New Roman" w:eastAsia="仿宋" w:cs="Times New Roman"/>
          <w:sz w:val="32"/>
          <w:szCs w:val="32"/>
        </w:rPr>
        <w:t>表及相关材料收悉，根据《中华人民共和国环境影响评价法》等法律法规的有关规定，我局原则同意重庆兰水源环保科技有限公司</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统一社会信用代码：91500101MAAC0EKP64</w:t>
      </w:r>
      <w:r>
        <w:rPr>
          <w:rFonts w:hint="eastAsia" w:ascii="Times New Roman" w:hAnsi="Times New Roman" w:eastAsia="仿宋" w:cs="Times New Roman"/>
          <w:sz w:val="32"/>
          <w:szCs w:val="32"/>
        </w:rPr>
        <w:t>）</w:t>
      </w:r>
      <w:r>
        <w:rPr>
          <w:rFonts w:ascii="Times New Roman" w:hAnsi="Times New Roman" w:eastAsia="仿宋" w:cs="Times New Roman"/>
          <w:sz w:val="32"/>
          <w:szCs w:val="32"/>
        </w:rPr>
        <w:t>编制的项目环境影响报告</w:t>
      </w:r>
      <w:r>
        <w:rPr>
          <w:rFonts w:hint="eastAsia" w:ascii="Times New Roman" w:hAnsi="Times New Roman" w:eastAsia="仿宋" w:cs="Times New Roman"/>
          <w:sz w:val="32"/>
          <w:szCs w:val="32"/>
        </w:rPr>
        <w:t>表</w:t>
      </w:r>
      <w:r>
        <w:rPr>
          <w:rFonts w:ascii="Times New Roman" w:hAnsi="Times New Roman" w:eastAsia="仿宋" w:cs="Times New Roman"/>
          <w:sz w:val="32"/>
          <w:szCs w:val="32"/>
        </w:rPr>
        <w:t>结论及其提出的环境保护措施。</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一、项目的建设内容和规模：</w:t>
      </w:r>
    </w:p>
    <w:p>
      <w:pPr>
        <w:widowControl w:val="0"/>
        <w:adjustRightInd/>
        <w:snapToGrid/>
        <w:spacing w:after="0" w:line="594"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该项目占地面积4259平方米，设置4台卧式储罐（0#柴油：1*50m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；92#汽油：1*50m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，1*25m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；95#汽油：1*50m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），总容量150立方米（柴油折半计入）。加油机4台，按二级站标准建设；配套建设汽车服中心、洗车场、公共厕所及10个充电桩。</w:t>
      </w:r>
      <w:r>
        <w:rPr>
          <w:rFonts w:ascii="Times New Roman" w:hAnsi="Times New Roman" w:eastAsia="仿宋" w:cs="Times New Roman"/>
          <w:sz w:val="32"/>
          <w:szCs w:val="32"/>
        </w:rPr>
        <w:t>项目</w:t>
      </w:r>
      <w:r>
        <w:rPr>
          <w:rFonts w:hint="eastAsia" w:ascii="Times New Roman" w:hAnsi="Times New Roman" w:eastAsia="仿宋" w:cs="Times New Roman"/>
          <w:sz w:val="32"/>
          <w:szCs w:val="32"/>
        </w:rPr>
        <w:t>总</w:t>
      </w:r>
      <w:r>
        <w:rPr>
          <w:rFonts w:ascii="Times New Roman" w:hAnsi="Times New Roman" w:eastAsia="仿宋" w:cs="Times New Roman"/>
          <w:sz w:val="32"/>
          <w:szCs w:val="32"/>
        </w:rPr>
        <w:t>投资</w:t>
      </w:r>
      <w:r>
        <w:rPr>
          <w:rFonts w:hint="eastAsia" w:ascii="Times New Roman" w:hAnsi="Times New Roman" w:eastAsia="仿宋" w:cs="Times New Roman"/>
          <w:sz w:val="32"/>
          <w:szCs w:val="32"/>
        </w:rPr>
        <w:t>4500万元</w:t>
      </w:r>
      <w:r>
        <w:rPr>
          <w:rFonts w:ascii="Times New Roman" w:hAnsi="Times New Roman" w:eastAsia="仿宋" w:cs="Times New Roman"/>
          <w:sz w:val="32"/>
          <w:szCs w:val="32"/>
        </w:rPr>
        <w:t>，其中环保投资</w:t>
      </w:r>
      <w:r>
        <w:rPr>
          <w:rFonts w:hint="eastAsia" w:ascii="Times New Roman" w:hAnsi="Times New Roman" w:eastAsia="仿宋" w:cs="Times New Roman"/>
          <w:sz w:val="32"/>
          <w:szCs w:val="32"/>
        </w:rPr>
        <w:t>200</w:t>
      </w:r>
      <w:r>
        <w:rPr>
          <w:rFonts w:ascii="Times New Roman" w:hAnsi="Times New Roman" w:eastAsia="仿宋" w:cs="Times New Roman"/>
          <w:sz w:val="32"/>
          <w:szCs w:val="32"/>
        </w:rPr>
        <w:t>万</w:t>
      </w:r>
      <w:r>
        <w:rPr>
          <w:rFonts w:hint="eastAsia" w:ascii="Times New Roman" w:hAnsi="Times New Roman" w:eastAsia="仿宋" w:cs="Times New Roman"/>
          <w:sz w:val="32"/>
          <w:szCs w:val="32"/>
        </w:rPr>
        <w:t>元。</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二、该项目在设计、建设和运行过程中，应认真落实本项目环境影响报告</w:t>
      </w:r>
      <w:r>
        <w:rPr>
          <w:rFonts w:hint="eastAsia" w:ascii="Times New Roman" w:hAnsi="Times New Roman" w:eastAsia="仿宋" w:cs="Times New Roman"/>
          <w:sz w:val="32"/>
          <w:szCs w:val="32"/>
        </w:rPr>
        <w:t>表</w:t>
      </w:r>
      <w:r>
        <w:rPr>
          <w:rFonts w:ascii="Times New Roman" w:hAnsi="Times New Roman" w:eastAsia="仿宋" w:cs="Times New Roman"/>
          <w:sz w:val="32"/>
          <w:szCs w:val="32"/>
        </w:rPr>
        <w:t>中提出的各项生态保护及污染防治措施，严格执</w:t>
      </w:r>
      <w:r>
        <w:rPr>
          <w:rFonts w:ascii="Times New Roman" w:hAnsi="Times New Roman" w:eastAsia="仿宋" w:cs="Times New Roman"/>
          <w:kern w:val="2"/>
          <w:sz w:val="32"/>
          <w:szCs w:val="32"/>
        </w:rPr>
        <w:t>行相</w:t>
      </w:r>
      <w:r>
        <w:rPr>
          <w:rFonts w:ascii="Times New Roman" w:hAnsi="Times New Roman" w:eastAsia="仿宋" w:cs="Times New Roman"/>
          <w:sz w:val="32"/>
          <w:szCs w:val="32"/>
        </w:rPr>
        <w:t>关污染物排放标准和总量控制的要求，并重点做好以下工作：</w:t>
      </w:r>
    </w:p>
    <w:p>
      <w:pPr>
        <w:pStyle w:val="10"/>
        <w:widowControl w:val="0"/>
        <w:adjustRightInd/>
        <w:snapToGrid/>
        <w:spacing w:after="0" w:line="594"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（一）水污染防治措施。</w:t>
      </w:r>
      <w:r>
        <w:rPr>
          <w:rFonts w:hint="eastAsia" w:ascii="Times New Roman" w:hAnsi="Times New Roman" w:eastAsia="仿宋" w:cs="Times New Roman"/>
          <w:sz w:val="32"/>
          <w:szCs w:val="32"/>
        </w:rPr>
        <w:t>施工场地出口设置车辆冲洗装置及处理能力为10m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/d污水隔油、沉砂池，处理后上清液回用于场地防尘洒水，不外排；卸油区设置雨水截排水沟，截排水沟末端设置切换阀，初期雨水经截排水沟收集于10m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/d的三段式隔油沉淀池处理后排入市政污水管网，后期雨水进入市政雨水沟排放；冲洗废水（洗车废水、加油区和卸油区场地冲洗废水</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经废水管收集于10m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/d的三段式隔油沉淀池处理；站房废水</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生活污水、食堂废水、站房清洁废水</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经废水管收集于5m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/d生化池中处理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食堂度水经1m</w:t>
      </w:r>
      <w:r>
        <w:rPr>
          <w:rFonts w:hint="eastAsia" w:ascii="Times New Roman" w:hAnsi="Times New Roman" w:eastAsia="仿宋" w:cs="Times New Roman"/>
          <w:sz w:val="32"/>
          <w:szCs w:val="32"/>
          <w:vertAlign w:val="superscript"/>
        </w:rPr>
        <w:t>3</w:t>
      </w:r>
      <w:r>
        <w:rPr>
          <w:rFonts w:hint="eastAsia" w:ascii="Times New Roman" w:hAnsi="Times New Roman" w:eastAsia="仿宋" w:cs="Times New Roman"/>
          <w:sz w:val="32"/>
          <w:szCs w:val="32"/>
        </w:rPr>
        <w:t>/d隔油池预处理后排入生化池</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；最终初期雨水、冲洗废水与站房废水一同在DW001废水排放口混合后形成综合污水排入市政污水管网</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（二）废气污染防治措施。</w:t>
      </w:r>
      <w:r>
        <w:rPr>
          <w:rFonts w:hint="eastAsia" w:ascii="Times New Roman" w:hAnsi="Times New Roman" w:eastAsia="仿宋" w:cs="Times New Roman"/>
          <w:sz w:val="32"/>
          <w:szCs w:val="32"/>
        </w:rPr>
        <w:t>施工期装载建筑材料、建筑垃圾的车辆设置遮盖和防护措施，施工场地设置围档，封闭施工，路面洒水抑尘。加油站东北侧设通气立管，高出地面4m；设置一次油气回收装置收集卸油废气；设置二次油气回收装置收集加油废气；油品在油罐内密闭储存；柴油发电机废气经专用管道引至屋顶排放；食堂油烟经油烟净化器处理后引至站房屋顶排放；汽车尾气自然扩散；生化池臭气引至绿化带排放，加强厂区绿化减缓废气影响。</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（三）噪声污染防治措施。</w:t>
      </w:r>
      <w:r>
        <w:rPr>
          <w:rFonts w:hint="eastAsia" w:ascii="Times New Roman" w:hAnsi="Times New Roman" w:eastAsia="仿宋" w:cs="Times New Roman"/>
          <w:sz w:val="32"/>
          <w:szCs w:val="32"/>
        </w:rPr>
        <w:t>选用低噪声设备，加强声源设备维修保养，采取建筑隔声、基础减振等措施降噪。合理安排施工时间，禁止夜间施工。</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固体废弃物污染治理措施。</w:t>
      </w:r>
      <w:r>
        <w:rPr>
          <w:rFonts w:hint="eastAsia" w:ascii="Times New Roman" w:hAnsi="Times New Roman" w:eastAsia="仿宋" w:cs="Times New Roman"/>
          <w:sz w:val="32"/>
          <w:szCs w:val="32"/>
        </w:rPr>
        <w:t>建筑垃圾分类收集，分类回收，不能综合利用的建筑垃圾运至市政部门指定地点；生活垃圾收集后交环卫部门统一处置；餐厨垃圾收集后交有餐厨垃圾回收处置资质单位处理；废润滑油及油桶、沾油棉纱及手套、油泥及废油、废电路板、废铅蓄电池等暂存于危废贮存点内，定期交由有资质单位处置，危废贮存点采取“六防”措施，桶装的危险废物底部设置托盘；储油罐清罐委托有资质第三方单位，清罐时产生的清罐废物密封包装/桶装后暂存于危废贮存点内，清罐结束后由清罐单位带离厂区并交有资质单位处置；生化池污泥定期清掏后交环卫部门统一处置。</w:t>
      </w:r>
    </w:p>
    <w:p>
      <w:pPr>
        <w:pStyle w:val="10"/>
        <w:widowControl w:val="0"/>
        <w:adjustRightInd/>
        <w:snapToGrid/>
        <w:spacing w:after="0" w:line="594" w:lineRule="exact"/>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五</w:t>
      </w:r>
      <w:r>
        <w:rPr>
          <w:rFonts w:ascii="Times New Roman" w:hAnsi="Times New Roman" w:eastAsia="仿宋" w:cs="Times New Roman"/>
          <w:sz w:val="32"/>
          <w:szCs w:val="32"/>
        </w:rPr>
        <w:t>）</w:t>
      </w:r>
      <w:r>
        <w:rPr>
          <w:rFonts w:hint="eastAsia" w:ascii="Times New Roman" w:hAnsi="Times New Roman" w:eastAsia="仿宋" w:cs="Times New Roman"/>
          <w:sz w:val="32"/>
          <w:szCs w:val="32"/>
        </w:rPr>
        <w:t>严格</w:t>
      </w:r>
      <w:r>
        <w:rPr>
          <w:rFonts w:ascii="Times New Roman" w:hAnsi="Times New Roman" w:eastAsia="仿宋" w:cs="Times New Roman"/>
          <w:sz w:val="32"/>
          <w:szCs w:val="32"/>
        </w:rPr>
        <w:t>环境风险</w:t>
      </w:r>
      <w:r>
        <w:rPr>
          <w:rFonts w:hint="eastAsia" w:ascii="Times New Roman" w:hAnsi="Times New Roman" w:eastAsia="仿宋" w:cs="Times New Roman"/>
          <w:sz w:val="32"/>
          <w:szCs w:val="32"/>
        </w:rPr>
        <w:t>防范。储油罐设带有高液位报警功能的液位计，避免卸油时计量失误使罐内液位过高造成冒油，设置可燃气体报警仪；建立、完善安全管理制度；做好防雷工作；加强设备管理，消除静电危害；加强作业现场的安全管理；设立安全标识、规范安全操作；配备灭火毯、灭火沙子、手提式干粉灭火器、消防砂池、吸油毡等；加强日常防火巡查；加大培训力度，提高员工素质，增强安全意识。</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w:t>
      </w:r>
      <w:r>
        <w:rPr>
          <w:rFonts w:hint="eastAsia" w:ascii="Times New Roman" w:hAnsi="Times New Roman" w:eastAsia="仿宋" w:cs="Times New Roman"/>
          <w:sz w:val="32"/>
          <w:szCs w:val="32"/>
        </w:rPr>
        <w:t>、</w:t>
      </w:r>
      <w:r>
        <w:rPr>
          <w:rFonts w:ascii="Times New Roman" w:hAnsi="Times New Roman" w:eastAsia="仿宋" w:cs="Times New Roman"/>
          <w:sz w:val="32"/>
          <w:szCs w:val="32"/>
        </w:rPr>
        <w:t>项目建设必须严格执行环境保护设施与主体工程同时设计、同时施工、同时投入使用的环境保护</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三同时</w:t>
      </w:r>
      <w:r>
        <w:rPr>
          <w:rFonts w:hint="eastAsia" w:ascii="Times New Roman" w:hAnsi="Times New Roman" w:eastAsia="仿宋" w:cs="Times New Roman"/>
          <w:sz w:val="32"/>
          <w:szCs w:val="32"/>
        </w:rPr>
        <w:t>”</w:t>
      </w:r>
      <w:r>
        <w:rPr>
          <w:rFonts w:ascii="Times New Roman" w:hAnsi="Times New Roman" w:eastAsia="仿宋" w:cs="Times New Roman"/>
          <w:sz w:val="32"/>
          <w:szCs w:val="32"/>
        </w:rPr>
        <w:t>制度。项目环保投资应纳入工程投资概算并予以落实。</w:t>
      </w:r>
      <w:r>
        <w:rPr>
          <w:rFonts w:hint="default" w:ascii="Times New Roman" w:hAnsi="Times New Roman" w:eastAsia="仿宋" w:cs="Times New Roman"/>
          <w:sz w:val="32"/>
          <w:szCs w:val="32"/>
          <w:lang w:val="en-US" w:eastAsia="zh-CN"/>
        </w:rPr>
        <w:t>项目投入运行前，应依据有关规定向</w:t>
      </w: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生态环境行政主管部门申请排污许可</w:t>
      </w:r>
      <w:r>
        <w:rPr>
          <w:rFonts w:hint="eastAsia" w:ascii="Times New Roman" w:hAnsi="Times New Roman" w:eastAsia="仿宋" w:cs="Times New Roman"/>
          <w:sz w:val="32"/>
          <w:szCs w:val="32"/>
          <w:lang w:val="en-US" w:eastAsia="zh-CN"/>
        </w:rPr>
        <w:t>证</w:t>
      </w:r>
      <w:r>
        <w:rPr>
          <w:rFonts w:hint="default" w:ascii="Times New Roman" w:hAnsi="Times New Roman" w:eastAsia="仿宋" w:cs="Times New Roman"/>
          <w:sz w:val="32"/>
          <w:szCs w:val="32"/>
          <w:lang w:val="en-US" w:eastAsia="zh-CN"/>
        </w:rPr>
        <w:t>，不得无证排污或不按证排污。</w:t>
      </w:r>
      <w:r>
        <w:rPr>
          <w:rFonts w:ascii="Times New Roman" w:hAnsi="Times New Roman" w:eastAsia="仿宋" w:cs="Times New Roman"/>
          <w:sz w:val="32"/>
          <w:szCs w:val="32"/>
        </w:rPr>
        <w:t>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年方决定该项目开工建设的，其环境影响评价文件应当报我局重新审核。</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五、请奉节县生态环境保护综合行政执法支队负责该项目环境保护日常监督管理工作。</w:t>
      </w: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p>
    <w:p>
      <w:pPr>
        <w:pStyle w:val="10"/>
        <w:widowControl w:val="0"/>
        <w:adjustRightInd/>
        <w:snapToGrid/>
        <w:spacing w:after="0" w:line="594" w:lineRule="exact"/>
        <w:ind w:firstLine="640" w:firstLineChars="200"/>
        <w:rPr>
          <w:rFonts w:ascii="Times New Roman" w:hAnsi="Times New Roman" w:eastAsia="仿宋" w:cs="Times New Roman"/>
          <w:sz w:val="32"/>
          <w:szCs w:val="32"/>
        </w:rPr>
      </w:pPr>
    </w:p>
    <w:p>
      <w:pPr>
        <w:pStyle w:val="10"/>
        <w:widowControl w:val="0"/>
        <w:adjustRightInd/>
        <w:snapToGrid/>
        <w:spacing w:after="0" w:line="594" w:lineRule="exact"/>
        <w:ind w:firstLine="5440" w:firstLineChars="1700"/>
        <w:rPr>
          <w:rFonts w:ascii="Times New Roman" w:hAnsi="Times New Roman" w:eastAsia="仿宋" w:cs="Times New Roman"/>
          <w:sz w:val="32"/>
          <w:szCs w:val="32"/>
        </w:rPr>
      </w:pPr>
      <w:r>
        <w:rPr>
          <w:rFonts w:hint="eastAsia" w:ascii="Times New Roman" w:hAnsi="Times New Roman" w:eastAsia="仿宋" w:cs="Times New Roman"/>
          <w:sz w:val="32"/>
          <w:szCs w:val="32"/>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after="0" w:line="594" w:lineRule="exact"/>
        <w:ind w:firstLine="640" w:firstLineChars="200"/>
        <w:jc w:val="center"/>
        <w:textAlignment w:val="auto"/>
        <w:rPr>
          <w:rFonts w:ascii="方正仿宋_GBK" w:hAnsi="方正仿宋_GBK" w:eastAsia="方正仿宋_GBK" w:cs="方正仿宋_GBK"/>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p>
    <w:p>
      <w:pPr>
        <w:pStyle w:val="6"/>
        <w:spacing w:line="594" w:lineRule="exact"/>
        <w:ind w:firstLine="640" w:firstLineChars="200"/>
        <w:jc w:val="right"/>
        <w:rPr>
          <w:rFonts w:ascii="Times New Roman" w:hAnsi="Times New Roman" w:eastAsia="仿宋_GB2312" w:cs="Times New Roman"/>
          <w:sz w:val="32"/>
          <w:szCs w:val="32"/>
        </w:rPr>
      </w:pPr>
    </w:p>
    <w:p>
      <w:pPr>
        <w:pStyle w:val="6"/>
        <w:spacing w:line="594" w:lineRule="exact"/>
        <w:ind w:firstLine="640" w:firstLineChars="200"/>
        <w:jc w:val="right"/>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pStyle w:val="6"/>
        <w:spacing w:after="0" w:line="594" w:lineRule="exact"/>
        <w:ind w:firstLine="0" w:firstLineChars="0"/>
        <w:rPr>
          <w:rFonts w:ascii="Times New Roman" w:hAnsi="Times New Roman" w:eastAsia="仿宋_GB2312" w:cs="Times New Roman"/>
          <w:sz w:val="32"/>
          <w:szCs w:val="32"/>
        </w:rPr>
      </w:pPr>
    </w:p>
    <w:p>
      <w:pPr>
        <w:spacing w:after="0" w:line="560" w:lineRule="exact"/>
        <w:ind w:firstLine="230" w:firstLineChars="100"/>
        <w:rPr>
          <w:rFonts w:ascii="方正仿宋_GBK" w:hAnsi="方正仿宋_GBK" w:eastAsia="方正仿宋_GBK" w:cs="方正仿宋_GBK"/>
          <w:bCs/>
          <w:spacing w:val="-11"/>
          <w:w w:val="90"/>
          <w:sz w:val="28"/>
          <w:szCs w:val="28"/>
        </w:rPr>
      </w:pPr>
      <w:r>
        <w:rPr>
          <w:rFonts w:hint="eastAsia" w:ascii="方正仿宋_GBK" w:hAnsi="方正仿宋_GBK" w:eastAsia="方正仿宋_GBK" w:cs="方正仿宋_GBK"/>
          <w:bCs/>
          <w:spacing w:val="-11"/>
          <w:w w:val="90"/>
          <w:sz w:val="28"/>
          <w:szCs w:val="28"/>
        </w:rPr>
        <w:t>抄送：奉节县生态环境保护综合行政执法支队，</w:t>
      </w:r>
      <w:r>
        <w:rPr>
          <w:rFonts w:ascii="方正仿宋_GBK" w:hAnsi="方正仿宋_GBK" w:eastAsia="方正仿宋_GBK" w:cs="方正仿宋_GBK"/>
          <w:bCs/>
          <w:spacing w:val="-11"/>
          <w:w w:val="90"/>
          <w:sz w:val="28"/>
          <w:szCs w:val="28"/>
        </w:rPr>
        <w:t>重庆兰水源环保科技有限公司</w:t>
      </w:r>
      <w:r>
        <w:rPr>
          <w:rFonts w:hint="eastAsia" w:ascii="方正仿宋_GBK" w:hAnsi="方正仿宋_GBK" w:eastAsia="方正仿宋_GBK" w:cs="方正仿宋_GBK"/>
          <w:bCs/>
          <w:spacing w:val="-11"/>
          <w:w w:val="90"/>
          <w:sz w:val="28"/>
          <w:szCs w:val="28"/>
        </w:rPr>
        <w:t>。</w:t>
      </w:r>
    </w:p>
    <w:p>
      <w:pPr>
        <w:widowControl w:val="0"/>
        <w:adjustRightInd/>
        <w:snapToGrid/>
        <w:spacing w:line="594" w:lineRule="exact"/>
        <w:rPr>
          <w:rFonts w:hint="eastAsia" w:ascii="方正仿宋_GBK" w:eastAsia="方正仿宋_GBK"/>
        </w:rPr>
      </w:pPr>
      <w:r>
        <w:rPr>
          <w:rFonts w:ascii="方正仿宋_GBK" w:eastAsia="方正仿宋_GBK"/>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6pt;height:0pt;width:450pt;z-index:251658240;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JyAsN4BAACkAwAADgAAAGRycy9lMm9Eb2MueG1srVPNjtMw&#10;EL4j8Q6W7zRppPITNd3DluWCoBLwAFPbSSz5Tx5v074EL4DEDU4cufM27D4GY7dbFrggRA7O2DPz&#10;eb4vX5YXe2vYTkXU3nV8Pqs5U054qd3Q8Xdvrx495QwTOAnGO9Xxg0J+sXr4YDmFVjV+9EaqyAjE&#10;YTuFjo8phbaqUIzKAs58UI6SvY8WEm3jUMkIE6FbUzV1/biafJQheqEQ6XR9TPJVwe97JdLrvkeV&#10;mOk4zZbKGsu6zWu1WkI7RAijFqcx4B+msKAdXXqGWkMCdh31H1BWi+jR92kmvK1832uhCgdiM69/&#10;Y/NmhKAKFxIHw1km/H+w4tVuE5mWHW84c2DpE918+Pr9/afbbx9pvfnymTVZpClgS7WXbhNPOwyb&#10;mBnv+2jzm7iwfRH2cBZW7RMTdLh4Ml/UNekv7nLVz8YQMb1Q3rIcdNxolzlDC7uXmOgyKr0rycfG&#10;sanjzxbNguCALNMbSBTaQCTQDaUXvdHyShuTOzAO20sT2Q6yCcqTKRHuL2X5kjXgeKwrqaM9RgXy&#10;uZMsHQLJ48jHPI9gleTMKLJ9jggQ2gTa/E0lXW1cblDFoieeWeOjqjnaenmgT3Mdoh5G0mVeZs4Z&#10;skKZ/mTb7LX7e4rv/1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GnBXVAAAACQEAAA8AAAAA&#10;AAAAAQAgAAAAIgAAAGRycy9kb3ducmV2LnhtbFBLAQIUABQAAAAIAIdO4kBwnICw3gEAAKQDAAAO&#10;AAAAAAAAAAEAIAAAACQBAABkcnMvZTJvRG9jLnhtbFBLBQYAAAAABgAGAFkBAAB0BQAAAAA=&#10;">
                <v:fill on="f" focussize="0,0"/>
                <v:stroke color="#000000" joinstyle="round"/>
                <v:imagedata o:title=""/>
                <o:lock v:ext="edit" aspectratio="f"/>
              </v:line>
            </w:pict>
          </mc:Fallback>
        </mc:AlternateConten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04AB1"/>
    <w:multiLevelType w:val="singleLevel"/>
    <w:tmpl w:val="E9C04AB1"/>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54D78B4"/>
    <w:rsid w:val="2ACA48B3"/>
    <w:rsid w:val="32A43746"/>
    <w:rsid w:val="3EA63039"/>
    <w:rsid w:val="446813CA"/>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2024-07-10T09:19:38Z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