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4"/>
        <w:snapToGrid w:val="0"/>
        <w:spacing w:line="240" w:lineRule="atLeast"/>
        <w:jc w:val="center"/>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渝（奉）环准〔2024〕10号</w:t>
      </w:r>
      <w:bookmarkEnd w:id="0"/>
    </w:p>
    <w:p>
      <w:pPr>
        <w:pStyle w:val="10"/>
        <w:keepNext w:val="0"/>
        <w:keepLines w:val="0"/>
        <w:pageBreakBefore w:val="0"/>
        <w:widowControl/>
        <w:kinsoku/>
        <w:wordWrap/>
        <w:overflowPunct/>
        <w:topLinePunct w:val="0"/>
        <w:autoSpaceDE/>
        <w:autoSpaceDN/>
        <w:bidi w:val="0"/>
        <w:adjustRightInd/>
        <w:snapToGrid w:val="0"/>
        <w:spacing w:after="0" w:line="594" w:lineRule="atLeast"/>
        <w:textAlignment w:val="auto"/>
        <w:rPr>
          <w:rFonts w:hint="default" w:ascii="Times New Roman" w:hAnsi="Times New Roman" w:eastAsia="仿宋" w:cs="Times New Roman"/>
          <w:color w:val="auto"/>
          <w:sz w:val="32"/>
          <w:szCs w:val="32"/>
        </w:rPr>
      </w:pPr>
      <w:bookmarkStart w:id="1" w:name="companyName"/>
      <w:r>
        <w:rPr>
          <w:rFonts w:hint="eastAsia" w:ascii="Times New Roman" w:hAnsi="Times New Roman" w:eastAsia="仿宋" w:cs="Times New Roman"/>
          <w:color w:val="auto"/>
          <w:sz w:val="32"/>
          <w:szCs w:val="32"/>
          <w:lang w:val="en-US" w:eastAsia="zh-CN" w:bidi="ar-SA"/>
        </w:rPr>
        <w:t>重庆奉节生态旅游开发有限公司</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你单位报送的</w:t>
      </w:r>
      <w:r>
        <w:rPr>
          <w:rFonts w:hint="eastAsia" w:ascii="Times New Roman" w:hAnsi="Times New Roman" w:eastAsia="仿宋" w:cs="Times New Roman"/>
          <w:color w:val="auto"/>
          <w:sz w:val="32"/>
          <w:szCs w:val="32"/>
          <w:lang w:eastAsia="zh-CN"/>
        </w:rPr>
        <w:t>奉节县草堂湖岸线及消落区综合整治工程（项目编码：2104-500236-04-01-692724）</w:t>
      </w:r>
      <w:r>
        <w:rPr>
          <w:rFonts w:hint="default" w:ascii="Times New Roman" w:hAnsi="Times New Roman" w:eastAsia="仿宋" w:cs="Times New Roman"/>
          <w:color w:val="auto"/>
          <w:sz w:val="32"/>
          <w:szCs w:val="32"/>
        </w:rPr>
        <w:t>环境影响评价文件审批申</w:t>
      </w:r>
      <w:r>
        <w:rPr>
          <w:rFonts w:hint="eastAsia" w:ascii="Times New Roman" w:hAnsi="Times New Roman" w:eastAsia="仿宋" w:cs="Times New Roman"/>
          <w:color w:val="auto"/>
          <w:sz w:val="32"/>
          <w:szCs w:val="32"/>
          <w:lang w:eastAsia="zh-CN"/>
        </w:rPr>
        <w:t>请</w:t>
      </w:r>
      <w:r>
        <w:rPr>
          <w:rFonts w:hint="default" w:ascii="Times New Roman" w:hAnsi="Times New Roman" w:eastAsia="仿宋" w:cs="Times New Roman"/>
          <w:color w:val="auto"/>
          <w:sz w:val="32"/>
          <w:szCs w:val="32"/>
        </w:rPr>
        <w:t>表及相关材料收悉，根据《中华人民共和国环境影响评价法》等法律法规的有关规定，我局原则同意重庆开达环保集团有限公司</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统一社会信用代码：915001085842710733</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编制的项目环境影响报告</w:t>
      </w:r>
      <w:r>
        <w:rPr>
          <w:rFonts w:hint="eastAsia" w:ascii="Times New Roman" w:hAnsi="Times New Roman" w:eastAsia="仿宋" w:cs="Times New Roman"/>
          <w:color w:val="auto"/>
          <w:sz w:val="32"/>
          <w:szCs w:val="32"/>
          <w:lang w:eastAsia="zh-CN"/>
        </w:rPr>
        <w:t>书</w:t>
      </w:r>
      <w:r>
        <w:rPr>
          <w:rFonts w:hint="default" w:ascii="Times New Roman" w:hAnsi="Times New Roman" w:eastAsia="仿宋" w:cs="Times New Roman"/>
          <w:color w:val="auto"/>
          <w:sz w:val="32"/>
          <w:szCs w:val="32"/>
        </w:rPr>
        <w:t>结论及其提出的环境保护措施。</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eastAsia="zh-CN"/>
        </w:rPr>
        <w:t>拟建项目位于重庆市奉节县夔门街道、白帝镇、草堂镇，工程建设内容包括岸坡改造工程、步道工程及消落区生态修复工程。岸坡改造工程设计坡脚线长7.32km，设计高程146.8m-175.0m，其中草堂河段长4.45km，石马河段长2.87km；步道工程全长24.25km，拟定净宽5.0m，设计高程174.0m-181.0m；为贯通174.0m以上步道修建桥梁6座、隧道2座；生态修复消落区面积316公顷。</w:t>
      </w:r>
      <w:r>
        <w:rPr>
          <w:rFonts w:hint="default" w:ascii="Times New Roman" w:hAnsi="Times New Roman" w:eastAsia="仿宋" w:cs="Times New Roman"/>
          <w:color w:val="auto"/>
          <w:sz w:val="32"/>
          <w:szCs w:val="32"/>
          <w:lang w:val="en-US" w:eastAsia="zh-CN"/>
        </w:rPr>
        <w:t>项目</w:t>
      </w:r>
      <w:r>
        <w:rPr>
          <w:rFonts w:hint="eastAsia" w:ascii="Times New Roman" w:hAnsi="Times New Roman" w:eastAsia="仿宋" w:cs="Times New Roman"/>
          <w:color w:val="auto"/>
          <w:sz w:val="32"/>
          <w:szCs w:val="32"/>
          <w:lang w:val="en-US" w:eastAsia="zh-CN"/>
        </w:rPr>
        <w:t>总</w:t>
      </w:r>
      <w:r>
        <w:rPr>
          <w:rFonts w:hint="default" w:ascii="Times New Roman" w:hAnsi="Times New Roman" w:eastAsia="仿宋" w:cs="Times New Roman"/>
          <w:color w:val="auto"/>
          <w:sz w:val="32"/>
          <w:szCs w:val="32"/>
          <w:lang w:val="en-US" w:eastAsia="zh-CN"/>
        </w:rPr>
        <w:t>投资</w:t>
      </w:r>
      <w:r>
        <w:rPr>
          <w:rFonts w:hint="eastAsia" w:ascii="Times New Roman" w:hAnsi="Times New Roman" w:eastAsia="仿宋" w:cs="Times New Roman"/>
          <w:color w:val="auto"/>
          <w:sz w:val="32"/>
          <w:szCs w:val="32"/>
          <w:lang w:val="en-US" w:eastAsia="zh-CN"/>
        </w:rPr>
        <w:t>59343万元</w:t>
      </w:r>
      <w:r>
        <w:rPr>
          <w:rFonts w:hint="default" w:ascii="Times New Roman" w:hAnsi="Times New Roman" w:eastAsia="仿宋" w:cs="Times New Roman"/>
          <w:color w:val="auto"/>
          <w:sz w:val="32"/>
          <w:szCs w:val="32"/>
          <w:lang w:val="en-US" w:eastAsia="zh-CN"/>
        </w:rPr>
        <w:t>，其中环保投资</w:t>
      </w:r>
      <w:r>
        <w:rPr>
          <w:rFonts w:hint="eastAsia" w:ascii="Times New Roman" w:hAnsi="Times New Roman" w:eastAsia="仿宋" w:cs="Times New Roman"/>
          <w:color w:val="auto"/>
          <w:sz w:val="32"/>
          <w:szCs w:val="32"/>
          <w:lang w:val="en-US" w:eastAsia="zh-CN"/>
        </w:rPr>
        <w:t>465</w:t>
      </w:r>
      <w:r>
        <w:rPr>
          <w:rFonts w:hint="default" w:ascii="Times New Roman" w:hAnsi="Times New Roman" w:eastAsia="仿宋" w:cs="Times New Roman"/>
          <w:color w:val="auto"/>
          <w:sz w:val="32"/>
          <w:szCs w:val="32"/>
          <w:lang w:val="en-US" w:eastAsia="zh-CN"/>
        </w:rPr>
        <w:t>万</w:t>
      </w:r>
      <w:r>
        <w:rPr>
          <w:rFonts w:hint="eastAsia" w:ascii="Times New Roman" w:hAnsi="Times New Roman" w:eastAsia="仿宋" w:cs="Times New Roman"/>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二、该项目在设计、建设和运行过程中，应认真落实本项目环境影响报告</w:t>
      </w:r>
      <w:r>
        <w:rPr>
          <w:rFonts w:hint="eastAsia" w:ascii="Times New Roman" w:hAnsi="Times New Roman" w:eastAsia="仿宋" w:cs="Times New Roman"/>
          <w:color w:val="auto"/>
          <w:sz w:val="32"/>
          <w:szCs w:val="32"/>
          <w:lang w:eastAsia="zh-CN"/>
        </w:rPr>
        <w:t>书</w:t>
      </w:r>
      <w:r>
        <w:rPr>
          <w:rFonts w:hint="default" w:ascii="Times New Roman" w:hAnsi="Times New Roman" w:eastAsia="仿宋" w:cs="Times New Roman"/>
          <w:color w:val="auto"/>
          <w:sz w:val="32"/>
          <w:szCs w:val="32"/>
        </w:rPr>
        <w:t>中提出的各项生态保护及污染防治措施，严格执</w:t>
      </w:r>
      <w:r>
        <w:rPr>
          <w:rFonts w:hint="default" w:ascii="Times New Roman" w:hAnsi="Times New Roman" w:eastAsia="仿宋" w:cs="Times New Roman"/>
          <w:color w:val="auto"/>
          <w:kern w:val="2"/>
          <w:sz w:val="32"/>
          <w:szCs w:val="32"/>
          <w:lang w:val="en-US" w:eastAsia="zh-CN" w:bidi="ar-SA"/>
        </w:rPr>
        <w:t>行相关污染物排放标准和总量控制的要求，并重点做好以下工作：</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bidi="ar-SA"/>
        </w:rPr>
        <w:t>一）水污染防治措施。</w:t>
      </w:r>
      <w:r>
        <w:rPr>
          <w:rFonts w:hint="eastAsia" w:ascii="仿宋" w:hAnsi="仿宋" w:eastAsia="仿宋"/>
          <w:sz w:val="32"/>
          <w:szCs w:val="32"/>
        </w:rPr>
        <w:t>施工产生</w:t>
      </w:r>
      <w:r>
        <w:rPr>
          <w:rFonts w:hint="eastAsia" w:ascii="仿宋" w:hAnsi="仿宋" w:eastAsia="仿宋"/>
          <w:sz w:val="32"/>
          <w:szCs w:val="32"/>
          <w:lang w:eastAsia="zh-CN"/>
        </w:rPr>
        <w:t>砂浆拌和系统废水、机械维修和车辆冲洗废水、基坑废水</w:t>
      </w:r>
      <w:r>
        <w:rPr>
          <w:rFonts w:hint="eastAsia" w:ascii="仿宋" w:hAnsi="仿宋" w:eastAsia="仿宋"/>
          <w:sz w:val="32"/>
          <w:szCs w:val="32"/>
        </w:rPr>
        <w:t>等经隔油、沉淀处理后回用于</w:t>
      </w:r>
      <w:r>
        <w:rPr>
          <w:rFonts w:hint="eastAsia" w:ascii="仿宋" w:hAnsi="仿宋" w:eastAsia="仿宋"/>
          <w:sz w:val="32"/>
          <w:szCs w:val="32"/>
          <w:lang w:eastAsia="zh-CN"/>
        </w:rPr>
        <w:t>混凝土</w:t>
      </w:r>
      <w:r>
        <w:rPr>
          <w:rFonts w:hint="eastAsia" w:ascii="仿宋" w:hAnsi="仿宋" w:eastAsia="仿宋"/>
          <w:sz w:val="32"/>
          <w:szCs w:val="32"/>
        </w:rPr>
        <w:t>养护和洒水抑尘，</w:t>
      </w:r>
      <w:r>
        <w:rPr>
          <w:rFonts w:hint="default" w:ascii="Times New Roman" w:hAnsi="Times New Roman" w:eastAsia="仿宋" w:cs="Times New Roman"/>
          <w:color w:val="auto"/>
          <w:sz w:val="32"/>
          <w:szCs w:val="32"/>
          <w:lang w:val="en-US" w:eastAsia="zh-CN" w:bidi="ar-SA"/>
        </w:rPr>
        <w:t>不外排；</w:t>
      </w:r>
      <w:r>
        <w:rPr>
          <w:rFonts w:hint="eastAsia" w:ascii="Times New Roman" w:hAnsi="Times New Roman" w:eastAsia="仿宋" w:cs="Times New Roman"/>
          <w:color w:val="auto"/>
          <w:sz w:val="32"/>
          <w:szCs w:val="32"/>
          <w:lang w:val="en-US" w:eastAsia="zh-CN" w:bidi="ar-SA"/>
        </w:rPr>
        <w:t>施工期</w:t>
      </w:r>
      <w:r>
        <w:rPr>
          <w:rFonts w:hint="default" w:ascii="Times New Roman" w:hAnsi="Times New Roman" w:eastAsia="仿宋" w:cs="Times New Roman"/>
          <w:color w:val="auto"/>
          <w:sz w:val="32"/>
          <w:szCs w:val="32"/>
          <w:lang w:val="en-US" w:eastAsia="zh-CN" w:bidi="ar-SA"/>
        </w:rPr>
        <w:t>生活污水依托附近居民家中已建生化池处理后用作农肥，不外排</w:t>
      </w:r>
      <w:r>
        <w:rPr>
          <w:rFonts w:hint="eastAsia" w:ascii="Times New Roman" w:hAnsi="Times New Roman" w:eastAsia="仿宋" w:cs="Times New Roman"/>
          <w:color w:val="auto"/>
          <w:sz w:val="32"/>
          <w:szCs w:val="32"/>
          <w:lang w:val="en-US" w:eastAsia="zh-CN" w:bidi="ar-SA"/>
        </w:rPr>
        <w:t>；营运期生活污水经沿线公厕配套化粪池收集后经吸粪车运至白帝镇污水处理厂处理后达标排放。</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（二）废气污染防治措施。</w:t>
      </w:r>
      <w:r>
        <w:rPr>
          <w:rFonts w:hint="eastAsia" w:ascii="Times New Roman" w:hAnsi="Times New Roman" w:eastAsia="仿宋" w:cs="Times New Roman"/>
          <w:color w:val="auto"/>
          <w:sz w:val="32"/>
          <w:szCs w:val="32"/>
          <w:lang w:val="en-US" w:eastAsia="zh-CN" w:bidi="ar-SA"/>
        </w:rPr>
        <w:t>施工场地洒水抑尘、设置施工围挡等；运输车辆密闭、限速行驶；施工机械使用清洁燃料；砂浆搅拌粉尘采取洒水降尘后无组织排放；切割、焊接废气自然降尘无组织排放。</w:t>
      </w:r>
      <w:r>
        <w:rPr>
          <w:rFonts w:hint="default" w:ascii="Times New Roman" w:hAnsi="Times New Roman" w:eastAsia="仿宋" w:cs="Times New Roman"/>
          <w:color w:val="auto"/>
          <w:sz w:val="32"/>
          <w:szCs w:val="32"/>
          <w:lang w:val="en-US" w:eastAsia="zh-CN" w:bidi="ar-SA"/>
        </w:rPr>
        <w:t>土石方开挖及回填采用湿法作业，开挖土方集中堆放，</w:t>
      </w:r>
      <w:r>
        <w:rPr>
          <w:rFonts w:hint="eastAsia" w:ascii="Times New Roman" w:hAnsi="Times New Roman" w:eastAsia="仿宋" w:cs="Times New Roman"/>
          <w:color w:val="auto"/>
          <w:sz w:val="32"/>
          <w:szCs w:val="32"/>
          <w:lang w:val="en-US" w:eastAsia="zh-CN" w:bidi="ar-SA"/>
        </w:rPr>
        <w:t>并</w:t>
      </w:r>
      <w:r>
        <w:rPr>
          <w:rFonts w:hint="default" w:ascii="Times New Roman" w:hAnsi="Times New Roman" w:eastAsia="仿宋" w:cs="Times New Roman"/>
          <w:color w:val="auto"/>
          <w:sz w:val="32"/>
          <w:szCs w:val="32"/>
          <w:lang w:val="en-US" w:eastAsia="zh-CN" w:bidi="ar-SA"/>
        </w:rPr>
        <w:t>及时回填</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小型拌合站均设置工棚</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堤防施工出入口设置车辆清洗设施及配套的沉淀池。</w:t>
      </w:r>
      <w:bookmarkStart w:id="2" w:name="_Toc28354"/>
      <w:bookmarkStart w:id="3" w:name="_Toc24744"/>
      <w:bookmarkStart w:id="4" w:name="_Toc25152"/>
      <w:r>
        <w:rPr>
          <w:rFonts w:hint="default" w:ascii="Times New Roman" w:hAnsi="Times New Roman" w:eastAsia="仿宋" w:cs="Times New Roman"/>
          <w:color w:val="auto"/>
          <w:sz w:val="32"/>
          <w:szCs w:val="32"/>
          <w:lang w:val="en-US" w:eastAsia="zh-CN" w:bidi="ar-SA"/>
        </w:rPr>
        <w:t>建筑材料集中、分类堆放，并采取围挡、遮盖等防尘措施，不得露天堆放，砂石尽量放于棚内，在迎风面用苫布或其它材料遮挡，水泥和砂石等建筑材料应轻装轻卸。</w:t>
      </w:r>
      <w:bookmarkEnd w:id="2"/>
      <w:bookmarkEnd w:id="3"/>
      <w:bookmarkEnd w:id="4"/>
      <w:r>
        <w:rPr>
          <w:rFonts w:hint="default" w:ascii="Times New Roman" w:hAnsi="Times New Roman" w:eastAsia="仿宋" w:cs="Times New Roman"/>
          <w:color w:val="auto"/>
          <w:sz w:val="32"/>
          <w:szCs w:val="32"/>
          <w:lang w:val="en-US" w:eastAsia="zh-CN" w:bidi="ar-SA"/>
        </w:rPr>
        <w:t>对燃柴油的大型运输车辆和推土机需安装尾气净化器</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达标排放；专人负责现场监督管理，不得在重点区域附近设置固定大气污染源，减少大型燃油机械的使用。</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（三）噪声污染防治措施。采用低噪声机械</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合理</w:t>
      </w:r>
      <w:r>
        <w:rPr>
          <w:rFonts w:hint="eastAsia" w:ascii="Times New Roman" w:hAnsi="Times New Roman" w:eastAsia="仿宋" w:cs="Times New Roman"/>
          <w:color w:val="auto"/>
          <w:sz w:val="32"/>
          <w:szCs w:val="32"/>
          <w:lang w:val="en-US" w:eastAsia="zh-CN" w:bidi="ar-SA"/>
        </w:rPr>
        <w:t>布局</w:t>
      </w:r>
      <w:r>
        <w:rPr>
          <w:rFonts w:hint="default" w:ascii="Times New Roman" w:hAnsi="Times New Roman" w:eastAsia="仿宋" w:cs="Times New Roman"/>
          <w:color w:val="auto"/>
          <w:sz w:val="32"/>
          <w:szCs w:val="32"/>
          <w:lang w:val="en-US" w:eastAsia="zh-CN" w:bidi="ar-SA"/>
        </w:rPr>
        <w:t>机械设备，固定设备置于构筑物内。加强施工车辆运输管理，避免在主干道和居民稠密区通行，避开行车高峰时间。合理安排施工作业时间，</w:t>
      </w:r>
      <w:r>
        <w:rPr>
          <w:rFonts w:hint="eastAsia" w:ascii="Times New Roman" w:hAnsi="Times New Roman" w:eastAsia="仿宋" w:cs="Times New Roman"/>
          <w:color w:val="auto"/>
          <w:sz w:val="32"/>
          <w:szCs w:val="32"/>
          <w:lang w:val="en-US" w:eastAsia="zh-CN" w:bidi="ar-SA"/>
        </w:rPr>
        <w:t>非工程抢险或施工工艺所需等不可避免的情形外严禁夜间施工</w:t>
      </w:r>
      <w:r>
        <w:rPr>
          <w:rFonts w:hint="default" w:ascii="Times New Roman" w:hAnsi="Times New Roman" w:eastAsia="仿宋" w:cs="Times New Roman"/>
          <w:color w:val="auto"/>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eastAsia" w:ascii="Times New Roman" w:hAnsi="Times New Roman" w:eastAsia="仿宋" w:cs="Times New Roman"/>
          <w:color w:val="auto"/>
          <w:sz w:val="32"/>
          <w:szCs w:val="32"/>
          <w:lang w:val="en-US" w:eastAsia="zh-CN" w:bidi="ar-SA"/>
        </w:rPr>
        <w:t>（四）</w:t>
      </w:r>
      <w:r>
        <w:rPr>
          <w:rFonts w:hint="default" w:ascii="Times New Roman" w:hAnsi="Times New Roman" w:eastAsia="仿宋" w:cs="Times New Roman"/>
          <w:color w:val="auto"/>
          <w:sz w:val="32"/>
          <w:szCs w:val="32"/>
          <w:lang w:val="en-US" w:eastAsia="zh-CN" w:bidi="ar-SA"/>
        </w:rPr>
        <w:t>固体废弃物污染治理措施。建筑垃圾</w:t>
      </w:r>
      <w:r>
        <w:rPr>
          <w:rFonts w:hint="eastAsia" w:ascii="Times New Roman" w:hAnsi="Times New Roman" w:eastAsia="仿宋" w:cs="Times New Roman"/>
          <w:color w:val="auto"/>
          <w:sz w:val="32"/>
          <w:szCs w:val="32"/>
          <w:lang w:val="en-US" w:eastAsia="zh-CN" w:bidi="ar-SA"/>
        </w:rPr>
        <w:t>优先</w:t>
      </w:r>
      <w:r>
        <w:rPr>
          <w:rFonts w:hint="default" w:ascii="Times New Roman" w:hAnsi="Times New Roman" w:eastAsia="仿宋" w:cs="Times New Roman"/>
          <w:color w:val="auto"/>
          <w:sz w:val="32"/>
          <w:szCs w:val="32"/>
          <w:lang w:val="en-US" w:eastAsia="zh-CN" w:bidi="ar-SA"/>
        </w:rPr>
        <w:t>回收利用，</w:t>
      </w:r>
      <w:r>
        <w:rPr>
          <w:rFonts w:hint="eastAsia" w:ascii="Times New Roman" w:hAnsi="Times New Roman" w:eastAsia="仿宋" w:cs="Times New Roman"/>
          <w:color w:val="auto"/>
          <w:sz w:val="32"/>
          <w:szCs w:val="32"/>
          <w:lang w:val="en-US" w:eastAsia="zh-CN" w:bidi="ar-SA"/>
        </w:rPr>
        <w:t>不能利用部分用于开挖回填；</w:t>
      </w:r>
      <w:r>
        <w:rPr>
          <w:rFonts w:hint="default" w:ascii="Times New Roman" w:hAnsi="Times New Roman" w:eastAsia="仿宋" w:cs="Times New Roman"/>
          <w:color w:val="auto"/>
          <w:sz w:val="32"/>
          <w:szCs w:val="32"/>
          <w:lang w:val="en-US" w:eastAsia="zh-CN" w:bidi="ar-SA"/>
        </w:rPr>
        <w:t>废木料、钢筋、包装纸、塑料</w:t>
      </w:r>
      <w:r>
        <w:rPr>
          <w:rFonts w:hint="eastAsia" w:ascii="Times New Roman" w:hAnsi="Times New Roman" w:eastAsia="仿宋" w:cs="Times New Roman"/>
          <w:color w:val="auto"/>
          <w:sz w:val="32"/>
          <w:szCs w:val="32"/>
          <w:lang w:val="en-US" w:eastAsia="zh-CN" w:bidi="ar-SA"/>
        </w:rPr>
        <w:t>等</w:t>
      </w:r>
      <w:r>
        <w:rPr>
          <w:rFonts w:hint="default" w:ascii="Times New Roman" w:hAnsi="Times New Roman" w:eastAsia="仿宋" w:cs="Times New Roman"/>
          <w:color w:val="auto"/>
          <w:sz w:val="32"/>
          <w:szCs w:val="32"/>
          <w:lang w:val="en-US" w:eastAsia="zh-CN" w:bidi="ar-SA"/>
        </w:rPr>
        <w:t>可</w:t>
      </w:r>
      <w:r>
        <w:rPr>
          <w:rFonts w:hint="eastAsia" w:ascii="Times New Roman" w:hAnsi="Times New Roman" w:eastAsia="仿宋" w:cs="Times New Roman"/>
          <w:color w:val="auto"/>
          <w:sz w:val="32"/>
          <w:szCs w:val="32"/>
          <w:lang w:val="en-US" w:eastAsia="zh-CN" w:bidi="ar-SA"/>
        </w:rPr>
        <w:t>回收</w:t>
      </w:r>
      <w:r>
        <w:rPr>
          <w:rFonts w:hint="default" w:ascii="Times New Roman" w:hAnsi="Times New Roman" w:eastAsia="仿宋" w:cs="Times New Roman"/>
          <w:color w:val="auto"/>
          <w:sz w:val="32"/>
          <w:szCs w:val="32"/>
          <w:lang w:val="en-US" w:eastAsia="zh-CN" w:bidi="ar-SA"/>
        </w:rPr>
        <w:t>废品</w:t>
      </w:r>
      <w:r>
        <w:rPr>
          <w:rFonts w:hint="eastAsia" w:ascii="Times New Roman" w:hAnsi="Times New Roman" w:eastAsia="仿宋" w:cs="Times New Roman"/>
          <w:color w:val="auto"/>
          <w:sz w:val="32"/>
          <w:szCs w:val="32"/>
          <w:lang w:val="en-US" w:eastAsia="zh-CN" w:bidi="ar-SA"/>
        </w:rPr>
        <w:t>收集后外卖废品回收站</w:t>
      </w:r>
      <w:r>
        <w:rPr>
          <w:rFonts w:hint="default" w:ascii="Times New Roman" w:hAnsi="Times New Roman" w:eastAsia="仿宋" w:cs="Times New Roman"/>
          <w:color w:val="auto"/>
          <w:sz w:val="32"/>
          <w:szCs w:val="32"/>
          <w:lang w:val="en-US" w:eastAsia="zh-CN" w:bidi="ar-SA"/>
        </w:rPr>
        <w:t>处理。生活垃圾</w:t>
      </w:r>
      <w:r>
        <w:rPr>
          <w:rFonts w:hint="eastAsia" w:ascii="Times New Roman" w:hAnsi="Times New Roman" w:eastAsia="仿宋" w:cs="Times New Roman"/>
          <w:color w:val="auto"/>
          <w:sz w:val="32"/>
          <w:szCs w:val="32"/>
          <w:lang w:val="en-US" w:eastAsia="zh-CN" w:bidi="ar-SA"/>
        </w:rPr>
        <w:t>分类</w:t>
      </w:r>
      <w:r>
        <w:rPr>
          <w:rFonts w:hint="default" w:ascii="Times New Roman" w:hAnsi="Times New Roman" w:eastAsia="仿宋" w:cs="Times New Roman"/>
          <w:color w:val="auto"/>
          <w:sz w:val="32"/>
          <w:szCs w:val="32"/>
          <w:lang w:val="en-US" w:eastAsia="zh-CN" w:bidi="ar-SA"/>
        </w:rPr>
        <w:t>收集后交由当地环卫部门处置。</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bidi="ar-SA"/>
        </w:rPr>
      </w:pPr>
      <w:r>
        <w:rPr>
          <w:rFonts w:hint="eastAsia" w:ascii="Times New Roman" w:hAnsi="Times New Roman" w:eastAsia="仿宋" w:cs="Times New Roman"/>
          <w:color w:val="auto"/>
          <w:sz w:val="32"/>
          <w:szCs w:val="32"/>
          <w:lang w:val="en-US" w:eastAsia="zh-CN" w:bidi="ar-SA"/>
        </w:rPr>
        <w:t>（五）生态环境保护措施。施工前修筑好截排水等设施，施工场地做好防水土流失保护措施；施工结束后，进行场地清理，清除区域内临时施工营地、弃土、工程废弃物、临时便道等，进行迹地恢复，恢复植被或复耕。消落区范围内严禁乱占、乱采、乱堆、乱建、乱耕乱种等破坏消落区生态功能的行为，严控消落区水土流失，维护生物多样性。</w:t>
      </w:r>
      <w:r>
        <w:rPr>
          <w:rFonts w:hint="default" w:ascii="Times New Roman" w:hAnsi="Times New Roman" w:eastAsia="仿宋" w:cs="Times New Roman"/>
          <w:color w:val="auto"/>
          <w:sz w:val="32"/>
          <w:szCs w:val="32"/>
          <w:lang w:val="en-US" w:eastAsia="zh-CN" w:bidi="ar-SA"/>
        </w:rPr>
        <w:t>建设单位与施工单位所签定的承包合同中应有环境保护等方面的条款，同时应附有环保要求的具体内容。施工过程中应采取有效措施，严禁向草堂湖排放生活垃圾、污水和弃渣、有毒有害物质等。设置警示牌，警示牌上标明工程施工区范围，禁止捕捞或有伤害鱼类的行为。</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w:t>
      </w:r>
      <w:r>
        <w:rPr>
          <w:rFonts w:hint="eastAsia" w:ascii="Times New Roman" w:hAnsi="Times New Roman" w:eastAsia="仿宋" w:cs="Times New Roman"/>
          <w:color w:val="auto"/>
          <w:sz w:val="32"/>
          <w:szCs w:val="32"/>
          <w:lang w:val="en-US" w:eastAsia="zh-CN" w:bidi="ar-SA"/>
        </w:rPr>
        <w:t>六</w:t>
      </w:r>
      <w:bookmarkStart w:id="5" w:name="_GoBack"/>
      <w:bookmarkEnd w:id="5"/>
      <w:r>
        <w:rPr>
          <w:rFonts w:hint="default" w:ascii="Times New Roman" w:hAnsi="Times New Roman" w:eastAsia="仿宋" w:cs="Times New Roman"/>
          <w:color w:val="auto"/>
          <w:sz w:val="32"/>
          <w:szCs w:val="32"/>
          <w:lang w:val="en-US" w:eastAsia="zh-CN" w:bidi="ar-SA"/>
        </w:rPr>
        <w:t>）</w:t>
      </w:r>
      <w:r>
        <w:rPr>
          <w:rFonts w:hint="eastAsia" w:ascii="Times New Roman" w:hAnsi="Times New Roman" w:eastAsia="仿宋" w:cs="Times New Roman"/>
          <w:color w:val="auto"/>
          <w:sz w:val="32"/>
          <w:szCs w:val="32"/>
          <w:lang w:val="en-US" w:eastAsia="zh-CN" w:bidi="ar-SA"/>
        </w:rPr>
        <w:t>严格</w:t>
      </w:r>
      <w:r>
        <w:rPr>
          <w:rFonts w:hint="default" w:ascii="Times New Roman" w:hAnsi="Times New Roman" w:eastAsia="仿宋" w:cs="Times New Roman"/>
          <w:color w:val="auto"/>
          <w:sz w:val="32"/>
          <w:szCs w:val="32"/>
          <w:lang w:val="en-US" w:eastAsia="zh-CN" w:bidi="ar-SA"/>
        </w:rPr>
        <w:t>环境风险</w:t>
      </w:r>
      <w:r>
        <w:rPr>
          <w:rFonts w:hint="eastAsia" w:ascii="Times New Roman" w:hAnsi="Times New Roman" w:eastAsia="仿宋" w:cs="Times New Roman"/>
          <w:color w:val="auto"/>
          <w:sz w:val="32"/>
          <w:szCs w:val="32"/>
          <w:lang w:val="en-US" w:eastAsia="zh-CN" w:bidi="ar-SA"/>
        </w:rPr>
        <w:t>防范。</w:t>
      </w:r>
      <w:r>
        <w:rPr>
          <w:rFonts w:hint="default" w:ascii="Times New Roman" w:hAnsi="Times New Roman" w:eastAsia="仿宋" w:cs="Times New Roman"/>
          <w:color w:val="auto"/>
          <w:sz w:val="32"/>
          <w:szCs w:val="32"/>
          <w:lang w:val="en-US" w:eastAsia="zh-CN" w:bidi="ar-SA"/>
        </w:rPr>
        <w:t>施工机械司机出车前做好安全检查</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车辆配置消防设施及器材。加强对施工机械设备操作人员和车辆驾驶人员的技术培训，提高施工人员的安全意识和环境保护意识，严格操作规程。柴油储存桶与柴油发电机分开存放，并分别设置</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禁火标志</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在柴油桶存放区设置围堰或沙池</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放置空桶，杜绝明火，同时配备好充足的消防灭火器材。检查燃油机械设备油箱，常备吸油毡、围油栏、沙袋等环境风险应急物资，以备风险状况下使用。</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bidi="ar-SA"/>
        </w:rPr>
        <w:t>三</w:t>
      </w:r>
      <w:r>
        <w:rPr>
          <w:rFonts w:hint="eastAsia"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val="en-US" w:eastAsia="zh-CN" w:bidi="ar-SA"/>
        </w:rPr>
        <w:t>项</w:t>
      </w:r>
      <w:r>
        <w:rPr>
          <w:rFonts w:hint="default" w:ascii="Times New Roman" w:hAnsi="Times New Roman" w:eastAsia="仿宋" w:cs="Times New Roman"/>
          <w:color w:val="auto"/>
          <w:sz w:val="32"/>
          <w:szCs w:val="32"/>
          <w:lang w:val="en-US" w:eastAsia="zh-CN"/>
        </w:rPr>
        <w:t>目建设必须严格执行环境保护设施与主体工程同时设计、同时施工、同时投入使用的环境保护</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三同时</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制度。项目环保投资应纳入工程投资概算并予以落实。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lang w:val="en-US" w:eastAsia="zh-CN" w:bidi="ar-SA"/>
        </w:rPr>
        <w:t>5</w:t>
      </w:r>
      <w:r>
        <w:rPr>
          <w:rFonts w:hint="default" w:ascii="Times New Roman" w:hAnsi="Times New Roman" w:eastAsia="仿宋" w:cs="Times New Roman"/>
          <w:color w:val="auto"/>
          <w:sz w:val="32"/>
          <w:szCs w:val="32"/>
          <w:lang w:val="en-US" w:eastAsia="zh-CN" w:bidi="ar-SA"/>
        </w:rPr>
        <w:t>年方决定该项目开工建设的，其环境影响评价文件应当报我局重新审核。</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五、请奉节县生态环境保护综合行政执法支队负责该项目环境保护日常监督管理工作。</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94" w:lineRule="exact"/>
        <w:ind w:right="0" w:rightChars="0" w:firstLine="230" w:firstLineChars="100"/>
        <w:textAlignment w:val="auto"/>
        <w:rPr>
          <w:rFonts w:hint="eastAsia" w:ascii="方正仿宋_GBK" w:eastAsia="方正仿宋_GBK"/>
          <w:u w:val="none"/>
        </w:rPr>
      </w:pPr>
      <w:r>
        <w:rPr>
          <w:rFonts w:hint="eastAsia" w:ascii="方正仿宋_GBK" w:hAnsi="方正仿宋_GBK" w:eastAsia="方正仿宋_GBK" w:cs="方正仿宋_GBK"/>
          <w:bCs/>
          <w:color w:val="auto"/>
          <w:spacing w:val="-11"/>
          <w:w w:val="9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90"/>
          <w:kern w:val="0"/>
          <w:sz w:val="28"/>
          <w:szCs w:val="28"/>
          <w:u w:val="none"/>
        </w:rPr>
        <w:t>重庆开达环保集团有限公司</w:t>
      </w:r>
      <w:r>
        <w:rPr>
          <w:rFonts w:hint="eastAsia" w:ascii="方正仿宋_GBK" w:hAnsi="方正仿宋_GBK" w:eastAsia="方正仿宋_GBK" w:cs="方正仿宋_GBK"/>
          <w:bCs/>
          <w:color w:val="auto"/>
          <w:spacing w:val="-11"/>
          <w:w w:val="90"/>
          <w:kern w:val="0"/>
          <w:sz w:val="28"/>
          <w:szCs w:val="28"/>
          <w:u w:val="none"/>
        </w:rPr>
        <w:t>。</w:t>
      </w:r>
    </w:p>
    <w:bookmarkEnd w:id="1"/>
    <w:p>
      <w:pPr>
        <w:rPr>
          <w:rFonts w:hint="eastAsia"/>
        </w:rPr>
      </w:pPr>
      <w:r>
        <w:rPr>
          <w:rFonts w:ascii="方正仿宋_GBK" w:eastAsia="方正仿宋_GBK"/>
          <w:sz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6pt;height:0pt;width:450pt;z-index:251658240;mso-width-relative:page;mso-height-relative:page;" filled="f" stroked="t"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QacFdUAAAAJAQAADwAAAAAAAAAB&#10;ACAAAAAiAAAAZHJzL2Rvd25yZXYueG1sUEsBAhQAFAAAAAgAh07iQN4cv4TaAQAAlgMAAA4AAAAA&#10;AAAAAQAgAAAAJAEAAGRycy9lMm9Eb2MueG1sUEsFBgAAAAAGAAYAWQEAAHAFAAAAAA==&#10;">
                <v:fill on="f" focussize="0,0"/>
                <v:stroke color="#000000" joinstyle="round"/>
                <v:imagedata o:title=""/>
                <o:lock v:ext="edit" aspectratio="f"/>
              </v:line>
            </w:pict>
          </mc:Fallback>
        </mc:AlternateConten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78943CF"/>
    <w:rsid w:val="16286607"/>
    <w:rsid w:val="2ACA48B3"/>
    <w:rsid w:val="3EA63039"/>
    <w:rsid w:val="50031ABE"/>
    <w:rsid w:val="5B5D4DE8"/>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w:basedOn w:val="1"/>
    <w:qFormat/>
    <w:uiPriority w:val="0"/>
    <w:pPr>
      <w:widowControl/>
      <w:jc w:val="left"/>
    </w:pPr>
    <w:rPr>
      <w:kern w:val="0"/>
      <w:sz w:val="32"/>
      <w:szCs w:val="20"/>
    </w:r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4"/>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2024-05-24T06:51:00Z</cp:lastPrinted>
  <dcterms:modified xsi:type="dcterms:W3CDTF">2024-05-30T06:15:25Z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