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ascii="宋体" w:hAnsi="宋体" w:eastAsia="宋体"/>
          <w:b w:val="0"/>
          <w:bCs/>
          <w:color w:val="FF0000"/>
          <w:sz w:val="44"/>
          <w:szCs w:val="44"/>
        </w:rPr>
      </w:pPr>
      <w:r>
        <w:rPr>
          <w:rFonts w:hint="eastAsia" w:ascii="宋体" w:hAnsi="宋体" w:eastAsia="宋体"/>
          <w:b w:val="0"/>
          <w:bCs/>
          <w:color w:val="FF0000"/>
          <w:sz w:val="44"/>
          <w:szCs w:val="44"/>
        </w:rPr>
        <w:t>重庆市建设项目环境影响评价文件批准书</w:t>
      </w:r>
    </w:p>
    <w:p>
      <w:pPr>
        <w:rPr>
          <w:rFonts w:ascii="宋体" w:hAnsi="宋体"/>
          <w:bCs/>
          <w:spacing w:val="50"/>
          <w:sz w:val="28"/>
        </w:rPr>
      </w:pPr>
    </w:p>
    <w:p>
      <w:pPr>
        <w:adjustRightInd w:val="0"/>
        <w:snapToGrid w:val="0"/>
        <w:rPr>
          <w:rFonts w:hint="default" w:eastAsia="微软雅黑"/>
          <w:dstrike/>
          <w:spacing w:val="50"/>
          <w:sz w:val="28"/>
          <w:szCs w:val="28"/>
          <w:lang w:val="en-US"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4"/>
        <w:snapToGrid w:val="0"/>
        <w:spacing w:line="240" w:lineRule="atLeast"/>
        <w:jc w:val="center"/>
        <w:rPr>
          <w:rFonts w:hint="eastAsia" w:ascii="方正仿宋_GBK" w:hAnsi="宋体" w:eastAsia="方正仿宋_GBK"/>
          <w:bCs/>
          <w:lang w:eastAsia="zh-CN"/>
        </w:rPr>
      </w:pPr>
      <w:bookmarkStart w:id="0" w:name="docNum"/>
      <w:r>
        <w:rPr>
          <w:rFonts w:hint="eastAsia" w:ascii="方正仿宋_GBK" w:hAnsi="宋体" w:eastAsia="方正仿宋_GBK"/>
          <w:bCs/>
          <w:lang w:eastAsia="zh-CN"/>
        </w:rPr>
        <w:t>渝（奉）环准〔2024〕8号</w:t>
      </w:r>
      <w:bookmarkEnd w:id="0"/>
    </w:p>
    <w:p>
      <w:pPr>
        <w:pStyle w:val="10"/>
        <w:keepNext w:val="0"/>
        <w:keepLines w:val="0"/>
        <w:pageBreakBefore w:val="0"/>
        <w:widowControl/>
        <w:kinsoku/>
        <w:wordWrap/>
        <w:overflowPunct/>
        <w:topLinePunct w:val="0"/>
        <w:autoSpaceDE/>
        <w:autoSpaceDN/>
        <w:bidi w:val="0"/>
        <w:adjustRightInd/>
        <w:snapToGrid w:val="0"/>
        <w:spacing w:after="0" w:line="594" w:lineRule="atLeast"/>
        <w:textAlignment w:val="auto"/>
        <w:rPr>
          <w:rFonts w:hint="default" w:ascii="Times New Roman" w:hAnsi="Times New Roman" w:eastAsia="仿宋" w:cs="Times New Roman"/>
          <w:color w:val="auto"/>
          <w:sz w:val="32"/>
          <w:szCs w:val="32"/>
        </w:rPr>
      </w:pPr>
      <w:bookmarkStart w:id="1" w:name="companyName"/>
      <w:r>
        <w:rPr>
          <w:rFonts w:hint="eastAsia" w:ascii="Times New Roman" w:hAnsi="Times New Roman" w:eastAsia="仿宋" w:cs="Times New Roman"/>
          <w:color w:val="auto"/>
          <w:sz w:val="32"/>
          <w:szCs w:val="32"/>
          <w:lang w:val="en-US" w:eastAsia="zh-CN" w:bidi="ar-SA"/>
        </w:rPr>
        <w:t>京桥（奉节县）新能源有限公司</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你单位报送的</w:t>
      </w:r>
      <w:r>
        <w:rPr>
          <w:rFonts w:hint="eastAsia" w:ascii="Times New Roman" w:hAnsi="Times New Roman" w:eastAsia="仿宋" w:cs="Times New Roman"/>
          <w:color w:val="auto"/>
          <w:sz w:val="32"/>
          <w:szCs w:val="32"/>
          <w:lang w:eastAsia="zh-CN"/>
        </w:rPr>
        <w:t>京能奉节150MW集中式光伏发电项目（项目编码：2206-500236-04-05-531597）</w:t>
      </w:r>
      <w:r>
        <w:rPr>
          <w:rFonts w:hint="default" w:ascii="Times New Roman" w:hAnsi="Times New Roman" w:eastAsia="仿宋" w:cs="Times New Roman"/>
          <w:color w:val="auto"/>
          <w:sz w:val="32"/>
          <w:szCs w:val="32"/>
        </w:rPr>
        <w:t>环境影响评价文件审批申</w:t>
      </w:r>
      <w:r>
        <w:rPr>
          <w:rFonts w:hint="eastAsia" w:ascii="Times New Roman" w:hAnsi="Times New Roman" w:eastAsia="仿宋" w:cs="Times New Roman"/>
          <w:color w:val="auto"/>
          <w:sz w:val="32"/>
          <w:szCs w:val="32"/>
          <w:lang w:eastAsia="zh-CN"/>
        </w:rPr>
        <w:t>请</w:t>
      </w:r>
      <w:r>
        <w:rPr>
          <w:rFonts w:hint="default" w:ascii="Times New Roman" w:hAnsi="Times New Roman" w:eastAsia="仿宋" w:cs="Times New Roman"/>
          <w:color w:val="auto"/>
          <w:sz w:val="32"/>
          <w:szCs w:val="32"/>
        </w:rPr>
        <w:t>表及相关材料收悉，根据《中华人民共和国环境影响评价法》等法律法规的有关规定，我局原则同意重庆龙翰环保工程有限公司</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统一社会信用代码：91500112561629271P</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编制的项目环境影响报告表结论及其提出的环境保护措施。</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lang w:val="en-US" w:eastAsia="zh-CN" w:bidi="ar-SA"/>
        </w:rPr>
      </w:pPr>
      <w:r>
        <w:rPr>
          <w:rFonts w:hint="default" w:ascii="Times New Roman" w:hAnsi="Times New Roman" w:eastAsia="仿宋" w:cs="Times New Roman"/>
          <w:color w:val="auto"/>
          <w:sz w:val="32"/>
          <w:szCs w:val="32"/>
          <w:lang w:val="en-US" w:eastAsia="zh-CN" w:bidi="ar-SA"/>
        </w:rPr>
        <w:t>一、项目的建设内容和规模：</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eastAsia="zh-CN"/>
        </w:rPr>
        <w:t>本</w:t>
      </w:r>
      <w:r>
        <w:rPr>
          <w:rFonts w:hint="eastAsia" w:ascii="Times New Roman" w:hAnsi="Times New Roman" w:eastAsia="仿宋" w:cs="Times New Roman"/>
          <w:color w:val="auto"/>
          <w:sz w:val="32"/>
          <w:szCs w:val="32"/>
        </w:rPr>
        <w:t>项目</w:t>
      </w:r>
      <w:r>
        <w:rPr>
          <w:rFonts w:hint="eastAsia" w:ascii="Times New Roman" w:hAnsi="Times New Roman" w:eastAsia="仿宋" w:cs="Times New Roman"/>
          <w:color w:val="auto"/>
          <w:sz w:val="32"/>
          <w:szCs w:val="32"/>
          <w:lang w:eastAsia="zh-CN"/>
        </w:rPr>
        <w:t>位于重庆市奉节县汾河镇，</w:t>
      </w:r>
      <w:r>
        <w:rPr>
          <w:rFonts w:hint="eastAsia" w:ascii="Times New Roman" w:hAnsi="Times New Roman" w:eastAsia="仿宋" w:cs="Times New Roman"/>
          <w:color w:val="auto"/>
          <w:sz w:val="32"/>
          <w:szCs w:val="32"/>
        </w:rPr>
        <w:t>主要建设2处光伏场区、1座220kV升压站。项目计划安装305500块610Wp</w:t>
      </w:r>
      <w:bookmarkStart w:id="2" w:name="_Hlk140658788"/>
      <w:r>
        <w:rPr>
          <w:rFonts w:hint="eastAsia" w:ascii="Times New Roman" w:hAnsi="Times New Roman" w:eastAsia="仿宋" w:cs="Times New Roman"/>
          <w:color w:val="auto"/>
          <w:sz w:val="32"/>
          <w:szCs w:val="32"/>
        </w:rPr>
        <w:t>单晶硅双玻双面光伏组件</w:t>
      </w:r>
      <w:bookmarkEnd w:id="2"/>
      <w:r>
        <w:rPr>
          <w:rFonts w:hint="eastAsia" w:ascii="Times New Roman" w:hAnsi="Times New Roman" w:eastAsia="仿宋" w:cs="Times New Roman"/>
          <w:color w:val="auto"/>
          <w:sz w:val="32"/>
          <w:szCs w:val="32"/>
        </w:rPr>
        <w:t>，总计47个标称3.2MWp方阵，总装机容量150MW</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同时配套建设</w:t>
      </w:r>
      <w:r>
        <w:rPr>
          <w:rFonts w:hint="eastAsia" w:ascii="Times New Roman" w:hAnsi="Times New Roman" w:eastAsia="仿宋" w:cs="Times New Roman"/>
          <w:color w:val="auto"/>
          <w:sz w:val="32"/>
          <w:szCs w:val="32"/>
          <w:lang w:eastAsia="zh-CN"/>
        </w:rPr>
        <w:t>辅助工程、</w:t>
      </w:r>
      <w:r>
        <w:rPr>
          <w:rFonts w:hint="eastAsia" w:ascii="Times New Roman" w:hAnsi="Times New Roman" w:eastAsia="仿宋" w:cs="Times New Roman"/>
          <w:color w:val="auto"/>
          <w:sz w:val="32"/>
          <w:szCs w:val="32"/>
        </w:rPr>
        <w:t>公用工程和环保工程</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项目</w:t>
      </w:r>
      <w:r>
        <w:rPr>
          <w:rFonts w:hint="eastAsia" w:ascii="Times New Roman" w:hAnsi="Times New Roman" w:eastAsia="仿宋" w:cs="Times New Roman"/>
          <w:color w:val="auto"/>
          <w:sz w:val="32"/>
          <w:szCs w:val="32"/>
          <w:lang w:val="en-US" w:eastAsia="zh-CN"/>
        </w:rPr>
        <w:t>总</w:t>
      </w:r>
      <w:r>
        <w:rPr>
          <w:rFonts w:hint="default" w:ascii="Times New Roman" w:hAnsi="Times New Roman" w:eastAsia="仿宋" w:cs="Times New Roman"/>
          <w:color w:val="auto"/>
          <w:sz w:val="32"/>
          <w:szCs w:val="32"/>
          <w:lang w:val="en-US" w:eastAsia="zh-CN"/>
        </w:rPr>
        <w:t>投资</w:t>
      </w:r>
      <w:r>
        <w:rPr>
          <w:rFonts w:hint="eastAsia" w:ascii="Times New Roman" w:hAnsi="Times New Roman" w:eastAsia="仿宋" w:cs="Times New Roman"/>
          <w:color w:val="auto"/>
          <w:sz w:val="32"/>
          <w:szCs w:val="32"/>
          <w:lang w:val="en-US" w:eastAsia="zh-CN"/>
        </w:rPr>
        <w:t>60000万元</w:t>
      </w:r>
      <w:r>
        <w:rPr>
          <w:rFonts w:hint="default" w:ascii="Times New Roman" w:hAnsi="Times New Roman" w:eastAsia="仿宋" w:cs="Times New Roman"/>
          <w:color w:val="auto"/>
          <w:sz w:val="32"/>
          <w:szCs w:val="32"/>
          <w:lang w:val="en-US" w:eastAsia="zh-CN"/>
        </w:rPr>
        <w:t>，其中环保投资</w:t>
      </w:r>
      <w:r>
        <w:rPr>
          <w:rFonts w:hint="eastAsia" w:ascii="Times New Roman" w:hAnsi="Times New Roman" w:eastAsia="仿宋" w:cs="Times New Roman"/>
          <w:color w:val="auto"/>
          <w:sz w:val="32"/>
          <w:szCs w:val="32"/>
          <w:lang w:val="en-US" w:eastAsia="zh-CN"/>
        </w:rPr>
        <w:t>155</w:t>
      </w:r>
      <w:r>
        <w:rPr>
          <w:rFonts w:hint="default" w:ascii="Times New Roman" w:hAnsi="Times New Roman" w:eastAsia="仿宋" w:cs="Times New Roman"/>
          <w:color w:val="auto"/>
          <w:sz w:val="32"/>
          <w:szCs w:val="32"/>
          <w:lang w:val="en-US" w:eastAsia="zh-CN"/>
        </w:rPr>
        <w:t>万</w:t>
      </w:r>
      <w:r>
        <w:rPr>
          <w:rFonts w:hint="eastAsia" w:ascii="Times New Roman" w:hAnsi="Times New Roman" w:eastAsia="仿宋" w:cs="Times New Roman"/>
          <w:color w:val="auto"/>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二、该项目在设计、建设和运行过程中，应认真落实本项目环境影响报告表中提出的各项生态保护及污染防治措施，严格执</w:t>
      </w:r>
      <w:r>
        <w:rPr>
          <w:rFonts w:hint="default" w:ascii="Times New Roman" w:hAnsi="Times New Roman" w:eastAsia="仿宋" w:cs="Times New Roman"/>
          <w:color w:val="auto"/>
          <w:kern w:val="2"/>
          <w:sz w:val="32"/>
          <w:szCs w:val="32"/>
          <w:lang w:val="en-US" w:eastAsia="zh-CN" w:bidi="ar-SA"/>
        </w:rPr>
        <w:t>行相关污染物排放标准和总量控制的要求，并重点做好以下工作：</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（一）水污染防治措施。</w:t>
      </w:r>
      <w:r>
        <w:rPr>
          <w:rFonts w:hint="eastAsia" w:ascii="Times New Roman" w:hAnsi="Times New Roman" w:eastAsia="仿宋" w:cs="Times New Roman"/>
          <w:color w:val="auto"/>
          <w:sz w:val="32"/>
          <w:szCs w:val="32"/>
          <w:lang w:val="en-US" w:eastAsia="zh-CN"/>
        </w:rPr>
        <w:t>施工期：施工场地内的混凝土拌合设施四周修建临时截水沟并在低洼处设置沉淀池，混凝土拌合废水经沉淀处理后全部回用于施工场地的洒水抑尘，确保混凝土拌合废水不外排；施工人员生活污水利用当地居民原有的污水设施处理。运营期：生活污水经格栅+A</w:t>
      </w:r>
      <w:r>
        <w:rPr>
          <w:rFonts w:hint="eastAsia" w:ascii="Times New Roman" w:hAnsi="Times New Roman" w:eastAsia="仿宋" w:cs="Times New Roman"/>
          <w:color w:val="auto"/>
          <w:sz w:val="32"/>
          <w:szCs w:val="32"/>
          <w:vertAlign w:val="superscript"/>
          <w:lang w:val="en-US" w:eastAsia="zh-CN"/>
        </w:rPr>
        <w:t>2</w:t>
      </w:r>
      <w:r>
        <w:rPr>
          <w:rFonts w:hint="eastAsia" w:ascii="Times New Roman" w:hAnsi="Times New Roman" w:eastAsia="仿宋" w:cs="Times New Roman"/>
          <w:color w:val="auto"/>
          <w:sz w:val="32"/>
          <w:szCs w:val="32"/>
          <w:lang w:val="en-US" w:eastAsia="zh-CN"/>
        </w:rPr>
        <w:t>/O+二沉池+过滤消毒（加氯片）的一体化污水处理设施（处理能力24m</w:t>
      </w:r>
      <w:r>
        <w:rPr>
          <w:rFonts w:hint="eastAsia" w:ascii="Times New Roman" w:hAnsi="Times New Roman" w:eastAsia="仿宋" w:cs="Times New Roman"/>
          <w:color w:val="auto"/>
          <w:sz w:val="32"/>
          <w:szCs w:val="32"/>
          <w:vertAlign w:val="superscript"/>
          <w:lang w:val="en-US" w:eastAsia="zh-CN"/>
        </w:rPr>
        <w:t>3</w:t>
      </w:r>
      <w:r>
        <w:rPr>
          <w:rFonts w:hint="eastAsia" w:ascii="Times New Roman" w:hAnsi="Times New Roman" w:eastAsia="仿宋" w:cs="Times New Roman"/>
          <w:color w:val="auto"/>
          <w:sz w:val="32"/>
          <w:szCs w:val="32"/>
          <w:vertAlign w:val="baseline"/>
          <w:lang w:val="en-US" w:eastAsia="zh-CN"/>
        </w:rPr>
        <w:t>/d</w:t>
      </w:r>
      <w:r>
        <w:rPr>
          <w:rFonts w:hint="eastAsia" w:ascii="Times New Roman" w:hAnsi="Times New Roman" w:eastAsia="仿宋" w:cs="Times New Roman"/>
          <w:color w:val="auto"/>
          <w:sz w:val="32"/>
          <w:szCs w:val="32"/>
          <w:lang w:val="en-US" w:eastAsia="zh-CN"/>
        </w:rPr>
        <w:t>）处理后进入</w:t>
      </w:r>
      <w:r>
        <w:rPr>
          <w:rFonts w:hint="default" w:ascii="Times New Roman" w:hAnsi="Times New Roman" w:eastAsia="仿宋" w:cs="Times New Roman"/>
          <w:color w:val="auto"/>
          <w:sz w:val="32"/>
          <w:szCs w:val="32"/>
          <w:lang w:val="en-US" w:eastAsia="zh-CN"/>
        </w:rPr>
        <w:t>10</w:t>
      </w:r>
      <w:r>
        <w:rPr>
          <w:rFonts w:hint="eastAsia" w:ascii="Times New Roman" w:hAnsi="Times New Roman" w:eastAsia="仿宋" w:cs="Times New Roman"/>
          <w:color w:val="auto"/>
          <w:sz w:val="32"/>
          <w:szCs w:val="32"/>
          <w:lang w:val="en-US" w:eastAsia="zh-CN"/>
        </w:rPr>
        <w:t>m</w:t>
      </w:r>
      <w:r>
        <w:rPr>
          <w:rFonts w:hint="eastAsia" w:ascii="Times New Roman" w:hAnsi="Times New Roman" w:eastAsia="仿宋" w:cs="Times New Roman"/>
          <w:color w:val="auto"/>
          <w:sz w:val="32"/>
          <w:szCs w:val="32"/>
          <w:vertAlign w:val="superscript"/>
          <w:lang w:val="en-US" w:eastAsia="zh-CN"/>
        </w:rPr>
        <w:t>3</w:t>
      </w:r>
      <w:r>
        <w:rPr>
          <w:rFonts w:hint="eastAsia" w:ascii="Times New Roman" w:hAnsi="Times New Roman" w:eastAsia="仿宋" w:cs="Times New Roman"/>
          <w:color w:val="auto"/>
          <w:sz w:val="32"/>
          <w:szCs w:val="32"/>
          <w:vertAlign w:val="baseline"/>
          <w:lang w:val="en-US" w:eastAsia="zh-CN"/>
        </w:rPr>
        <w:t>的</w:t>
      </w:r>
      <w:r>
        <w:rPr>
          <w:rFonts w:hint="eastAsia" w:ascii="Times New Roman" w:hAnsi="Times New Roman" w:eastAsia="仿宋" w:cs="Times New Roman"/>
          <w:color w:val="auto"/>
          <w:sz w:val="32"/>
          <w:szCs w:val="32"/>
          <w:lang w:val="en-US" w:eastAsia="zh-CN"/>
        </w:rPr>
        <w:t>回收池暂存，用于农肥不外排；光伏电池组件表面清洗产生的废水用于光伏发电单元下方种植的农作物的灌溉或绿化补充水。</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（二）废气污染防治措施。</w:t>
      </w:r>
      <w:r>
        <w:rPr>
          <w:rFonts w:hint="eastAsia" w:ascii="仿宋" w:hAnsi="仿宋" w:eastAsia="仿宋" w:cs="仿宋"/>
          <w:color w:val="auto"/>
          <w:sz w:val="32"/>
          <w:szCs w:val="32"/>
          <w:lang w:eastAsia="zh-CN"/>
        </w:rPr>
        <w:t>选用低排放的</w:t>
      </w:r>
      <w:r>
        <w:rPr>
          <w:rFonts w:hint="eastAsia" w:ascii="仿宋" w:hAnsi="仿宋" w:eastAsia="仿宋" w:cs="仿宋"/>
          <w:color w:val="auto"/>
          <w:sz w:val="32"/>
          <w:szCs w:val="32"/>
        </w:rPr>
        <w:t>施工机械</w:t>
      </w:r>
      <w:r>
        <w:rPr>
          <w:rFonts w:hint="eastAsia" w:ascii="Times New Roman" w:hAnsi="Times New Roman" w:eastAsia="仿宋" w:cs="Times New Roman"/>
          <w:color w:val="auto"/>
          <w:sz w:val="32"/>
          <w:szCs w:val="32"/>
          <w:lang w:val="en-US" w:eastAsia="zh-CN"/>
        </w:rPr>
        <w:t>并</w:t>
      </w:r>
      <w:r>
        <w:rPr>
          <w:rFonts w:hint="default" w:ascii="Times New Roman" w:hAnsi="Times New Roman" w:eastAsia="仿宋" w:cs="Times New Roman"/>
          <w:color w:val="auto"/>
          <w:sz w:val="32"/>
          <w:szCs w:val="32"/>
          <w:lang w:val="en-US" w:eastAsia="zh-CN"/>
        </w:rPr>
        <w:t>加强管理与维护；</w:t>
      </w:r>
      <w:r>
        <w:rPr>
          <w:rFonts w:hint="eastAsia" w:ascii="Times New Roman" w:hAnsi="Times New Roman" w:eastAsia="仿宋" w:cs="Times New Roman"/>
          <w:color w:val="auto"/>
          <w:sz w:val="32"/>
          <w:szCs w:val="32"/>
          <w:lang w:val="en-US" w:eastAsia="zh-CN"/>
        </w:rPr>
        <w:t>及时对施工作业区、运输道路等易产尘处洒水抑尘；限速施工车辆，限制填装高度，压实物料并加盖篷布，散装水泥采用水泥槽罐车运输；生活区严禁使用高硫煤，提倡使用煤气</w:t>
      </w:r>
      <w:r>
        <w:rPr>
          <w:rFonts w:hint="default" w:ascii="Times New Roman" w:hAnsi="Times New Roman"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（三）噪声污染防治措施。</w:t>
      </w:r>
      <w:r>
        <w:rPr>
          <w:rFonts w:hint="eastAsia" w:ascii="Times New Roman" w:hAnsi="Times New Roman" w:eastAsia="仿宋" w:cs="Times New Roman"/>
          <w:color w:val="auto"/>
          <w:sz w:val="32"/>
          <w:szCs w:val="32"/>
          <w:lang w:val="en-US" w:eastAsia="zh-CN"/>
        </w:rPr>
        <w:t>施工期选择低噪音设备并严格作业时间，声环境敏感区域设置车辆限速及禁鸣标识。合理布局声源设备，主变压器等主要噪声源布置在距离北侧敏感点相对较远位置，加强升压站站区植树绿化，升压站四周设置围墙，减轻升压站噪声对周围环境的影响。</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（四）固体废弃物污染治理措施。</w:t>
      </w:r>
      <w:r>
        <w:rPr>
          <w:rFonts w:hint="eastAsia" w:ascii="Times New Roman" w:hAnsi="Times New Roman" w:eastAsia="仿宋" w:cs="Times New Roman"/>
          <w:color w:val="auto"/>
          <w:sz w:val="32"/>
          <w:szCs w:val="32"/>
          <w:lang w:val="en-US" w:eastAsia="zh-CN"/>
        </w:rPr>
        <w:t>施工人员生活垃圾交环卫部门统一处理；建筑垃圾统一运至指定建筑垃圾消纳场处理。主变压器事故废油、不能回收部分的光伏场区内35kV箱变事故废油、废铅蓄电池等危险废物收集暂存于危废间并交有资质的单位处理。报废光伏电池组件严格按照《一般工业固体废物贮存、处置场污染控制标准》(GB18599-2020)的要求贮存，最终交专业厂家回收或专业单位拆解处理，若自行拆解，应将不能再回收利用的废电路板、含金等贵金属连接件按危险废物予以管理并交由有资质单位处置。主变贮油坑、事故油池、排油管、危险废物贮存库做好防渗处理并严格按照相关技术规范和标准设置。</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五</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电磁环境保护措</w:t>
      </w:r>
      <w:r>
        <w:rPr>
          <w:rFonts w:hint="default" w:ascii="Times New Roman" w:hAnsi="Times New Roman" w:eastAsia="仿宋" w:cs="Times New Roman"/>
          <w:color w:val="auto"/>
          <w:sz w:val="32"/>
          <w:szCs w:val="32"/>
          <w:lang w:val="en-US" w:eastAsia="zh-CN"/>
        </w:rPr>
        <w:t>施。</w:t>
      </w:r>
      <w:r>
        <w:rPr>
          <w:rFonts w:hint="eastAsia" w:ascii="Times New Roman" w:hAnsi="Times New Roman" w:eastAsia="仿宋" w:cs="Times New Roman"/>
          <w:color w:val="auto"/>
          <w:sz w:val="32"/>
          <w:szCs w:val="32"/>
          <w:lang w:val="en-US" w:eastAsia="zh-CN"/>
        </w:rPr>
        <w:t>尽可能采用封闭式母线，合理设计绝缘子，减少接触不良产生的火花放电，升压站内导线同电器设备要保持一定的安全距离，选用带屏蔽层电缆屏蔽接地，平行跨导线的相序排列避免同相布置，减少同相母线交叉与相同转角布置。</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（六）生态环境保护措施。</w:t>
      </w:r>
      <w:r>
        <w:rPr>
          <w:rFonts w:hint="default" w:ascii="Times New Roman" w:hAnsi="Times New Roman" w:eastAsia="仿宋" w:cs="Times New Roman"/>
          <w:color w:val="auto"/>
          <w:sz w:val="32"/>
          <w:szCs w:val="32"/>
          <w:lang w:val="en-US" w:eastAsia="zh-CN"/>
        </w:rPr>
        <w:t>标桩划界，标明施工活动区</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严格控制</w:t>
      </w:r>
      <w:r>
        <w:rPr>
          <w:rFonts w:hint="eastAsia" w:ascii="Times New Roman" w:hAnsi="Times New Roman" w:eastAsia="仿宋" w:cs="Times New Roman"/>
          <w:color w:val="auto"/>
          <w:sz w:val="32"/>
          <w:szCs w:val="32"/>
          <w:lang w:val="en-US" w:eastAsia="zh-CN"/>
        </w:rPr>
        <w:t>施工作业面，最大层度减少</w:t>
      </w:r>
      <w:r>
        <w:rPr>
          <w:rFonts w:hint="default" w:ascii="Times New Roman" w:hAnsi="Times New Roman" w:eastAsia="仿宋" w:cs="Times New Roman"/>
          <w:color w:val="auto"/>
          <w:sz w:val="32"/>
          <w:szCs w:val="32"/>
          <w:lang w:val="en-US" w:eastAsia="zh-CN"/>
        </w:rPr>
        <w:t>植被</w:t>
      </w:r>
      <w:r>
        <w:rPr>
          <w:rFonts w:hint="eastAsia" w:ascii="Times New Roman" w:hAnsi="Times New Roman" w:eastAsia="仿宋" w:cs="Times New Roman"/>
          <w:color w:val="auto"/>
          <w:sz w:val="32"/>
          <w:szCs w:val="32"/>
          <w:lang w:val="en-US" w:eastAsia="zh-CN"/>
        </w:rPr>
        <w:t>破坏的面积，施工结束后及时进行植被恢复；</w:t>
      </w:r>
      <w:r>
        <w:rPr>
          <w:rFonts w:hint="default" w:ascii="Times New Roman" w:hAnsi="Times New Roman" w:eastAsia="仿宋" w:cs="Times New Roman"/>
          <w:color w:val="auto"/>
          <w:sz w:val="32"/>
          <w:szCs w:val="32"/>
          <w:lang w:val="en-US" w:eastAsia="zh-CN"/>
        </w:rPr>
        <w:t>加强施工人员</w:t>
      </w:r>
      <w:r>
        <w:rPr>
          <w:rFonts w:hint="eastAsia" w:ascii="Times New Roman" w:hAnsi="Times New Roman" w:eastAsia="仿宋" w:cs="Times New Roman"/>
          <w:color w:val="auto"/>
          <w:sz w:val="32"/>
          <w:szCs w:val="32"/>
          <w:lang w:val="en-US" w:eastAsia="zh-CN"/>
        </w:rPr>
        <w:t>施工管理</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及时清理施工场地废料及垃圾；严格水土保持措施，严防水土流失；</w:t>
      </w:r>
      <w:r>
        <w:rPr>
          <w:rFonts w:hint="default" w:ascii="Times New Roman" w:hAnsi="Times New Roman" w:eastAsia="仿宋" w:cs="Times New Roman"/>
          <w:color w:val="auto"/>
          <w:sz w:val="32"/>
          <w:szCs w:val="32"/>
          <w:lang w:val="en-US" w:eastAsia="zh-CN"/>
        </w:rPr>
        <w:t>加强宣传教育和管理，增强</w:t>
      </w:r>
      <w:r>
        <w:rPr>
          <w:rFonts w:hint="eastAsia" w:ascii="Times New Roman" w:hAnsi="Times New Roman" w:eastAsia="仿宋" w:cs="Times New Roman"/>
          <w:color w:val="auto"/>
          <w:sz w:val="32"/>
          <w:szCs w:val="32"/>
          <w:lang w:val="en-US" w:eastAsia="zh-CN"/>
        </w:rPr>
        <w:t>场地人员</w:t>
      </w:r>
      <w:r>
        <w:rPr>
          <w:rFonts w:hint="default" w:ascii="Times New Roman" w:hAnsi="Times New Roman" w:eastAsia="仿宋" w:cs="Times New Roman"/>
          <w:color w:val="auto"/>
          <w:sz w:val="32"/>
          <w:szCs w:val="32"/>
          <w:lang w:val="en-US" w:eastAsia="zh-CN"/>
        </w:rPr>
        <w:t>的环境保护意</w:t>
      </w:r>
      <w:r>
        <w:rPr>
          <w:rFonts w:hint="eastAsia" w:ascii="Times New Roman" w:hAnsi="Times New Roman" w:eastAsia="仿宋" w:cs="Times New Roman"/>
          <w:color w:val="auto"/>
          <w:sz w:val="32"/>
          <w:szCs w:val="32"/>
          <w:lang w:val="en-US" w:eastAsia="zh-CN"/>
        </w:rPr>
        <w:t>识。</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（七）严格</w:t>
      </w:r>
      <w:r>
        <w:rPr>
          <w:rFonts w:hint="default" w:ascii="Times New Roman" w:hAnsi="Times New Roman" w:eastAsia="仿宋" w:cs="Times New Roman"/>
          <w:color w:val="auto"/>
          <w:sz w:val="32"/>
          <w:szCs w:val="32"/>
          <w:lang w:val="en-US" w:eastAsia="zh-CN"/>
        </w:rPr>
        <w:t>环境风险</w:t>
      </w:r>
      <w:r>
        <w:rPr>
          <w:rFonts w:hint="eastAsia" w:ascii="Times New Roman" w:hAnsi="Times New Roman" w:eastAsia="仿宋" w:cs="Times New Roman"/>
          <w:color w:val="auto"/>
          <w:sz w:val="32"/>
          <w:szCs w:val="32"/>
          <w:lang w:val="en-US" w:eastAsia="zh-CN"/>
        </w:rPr>
        <w:t>防范。</w:t>
      </w:r>
      <w:r>
        <w:rPr>
          <w:rFonts w:hint="default" w:ascii="Times New Roman" w:hAnsi="Times New Roman" w:eastAsia="仿宋" w:cs="Times New Roman"/>
          <w:color w:val="auto"/>
          <w:sz w:val="32"/>
          <w:szCs w:val="32"/>
          <w:lang w:val="en-US" w:eastAsia="zh-CN"/>
        </w:rPr>
        <w:t>新建</w:t>
      </w:r>
      <w:r>
        <w:rPr>
          <w:rFonts w:hint="eastAsia" w:ascii="Times New Roman" w:hAnsi="Times New Roman" w:eastAsia="仿宋" w:cs="Times New Roman"/>
          <w:color w:val="auto"/>
          <w:sz w:val="32"/>
          <w:szCs w:val="32"/>
          <w:lang w:val="en-US" w:eastAsia="zh-CN"/>
        </w:rPr>
        <w:t>1座</w:t>
      </w:r>
      <w:r>
        <w:rPr>
          <w:rFonts w:hint="default" w:ascii="Times New Roman" w:hAnsi="Times New Roman" w:eastAsia="仿宋" w:cs="Times New Roman"/>
          <w:color w:val="auto"/>
          <w:sz w:val="32"/>
          <w:szCs w:val="32"/>
          <w:lang w:val="en-US" w:eastAsia="zh-CN"/>
        </w:rPr>
        <w:t>容积为</w:t>
      </w:r>
      <w:r>
        <w:rPr>
          <w:rFonts w:hint="eastAsia"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lang w:val="en-US" w:eastAsia="zh-CN"/>
        </w:rPr>
        <w:t>0m</w:t>
      </w:r>
      <w:r>
        <w:rPr>
          <w:rFonts w:hint="default" w:ascii="Times New Roman" w:hAnsi="Times New Roman" w:eastAsia="仿宋" w:cs="Times New Roman"/>
          <w:color w:val="auto"/>
          <w:sz w:val="32"/>
          <w:szCs w:val="32"/>
          <w:vertAlign w:val="superscript"/>
          <w:lang w:val="en-US" w:eastAsia="zh-CN"/>
        </w:rPr>
        <w:t>3</w:t>
      </w:r>
      <w:r>
        <w:rPr>
          <w:rFonts w:hint="eastAsia" w:ascii="Times New Roman" w:hAnsi="Times New Roman" w:eastAsia="仿宋" w:cs="Times New Roman"/>
          <w:color w:val="auto"/>
          <w:sz w:val="32"/>
          <w:szCs w:val="32"/>
          <w:vertAlign w:val="baseline"/>
          <w:lang w:val="en-US" w:eastAsia="zh-CN"/>
        </w:rPr>
        <w:t>的</w:t>
      </w:r>
      <w:r>
        <w:rPr>
          <w:rFonts w:hint="default" w:ascii="Times New Roman" w:hAnsi="Times New Roman" w:eastAsia="仿宋" w:cs="Times New Roman"/>
          <w:color w:val="auto"/>
          <w:sz w:val="32"/>
          <w:szCs w:val="32"/>
          <w:lang w:val="en-US" w:eastAsia="zh-CN"/>
        </w:rPr>
        <w:t>事故油池</w:t>
      </w:r>
      <w:r>
        <w:rPr>
          <w:rFonts w:hint="eastAsia" w:ascii="Times New Roman" w:hAnsi="Times New Roman" w:eastAsia="仿宋" w:cs="Times New Roman"/>
          <w:color w:val="auto"/>
          <w:sz w:val="32"/>
          <w:szCs w:val="32"/>
          <w:lang w:val="en-US" w:eastAsia="zh-CN"/>
        </w:rPr>
        <w:t>，排油管设置刚性套管，集油坑和事故油池池底及池壁按规范进行防渗处理；光伏场内各箱变均配套设置有效容积</w:t>
      </w:r>
      <w:r>
        <w:rPr>
          <w:rFonts w:hint="default" w:ascii="Times New Roman" w:hAnsi="Times New Roman" w:eastAsia="仿宋" w:cs="Times New Roman"/>
          <w:color w:val="auto"/>
          <w:sz w:val="32"/>
          <w:szCs w:val="32"/>
          <w:lang w:val="en-US" w:eastAsia="zh-CN"/>
        </w:rPr>
        <w:t>为2m</w:t>
      </w:r>
      <w:r>
        <w:rPr>
          <w:rFonts w:hint="default" w:ascii="Times New Roman" w:hAnsi="Times New Roman" w:eastAsia="仿宋" w:cs="Times New Roman"/>
          <w:color w:val="auto"/>
          <w:sz w:val="32"/>
          <w:szCs w:val="32"/>
          <w:vertAlign w:val="superscript"/>
          <w:lang w:val="en-US" w:eastAsia="zh-CN"/>
        </w:rPr>
        <w:t>3</w:t>
      </w:r>
      <w:r>
        <w:rPr>
          <w:rFonts w:hint="eastAsia" w:ascii="Times New Roman" w:hAnsi="Times New Roman" w:eastAsia="仿宋" w:cs="Times New Roman"/>
          <w:color w:val="auto"/>
          <w:sz w:val="32"/>
          <w:szCs w:val="32"/>
          <w:vertAlign w:val="baseline"/>
          <w:lang w:val="en-US" w:eastAsia="zh-CN"/>
        </w:rPr>
        <w:t>的</w:t>
      </w:r>
      <w:r>
        <w:rPr>
          <w:rFonts w:hint="eastAsia" w:ascii="Times New Roman" w:hAnsi="Times New Roman" w:eastAsia="仿宋" w:cs="Times New Roman"/>
          <w:color w:val="auto"/>
          <w:sz w:val="32"/>
          <w:szCs w:val="32"/>
          <w:lang w:val="en-US" w:eastAsia="zh-CN"/>
        </w:rPr>
        <w:t>事故油池，池底和池壁严格防腐防渗处理；事故油池内收集的事故油经油水分离处理，分离后的油不可利用部分按照危险废物管理；做好应急预案并加强防范，定期检测变压器油色谱情况，定期检查事故油池；主变发生火灾等事故时，优选使用消防沙及消防灭火器进行灭火，如必须使用消防水时，做好主变下集油坑及事故油池的围挡措施，配置吸油毡等应急物资。</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三</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项目建设必须严格执行环境保护设施与主体工程同时设计、同时施工、同时投入使用的环境保护</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三同时</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制度。项目环保投资应纳入工程投资概算并予以落实。项目竣工后，应按照有关规定对配套建设的环境保护设施进行验收，编制验收报告并依法向社会公开验收报告，公示期满5个工作日内，应登录全国建设项目竣工环境保护验收信息平台，填报验收等相关信息。</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lang w:val="en-US" w:eastAsia="zh-CN" w:bidi="ar-SA"/>
        </w:rPr>
      </w:pPr>
      <w:r>
        <w:rPr>
          <w:rFonts w:hint="default" w:ascii="Times New Roman" w:hAnsi="Times New Roman" w:eastAsia="仿宋" w:cs="Times New Roman"/>
          <w:color w:val="auto"/>
          <w:sz w:val="32"/>
          <w:szCs w:val="32"/>
          <w:lang w:val="en-US" w:eastAsia="zh-CN" w:bidi="ar-SA"/>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color w:val="auto"/>
          <w:sz w:val="32"/>
          <w:szCs w:val="32"/>
          <w:lang w:val="en-US" w:eastAsia="zh-CN" w:bidi="ar-SA"/>
        </w:rPr>
        <w:t>5</w:t>
      </w:r>
      <w:r>
        <w:rPr>
          <w:rFonts w:hint="default" w:ascii="Times New Roman" w:hAnsi="Times New Roman" w:eastAsia="仿宋" w:cs="Times New Roman"/>
          <w:color w:val="auto"/>
          <w:sz w:val="32"/>
          <w:szCs w:val="32"/>
          <w:lang w:val="en-US" w:eastAsia="zh-CN" w:bidi="ar-SA"/>
        </w:rPr>
        <w:t>年方决定该项目开工建设的，其环境影响评价文件应当报我局重新审核。</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lang w:val="en-US" w:eastAsia="zh-CN" w:bidi="ar-SA"/>
        </w:rPr>
      </w:pPr>
      <w:r>
        <w:rPr>
          <w:rFonts w:hint="default" w:ascii="Times New Roman" w:hAnsi="Times New Roman" w:eastAsia="仿宋" w:cs="Times New Roman"/>
          <w:color w:val="auto"/>
          <w:sz w:val="32"/>
          <w:szCs w:val="32"/>
          <w:lang w:val="en-US" w:eastAsia="zh-CN" w:bidi="ar-SA"/>
        </w:rPr>
        <w:t>五、请奉节县生态环境保护综合行政执法支队负责该项目环境保护日常监督管理工作。</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rPr>
      </w:pP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lang w:val="en-US" w:eastAsia="zh-CN"/>
        </w:rPr>
        <w:t>日</w:t>
      </w: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lang w:val="en-US" w:eastAsia="zh-CN"/>
        </w:rPr>
      </w:pPr>
      <w:bookmarkStart w:id="3" w:name="_GoBack"/>
      <w:bookmarkEnd w:id="3"/>
    </w:p>
    <w:p>
      <w:pPr>
        <w:keepNext w:val="0"/>
        <w:keepLines w:val="0"/>
        <w:pageBreakBefore w:val="0"/>
        <w:widowControl/>
        <w:kinsoku/>
        <w:wordWrap/>
        <w:overflowPunct/>
        <w:topLinePunct w:val="0"/>
        <w:autoSpaceDE/>
        <w:autoSpaceDN/>
        <w:bidi w:val="0"/>
        <w:adjustRightInd w:val="0"/>
        <w:snapToGrid w:val="0"/>
        <w:spacing w:after="0" w:line="594" w:lineRule="exact"/>
        <w:ind w:right="0" w:rightChars="0" w:firstLine="288" w:firstLineChars="100"/>
        <w:textAlignment w:val="auto"/>
        <w:rPr>
          <w:rFonts w:hint="eastAsia" w:ascii="方正仿宋_GBK" w:eastAsia="方正仿宋_GBK"/>
          <w:u w:val="none"/>
        </w:rPr>
      </w:pPr>
      <w:r>
        <w:rPr>
          <w:rFonts w:ascii="方正仿宋_GBK" w:eastAsia="方正仿宋_GBK"/>
          <w:color w:val="auto"/>
          <w:w w:val="90"/>
          <w:sz w:val="3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468630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36.9pt;height:0pt;width:450pt;z-index:251658240;mso-width-relative:page;mso-height-relative:page;" filled="f" stroked="t" coordsize="21600,21600" o:gfxdata="UEsDBAoAAAAAAIdO4kAAAAAAAAAAAAAAAAAEAAAAZHJzL1BLAwQUAAAACACHTuJAjN+hMNQAAAAH&#10;AQAADwAAAGRycy9kb3ducmV2LnhtbE2PzU7DMBCE70i8g7VIXKrWbgsFQpwegNy4tIC4buMliYjX&#10;aez+wNOzFQc47sxo9pt8efSd2tMQ28AWphMDirgKruXawutLOb4FFROywy4wWfiiCMvi/CzHzIUD&#10;r2i/TrWSEo4ZWmhS6jOtY9WQxzgJPbF4H2HwmOQcau0GPEi57/TMmIX22LJ8aLCnh4aqz/XOW4jl&#10;G23L71E1Mu/zOtBs+/j8hNZeXkzNPahEx/QXhhO+oEMhTJuwYxdVZ+HqWoIWbuYyQOw7cxI2v4Iu&#10;cv2fv/gBUEsDBBQAAAAIAIdO4kBwnICw3gEAAKQDAAAOAAAAZHJzL2Uyb0RvYy54bWytU82O0zAQ&#10;viPxDpbvNGmk8hM13cOW5YKgEvAAU9tJLPlPHm/TvgQvgMQNThy58zbsPgZjt1sWuCBEDs7YM/N5&#10;vi9flhd7a9hORdTedXw+qzlTTnip3dDxd2+vHj3lDBM4CcY71fGDQn6xevhgOYVWNX70RqrICMRh&#10;O4WOjymFtqpQjMoCznxQjpK9jxYSbeNQyQgToVtTNXX9uJp8lCF6oRDpdH1M8lXB73sl0uu+R5WY&#10;6TjNlsoay7rNa7VaQjtECKMWpzHgH6awoB1deoZaQwJ2HfUfUFaL6NH3aSa8rXzfa6EKB2Izr39j&#10;82aEoAoXEgfDWSb8f7Di1W4TmZYdbzhzYOkT3Xz4+v39p9tvH2m9+fKZNVmkKWBLtZduE087DJuY&#10;Ge/7aPObuLB9EfZwFlbtExN0uHgyX9Q16S/uctXPxhAxvVDeshx03GiXOUMLu5eY6DIqvSvJx8ax&#10;qePPFs2C4IAs0xtIFNpAJNANpRe90fJKG5M7MA7bSxPZDrIJypMpEe4vZfmSNeB4rCupoz1GBfK5&#10;kywdAsnjyMc8j2CV5Mwosn2OCBDaBNr8TSVdbVxuUMWiJ55Z46OqOdp6eaBPcx2iHkbSZV5mzhmy&#10;Qpn+ZNvstft7iu//XK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N+hMNQAAAAHAQAADwAAAAAA&#10;AAABACAAAAAiAAAAZHJzL2Rvd25yZXYueG1sUEsBAhQAFAAAAAgAh07iQHCcgLDeAQAApAMAAA4A&#10;AAAAAAAAAQAgAAAAIwEAAGRycy9lMm9Eb2MueG1sUEsFBgAAAAAGAAYAWQEAAHM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Cs/>
          <w:color w:val="auto"/>
          <w:spacing w:val="-11"/>
          <w:w w:val="90"/>
          <w:kern w:val="0"/>
          <w:sz w:val="28"/>
          <w:szCs w:val="28"/>
          <w:u w:val="none"/>
        </w:rPr>
        <w:t>抄送：奉节县生态环境保护综合行政执法支队，</w:t>
      </w:r>
      <w:r>
        <w:rPr>
          <w:rFonts w:hint="default" w:ascii="方正仿宋_GBK" w:hAnsi="方正仿宋_GBK" w:eastAsia="方正仿宋_GBK" w:cs="方正仿宋_GBK"/>
          <w:bCs/>
          <w:color w:val="auto"/>
          <w:spacing w:val="-11"/>
          <w:w w:val="90"/>
          <w:kern w:val="0"/>
          <w:sz w:val="28"/>
          <w:szCs w:val="28"/>
          <w:u w:val="none"/>
        </w:rPr>
        <w:t>重庆龙翰环保工程有限公司</w:t>
      </w:r>
      <w:r>
        <w:rPr>
          <w:rFonts w:hint="eastAsia" w:ascii="方正仿宋_GBK" w:hAnsi="方正仿宋_GBK" w:eastAsia="方正仿宋_GBK" w:cs="方正仿宋_GBK"/>
          <w:bCs/>
          <w:color w:val="auto"/>
          <w:spacing w:val="-11"/>
          <w:w w:val="90"/>
          <w:kern w:val="0"/>
          <w:sz w:val="28"/>
          <w:szCs w:val="28"/>
          <w:u w:val="none"/>
        </w:rPr>
        <w:t>。</w:t>
      </w:r>
      <w:bookmarkEnd w:id="1"/>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ZGEwNTg4YjAxOTRhMGFmMjMxZTZjMTMwN2YwZTEifQ=="/>
  </w:docVars>
  <w:rsids>
    <w:rsidRoot w:val="00D31D50"/>
    <w:rsid w:val="00323B43"/>
    <w:rsid w:val="003D37D8"/>
    <w:rsid w:val="00426133"/>
    <w:rsid w:val="004358AB"/>
    <w:rsid w:val="008B7726"/>
    <w:rsid w:val="00D31D50"/>
    <w:rsid w:val="08595C3E"/>
    <w:rsid w:val="09B36A38"/>
    <w:rsid w:val="0C1E10EA"/>
    <w:rsid w:val="1E580C88"/>
    <w:rsid w:val="25854610"/>
    <w:rsid w:val="258D0965"/>
    <w:rsid w:val="29433ACA"/>
    <w:rsid w:val="2A5D42F9"/>
    <w:rsid w:val="2ACA48B3"/>
    <w:rsid w:val="2FFD5269"/>
    <w:rsid w:val="34913E68"/>
    <w:rsid w:val="35FB5373"/>
    <w:rsid w:val="3A413BF4"/>
    <w:rsid w:val="3A591CB0"/>
    <w:rsid w:val="3EA63039"/>
    <w:rsid w:val="42AC5F14"/>
    <w:rsid w:val="488A3FAF"/>
    <w:rsid w:val="4C4B4628"/>
    <w:rsid w:val="4D707186"/>
    <w:rsid w:val="4E8A40F8"/>
    <w:rsid w:val="51C04D2A"/>
    <w:rsid w:val="6B1A7B0C"/>
    <w:rsid w:val="74F8478F"/>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w:basedOn w:val="1"/>
    <w:qFormat/>
    <w:uiPriority w:val="0"/>
    <w:pPr>
      <w:widowControl/>
      <w:jc w:val="left"/>
    </w:pPr>
    <w:rPr>
      <w:kern w:val="0"/>
      <w:sz w:val="32"/>
      <w:szCs w:val="20"/>
    </w:rPr>
  </w:style>
  <w:style w:type="paragraph" w:styleId="5">
    <w:name w:val="Body Text Indent"/>
    <w:basedOn w:val="1"/>
    <w:next w:val="1"/>
    <w:unhideWhenUsed/>
    <w:qFormat/>
    <w:uiPriority w:val="99"/>
    <w:pPr>
      <w:spacing w:after="120"/>
      <w:ind w:left="420" w:leftChars="200"/>
    </w:pPr>
  </w:style>
  <w:style w:type="paragraph" w:styleId="6">
    <w:name w:val="Body Text First Indent"/>
    <w:basedOn w:val="4"/>
    <w:qFormat/>
    <w:uiPriority w:val="0"/>
    <w:pPr>
      <w:widowControl w:val="0"/>
      <w:spacing w:after="120"/>
      <w:ind w:firstLine="420" w:firstLineChars="100"/>
      <w:jc w:val="both"/>
    </w:pPr>
    <w:rPr>
      <w:kern w:val="2"/>
      <w:sz w:val="21"/>
      <w:szCs w:val="24"/>
    </w:rPr>
  </w:style>
  <w:style w:type="paragraph" w:styleId="7">
    <w:name w:val="Body Text First Indent 2"/>
    <w:basedOn w:val="5"/>
    <w:next w:val="1"/>
    <w:unhideWhenUsed/>
    <w:qFormat/>
    <w:uiPriority w:val="99"/>
    <w:pPr>
      <w:spacing w:before="100" w:beforeAutospacing="1"/>
      <w:ind w:firstLine="420" w:firstLineChars="200"/>
    </w:pPr>
  </w:style>
  <w:style w:type="paragraph" w:customStyle="1" w:styleId="10">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1</Lines>
  <Paragraphs>1</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2023-11-24T02:32:00Z</cp:lastPrinted>
  <dcterms:modified xsi:type="dcterms:W3CDTF">2024-04-28T06:39:33Z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DF14BC85E8D34637AD030555A1FB2BA5_13</vt:lpwstr>
  </property>
</Properties>
</file>