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bookmarkStart w:id="2" w:name="_GoBack"/>
      <w:bookmarkEnd w:id="2"/>
    </w:p>
    <w:p>
      <w:pPr>
        <w:pStyle w:val="5"/>
        <w:keepNext w:val="0"/>
        <w:keepLines w:val="0"/>
        <w:pageBreakBefore w:val="0"/>
        <w:widowControl/>
        <w:kinsoku/>
        <w:wordWrap/>
        <w:overflowPunct/>
        <w:topLinePunct w:val="0"/>
        <w:autoSpaceDE/>
        <w:autoSpaceDN/>
        <w:bidi w:val="0"/>
        <w:snapToGrid w:val="0"/>
        <w:spacing w:after="0" w:line="240" w:lineRule="atLeas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渝（奉）环准〔2024〕5号</w:t>
      </w:r>
      <w:bookmarkEnd w:id="0"/>
    </w:p>
    <w:p>
      <w:pPr>
        <w:pStyle w:val="9"/>
        <w:keepNext w:val="0"/>
        <w:keepLines w:val="0"/>
        <w:pageBreakBefore w:val="0"/>
        <w:widowControl/>
        <w:kinsoku/>
        <w:wordWrap/>
        <w:overflowPunct/>
        <w:topLinePunct w:val="0"/>
        <w:autoSpaceDE/>
        <w:autoSpaceDN/>
        <w:bidi w:val="0"/>
        <w:adjustRightInd/>
        <w:snapToGrid w:val="0"/>
        <w:spacing w:after="0" w:line="594" w:lineRule="atLeast"/>
        <w:textAlignment w:val="auto"/>
        <w:rPr>
          <w:rFonts w:hint="default" w:ascii="Times New Roman" w:hAnsi="Times New Roman" w:eastAsia="仿宋" w:cs="Times New Roman"/>
          <w:sz w:val="32"/>
          <w:szCs w:val="32"/>
        </w:rPr>
      </w:pPr>
      <w:bookmarkStart w:id="1" w:name="companyName"/>
      <w:r>
        <w:rPr>
          <w:rFonts w:hint="eastAsia" w:ascii="Times New Roman" w:hAnsi="Times New Roman" w:eastAsia="仿宋" w:cs="Times New Roman"/>
          <w:sz w:val="32"/>
          <w:szCs w:val="32"/>
          <w:lang w:eastAsia="zh-CN"/>
        </w:rPr>
        <w:t>重庆金鸿眼镜有限公司</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你单位报送的</w:t>
      </w:r>
      <w:r>
        <w:rPr>
          <w:rFonts w:hint="eastAsia" w:ascii="Times New Roman" w:hAnsi="Times New Roman" w:eastAsia="仿宋" w:cs="Times New Roman"/>
          <w:sz w:val="32"/>
          <w:szCs w:val="32"/>
          <w:lang w:eastAsia="zh-CN"/>
        </w:rPr>
        <w:t>中高端眼镜镜架生产项目（项目编码：2401-500236-04-01-857401）</w:t>
      </w:r>
      <w:r>
        <w:rPr>
          <w:rFonts w:hint="default" w:ascii="Times New Roman" w:hAnsi="Times New Roman" w:eastAsia="仿宋" w:cs="Times New Roman"/>
          <w:sz w:val="32"/>
          <w:szCs w:val="32"/>
        </w:rPr>
        <w:t>环境影响评价文件审批申</w:t>
      </w:r>
      <w:r>
        <w:rPr>
          <w:rFonts w:hint="eastAsia" w:ascii="Times New Roman" w:hAnsi="Times New Roman" w:eastAsia="仿宋" w:cs="Times New Roman"/>
          <w:sz w:val="32"/>
          <w:szCs w:val="32"/>
          <w:lang w:eastAsia="zh-CN"/>
        </w:rPr>
        <w:t>请</w:t>
      </w:r>
      <w:r>
        <w:rPr>
          <w:rFonts w:hint="default" w:ascii="Times New Roman" w:hAnsi="Times New Roman" w:eastAsia="仿宋" w:cs="Times New Roman"/>
          <w:sz w:val="32"/>
          <w:szCs w:val="32"/>
        </w:rPr>
        <w:t>表及相关材料收悉，根据《中华人民共和国环境影响评价法》等法律法规的有关规定，我局原则同意重庆开达环保集团有限公司</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统一社会信用代码：915001085842710733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编制的项目环境影响报告表结论及其提出的环境保护措施。</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一、项目的建设内容和规模：</w:t>
      </w:r>
    </w:p>
    <w:p>
      <w:pPr>
        <w:pStyle w:val="9"/>
        <w:keepNext w:val="0"/>
        <w:keepLines w:val="0"/>
        <w:pageBreakBefore w:val="0"/>
        <w:widowControl/>
        <w:kinsoku/>
        <w:wordWrap/>
        <w:overflowPunct/>
        <w:topLinePunct w:val="0"/>
        <w:autoSpaceDE/>
        <w:autoSpaceDN/>
        <w:bidi w:val="0"/>
        <w:adjustRightInd/>
        <w:snapToGrid w:val="0"/>
        <w:spacing w:after="0" w:line="594" w:lineRule="atLeast"/>
        <w:ind w:firstLine="640" w:firstLineChars="200"/>
        <w:textAlignment w:val="auto"/>
        <w:rPr>
          <w:rFonts w:hint="eastAsia" w:ascii="Times New Roman" w:hAnsi="Times New Roman" w:eastAsia="仿宋" w:cs="Times New Roman"/>
          <w:sz w:val="32"/>
          <w:szCs w:val="32"/>
          <w:lang w:val="en-US" w:eastAsia="zh-CN"/>
        </w:rPr>
      </w:pPr>
      <w:r>
        <w:rPr>
          <w:rFonts w:hint="eastAsia" w:ascii="仿宋" w:hAnsi="仿宋" w:eastAsia="仿宋"/>
          <w:sz w:val="32"/>
          <w:szCs w:val="32"/>
        </w:rPr>
        <w:t>拟建</w:t>
      </w:r>
      <w:r>
        <w:rPr>
          <w:rFonts w:hint="eastAsia" w:ascii="仿宋" w:hAnsi="仿宋" w:eastAsia="仿宋"/>
          <w:sz w:val="32"/>
          <w:szCs w:val="32"/>
          <w:lang w:eastAsia="zh-CN"/>
        </w:rPr>
        <w:t>项目</w:t>
      </w:r>
      <w:r>
        <w:rPr>
          <w:rFonts w:hint="eastAsia" w:ascii="Times New Roman" w:hAnsi="Times New Roman" w:eastAsia="仿宋" w:cs="Times New Roman"/>
          <w:sz w:val="32"/>
          <w:szCs w:val="32"/>
          <w:lang w:val="en-US" w:eastAsia="zh-CN" w:bidi="ar-SA"/>
        </w:rPr>
        <w:t>租赁</w:t>
      </w:r>
      <w:r>
        <w:rPr>
          <w:rFonts w:hint="eastAsia" w:ascii="仿宋" w:hAnsi="仿宋" w:eastAsia="仿宋"/>
          <w:sz w:val="32"/>
          <w:szCs w:val="32"/>
        </w:rPr>
        <w:t>奉节县生态工业园区兴园路</w:t>
      </w:r>
      <w:r>
        <w:rPr>
          <w:rFonts w:hint="eastAsia" w:ascii="Times New Roman" w:hAnsi="Times New Roman" w:eastAsia="仿宋" w:cs="Times New Roman"/>
          <w:sz w:val="32"/>
          <w:szCs w:val="32"/>
          <w:lang w:val="en-US" w:eastAsia="zh-CN" w:bidi="ar-SA"/>
        </w:rPr>
        <w:t>1号B9</w:t>
      </w:r>
      <w:r>
        <w:rPr>
          <w:rFonts w:hint="eastAsia" w:ascii="仿宋" w:hAnsi="仿宋" w:eastAsia="仿宋"/>
          <w:sz w:val="32"/>
          <w:szCs w:val="32"/>
        </w:rPr>
        <w:t>幢</w:t>
      </w:r>
      <w:r>
        <w:rPr>
          <w:rFonts w:hint="eastAsia" w:ascii="Times New Roman" w:hAnsi="Times New Roman" w:eastAsia="仿宋" w:cs="Times New Roman"/>
          <w:sz w:val="32"/>
          <w:szCs w:val="32"/>
          <w:lang w:val="en-US" w:eastAsia="zh-CN" w:bidi="ar-SA"/>
        </w:rPr>
        <w:t>标准厂房，建筑面积5000m</w:t>
      </w:r>
      <w:r>
        <w:rPr>
          <w:rFonts w:hint="eastAsia" w:ascii="Times New Roman" w:hAnsi="Times New Roman" w:eastAsia="仿宋" w:cs="Times New Roman"/>
          <w:sz w:val="32"/>
          <w:szCs w:val="32"/>
          <w:vertAlign w:val="superscript"/>
          <w:lang w:val="en-US" w:eastAsia="zh-CN" w:bidi="ar-SA"/>
        </w:rPr>
        <w:t>2</w:t>
      </w:r>
      <w:r>
        <w:rPr>
          <w:rFonts w:hint="eastAsia" w:ascii="Times New Roman" w:hAnsi="Times New Roman" w:eastAsia="仿宋" w:cs="Times New Roman"/>
          <w:sz w:val="32"/>
          <w:szCs w:val="32"/>
          <w:vertAlign w:val="baseline"/>
          <w:lang w:val="en-US" w:eastAsia="zh-CN" w:bidi="ar-SA"/>
        </w:rPr>
        <w:t>，</w:t>
      </w:r>
      <w:r>
        <w:rPr>
          <w:rFonts w:hint="eastAsia" w:ascii="Times New Roman" w:hAnsi="Times New Roman" w:eastAsia="仿宋" w:cs="Times New Roman"/>
          <w:sz w:val="32"/>
          <w:szCs w:val="32"/>
          <w:lang w:val="en-US" w:eastAsia="zh-CN" w:bidi="ar-SA"/>
        </w:rPr>
        <w:t>建成金属镜架、注塑镜架生产线各一条，</w:t>
      </w:r>
      <w:r>
        <w:rPr>
          <w:rFonts w:hint="eastAsia" w:ascii="仿宋" w:hAnsi="仿宋" w:eastAsia="仿宋"/>
          <w:sz w:val="32"/>
          <w:szCs w:val="32"/>
          <w:lang w:eastAsia="zh-CN"/>
        </w:rPr>
        <w:t>同时</w:t>
      </w:r>
      <w:r>
        <w:rPr>
          <w:rFonts w:hint="eastAsia" w:ascii="仿宋" w:hAnsi="仿宋" w:eastAsia="仿宋"/>
          <w:sz w:val="32"/>
          <w:szCs w:val="32"/>
        </w:rPr>
        <w:t>配套建设辅助工程、储运工程、公用工程和环保工程。项目建成后</w:t>
      </w:r>
      <w:r>
        <w:rPr>
          <w:rFonts w:hint="eastAsia" w:ascii="Times New Roman" w:hAnsi="Times New Roman" w:eastAsia="仿宋" w:cs="Times New Roman"/>
          <w:sz w:val="32"/>
          <w:szCs w:val="32"/>
          <w:lang w:val="en-US" w:eastAsia="zh-CN" w:bidi="ar-SA"/>
        </w:rPr>
        <w:t>年产金属眼镜50万副、塑胶混合眼镜100万副。</w:t>
      </w:r>
      <w:r>
        <w:rPr>
          <w:rFonts w:hint="eastAsia" w:ascii="Times New Roman" w:hAnsi="Times New Roman" w:eastAsia="仿宋" w:cs="Times New Roman"/>
          <w:sz w:val="32"/>
          <w:szCs w:val="32"/>
          <w:lang w:val="en-US" w:eastAsia="zh-CN"/>
        </w:rPr>
        <w:t>项目总投资为2000万元，其中环保投资80万元。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w:t>
      </w:r>
      <w:r>
        <w:rPr>
          <w:rFonts w:hint="default" w:ascii="Times New Roman" w:hAnsi="Times New Roman" w:eastAsia="仿宋" w:cs="Times New Roman"/>
          <w:kern w:val="2"/>
          <w:sz w:val="32"/>
          <w:szCs w:val="32"/>
          <w:lang w:val="en-US" w:eastAsia="zh-CN" w:bidi="ar-SA"/>
        </w:rPr>
        <w:t>行相关污染物排放标准和总量控制的要求，并重点做好以下工作：</w:t>
      </w:r>
    </w:p>
    <w:p>
      <w:pPr>
        <w:pStyle w:val="9"/>
        <w:keepNext w:val="0"/>
        <w:keepLines w:val="0"/>
        <w:pageBreakBefore w:val="0"/>
        <w:widowControl/>
        <w:kinsoku/>
        <w:wordWrap/>
        <w:overflowPunct/>
        <w:topLinePunct w:val="0"/>
        <w:autoSpaceDE/>
        <w:autoSpaceDN/>
        <w:bidi w:val="0"/>
        <w:adjustRightInd/>
        <w:snapToGrid w:val="0"/>
        <w:spacing w:after="0" w:line="594" w:lineRule="atLeast"/>
        <w:ind w:firstLine="640" w:firstLineChars="200"/>
        <w:textAlignment w:val="auto"/>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（一）水污染防治措施。</w:t>
      </w:r>
      <w:r>
        <w:rPr>
          <w:rFonts w:hint="eastAsia" w:ascii="Times New Roman" w:hAnsi="Times New Roman" w:eastAsia="仿宋" w:cs="Times New Roman"/>
          <w:sz w:val="32"/>
          <w:szCs w:val="32"/>
          <w:lang w:val="en-US" w:eastAsia="zh-CN" w:bidi="ar-SA"/>
        </w:rPr>
        <w:t>生产废水、生活污水一并进入园区已建生化池（处理能力</w:t>
      </w:r>
      <w:r>
        <w:rPr>
          <w:rFonts w:hint="default" w:ascii="Times New Roman" w:hAnsi="Times New Roman" w:eastAsia="仿宋" w:cs="Times New Roman"/>
          <w:sz w:val="32"/>
          <w:szCs w:val="32"/>
          <w:lang w:val="en-US" w:eastAsia="zh-CN" w:bidi="ar-SA"/>
        </w:rPr>
        <w:t>380m</w:t>
      </w:r>
      <w:r>
        <w:rPr>
          <w:rFonts w:hint="default" w:ascii="Times New Roman" w:hAnsi="Times New Roman" w:eastAsia="仿宋" w:cs="Times New Roman"/>
          <w:sz w:val="32"/>
          <w:szCs w:val="32"/>
          <w:vertAlign w:val="superscript"/>
          <w:lang w:val="en-US" w:eastAsia="zh-CN" w:bidi="ar-SA"/>
        </w:rPr>
        <w:t>3</w:t>
      </w:r>
      <w:r>
        <w:rPr>
          <w:rFonts w:hint="default" w:ascii="Times New Roman" w:hAnsi="Times New Roman" w:eastAsia="仿宋" w:cs="Times New Roman"/>
          <w:sz w:val="32"/>
          <w:szCs w:val="32"/>
          <w:lang w:val="en-US" w:eastAsia="zh-CN" w:bidi="ar-SA"/>
        </w:rPr>
        <w:t>/d</w:t>
      </w:r>
      <w:r>
        <w:rPr>
          <w:rFonts w:hint="eastAsia" w:ascii="Times New Roman" w:hAnsi="Times New Roman" w:eastAsia="仿宋" w:cs="Times New Roman"/>
          <w:sz w:val="32"/>
          <w:szCs w:val="32"/>
          <w:lang w:val="en-US" w:eastAsia="zh-CN" w:bidi="ar-SA"/>
        </w:rPr>
        <w:t>），初步处理达《污水综合排放标准》（</w:t>
      </w:r>
      <w:r>
        <w:rPr>
          <w:rFonts w:hint="default" w:ascii="Times New Roman" w:hAnsi="Times New Roman" w:eastAsia="仿宋" w:cs="Times New Roman"/>
          <w:sz w:val="32"/>
          <w:szCs w:val="32"/>
          <w:lang w:val="en-US" w:eastAsia="zh-CN" w:bidi="ar-SA"/>
        </w:rPr>
        <w:t>GB8978-1996</w:t>
      </w:r>
      <w:r>
        <w:rPr>
          <w:rFonts w:hint="eastAsia" w:ascii="Times New Roman" w:hAnsi="Times New Roman" w:eastAsia="仿宋" w:cs="Times New Roman"/>
          <w:sz w:val="32"/>
          <w:szCs w:val="32"/>
          <w:lang w:val="en-US" w:eastAsia="zh-CN" w:bidi="ar-SA"/>
        </w:rPr>
        <w:t>）三级标准后再经园区污水管网进入草堂园区污水处理厂处理，最终达《城镇污水处理厂污染物排放标准》（</w:t>
      </w:r>
      <w:r>
        <w:rPr>
          <w:rFonts w:hint="default" w:ascii="Times New Roman" w:hAnsi="Times New Roman" w:eastAsia="仿宋" w:cs="Times New Roman"/>
          <w:sz w:val="32"/>
          <w:szCs w:val="32"/>
          <w:lang w:val="en-US" w:eastAsia="zh-CN" w:bidi="ar-SA"/>
        </w:rPr>
        <w:t>GB18918-2002</w:t>
      </w:r>
      <w:r>
        <w:rPr>
          <w:rFonts w:hint="eastAsia" w:ascii="Times New Roman" w:hAnsi="Times New Roman" w:eastAsia="仿宋" w:cs="Times New Roman"/>
          <w:sz w:val="32"/>
          <w:szCs w:val="32"/>
          <w:lang w:val="en-US" w:eastAsia="zh-CN" w:bidi="ar-SA"/>
        </w:rPr>
        <w:t>）一级</w:t>
      </w:r>
      <w:r>
        <w:rPr>
          <w:rFonts w:hint="default" w:ascii="Times New Roman" w:hAnsi="Times New Roman" w:eastAsia="仿宋" w:cs="Times New Roman"/>
          <w:sz w:val="32"/>
          <w:szCs w:val="32"/>
          <w:lang w:val="en-US" w:eastAsia="zh-CN" w:bidi="ar-SA"/>
        </w:rPr>
        <w:t>A</w:t>
      </w:r>
      <w:r>
        <w:rPr>
          <w:rFonts w:hint="eastAsia" w:ascii="Times New Roman" w:hAnsi="Times New Roman" w:eastAsia="仿宋" w:cs="Times New Roman"/>
          <w:sz w:val="32"/>
          <w:szCs w:val="32"/>
          <w:lang w:val="en-US" w:eastAsia="zh-CN" w:bidi="ar-SA"/>
        </w:rPr>
        <w:t>标准后排入石马河。</w:t>
      </w:r>
    </w:p>
    <w:p>
      <w:pPr>
        <w:pStyle w:val="9"/>
        <w:keepNext w:val="0"/>
        <w:keepLines w:val="0"/>
        <w:pageBreakBefore w:val="0"/>
        <w:widowControl/>
        <w:kinsoku/>
        <w:wordWrap/>
        <w:overflowPunct/>
        <w:topLinePunct w:val="0"/>
        <w:autoSpaceDE/>
        <w:autoSpaceDN/>
        <w:bidi w:val="0"/>
        <w:adjustRightInd/>
        <w:snapToGrid w:val="0"/>
        <w:spacing w:after="0" w:line="594" w:lineRule="atLeast"/>
        <w:ind w:firstLine="640" w:firstLineChars="200"/>
        <w:textAlignment w:val="auto"/>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（二）废气污染防治措施。</w:t>
      </w:r>
      <w:r>
        <w:rPr>
          <w:rFonts w:hint="eastAsia" w:ascii="Times New Roman" w:hAnsi="Times New Roman" w:eastAsia="仿宋" w:cs="Times New Roman"/>
          <w:sz w:val="32"/>
          <w:szCs w:val="32"/>
          <w:lang w:val="en-US" w:eastAsia="zh-CN" w:bidi="ar-SA"/>
        </w:rPr>
        <w:t>注塑废气经集气罩收集，通过三级活性炭吸附后再经20米高排气筒楼顶排放（风机风量7000</w:t>
      </w:r>
      <w:r>
        <w:rPr>
          <w:rFonts w:hint="default" w:ascii="Times New Roman" w:hAnsi="Times New Roman" w:eastAsia="仿宋" w:cs="Times New Roman"/>
          <w:sz w:val="32"/>
          <w:szCs w:val="32"/>
          <w:lang w:val="en-US" w:eastAsia="zh-CN" w:bidi="ar-SA"/>
        </w:rPr>
        <w:t>m</w:t>
      </w:r>
      <w:r>
        <w:rPr>
          <w:rFonts w:hint="default" w:ascii="Times New Roman" w:hAnsi="Times New Roman" w:eastAsia="仿宋" w:cs="Times New Roman"/>
          <w:sz w:val="32"/>
          <w:szCs w:val="32"/>
          <w:vertAlign w:val="superscript"/>
          <w:lang w:val="en-US" w:eastAsia="zh-CN" w:bidi="ar-SA"/>
        </w:rPr>
        <w:t>3</w:t>
      </w:r>
      <w:r>
        <w:rPr>
          <w:rFonts w:hint="default" w:ascii="Times New Roman" w:hAnsi="Times New Roman" w:eastAsia="仿宋" w:cs="Times New Roman"/>
          <w:sz w:val="32"/>
          <w:szCs w:val="32"/>
          <w:lang w:val="en-US" w:eastAsia="zh-CN" w:bidi="ar-SA"/>
        </w:rPr>
        <w:t>/h</w:t>
      </w:r>
      <w:r>
        <w:rPr>
          <w:rFonts w:hint="eastAsia" w:ascii="Times New Roman" w:hAnsi="Times New Roman" w:eastAsia="仿宋" w:cs="Times New Roman"/>
          <w:sz w:val="32"/>
          <w:szCs w:val="32"/>
          <w:lang w:val="en-US" w:eastAsia="zh-CN" w:bidi="ar-SA"/>
        </w:rPr>
        <w:t>）；抛光粉尘、打磨废气通过设备自带的旋风除尘器后经</w:t>
      </w:r>
      <w:r>
        <w:rPr>
          <w:rFonts w:hint="default" w:ascii="Times New Roman" w:hAnsi="Times New Roman" w:eastAsia="仿宋" w:cs="Times New Roman"/>
          <w:sz w:val="32"/>
          <w:szCs w:val="32"/>
          <w:lang w:val="en-US" w:eastAsia="zh-CN" w:bidi="ar-SA"/>
        </w:rPr>
        <w:t>20m</w:t>
      </w:r>
      <w:r>
        <w:rPr>
          <w:rFonts w:hint="eastAsia" w:ascii="Times New Roman" w:hAnsi="Times New Roman" w:eastAsia="仿宋" w:cs="Times New Roman"/>
          <w:sz w:val="32"/>
          <w:szCs w:val="32"/>
          <w:lang w:val="en-US" w:eastAsia="zh-CN" w:bidi="ar-SA"/>
        </w:rPr>
        <w:t>高排气筒楼顶排放（风机风量4000</w:t>
      </w:r>
      <w:r>
        <w:rPr>
          <w:rFonts w:hint="default" w:ascii="Times New Roman" w:hAnsi="Times New Roman" w:eastAsia="仿宋" w:cs="Times New Roman"/>
          <w:sz w:val="32"/>
          <w:szCs w:val="32"/>
          <w:lang w:val="en-US" w:eastAsia="zh-CN" w:bidi="ar-SA"/>
        </w:rPr>
        <w:t>m</w:t>
      </w:r>
      <w:r>
        <w:rPr>
          <w:rFonts w:hint="default" w:ascii="Times New Roman" w:hAnsi="Times New Roman" w:eastAsia="仿宋" w:cs="Times New Roman"/>
          <w:sz w:val="32"/>
          <w:szCs w:val="32"/>
          <w:vertAlign w:val="superscript"/>
          <w:lang w:val="en-US" w:eastAsia="zh-CN" w:bidi="ar-SA"/>
        </w:rPr>
        <w:t>3</w:t>
      </w:r>
      <w:r>
        <w:rPr>
          <w:rFonts w:hint="default" w:ascii="Times New Roman" w:hAnsi="Times New Roman" w:eastAsia="仿宋" w:cs="Times New Roman"/>
          <w:sz w:val="32"/>
          <w:szCs w:val="32"/>
          <w:lang w:val="en-US" w:eastAsia="zh-CN" w:bidi="ar-SA"/>
        </w:rPr>
        <w:t>/h</w:t>
      </w:r>
      <w:r>
        <w:rPr>
          <w:rFonts w:hint="eastAsia" w:ascii="Times New Roman" w:hAnsi="Times New Roman" w:eastAsia="仿宋" w:cs="Times New Roman"/>
          <w:sz w:val="32"/>
          <w:szCs w:val="32"/>
          <w:lang w:val="en-US" w:eastAsia="zh-CN" w:bidi="ar-SA"/>
        </w:rPr>
        <w:t>），喷漆、烘干废气、危废间废气经水帘+过滤棉</w:t>
      </w:r>
      <w:r>
        <w:rPr>
          <w:rFonts w:hint="default" w:ascii="Times New Roman" w:hAnsi="Times New Roman" w:eastAsia="仿宋" w:cs="Times New Roman"/>
          <w:sz w:val="32"/>
          <w:szCs w:val="32"/>
          <w:lang w:val="en-US" w:eastAsia="zh-CN" w:bidi="ar-SA"/>
        </w:rPr>
        <w:t>+</w:t>
      </w:r>
      <w:r>
        <w:rPr>
          <w:rFonts w:hint="eastAsia" w:ascii="Times New Roman" w:hAnsi="Times New Roman" w:eastAsia="仿宋" w:cs="Times New Roman"/>
          <w:sz w:val="32"/>
          <w:szCs w:val="32"/>
          <w:lang w:val="en-US" w:eastAsia="zh-CN" w:bidi="ar-SA"/>
        </w:rPr>
        <w:t>“三级活性炭吸附”处理后经</w:t>
      </w:r>
      <w:r>
        <w:rPr>
          <w:rFonts w:hint="default" w:ascii="Times New Roman" w:hAnsi="Times New Roman" w:eastAsia="仿宋" w:cs="Times New Roman"/>
          <w:sz w:val="32"/>
          <w:szCs w:val="32"/>
          <w:lang w:val="en-US" w:eastAsia="zh-CN" w:bidi="ar-SA"/>
        </w:rPr>
        <w:t>20m</w:t>
      </w:r>
      <w:r>
        <w:rPr>
          <w:rFonts w:hint="eastAsia" w:ascii="Times New Roman" w:hAnsi="Times New Roman" w:eastAsia="仿宋" w:cs="Times New Roman"/>
          <w:sz w:val="32"/>
          <w:szCs w:val="32"/>
          <w:lang w:val="en-US" w:eastAsia="zh-CN" w:bidi="ar-SA"/>
        </w:rPr>
        <w:t>排气筒楼顶排放（系统风量约</w:t>
      </w:r>
      <w:r>
        <w:rPr>
          <w:rFonts w:hint="default" w:ascii="Times New Roman" w:hAnsi="Times New Roman" w:eastAsia="仿宋" w:cs="Times New Roman"/>
          <w:sz w:val="32"/>
          <w:szCs w:val="32"/>
          <w:lang w:val="en-US" w:eastAsia="zh-CN" w:bidi="ar-SA"/>
        </w:rPr>
        <w:t>1.5</w:t>
      </w:r>
      <w:r>
        <w:rPr>
          <w:rFonts w:hint="eastAsia" w:ascii="Times New Roman" w:hAnsi="Times New Roman" w:eastAsia="仿宋" w:cs="Times New Roman"/>
          <w:sz w:val="32"/>
          <w:szCs w:val="32"/>
          <w:lang w:val="en-US" w:eastAsia="zh-CN" w:bidi="ar-SA"/>
        </w:rPr>
        <w:t>万</w:t>
      </w:r>
      <w:r>
        <w:rPr>
          <w:rFonts w:hint="default" w:ascii="Times New Roman" w:hAnsi="Times New Roman" w:eastAsia="仿宋" w:cs="Times New Roman"/>
          <w:sz w:val="32"/>
          <w:szCs w:val="32"/>
          <w:lang w:val="en-US" w:eastAsia="zh-CN" w:bidi="ar-SA"/>
        </w:rPr>
        <w:t>m</w:t>
      </w:r>
      <w:r>
        <w:rPr>
          <w:rFonts w:hint="default" w:ascii="Times New Roman" w:hAnsi="Times New Roman" w:eastAsia="仿宋" w:cs="Times New Roman"/>
          <w:sz w:val="32"/>
          <w:szCs w:val="32"/>
          <w:vertAlign w:val="superscript"/>
          <w:lang w:val="en-US" w:eastAsia="zh-CN" w:bidi="ar-SA"/>
        </w:rPr>
        <w:t>3</w:t>
      </w:r>
      <w:r>
        <w:rPr>
          <w:rFonts w:hint="default" w:ascii="Times New Roman" w:hAnsi="Times New Roman" w:eastAsia="仿宋" w:cs="Times New Roman"/>
          <w:sz w:val="32"/>
          <w:szCs w:val="32"/>
          <w:lang w:val="en-US" w:eastAsia="zh-CN" w:bidi="ar-SA"/>
        </w:rPr>
        <w:t>/h</w:t>
      </w:r>
      <w:r>
        <w:rPr>
          <w:rFonts w:hint="eastAsia" w:ascii="Times New Roman" w:hAnsi="Times New Roman" w:eastAsia="仿宋" w:cs="Times New Roman"/>
          <w:sz w:val="32"/>
          <w:szCs w:val="32"/>
          <w:lang w:val="en-US" w:eastAsia="zh-CN" w:bidi="ar-SA"/>
        </w:rPr>
        <w:t>）。塑料破碎废气经破碎机自带的除尘器处理后，通过车间排风系统以无组织形式排出室外；焊接烟尘经移动式焊烟除尘器收集后，无组织排放；移印废气、钻孔废气无组织排放。</w:t>
      </w:r>
    </w:p>
    <w:p>
      <w:pPr>
        <w:pStyle w:val="9"/>
        <w:keepNext w:val="0"/>
        <w:keepLines w:val="0"/>
        <w:pageBreakBefore w:val="0"/>
        <w:widowControl/>
        <w:kinsoku/>
        <w:wordWrap/>
        <w:overflowPunct/>
        <w:topLinePunct w:val="0"/>
        <w:autoSpaceDE/>
        <w:autoSpaceDN/>
        <w:bidi w:val="0"/>
        <w:adjustRightInd/>
        <w:snapToGrid w:val="0"/>
        <w:spacing w:after="0" w:line="594" w:lineRule="atLeast"/>
        <w:ind w:firstLine="640" w:firstLineChars="200"/>
        <w:textAlignment w:val="auto"/>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（三）噪声污染防治措施。</w:t>
      </w:r>
      <w:r>
        <w:rPr>
          <w:rFonts w:hint="eastAsia" w:ascii="Times New Roman" w:hAnsi="Times New Roman" w:eastAsia="仿宋" w:cs="Times New Roman"/>
          <w:sz w:val="32"/>
          <w:szCs w:val="32"/>
          <w:lang w:val="en-US" w:eastAsia="zh-CN" w:bidi="ar-SA"/>
        </w:rPr>
        <w:t>采用</w:t>
      </w:r>
      <w:r>
        <w:rPr>
          <w:rFonts w:hint="default" w:ascii="Times New Roman" w:hAnsi="Times New Roman" w:eastAsia="仿宋" w:cs="Times New Roman"/>
          <w:sz w:val="32"/>
          <w:szCs w:val="32"/>
          <w:lang w:val="en-US" w:eastAsia="zh-CN" w:bidi="ar-SA"/>
        </w:rPr>
        <w:t>厂房隔声、基座</w:t>
      </w:r>
      <w:r>
        <w:rPr>
          <w:rFonts w:hint="eastAsia" w:ascii="Times New Roman" w:hAnsi="Times New Roman" w:eastAsia="仿宋" w:cs="Times New Roman"/>
          <w:sz w:val="32"/>
          <w:szCs w:val="32"/>
          <w:lang w:val="en-US" w:eastAsia="zh-CN" w:bidi="ar-SA"/>
        </w:rPr>
        <w:t>减震</w:t>
      </w:r>
      <w:r>
        <w:rPr>
          <w:rFonts w:hint="default" w:ascii="Times New Roman" w:hAnsi="Times New Roman" w:eastAsia="仿宋" w:cs="Times New Roman"/>
          <w:sz w:val="32"/>
          <w:szCs w:val="32"/>
          <w:lang w:val="en-US" w:eastAsia="zh-CN" w:bidi="ar-SA"/>
        </w:rPr>
        <w:t>、</w:t>
      </w:r>
      <w:r>
        <w:rPr>
          <w:rFonts w:hint="eastAsia" w:ascii="Times New Roman" w:hAnsi="Times New Roman" w:eastAsia="仿宋" w:cs="Times New Roman"/>
          <w:sz w:val="32"/>
          <w:szCs w:val="32"/>
          <w:lang w:val="en-US" w:eastAsia="zh-CN" w:bidi="ar-SA"/>
        </w:rPr>
        <w:t>柔性连接、</w:t>
      </w:r>
      <w:r>
        <w:rPr>
          <w:rFonts w:hint="default" w:ascii="Times New Roman" w:hAnsi="Times New Roman" w:eastAsia="仿宋" w:cs="Times New Roman"/>
          <w:sz w:val="32"/>
          <w:szCs w:val="32"/>
          <w:lang w:val="en-US" w:eastAsia="zh-CN" w:bidi="ar-SA"/>
        </w:rPr>
        <w:t>距离衰减等</w:t>
      </w:r>
      <w:r>
        <w:rPr>
          <w:rFonts w:hint="eastAsia" w:ascii="Times New Roman" w:hAnsi="Times New Roman" w:eastAsia="仿宋" w:cs="Times New Roman"/>
          <w:sz w:val="32"/>
          <w:szCs w:val="32"/>
          <w:lang w:val="en-US" w:eastAsia="zh-CN" w:bidi="ar-SA"/>
        </w:rPr>
        <w:t>措施。</w:t>
      </w:r>
    </w:p>
    <w:p>
      <w:pPr>
        <w:pStyle w:val="9"/>
        <w:keepNext w:val="0"/>
        <w:keepLines w:val="0"/>
        <w:pageBreakBefore w:val="0"/>
        <w:widowControl/>
        <w:kinsoku/>
        <w:wordWrap/>
        <w:overflowPunct/>
        <w:topLinePunct w:val="0"/>
        <w:autoSpaceDE/>
        <w:autoSpaceDN/>
        <w:bidi w:val="0"/>
        <w:adjustRightInd/>
        <w:snapToGrid w:val="0"/>
        <w:spacing w:after="0" w:line="594" w:lineRule="atLeast"/>
        <w:ind w:firstLine="640" w:firstLineChars="200"/>
        <w:textAlignment w:val="auto"/>
        <w:rPr>
          <w:rFonts w:hint="eastAsia"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（四）固体废弃物污染治理措施。</w:t>
      </w:r>
      <w:r>
        <w:rPr>
          <w:rFonts w:hint="eastAsia" w:ascii="Times New Roman" w:hAnsi="Times New Roman" w:eastAsia="仿宋" w:cs="Times New Roman"/>
          <w:sz w:val="32"/>
          <w:szCs w:val="32"/>
          <w:lang w:val="en-US" w:eastAsia="zh-CN" w:bidi="ar-SA"/>
        </w:rPr>
        <w:t>在半成品仓库内建设</w:t>
      </w:r>
      <w:r>
        <w:rPr>
          <w:rFonts w:hint="default" w:ascii="Times New Roman" w:hAnsi="Times New Roman" w:eastAsia="仿宋" w:cs="Times New Roman"/>
          <w:sz w:val="32"/>
          <w:szCs w:val="32"/>
          <w:lang w:val="en-US" w:eastAsia="zh-CN" w:bidi="ar-SA"/>
        </w:rPr>
        <w:t>15m</w:t>
      </w:r>
      <w:r>
        <w:rPr>
          <w:rFonts w:hint="default" w:ascii="Times New Roman" w:hAnsi="Times New Roman" w:eastAsia="仿宋" w:cs="Times New Roman"/>
          <w:sz w:val="32"/>
          <w:szCs w:val="32"/>
          <w:vertAlign w:val="superscript"/>
          <w:lang w:val="en-US" w:eastAsia="zh-CN" w:bidi="ar-SA"/>
        </w:rPr>
        <w:t>2</w:t>
      </w:r>
      <w:r>
        <w:rPr>
          <w:rFonts w:hint="eastAsia" w:ascii="Times New Roman" w:hAnsi="Times New Roman" w:eastAsia="仿宋" w:cs="Times New Roman"/>
          <w:sz w:val="32"/>
          <w:szCs w:val="32"/>
          <w:vertAlign w:val="baseline"/>
          <w:lang w:val="en-US" w:eastAsia="zh-CN" w:bidi="ar-SA"/>
        </w:rPr>
        <w:t>的</w:t>
      </w:r>
      <w:r>
        <w:rPr>
          <w:rFonts w:hint="eastAsia" w:ascii="Times New Roman" w:hAnsi="Times New Roman" w:eastAsia="仿宋" w:cs="Times New Roman"/>
          <w:sz w:val="32"/>
          <w:szCs w:val="32"/>
          <w:lang w:val="en-US" w:eastAsia="zh-CN" w:bidi="ar-SA"/>
        </w:rPr>
        <w:t>一般工业固废暂存间，贮存过程应满足相应的防渗漏、防雨淋、防扬尘等环保措施要求；生活垃圾分类收集交当地环卫部门处置；</w:t>
      </w:r>
      <w:r>
        <w:rPr>
          <w:rFonts w:hint="default" w:ascii="Times New Roman" w:hAnsi="Times New Roman" w:eastAsia="仿宋" w:cs="Times New Roman"/>
          <w:sz w:val="32"/>
          <w:szCs w:val="32"/>
          <w:lang w:val="en-US" w:eastAsia="zh-CN" w:bidi="ar-SA"/>
        </w:rPr>
        <w:t>危险废物优先采用桶装加盖密封盛装，其他无法桶装的危废用防漏胶袋密封盛装</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eastAsia="zh-CN" w:bidi="ar-SA"/>
        </w:rPr>
        <w:t>暂存于</w:t>
      </w:r>
      <w:r>
        <w:rPr>
          <w:rFonts w:hint="eastAsia" w:ascii="Times New Roman" w:hAnsi="Times New Roman" w:eastAsia="仿宋" w:cs="Times New Roman"/>
          <w:sz w:val="32"/>
          <w:szCs w:val="32"/>
          <w:lang w:val="en-US" w:eastAsia="zh-CN" w:bidi="ar-SA"/>
        </w:rPr>
        <w:t>危废贮存库</w:t>
      </w:r>
      <w:r>
        <w:rPr>
          <w:rFonts w:hint="default" w:ascii="Times New Roman" w:hAnsi="Times New Roman" w:eastAsia="仿宋" w:cs="Times New Roman"/>
          <w:sz w:val="32"/>
          <w:szCs w:val="32"/>
          <w:lang w:val="en-US" w:eastAsia="zh-CN" w:bidi="ar-SA"/>
        </w:rPr>
        <w:t>，定期交有危废处理资质的单位处置</w:t>
      </w:r>
      <w:r>
        <w:rPr>
          <w:rFonts w:hint="eastAsia" w:ascii="Times New Roman" w:hAnsi="Times New Roman" w:eastAsia="仿宋" w:cs="Times New Roman"/>
          <w:sz w:val="32"/>
          <w:szCs w:val="32"/>
          <w:lang w:val="en-US" w:eastAsia="zh-CN" w:bidi="ar-SA"/>
        </w:rPr>
        <w:t>。危废贮存库布设在半成品仓库内，建筑面积约</w:t>
      </w:r>
      <w:r>
        <w:rPr>
          <w:rFonts w:hint="default" w:ascii="Times New Roman" w:hAnsi="Times New Roman" w:eastAsia="仿宋" w:cs="Times New Roman"/>
          <w:sz w:val="32"/>
          <w:szCs w:val="32"/>
          <w:lang w:val="en-US" w:eastAsia="zh-CN" w:bidi="ar-SA"/>
        </w:rPr>
        <w:t>15m</w:t>
      </w:r>
      <w:r>
        <w:rPr>
          <w:rFonts w:hint="default" w:ascii="Times New Roman" w:hAnsi="Times New Roman" w:eastAsia="仿宋" w:cs="Times New Roman"/>
          <w:sz w:val="32"/>
          <w:szCs w:val="32"/>
          <w:vertAlign w:val="superscript"/>
          <w:lang w:val="en-US" w:eastAsia="zh-CN" w:bidi="ar-SA"/>
        </w:rPr>
        <w:t>2</w:t>
      </w:r>
      <w:r>
        <w:rPr>
          <w:rFonts w:hint="eastAsia" w:ascii="Times New Roman" w:hAnsi="Times New Roman" w:eastAsia="仿宋" w:cs="Times New Roman"/>
          <w:sz w:val="32"/>
          <w:szCs w:val="32"/>
          <w:lang w:val="en-US" w:eastAsia="zh-CN" w:bidi="ar-SA"/>
        </w:rPr>
        <w:t>，按《危险废物贮存污染控制标准》（</w:t>
      </w:r>
      <w:r>
        <w:rPr>
          <w:rFonts w:hint="default" w:ascii="Times New Roman" w:hAnsi="Times New Roman" w:eastAsia="仿宋" w:cs="Times New Roman"/>
          <w:sz w:val="32"/>
          <w:szCs w:val="32"/>
          <w:lang w:val="en-US" w:eastAsia="zh-CN" w:bidi="ar-SA"/>
        </w:rPr>
        <w:t>GB18597-2023</w:t>
      </w:r>
      <w:r>
        <w:rPr>
          <w:rFonts w:hint="eastAsia" w:ascii="Times New Roman" w:hAnsi="Times New Roman" w:eastAsia="仿宋" w:cs="Times New Roman"/>
          <w:sz w:val="32"/>
          <w:szCs w:val="32"/>
          <w:lang w:val="en-US" w:eastAsia="zh-CN" w:bidi="ar-SA"/>
        </w:rPr>
        <w:t>）设置。</w:t>
      </w:r>
    </w:p>
    <w:p>
      <w:pPr>
        <w:pStyle w:val="9"/>
        <w:keepNext w:val="0"/>
        <w:keepLines w:val="0"/>
        <w:pageBreakBefore w:val="0"/>
        <w:widowControl/>
        <w:kinsoku/>
        <w:wordWrap/>
        <w:overflowPunct/>
        <w:topLinePunct w:val="0"/>
        <w:autoSpaceDE/>
        <w:autoSpaceDN/>
        <w:bidi w:val="0"/>
        <w:adjustRightInd/>
        <w:snapToGrid w:val="0"/>
        <w:spacing w:after="0" w:line="594" w:lineRule="atLeas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w:t>
      </w:r>
      <w:r>
        <w:rPr>
          <w:rFonts w:hint="eastAsia" w:ascii="Times New Roman" w:hAnsi="Times New Roman" w:eastAsia="仿宋" w:cs="Times New Roman"/>
          <w:sz w:val="32"/>
          <w:szCs w:val="32"/>
          <w:lang w:val="en-US" w:eastAsia="zh-CN" w:bidi="ar-SA"/>
        </w:rPr>
        <w:t>五</w:t>
      </w:r>
      <w:r>
        <w:rPr>
          <w:rFonts w:hint="default" w:ascii="Times New Roman" w:hAnsi="Times New Roman" w:eastAsia="仿宋" w:cs="Times New Roman"/>
          <w:sz w:val="32"/>
          <w:szCs w:val="32"/>
          <w:lang w:val="en-US" w:eastAsia="zh-CN" w:bidi="ar-SA"/>
        </w:rPr>
        <w:t>）</w:t>
      </w:r>
      <w:r>
        <w:rPr>
          <w:rFonts w:hint="eastAsia" w:ascii="Times New Roman" w:hAnsi="Times New Roman" w:eastAsia="仿宋" w:cs="Times New Roman"/>
          <w:sz w:val="32"/>
          <w:szCs w:val="32"/>
          <w:lang w:val="en-US" w:eastAsia="zh-CN" w:bidi="ar-SA"/>
        </w:rPr>
        <w:t>严格</w:t>
      </w:r>
      <w:r>
        <w:rPr>
          <w:rFonts w:hint="default" w:ascii="Times New Roman" w:hAnsi="Times New Roman" w:eastAsia="仿宋" w:cs="Times New Roman"/>
          <w:sz w:val="32"/>
          <w:szCs w:val="32"/>
          <w:lang w:val="en-US" w:eastAsia="zh-CN" w:bidi="ar-SA"/>
        </w:rPr>
        <w:t>环境风险</w:t>
      </w:r>
      <w:r>
        <w:rPr>
          <w:rFonts w:hint="eastAsia" w:ascii="Times New Roman" w:hAnsi="Times New Roman" w:eastAsia="仿宋" w:cs="Times New Roman"/>
          <w:sz w:val="32"/>
          <w:szCs w:val="32"/>
          <w:lang w:val="en-US" w:eastAsia="zh-CN" w:bidi="ar-SA"/>
        </w:rPr>
        <w:t>防范</w:t>
      </w:r>
      <w:r>
        <w:rPr>
          <w:rFonts w:hint="default" w:ascii="Times New Roman" w:hAnsi="Times New Roman" w:eastAsia="仿宋" w:cs="Times New Roman"/>
          <w:sz w:val="32"/>
          <w:szCs w:val="32"/>
          <w:lang w:val="en-US" w:eastAsia="zh-CN" w:bidi="ar-SA"/>
        </w:rPr>
        <w:t>。</w:t>
      </w:r>
      <w:r>
        <w:rPr>
          <w:rFonts w:hint="eastAsia" w:ascii="Times New Roman" w:hAnsi="Times New Roman" w:eastAsia="仿宋" w:cs="Times New Roman"/>
          <w:sz w:val="32"/>
          <w:szCs w:val="32"/>
          <w:lang w:val="en-US" w:eastAsia="zh-CN" w:bidi="ar-SA"/>
        </w:rPr>
        <w:t>危化品</w:t>
      </w:r>
      <w:r>
        <w:rPr>
          <w:rFonts w:hint="default" w:ascii="Times New Roman" w:hAnsi="Times New Roman" w:eastAsia="仿宋" w:cs="Times New Roman"/>
          <w:sz w:val="32"/>
          <w:szCs w:val="32"/>
          <w:lang w:val="en-US" w:eastAsia="zh-CN" w:bidi="ar-SA"/>
        </w:rPr>
        <w:t>原料</w:t>
      </w:r>
      <w:r>
        <w:rPr>
          <w:rFonts w:hint="eastAsia" w:ascii="Times New Roman" w:hAnsi="Times New Roman" w:eastAsia="仿宋" w:cs="Times New Roman"/>
          <w:sz w:val="32"/>
          <w:szCs w:val="32"/>
          <w:lang w:val="en-US" w:eastAsia="zh-CN" w:bidi="ar-SA"/>
        </w:rPr>
        <w:t>须</w:t>
      </w:r>
      <w:r>
        <w:rPr>
          <w:rFonts w:hint="default" w:ascii="Times New Roman" w:hAnsi="Times New Roman" w:eastAsia="仿宋" w:cs="Times New Roman"/>
          <w:sz w:val="32"/>
          <w:szCs w:val="32"/>
          <w:lang w:val="en-US" w:eastAsia="zh-CN" w:bidi="ar-SA"/>
        </w:rPr>
        <w:t>储存在危化品仓库，不同原料分类、分区存放，地面防渗处理，液态物质储存区设置堵截泄漏的裙脚，防止风险物质泄漏渗入地下或漫流通过排水沟进入地表水。</w:t>
      </w:r>
      <w:r>
        <w:rPr>
          <w:rFonts w:hint="eastAsia" w:ascii="Times New Roman" w:hAnsi="Times New Roman" w:eastAsia="仿宋" w:cs="Times New Roman"/>
          <w:sz w:val="32"/>
          <w:szCs w:val="32"/>
          <w:lang w:val="en-US" w:eastAsia="zh-CN" w:bidi="ar-SA"/>
        </w:rPr>
        <w:t>危废贮存库须</w:t>
      </w:r>
      <w:r>
        <w:rPr>
          <w:rFonts w:hint="default" w:ascii="Times New Roman" w:hAnsi="Times New Roman" w:eastAsia="仿宋" w:cs="Times New Roman"/>
          <w:sz w:val="32"/>
          <w:szCs w:val="32"/>
          <w:lang w:val="en-US" w:eastAsia="zh-CN" w:bidi="ar-SA"/>
        </w:rPr>
        <w:t>符合《危险废物贮存污染控制标准》（</w:t>
      </w:r>
      <w:r>
        <w:rPr>
          <w:rFonts w:hint="eastAsia" w:ascii="Times New Roman" w:hAnsi="Times New Roman" w:eastAsia="仿宋" w:cs="Times New Roman"/>
          <w:sz w:val="32"/>
          <w:szCs w:val="32"/>
          <w:lang w:val="en-US" w:eastAsia="zh-CN" w:bidi="ar-SA"/>
        </w:rPr>
        <w:t>GB18597-2023</w:t>
      </w:r>
      <w:r>
        <w:rPr>
          <w:rFonts w:hint="default" w:ascii="Times New Roman" w:hAnsi="Times New Roman" w:eastAsia="仿宋" w:cs="Times New Roman"/>
          <w:sz w:val="32"/>
          <w:szCs w:val="32"/>
          <w:lang w:val="en-US" w:eastAsia="zh-CN" w:bidi="ar-SA"/>
        </w:rPr>
        <w:t>），满足</w:t>
      </w:r>
      <w:r>
        <w:rPr>
          <w:rFonts w:hint="eastAsia" w:ascii="Times New Roman" w:hAnsi="Times New Roman" w:eastAsia="仿宋" w:cs="Times New Roman"/>
          <w:sz w:val="32"/>
          <w:szCs w:val="32"/>
          <w:lang w:val="en-US" w:eastAsia="zh-CN" w:bidi="ar-SA"/>
        </w:rPr>
        <w:t>“</w:t>
      </w:r>
      <w:r>
        <w:rPr>
          <w:rFonts w:hint="eastAsia" w:ascii="Times New Roman" w:hAnsi="Times New Roman" w:eastAsia="仿宋" w:cs="Times New Roman"/>
          <w:sz w:val="32"/>
          <w:szCs w:val="32"/>
          <w:lang w:val="en-US" w:eastAsia="zh-CN"/>
        </w:rPr>
        <w:t>防风、防晒、防雨、防漏、防渗、防腐</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eastAsia="zh-CN" w:bidi="ar-SA"/>
        </w:rPr>
        <w:t>要求。不同种类危险废物采用专用容器分类存放，不</w:t>
      </w:r>
      <w:r>
        <w:rPr>
          <w:rFonts w:hint="eastAsia" w:ascii="Times New Roman" w:hAnsi="Times New Roman" w:eastAsia="仿宋" w:cs="Times New Roman"/>
          <w:sz w:val="32"/>
          <w:szCs w:val="32"/>
          <w:lang w:val="en-US" w:eastAsia="zh-CN" w:bidi="ar-SA"/>
        </w:rPr>
        <w:t>得</w:t>
      </w:r>
      <w:r>
        <w:rPr>
          <w:rFonts w:hint="default" w:ascii="Times New Roman" w:hAnsi="Times New Roman" w:eastAsia="仿宋" w:cs="Times New Roman"/>
          <w:sz w:val="32"/>
          <w:szCs w:val="32"/>
          <w:lang w:val="en-US" w:eastAsia="zh-CN" w:bidi="ar-SA"/>
        </w:rPr>
        <w:t>混合贮存</w:t>
      </w:r>
      <w:r>
        <w:rPr>
          <w:rFonts w:hint="eastAsia" w:ascii="Times New Roman" w:hAnsi="Times New Roman" w:eastAsia="仿宋" w:cs="Times New Roman"/>
          <w:sz w:val="32"/>
          <w:szCs w:val="32"/>
          <w:lang w:val="en-US" w:eastAsia="zh-CN" w:bidi="ar-SA"/>
        </w:rPr>
        <w:t>。</w:t>
      </w:r>
      <w:r>
        <w:rPr>
          <w:rFonts w:hint="default" w:ascii="Times New Roman" w:hAnsi="Times New Roman" w:eastAsia="仿宋" w:cs="Times New Roman"/>
          <w:sz w:val="32"/>
          <w:szCs w:val="32"/>
          <w:lang w:val="en-US" w:eastAsia="zh-CN" w:bidi="ar-SA"/>
        </w:rPr>
        <w:t>严格执行《建筑设计防火规范》（GB50016-2006）、《建筑灭火器配置设计规范》（GB50140－2005）、《爆炸和火灾危险环境电力设计规范》（GB50058-92）</w:t>
      </w:r>
      <w:r>
        <w:rPr>
          <w:rFonts w:hint="eastAsia" w:ascii="Times New Roman" w:hAnsi="Times New Roman" w:eastAsia="仿宋" w:cs="Times New Roman"/>
          <w:sz w:val="32"/>
          <w:szCs w:val="32"/>
          <w:lang w:val="en-US" w:eastAsia="zh-CN" w:bidi="ar-SA"/>
        </w:rPr>
        <w:t>有关规定</w:t>
      </w:r>
      <w:r>
        <w:rPr>
          <w:rFonts w:hint="default" w:ascii="Times New Roman" w:hAnsi="Times New Roman" w:eastAsia="仿宋" w:cs="Times New Roman"/>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三、项目建设必须严格执行环境保护设施与主体工程同时设计、同时施工、同时投入使用的环境保护</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三同时</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制度。项目环保投资应纳入工程投资概算并予以落实。项目投运前，</w:t>
      </w:r>
      <w:r>
        <w:rPr>
          <w:rFonts w:hint="eastAsia" w:ascii="Times New Roman" w:hAnsi="Times New Roman" w:eastAsia="仿宋" w:cs="Times New Roman"/>
          <w:sz w:val="32"/>
          <w:szCs w:val="32"/>
          <w:lang w:val="en-US" w:eastAsia="zh-CN"/>
        </w:rPr>
        <w:t>严格落实排污许可证管理相关规定；</w:t>
      </w:r>
      <w:r>
        <w:rPr>
          <w:rFonts w:hint="default" w:ascii="Times New Roman" w:hAnsi="Times New Roman" w:eastAsia="仿宋" w:cs="Times New Roman"/>
          <w:sz w:val="32"/>
          <w:szCs w:val="32"/>
          <w:lang w:val="en-US" w:eastAsia="zh-CN"/>
        </w:rPr>
        <w:t>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sz w:val="32"/>
          <w:szCs w:val="32"/>
          <w:lang w:val="en-US" w:eastAsia="zh-CN" w:bidi="ar-SA"/>
        </w:rPr>
        <w:t>5</w:t>
      </w:r>
      <w:r>
        <w:rPr>
          <w:rFonts w:hint="default" w:ascii="Times New Roman" w:hAnsi="Times New Roman" w:eastAsia="仿宋" w:cs="Times New Roman"/>
          <w:sz w:val="32"/>
          <w:szCs w:val="32"/>
          <w:lang w:val="en-US" w:eastAsia="zh-CN" w:bidi="ar-SA"/>
        </w:rPr>
        <w:t>年方决定该项目开工建设的，其环境影响评价文件应当报我局重新审核。</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五、请奉节县生态环境保护综合行政执法支队负责该项目环境保护日常监督管理工作。</w:t>
      </w: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p>
    <w:p>
      <w:pPr>
        <w:pStyle w:val="9"/>
        <w:keepNext w:val="0"/>
        <w:keepLines w:val="0"/>
        <w:pageBreakBefore w:val="0"/>
        <w:widowControl w:val="0"/>
        <w:kinsoku/>
        <w:wordWrap/>
        <w:overflowPunct/>
        <w:topLinePunct w:val="0"/>
        <w:autoSpaceDE/>
        <w:autoSpaceDN/>
        <w:bidi w:val="0"/>
        <w:adjustRightInd/>
        <w:snapToGrid/>
        <w:spacing w:beforeAutospacing="0" w:after="0" w:line="594" w:lineRule="exact"/>
        <w:ind w:firstLine="640" w:firstLineChars="200"/>
        <w:textAlignment w:val="auto"/>
        <w:rPr>
          <w:rFonts w:hint="default" w:ascii="Times New Roman" w:hAnsi="Times New Roman" w:eastAsia="仿宋" w:cs="Times New Roman"/>
          <w:sz w:val="32"/>
          <w:szCs w:val="32"/>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1760" w:rightChars="800"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pPr>
        <w:widowControl/>
        <w:spacing w:line="594" w:lineRule="exact"/>
        <w:ind w:firstLine="288" w:firstLineChars="100"/>
        <w:rPr>
          <w:rFonts w:hint="eastAsia" w:ascii="方正仿宋_GBK" w:eastAsia="方正仿宋_GBK"/>
        </w:rPr>
      </w:pPr>
      <w:r>
        <w:rPr>
          <w:rFonts w:ascii="方正仿宋_GBK" w:eastAsia="方正仿宋_GBK"/>
          <w:w w:val="90"/>
          <w:sz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468630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5pt;margin-top:36.9pt;height:0pt;width:450pt;z-index:251659264;mso-width-relative:page;mso-height-relative:page;" filled="f" stroked="t" coordsize="21600,21600" o:gfxdata="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hMNQAAAAHAQAADwAAAAAA&#10;AAABACAAAAAiAAAAZHJzL2Rvd25yZXYueG1sUEsBAhQAFAAAAAgAh07iQHCcgLDeAQAApAMAAA4A&#10;AAAAAAAAAQAgAAAAIwEAAGRycy9lMm9Eb2MueG1sUEsFBgAAAAAGAAYAWQEAAHM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bCs/>
          <w:spacing w:val="-11"/>
          <w:w w:val="90"/>
          <w:kern w:val="0"/>
          <w:sz w:val="28"/>
          <w:szCs w:val="28"/>
          <w:u w:val="none"/>
        </w:rPr>
        <w:t>抄送：奉节县生态环境保护综合行政执法支队，重庆开达环保集团有限公司。</w:t>
      </w:r>
      <w:bookmarkEnd w:id="1"/>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150A6E08"/>
    <w:rsid w:val="29433ACA"/>
    <w:rsid w:val="2A5D42F9"/>
    <w:rsid w:val="2ACA48B3"/>
    <w:rsid w:val="37350A07"/>
    <w:rsid w:val="3A591CB0"/>
    <w:rsid w:val="3EA63039"/>
    <w:rsid w:val="42AC5F14"/>
    <w:rsid w:val="486B3EBB"/>
    <w:rsid w:val="4D707186"/>
    <w:rsid w:val="4E8A40F8"/>
    <w:rsid w:val="6B1A7B0C"/>
    <w:rsid w:val="6E106D46"/>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2024-04-15T09:31:33Z</cp:lastPrinted>
  <dcterms:modified xsi:type="dcterms:W3CDTF">2024-04-15T09:45:10Z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