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b w:val="0"/>
          <w:bCs w:val="0"/>
          <w:color w:val="auto"/>
          <w:sz w:val="44"/>
          <w:szCs w:val="44"/>
          <w:shd w:val="clear" w:color="auto" w:fill="FFFFFF"/>
          <w:lang w:val="en-US" w:eastAsia="zh-CN" w:bidi="ar"/>
        </w:rPr>
      </w:pPr>
      <w:r>
        <w:rPr>
          <w:rFonts w:hint="default" w:ascii="Times New Roman" w:hAnsi="Times New Roman" w:eastAsia="方正小标宋_GBK" w:cs="Times New Roman"/>
          <w:b w:val="0"/>
          <w:bCs w:val="0"/>
          <w:color w:val="auto"/>
          <w:sz w:val="44"/>
          <w:szCs w:val="44"/>
          <w:shd w:val="clear" w:color="auto" w:fill="FFFFFF"/>
          <w:lang w:val="en-US" w:eastAsia="zh-CN" w:bidi="ar"/>
        </w:rPr>
        <w:t>奉节县乡村振兴局</w:t>
      </w:r>
    </w:p>
    <w:p>
      <w:pPr>
        <w:spacing w:line="600" w:lineRule="exact"/>
        <w:ind w:firstLine="880" w:firstLineChars="200"/>
        <w:jc w:val="center"/>
        <w:rPr>
          <w:rFonts w:hint="default" w:ascii="Times New Roman" w:hAnsi="Times New Roman" w:eastAsia="方正小标宋_GBK" w:cs="Times New Roman"/>
          <w:b w:val="0"/>
          <w:bCs w:val="0"/>
          <w:i w:val="0"/>
          <w:iCs w:val="0"/>
          <w:caps w:val="0"/>
          <w:color w:val="auto"/>
          <w:spacing w:val="0"/>
          <w:kern w:val="0"/>
          <w:sz w:val="44"/>
          <w:szCs w:val="44"/>
          <w:u w:val="none"/>
          <w:shd w:val="clear" w:color="auto" w:fill="FFFFFF"/>
          <w:lang w:val="en-US" w:eastAsia="zh-CN" w:bidi="ar"/>
        </w:rPr>
      </w:pPr>
      <w:r>
        <w:rPr>
          <w:rFonts w:hint="default" w:ascii="Times New Roman" w:hAnsi="Times New Roman" w:eastAsia="方正小标宋_GBK" w:cs="Times New Roman"/>
          <w:b w:val="0"/>
          <w:bCs w:val="0"/>
          <w:i w:val="0"/>
          <w:iCs w:val="0"/>
          <w:caps w:val="0"/>
          <w:color w:val="auto"/>
          <w:spacing w:val="0"/>
          <w:kern w:val="0"/>
          <w:sz w:val="44"/>
          <w:szCs w:val="44"/>
          <w:u w:val="none"/>
          <w:shd w:val="clear" w:color="auto" w:fill="FFFFFF"/>
          <w:lang w:val="en-US" w:eastAsia="zh-CN" w:bidi="ar"/>
        </w:rPr>
        <w:t>部门整体支出预算绩效自评报告</w:t>
      </w:r>
    </w:p>
    <w:p>
      <w:pPr>
        <w:pStyle w:val="5"/>
        <w:ind w:firstLine="640"/>
        <w:rPr>
          <w:rFonts w:hint="default" w:ascii="Times New Roman" w:hAnsi="Times New Roman" w:cs="Times New Roman"/>
          <w:lang w:val="en-US" w:eastAsia="zh-CN"/>
        </w:rPr>
      </w:pP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w:t>
      </w:r>
      <w:r>
        <w:rPr>
          <w:rFonts w:hint="default" w:ascii="Times New Roman" w:hAnsi="Times New Roman" w:eastAsia="方正黑体_GBK" w:cs="Times New Roman"/>
          <w:b w:val="0"/>
          <w:bCs w:val="0"/>
          <w:sz w:val="32"/>
          <w:szCs w:val="32"/>
          <w:lang w:eastAsia="zh-CN"/>
        </w:rPr>
        <w:t>单位</w:t>
      </w:r>
      <w:r>
        <w:rPr>
          <w:rFonts w:hint="default" w:ascii="Times New Roman" w:hAnsi="Times New Roman" w:eastAsia="方正黑体_GBK" w:cs="Times New Roman"/>
          <w:b w:val="0"/>
          <w:bCs w:val="0"/>
          <w:sz w:val="32"/>
          <w:szCs w:val="32"/>
        </w:rPr>
        <w:t>概况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（一）职能职责。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奉节县乡村振兴局由奉节县扶贫开发办公室重组，目前职能职责未发生变化</w:t>
      </w:r>
      <w:r>
        <w:rPr>
          <w:rFonts w:hint="eastAsia" w:cs="Times New Roman"/>
          <w:color w:val="auto"/>
          <w:sz w:val="32"/>
          <w:szCs w:val="32"/>
          <w:lang w:val="en-US" w:eastAsia="zh-CN"/>
        </w:rPr>
        <w:t>，继续延用之前奉节县扶贫开发办公室三定方案</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1、贯彻执行扶贫开发的法律、法规、规章和方针政策，负责全县扶贫开发工作的统筹协调、服务指导和监督管理工作。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拟订全县扶贫开发发展战略、发展规划、政策措施、目标任务、年度计划和目标考核，经批准后组织实施；参与拟订涉及贫困地区经济社会发展的政策和规划；负责全县扶贫项目的策划、论证、评审、立项、备案及扶贫开发项目库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3、负责扶贫项目资金争取，承担扶贫资金、物资的管理和分配、扶贫项目建设和资金使用监督管理；负责贫困村村级互助资金和扶贫小额贷款的监管；负责牵头组织对扶贫资金使用的绩效评估。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4、配合因国家扶贫政策投入的惠农资金、社会帮扶捐赠资金的规划实施；负责跨地区、跨行业扶贫开发项目的组织协调工作。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5、组织开展整村推进、扶贫移民、产业扶贫、科技信息扶贫、光伏扶贫、电商扶贫、贫困地区人力资源开发工作，推进片区扶贫开发，开展贫困地区干部有关扶贫政策和扶贫开发的培训工作。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6、负责扶贫开发情况的统计和动态监测；负责全县扶贫信息工作；负责全县扶贫信息平台建设与管理工作；负责扶贫开发宣传工作。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7、负责与中央国家机关、市外对口扶贫单位、重庆市级有关单位在扶贫开发方面的联系、交流和协调工作；负责中央国家机关、市外对口扶贫单位、市级部门和市属以上企事业单位开展的对口扶贫工作；统筹协调、监督奉节县县属机关、企事业单位的对口帮扶工作；负责组织发动社会爱心人士结对帮扶贫困户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8、负责全县性扶贫开发涉外工作。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9、承办县政府交办的其他事项。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lang w:eastAsia="zh-CN"/>
        </w:rPr>
        <w:t>机构设置。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sz w:val="32"/>
          <w:lang w:eastAsia="zh-CN"/>
        </w:rPr>
      </w:pPr>
      <w:r>
        <w:rPr>
          <w:rFonts w:hint="default" w:ascii="Times New Roman" w:hAnsi="Times New Roman" w:eastAsia="方正仿宋_GBK" w:cs="Times New Roman"/>
          <w:b w:val="0"/>
          <w:bCs w:val="0"/>
          <w:color w:val="auto"/>
          <w:sz w:val="32"/>
          <w:lang w:eastAsia="zh-CN"/>
        </w:rPr>
        <w:t>根据《关于调整奉节县扶贫开发办公室职能配置、内设机构和人员编制的通知》县乡村振兴局设综合科、计划项目科、资金监管科、社会扶贫科4个内设机构。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单位构成。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奉节县乡村振兴局属县政府组成部门，行政单位；下设两个事业单位，奉节县扶贫发展中心、</w:t>
      </w:r>
      <w:r>
        <w:rPr>
          <w:rFonts w:hint="default" w:ascii="Times New Roman" w:hAnsi="Times New Roman" w:eastAsia="方正仿宋_GBK" w:cs="Times New Roman"/>
          <w:color w:val="auto"/>
          <w:sz w:val="32"/>
          <w:szCs w:val="32"/>
          <w:lang w:val="en-US" w:eastAsia="zh-CN"/>
        </w:rPr>
        <w:t>奉节县扶贫监测信息中心</w:t>
      </w:r>
      <w:r>
        <w:rPr>
          <w:rFonts w:hint="default" w:ascii="Times New Roman" w:hAnsi="Times New Roman" w:eastAsia="方正仿宋_GBK" w:cs="Times New Roman"/>
          <w:color w:val="auto"/>
          <w:sz w:val="32"/>
          <w:szCs w:val="32"/>
          <w:lang w:eastAsia="zh-CN"/>
        </w:rPr>
        <w:t>；事业单位与扶贫办合署办公，事业单位没有单独预算。奉节县</w:t>
      </w:r>
      <w:r>
        <w:rPr>
          <w:rFonts w:hint="eastAsia" w:cs="Times New Roman"/>
          <w:color w:val="auto"/>
          <w:sz w:val="32"/>
          <w:szCs w:val="32"/>
          <w:lang w:eastAsia="zh-CN"/>
        </w:rPr>
        <w:t>乡村振兴局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在职人员共24人；其中行政编制12人，机关工勤1人，事业单位工作人员11名。</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w:t>
      </w:r>
      <w:r>
        <w:rPr>
          <w:rFonts w:hint="eastAsia" w:ascii="楷体_GB2312" w:hAnsi="仿宋" w:eastAsia="楷体_GB2312"/>
          <w:b/>
          <w:sz w:val="32"/>
          <w:szCs w:val="32"/>
          <w:lang w:eastAsia="zh-CN"/>
        </w:rPr>
        <w:t>四</w:t>
      </w:r>
      <w:r>
        <w:rPr>
          <w:rFonts w:hint="eastAsia" w:ascii="楷体_GB2312" w:hAnsi="仿宋" w:eastAsia="楷体_GB2312"/>
          <w:b/>
          <w:sz w:val="32"/>
          <w:szCs w:val="32"/>
        </w:rPr>
        <w:t>）当年取得的主要事业成效。</w:t>
      </w:r>
    </w:p>
    <w:p>
      <w:pPr>
        <w:keepNext w:val="0"/>
        <w:keepLines w:val="0"/>
        <w:pageBreakBefore w:val="0"/>
        <w:numPr>
          <w:ilvl w:val="0"/>
          <w:numId w:val="0"/>
        </w:numPr>
        <w:kinsoku/>
        <w:wordWrap/>
        <w:topLinePunct w:val="0"/>
        <w:bidi w:val="0"/>
        <w:spacing w:line="560" w:lineRule="exact"/>
        <w:ind w:firstLine="640" w:firstLineChars="200"/>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2312" w:cs="Times New Roman"/>
          <w:color w:val="000000"/>
          <w:kern w:val="2"/>
          <w:sz w:val="32"/>
          <w:szCs w:val="32"/>
          <w:lang w:val="en-US" w:eastAsia="zh-CN" w:bidi="ar-SA"/>
        </w:rPr>
        <w:t>一年以来，乡村振兴局全体干部职工凝心聚力、</w:t>
      </w:r>
      <w:r>
        <w:rPr>
          <w:rFonts w:hint="default" w:ascii="Times New Roman" w:hAnsi="Times New Roman" w:eastAsia="方正仿宋_GBK" w:cs="Times New Roman"/>
          <w:color w:val="000000"/>
          <w:kern w:val="0"/>
          <w:sz w:val="32"/>
          <w:szCs w:val="32"/>
          <w:lang w:val="en-US" w:eastAsia="zh-CN" w:bidi="ar"/>
        </w:rPr>
        <w:t>任劳任怨，真抓实干，埋头苦干，各项工作取得了显著成效。在巩固脱贫攻坚成果市级中期评估全市14个重点区县中排名第5；在“推进乡村治理体系建设试点、示范村镇创建等健全乡村治理体系工作措施有力、效果明显，形成可复制、可推广经验”事项中获市政府办公厅督查激励，并给予180万元资金奖励支持；通过鲁渝协作消费平台已销售奉节农特产品达1.3亿元，位居全市前列，“万吨奉节脐橙进山东”消费帮扶成效，被国家发改委评选为全国消费帮扶助力乡村振兴典型案例；</w:t>
      </w:r>
      <w:r>
        <w:rPr>
          <w:rFonts w:hint="default" w:ascii="Times New Roman" w:hAnsi="Times New Roman" w:eastAsia="方正仿宋_GBK" w:cs="Times New Roman"/>
          <w:kern w:val="2"/>
          <w:sz w:val="32"/>
          <w:szCs w:val="32"/>
          <w:lang w:val="en-US" w:eastAsia="zh-CN" w:bidi="ar"/>
        </w:rPr>
        <w:t>建成就业帮扶车间107个（完成认定92个、正在认定15个），全市第一；《重庆奉节：“四步工作法”扎实推进“大走访大排查大整改”行动》《重庆奉节：“五四工作法”提升乡村治理能力》《重庆奉节：构建“四大体系”、压实工作责任，强力推进巩固拓展脱贫攻坚成果同乡村振兴有效衔接工作落地见效》3篇经验材料</w:t>
      </w:r>
      <w:r>
        <w:rPr>
          <w:rFonts w:hint="default" w:ascii="Times New Roman" w:hAnsi="Times New Roman" w:eastAsia="方正仿宋_GBK" w:cs="Times New Roman"/>
          <w:color w:val="000000"/>
          <w:sz w:val="32"/>
          <w:szCs w:val="32"/>
          <w:u w:val="none" w:color="auto"/>
          <w:lang w:val="en-US" w:eastAsia="zh-CN"/>
        </w:rPr>
        <w:t>在《重庆乡村振兴专报》刊登；邱容同志、陈俞霖同志荣获重庆市贫困地区重大专项普查（调查）先进个人荣誉称号。</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二、整体支出管理及使用情况</w:t>
      </w:r>
    </w:p>
    <w:p>
      <w:pPr>
        <w:pageBreakBefore w:val="0"/>
        <w:kinsoku/>
        <w:wordWrap/>
        <w:overflowPunct/>
        <w:topLinePunct w:val="0"/>
        <w:bidi w:val="0"/>
        <w:snapToGrid w:val="0"/>
        <w:spacing w:line="520" w:lineRule="exact"/>
        <w:ind w:left="0" w:leftChars="0" w:right="0" w:rightChars="0" w:firstLine="640" w:firstLine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（一）收入支出预算安排情况。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2022年度收入4385.35万元，支出4385.35万元，收支较上年增加2553.16万元，增加幅度为139.35%，主要原因是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pageBreakBefore w:val="0"/>
        <w:kinsoku/>
        <w:wordWrap/>
        <w:overflowPunct/>
        <w:topLinePunct w:val="0"/>
        <w:bidi w:val="0"/>
        <w:snapToGrid w:val="0"/>
        <w:spacing w:line="520" w:lineRule="exact"/>
        <w:ind w:left="0" w:leftChars="0" w:right="0" w:rightChars="0" w:firstLine="640" w:firstLine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（二）收入支出预算执行情况。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2022年度收入4385.35万元，支出4385.35万元，收支较上年增加2553.16万元，增加幅度为139.35%，主要原因是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1．收入支出与预算对比分析。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2022年年初预算数为505.77万元，年末决算数为4385.35万元。决算数比预算数增加了3879.58万元，主要原因是项目经费3301.74万元和驻乡驻村人员乡镇工作补贴未纳入年初预算。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2．收入支出结构分析。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（1）2022年收入4385.35万元，其中一般公共预算年财政预算拨款收入为4385.35万元，占比100%。2022年共支出4385.35元，其中基本支出1083.61万元，占比24.71%；项目支出3301.74万元，占比75.29%。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（2）2022年收入4385.35万元，2021年收入1832.19万元，2022年较2021年收入增加2553.16万元，增幅139.35%，主要原因是</w:t>
      </w:r>
      <w:r>
        <w:rPr>
          <w:rFonts w:hint="eastAsia" w:ascii="方正仿宋_GBK" w:hAnsi="方正仿宋_GBK" w:eastAsia="方正仿宋_GBK" w:cs="方正仿宋_GBK"/>
          <w:bCs/>
          <w:color w:val="auto"/>
          <w:sz w:val="32"/>
          <w:szCs w:val="32"/>
          <w:lang w:eastAsia="zh-CN"/>
        </w:rPr>
        <w:t>本年度增加较多项目在本单位，如资助参保、厕所改造、干部培训等</w:t>
      </w:r>
      <w:r>
        <w:rPr>
          <w:rFonts w:hint="eastAsia" w:ascii="Times New Roman" w:hAnsi="Times New Roman" w:eastAsia="方正仿宋_GBK" w:cs="Times New Roman"/>
          <w:color w:val="auto"/>
          <w:kern w:val="0"/>
          <w:sz w:val="32"/>
          <w:szCs w:val="32"/>
          <w:lang w:val="en-US" w:eastAsia="zh-CN" w:bidi="ar-SA"/>
        </w:rPr>
        <w:t>。</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3．支出按经济分类科目分析。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（1）“三公”经费支出情况：本年三公经费支出9.80万元，与上年基本持平。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（2）会议费支出情况：会议费支出1.2万元，比上年增加0.62万元，原因是上年因为疫情无大型会议，本年度有召开干部大会研究部署巩固拓展脱贫攻坚成果相关工作。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（3）培训费支出情况：培训费669.73万元， 比上年增加668.07万元，增幅40291.54%，主要本年度培训费项目列支有培训费，上年度无培训费项目。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（4）其他对单位影响较大的支出情况：全县400余名驻乡驻村工作队员乡镇工作补贴699.91万元在单位基本支出中列支。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（5）无其他重点经济分类支出中存在的问题及改进措施。</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4.财政拨款收入、支出分析。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根据报表项目分析财政拨款收入、支出情况，支出要按照基本支出和项目支出分析具体构成及特点。基本支出2022年总计1083.61万元，其中人员经费988.86万元（包含驻乡驻村工作队员乡镇工作补贴699.91万元），公用经费94.75万元，项目支出3301.74万元。</w:t>
      </w:r>
    </w:p>
    <w:p>
      <w:pPr>
        <w:snapToGrid w:val="0"/>
        <w:spacing w:line="52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5.非财政拨款收入分析。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根据报表项目分析非财政拨款收入情况，按照事业收入、经营收入和其他收入等分析具体构成和特点。无</w:t>
      </w:r>
    </w:p>
    <w:p>
      <w:pPr>
        <w:snapToGrid w:val="0"/>
        <w:spacing w:line="520" w:lineRule="exact"/>
        <w:ind w:firstLine="643" w:firstLineChars="200"/>
        <w:rPr>
          <w:rFonts w:ascii="楷体_GB2312" w:hAnsi="仿宋" w:eastAsia="楷体_GB2312"/>
          <w:b/>
          <w:color w:val="auto"/>
          <w:sz w:val="32"/>
          <w:szCs w:val="32"/>
        </w:rPr>
      </w:pPr>
      <w:r>
        <w:rPr>
          <w:rFonts w:hint="eastAsia" w:ascii="楷体_GB2312" w:hAnsi="仿宋" w:eastAsia="楷体_GB2312"/>
          <w:b/>
          <w:color w:val="auto"/>
          <w:sz w:val="32"/>
          <w:szCs w:val="32"/>
        </w:rPr>
        <w:t>（三）年末结转和结余情况。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1．根据报表项目分财政拨款结转结余和非财政拨款结转结余分析年末结转结余总体情况。按照资金来源、资金性质分析，特别是项目经费结转和结余情况。无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2．消化结转和结余的对策。无</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三、整体支出绩效情况</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财务管理制度建设情况：</w:t>
      </w:r>
      <w:r>
        <w:rPr>
          <w:rFonts w:hint="default" w:ascii="Times New Roman" w:hAnsi="Times New Roman" w:cs="Times New Roman"/>
          <w:sz w:val="32"/>
          <w:szCs w:val="32"/>
          <w:lang w:val="en-US" w:eastAsia="zh-CN"/>
        </w:rPr>
        <w:t>县</w:t>
      </w:r>
      <w:r>
        <w:rPr>
          <w:rFonts w:hint="eastAsia" w:cs="Times New Roman"/>
          <w:sz w:val="32"/>
          <w:szCs w:val="32"/>
          <w:lang w:val="en-US" w:eastAsia="zh-CN"/>
        </w:rPr>
        <w:t>乡村振兴局</w:t>
      </w:r>
      <w:r>
        <w:rPr>
          <w:rFonts w:hint="default" w:ascii="Times New Roman" w:hAnsi="Times New Roman" w:cs="Times New Roman"/>
          <w:sz w:val="32"/>
          <w:szCs w:val="32"/>
          <w:lang w:val="en-US" w:eastAsia="zh-CN"/>
        </w:rPr>
        <w:t>严守财经纪律，财务管理制度齐全。</w:t>
      </w:r>
      <w:r>
        <w:rPr>
          <w:rFonts w:hint="default" w:ascii="Times New Roman" w:hAnsi="Times New Roman" w:eastAsia="方正仿宋_GBK" w:cs="Times New Roman"/>
          <w:color w:val="auto"/>
          <w:sz w:val="32"/>
          <w:szCs w:val="32"/>
        </w:rPr>
        <w:t>资金拨付严格按程序申报、审批，合理合规使用资金，确保财政资金安全。</w:t>
      </w:r>
    </w:p>
    <w:p>
      <w:pPr>
        <w:keepNext w:val="0"/>
        <w:keepLines w:val="0"/>
        <w:pageBreakBefore w:val="0"/>
        <w:widowControl w:val="0"/>
        <w:numPr>
          <w:ilvl w:val="0"/>
          <w:numId w:val="0"/>
        </w:numPr>
        <w:tabs>
          <w:tab w:val="left" w:pos="6765"/>
        </w:tabs>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资产管理：</w:t>
      </w:r>
      <w:r>
        <w:rPr>
          <w:rFonts w:hint="default" w:ascii="Times New Roman" w:hAnsi="Times New Roman" w:eastAsia="方正仿宋_GBK" w:cs="Times New Roman"/>
          <w:color w:val="000000"/>
          <w:kern w:val="0"/>
          <w:sz w:val="32"/>
          <w:szCs w:val="32"/>
          <w:lang w:val="en-US" w:eastAsia="zh-CN"/>
        </w:rPr>
        <w:t>所有固定资产都建立了固定资产明细台账，登</w:t>
      </w:r>
      <w:r>
        <w:rPr>
          <w:rFonts w:hint="default" w:ascii="Times New Roman" w:hAnsi="Times New Roman" w:eastAsia="方正仿宋_GBK" w:cs="Times New Roman"/>
          <w:kern w:val="0"/>
          <w:sz w:val="32"/>
          <w:szCs w:val="32"/>
        </w:rPr>
        <w:t>记固定资产卡片。新增固定资产及时登记台账、资产卡片及财务账。</w:t>
      </w:r>
      <w:r>
        <w:rPr>
          <w:rFonts w:hint="default" w:ascii="Times New Roman" w:hAnsi="Times New Roman" w:eastAsia="方正仿宋_GBK" w:cs="Times New Roman"/>
          <w:kern w:val="0"/>
          <w:sz w:val="32"/>
          <w:szCs w:val="32"/>
          <w:lang w:val="en-US" w:eastAsia="zh-CN"/>
        </w:rPr>
        <w:t>定期进行固定资产清理，对</w:t>
      </w:r>
      <w:r>
        <w:rPr>
          <w:rFonts w:hint="default" w:ascii="Times New Roman" w:hAnsi="Times New Roman" w:eastAsia="方正仿宋_GBK" w:cs="Times New Roman"/>
          <w:kern w:val="0"/>
          <w:sz w:val="32"/>
          <w:szCs w:val="32"/>
        </w:rPr>
        <w:t>固定资产转让、变卖、报废销号等</w:t>
      </w:r>
      <w:r>
        <w:rPr>
          <w:rFonts w:hint="default" w:ascii="Times New Roman" w:hAnsi="Times New Roman" w:eastAsia="方正仿宋_GBK" w:cs="Times New Roman"/>
          <w:kern w:val="0"/>
          <w:sz w:val="32"/>
          <w:szCs w:val="32"/>
          <w:lang w:val="en-US" w:eastAsia="zh-CN"/>
        </w:rPr>
        <w:t>按照程序</w:t>
      </w:r>
      <w:r>
        <w:rPr>
          <w:rFonts w:hint="default" w:ascii="Times New Roman" w:hAnsi="Times New Roman" w:eastAsia="方正仿宋_GBK" w:cs="Times New Roman"/>
          <w:kern w:val="0"/>
          <w:sz w:val="32"/>
          <w:szCs w:val="32"/>
        </w:rPr>
        <w:t>报县</w:t>
      </w:r>
      <w:r>
        <w:rPr>
          <w:rFonts w:hint="eastAsia" w:cs="Times New Roman"/>
          <w:kern w:val="0"/>
          <w:sz w:val="32"/>
          <w:szCs w:val="32"/>
          <w:lang w:eastAsia="zh-CN"/>
        </w:rPr>
        <w:t>乡村振兴局</w:t>
      </w:r>
      <w:r>
        <w:rPr>
          <w:rFonts w:hint="default" w:ascii="Times New Roman" w:hAnsi="Times New Roman" w:eastAsia="方正仿宋_GBK" w:cs="Times New Roman"/>
          <w:kern w:val="0"/>
          <w:sz w:val="32"/>
          <w:szCs w:val="32"/>
        </w:rPr>
        <w:t>审核，县国资管理中心审批后实施。</w:t>
      </w:r>
    </w:p>
    <w:p>
      <w:pPr>
        <w:ind w:firstLine="640" w:firstLineChars="200"/>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预决算公开：</w:t>
      </w:r>
      <w:r>
        <w:rPr>
          <w:rFonts w:hint="default" w:ascii="Times New Roman" w:hAnsi="Times New Roman" w:cs="Times New Roman"/>
          <w:color w:val="auto"/>
          <w:sz w:val="32"/>
          <w:szCs w:val="32"/>
          <w:lang w:val="en-US" w:eastAsia="zh-CN"/>
        </w:rPr>
        <w:t>按时按要求在</w:t>
      </w:r>
      <w:r>
        <w:rPr>
          <w:rFonts w:hint="default" w:ascii="Times New Roman" w:hAnsi="Times New Roman" w:eastAsia="方正仿宋_GBK" w:cs="Times New Roman"/>
          <w:color w:val="auto"/>
          <w:sz w:val="32"/>
          <w:szCs w:val="32"/>
        </w:rPr>
        <w:t>县人民政府门户网站上进行了预决算公开。</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（四）</w:t>
      </w:r>
      <w:bookmarkStart w:id="0" w:name="_GoBack"/>
      <w:bookmarkEnd w:id="0"/>
      <w:r>
        <w:rPr>
          <w:rFonts w:hint="eastAsia" w:cs="Times New Roman"/>
          <w:sz w:val="32"/>
          <w:szCs w:val="32"/>
          <w:lang w:eastAsia="zh-CN"/>
        </w:rPr>
        <w:t>“三公”经费</w:t>
      </w:r>
      <w:r>
        <w:rPr>
          <w:rFonts w:hint="default" w:ascii="Times New Roman" w:hAnsi="Times New Roman" w:eastAsia="方正仿宋_GBK" w:cs="Times New Roman"/>
          <w:sz w:val="32"/>
          <w:szCs w:val="32"/>
        </w:rPr>
        <w:t>控制情况：</w:t>
      </w:r>
      <w:r>
        <w:rPr>
          <w:rFonts w:hint="default" w:ascii="Times New Roman" w:hAnsi="Times New Roman" w:eastAsia="方正仿宋_GBK" w:cs="Times New Roman"/>
          <w:color w:val="auto"/>
          <w:sz w:val="32"/>
          <w:szCs w:val="32"/>
        </w:rPr>
        <w:t>严格遵守各项规章制度，严控“三公”经费支出，</w:t>
      </w:r>
      <w:r>
        <w:rPr>
          <w:rFonts w:hint="eastAsia" w:cs="Times New Roman"/>
          <w:color w:val="auto"/>
          <w:sz w:val="32"/>
          <w:szCs w:val="32"/>
          <w:lang w:eastAsia="zh-CN"/>
        </w:rPr>
        <w:t>“三公”经费</w:t>
      </w:r>
      <w:r>
        <w:rPr>
          <w:rFonts w:hint="default" w:ascii="Times New Roman" w:hAnsi="Times New Roman" w:cs="Times New Roman"/>
          <w:color w:val="auto"/>
          <w:sz w:val="32"/>
          <w:szCs w:val="32"/>
          <w:lang w:val="en-US" w:eastAsia="zh-CN"/>
        </w:rPr>
        <w:t>逐年</w:t>
      </w:r>
      <w:r>
        <w:rPr>
          <w:rFonts w:hint="default" w:ascii="Times New Roman" w:hAnsi="Times New Roman" w:eastAsia="方正仿宋_GBK" w:cs="Times New Roman"/>
          <w:color w:val="auto"/>
          <w:sz w:val="32"/>
          <w:szCs w:val="32"/>
        </w:rPr>
        <w:t>减少，并及时在县人民政府门户网站上对“三公”经费情况进行公示。</w:t>
      </w:r>
    </w:p>
    <w:p>
      <w:pPr>
        <w:keepNext w:val="0"/>
        <w:keepLines w:val="0"/>
        <w:pageBreakBefore w:val="0"/>
        <w:widowControl w:val="0"/>
        <w:numPr>
          <w:ilvl w:val="0"/>
          <w:numId w:val="0"/>
        </w:numPr>
        <w:tabs>
          <w:tab w:val="left" w:pos="6765"/>
        </w:tabs>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（五）政府采购情况：</w:t>
      </w:r>
      <w:r>
        <w:rPr>
          <w:rFonts w:hint="default" w:ascii="Times New Roman" w:hAnsi="Times New Roman" w:eastAsia="方正仿宋_GBK" w:cs="Times New Roman"/>
          <w:kern w:val="0"/>
          <w:sz w:val="32"/>
          <w:szCs w:val="32"/>
          <w:lang w:val="en-US" w:eastAsia="zh-CN"/>
        </w:rPr>
        <w:t>政府采购按照相关程序报送县政府审批后实施。</w:t>
      </w:r>
    </w:p>
    <w:p>
      <w:pPr>
        <w:numPr>
          <w:ilvl w:val="0"/>
          <w:numId w:val="2"/>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认真履行职责</w:t>
      </w:r>
      <w:r>
        <w:rPr>
          <w:rFonts w:hint="default" w:ascii="Times New Roman" w:hAnsi="Times New Roman" w:eastAsia="方正仿宋_GBK" w:cs="Times New Roman"/>
          <w:sz w:val="32"/>
          <w:szCs w:val="32"/>
          <w:lang w:eastAsia="zh-CN"/>
        </w:rPr>
        <w:t>情况：</w:t>
      </w:r>
      <w:r>
        <w:rPr>
          <w:rFonts w:hint="default" w:ascii="Times New Roman" w:hAnsi="Times New Roman" w:cs="Times New Roman"/>
          <w:sz w:val="32"/>
          <w:szCs w:val="32"/>
          <w:lang w:val="en-US" w:eastAsia="zh-CN"/>
        </w:rPr>
        <w:t>认真开展202</w:t>
      </w:r>
      <w:r>
        <w:rPr>
          <w:rFonts w:hint="eastAsia" w:cs="Times New Roman"/>
          <w:sz w:val="32"/>
          <w:szCs w:val="32"/>
          <w:lang w:val="en-US" w:eastAsia="zh-CN"/>
        </w:rPr>
        <w:t>2</w:t>
      </w:r>
      <w:r>
        <w:rPr>
          <w:rFonts w:hint="default" w:ascii="Times New Roman" w:hAnsi="Times New Roman" w:cs="Times New Roman"/>
          <w:sz w:val="32"/>
          <w:szCs w:val="32"/>
          <w:lang w:val="en-US" w:eastAsia="zh-CN"/>
        </w:rPr>
        <w:t>年度预决算工作，严控财务收支，认真开展项目绩效评价等工作。</w:t>
      </w:r>
    </w:p>
    <w:p>
      <w:pPr>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rPr>
        <w:t>评价结论</w:t>
      </w:r>
      <w:r>
        <w:rPr>
          <w:rFonts w:hint="default" w:ascii="Times New Roman" w:hAnsi="Times New Roman" w:eastAsia="方正黑体_GBK" w:cs="Times New Roman"/>
          <w:b w:val="0"/>
          <w:bCs w:val="0"/>
          <w:sz w:val="32"/>
          <w:szCs w:val="32"/>
          <w:lang w:eastAsia="zh-CN"/>
        </w:rPr>
        <w:t>及分析</w:t>
      </w:r>
    </w:p>
    <w:p>
      <w:pPr>
        <w:numPr>
          <w:ilvl w:val="0"/>
          <w:numId w:val="0"/>
        </w:numPr>
        <w:ind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通过认真开展单位整体支出绩效目标自评，综合评分91.</w:t>
      </w:r>
      <w:r>
        <w:rPr>
          <w:rFonts w:hint="eastAsia" w:eastAsia="仿宋_GB2312" w:cs="Times New Roman"/>
          <w:i w:val="0"/>
          <w:iCs w:val="0"/>
          <w:caps w:val="0"/>
          <w:color w:val="000000"/>
          <w:spacing w:val="0"/>
          <w:sz w:val="32"/>
          <w:szCs w:val="32"/>
          <w:lang w:val="en-US" w:eastAsia="zh-CN"/>
        </w:rPr>
        <w:t>9</w:t>
      </w:r>
      <w:r>
        <w:rPr>
          <w:rFonts w:hint="default" w:ascii="Times New Roman" w:hAnsi="Times New Roman" w:eastAsia="仿宋_GB2312" w:cs="Times New Roman"/>
          <w:i w:val="0"/>
          <w:iCs w:val="0"/>
          <w:caps w:val="0"/>
          <w:color w:val="000000"/>
          <w:spacing w:val="0"/>
          <w:sz w:val="32"/>
          <w:szCs w:val="32"/>
          <w:lang w:val="en-US" w:eastAsia="zh-CN"/>
        </w:rPr>
        <w:t>分，评价结果为</w:t>
      </w:r>
      <w:r>
        <w:rPr>
          <w:rFonts w:hint="default" w:ascii="Times New Roman" w:hAnsi="Times New Roman" w:eastAsia="仿宋_GB2312" w:cs="Times New Roman"/>
          <w:i w:val="0"/>
          <w:iCs w:val="0"/>
          <w:caps w:val="0"/>
          <w:color w:val="auto"/>
          <w:spacing w:val="0"/>
          <w:sz w:val="32"/>
          <w:szCs w:val="32"/>
          <w:lang w:val="en-US" w:eastAsia="zh-CN"/>
        </w:rPr>
        <w:t>优</w:t>
      </w:r>
      <w:r>
        <w:rPr>
          <w:rFonts w:hint="default" w:ascii="Times New Roman" w:hAnsi="Times New Roman" w:eastAsia="仿宋_GB2312" w:cs="Times New Roman"/>
          <w:i w:val="0"/>
          <w:iCs w:val="0"/>
          <w:caps w:val="0"/>
          <w:color w:val="000000"/>
          <w:spacing w:val="0"/>
          <w:sz w:val="32"/>
          <w:szCs w:val="32"/>
          <w:lang w:val="en-US" w:eastAsia="zh-CN"/>
        </w:rPr>
        <w:t>。</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（一）经济性分析</w:t>
      </w:r>
    </w:p>
    <w:p>
      <w:pPr>
        <w:numPr>
          <w:ilvl w:val="0"/>
          <w:numId w:val="0"/>
        </w:numPr>
        <w:ind w:firstLine="640" w:firstLineChars="200"/>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执行绩效评价体系，从以下几个方面提升了我单位的绩效工作：</w:t>
      </w:r>
      <w:r>
        <w:rPr>
          <w:rFonts w:hint="default" w:ascii="Times New Roman" w:hAnsi="Times New Roman" w:eastAsia="仿宋_GB2312" w:cs="Times New Roman"/>
          <w:i w:val="0"/>
          <w:iCs w:val="0"/>
          <w:caps w:val="0"/>
          <w:color w:val="auto"/>
          <w:spacing w:val="0"/>
          <w:sz w:val="32"/>
          <w:szCs w:val="32"/>
          <w:lang w:val="en-US" w:eastAsia="zh-CN"/>
        </w:rPr>
        <w:t>一是要加大支出管理。严格执行公务接待、公车管理及差旅费、会议费管理，坚持厉行节约，努力降低财政运行成本。二是严格预算约束做好增收节支，极力控制非生产性支出，降低行政运行成本，严肃财经纪律，坚决反对铺张浪费。三是加强预算执行，建立健全财政资金使用管理办法，促进资金使用效益；四是积极化解存量债务，严控政府性债务风险。</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（二）效率性分析</w:t>
      </w:r>
    </w:p>
    <w:p>
      <w:pPr>
        <w:numPr>
          <w:ilvl w:val="0"/>
          <w:numId w:val="0"/>
        </w:numPr>
        <w:ind w:left="0" w:leftChars="0" w:firstLine="640" w:firstLineChars="200"/>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2022</w:t>
      </w:r>
      <w:r>
        <w:rPr>
          <w:rFonts w:hint="default" w:ascii="Times New Roman" w:hAnsi="Times New Roman" w:eastAsia="仿宋_GB2312" w:cs="Times New Roman"/>
          <w:i w:val="0"/>
          <w:iCs w:val="0"/>
          <w:caps w:val="0"/>
          <w:color w:val="000000"/>
          <w:spacing w:val="0"/>
          <w:sz w:val="32"/>
          <w:szCs w:val="32"/>
          <w:lang w:val="en-US" w:eastAsia="zh-CN"/>
        </w:rPr>
        <w:t>全年完成投入</w:t>
      </w:r>
      <w:r>
        <w:rPr>
          <w:rFonts w:hint="eastAsia" w:ascii="Times New Roman" w:hAnsi="Times New Roman" w:eastAsia="方正仿宋_GBK" w:cs="Times New Roman"/>
          <w:color w:val="auto"/>
          <w:kern w:val="0"/>
          <w:sz w:val="32"/>
          <w:szCs w:val="32"/>
          <w:lang w:val="en-US" w:eastAsia="zh-CN" w:bidi="ar-SA"/>
        </w:rPr>
        <w:t>共支出4385.35元，其中基本支出1083.61万元</w:t>
      </w:r>
      <w:r>
        <w:rPr>
          <w:rFonts w:hint="default" w:ascii="Times New Roman" w:hAnsi="Times New Roman" w:eastAsia="仿宋_GB2312" w:cs="Times New Roman"/>
          <w:i w:val="0"/>
          <w:iCs w:val="0"/>
          <w:caps w:val="0"/>
          <w:color w:val="000000"/>
          <w:spacing w:val="0"/>
          <w:sz w:val="32"/>
          <w:szCs w:val="32"/>
          <w:lang w:val="en-US" w:eastAsia="zh-CN"/>
        </w:rPr>
        <w:t>、</w:t>
      </w:r>
      <w:r>
        <w:rPr>
          <w:rFonts w:hint="eastAsia" w:ascii="Times New Roman" w:hAnsi="Times New Roman" w:eastAsia="方正仿宋_GBK" w:cs="Times New Roman"/>
          <w:color w:val="auto"/>
          <w:kern w:val="0"/>
          <w:sz w:val="32"/>
          <w:szCs w:val="32"/>
          <w:lang w:val="en-US" w:eastAsia="zh-CN" w:bidi="ar-SA"/>
        </w:rPr>
        <w:t>项目支出3301.74万元</w:t>
      </w:r>
      <w:r>
        <w:rPr>
          <w:rFonts w:hint="default" w:ascii="Times New Roman" w:hAnsi="Times New Roman" w:eastAsia="仿宋_GB2312" w:cs="Times New Roman"/>
          <w:i w:val="0"/>
          <w:iCs w:val="0"/>
          <w:caps w:val="0"/>
          <w:color w:val="000000"/>
          <w:spacing w:val="0"/>
          <w:sz w:val="32"/>
          <w:szCs w:val="32"/>
          <w:lang w:val="en-US" w:eastAsia="zh-CN"/>
        </w:rPr>
        <w:t>万元。对项目支出开展绩效评价，提高了资金的使用效率。</w:t>
      </w:r>
    </w:p>
    <w:p>
      <w:pPr>
        <w:numPr>
          <w:ilvl w:val="0"/>
          <w:numId w:val="0"/>
        </w:numPr>
        <w:ind w:left="640" w:leftChars="0"/>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（三）效益性分析</w:t>
      </w:r>
    </w:p>
    <w:p>
      <w:pPr>
        <w:numPr>
          <w:ilvl w:val="0"/>
          <w:numId w:val="0"/>
        </w:numPr>
        <w:ind w:firstLine="640" w:firstLineChars="200"/>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202</w:t>
      </w:r>
      <w:r>
        <w:rPr>
          <w:rFonts w:hint="eastAsia"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val="en-US" w:eastAsia="zh-CN"/>
        </w:rPr>
        <w:t>年，我单位的绩效评价工作在县委县政府的坚强领导下，在县财政局的监督指导下，在社会各界的大力支持下，深入挖掘增收潜力，坚持稳增长、调结构、促改革、惠民生、防风险，各项支出得到较好保障。</w:t>
      </w:r>
    </w:p>
    <w:p>
      <w:pPr>
        <w:ind w:firstLine="640" w:firstLineChars="20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五、存在的问题</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因财务人员水平有限，对预算编制文件理解不够透彻，对基本支出预算分类不够准确，</w:t>
      </w:r>
      <w:r>
        <w:rPr>
          <w:rFonts w:hint="default" w:ascii="Times New Roman" w:hAnsi="Times New Roman" w:eastAsia="方正仿宋_GBK" w:cs="Times New Roman"/>
          <w:color w:val="auto"/>
          <w:sz w:val="32"/>
          <w:szCs w:val="32"/>
        </w:rPr>
        <w:t>在日常业务操作时容易出错。</w:t>
      </w:r>
    </w:p>
    <w:p>
      <w:pPr>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w:t>
      </w:r>
      <w:r>
        <w:rPr>
          <w:rFonts w:hint="default" w:ascii="Times New Roman" w:hAnsi="Times New Roman" w:cs="Times New Roman"/>
          <w:color w:val="auto"/>
          <w:sz w:val="32"/>
          <w:szCs w:val="32"/>
          <w:lang w:val="en-US" w:eastAsia="zh-CN"/>
        </w:rPr>
        <w:t>内控建设过程中，我们发现制度不够健全，如：预算管理，仅涉及到预算的编制及审批，对预算执行进行分析和评价不够，导致在实际运行过程中发生预算执行脱节现象。</w:t>
      </w:r>
    </w:p>
    <w:p>
      <w:pPr>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（三）因部分职能职责转移，造成群众满意度降低。</w:t>
      </w:r>
    </w:p>
    <w:p>
      <w:pPr>
        <w:ind w:firstLine="640" w:firstLineChars="20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六、改进措施和有关建议</w:t>
      </w:r>
    </w:p>
    <w:p>
      <w:pPr>
        <w:ind w:firstLine="640" w:firstLineChars="200"/>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cs="Times New Roman"/>
          <w:color w:val="auto"/>
          <w:sz w:val="32"/>
          <w:szCs w:val="32"/>
          <w:lang w:val="en-US" w:eastAsia="zh-CN"/>
        </w:rPr>
        <w:t>加强系统内控制度的建设，增强机构的管理意识，</w:t>
      </w:r>
      <w:r>
        <w:rPr>
          <w:rFonts w:hint="default" w:ascii="Times New Roman" w:hAnsi="Times New Roman" w:eastAsia="方正仿宋_GBK" w:cs="Times New Roman"/>
          <w:color w:val="auto"/>
          <w:sz w:val="32"/>
          <w:szCs w:val="32"/>
        </w:rPr>
        <w:t>细化预算编制工作，严格按照预算编制的相关制度和要求进行预算编制。</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eastAsia="zh-CN"/>
        </w:rPr>
        <w:t>（三）</w:t>
      </w:r>
      <w:r>
        <w:rPr>
          <w:rFonts w:hint="default" w:ascii="Times New Roman" w:hAnsi="Times New Roman" w:cs="Times New Roman"/>
          <w:color w:val="auto"/>
          <w:sz w:val="32"/>
          <w:szCs w:val="32"/>
          <w:lang w:val="en-US" w:eastAsia="zh-CN"/>
        </w:rPr>
        <w:t>强化与部门之间的沟通协调，确保巩固拓展脱贫攻坚成果同乡村振兴有效衔接工作顺利推进。</w:t>
      </w:r>
    </w:p>
    <w:p>
      <w:pPr>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附件：部门整体支出预算绩效自评表</w:t>
      </w:r>
    </w:p>
    <w:p>
      <w:pPr>
        <w:pStyle w:val="2"/>
        <w:ind w:left="5622" w:hanging="5622" w:hangingChars="2000"/>
        <w:rPr>
          <w:rFonts w:hint="default" w:ascii="Times New Roman" w:hAnsi="Times New Roman" w:cs="Times New Roman"/>
        </w:rPr>
      </w:pPr>
      <w:r>
        <w:rPr>
          <w:rFonts w:hint="eastAsia"/>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奉节县乡村振兴局</w:t>
      </w:r>
      <w:r>
        <w:rPr>
          <w:rFonts w:hint="default" w:ascii="Times New Roman" w:hAnsi="Times New Roman" w:eastAsia="方正仿宋_GBK" w:cs="Times New Roman"/>
          <w:b w:val="0"/>
          <w:bCs w:val="0"/>
          <w:color w:val="auto"/>
          <w:kern w:val="2"/>
          <w:sz w:val="32"/>
          <w:szCs w:val="32"/>
          <w:lang w:val="en-US" w:eastAsia="zh-CN" w:bidi="ar-SA"/>
        </w:rPr>
        <w:t>202</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年</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01A9C"/>
    <w:multiLevelType w:val="singleLevel"/>
    <w:tmpl w:val="AC501A9C"/>
    <w:lvl w:ilvl="0" w:tentative="0">
      <w:start w:val="2"/>
      <w:numFmt w:val="chineseCounting"/>
      <w:suff w:val="nothing"/>
      <w:lvlText w:val="（%1）"/>
      <w:lvlJc w:val="left"/>
      <w:rPr>
        <w:rFonts w:hint="eastAsia"/>
      </w:rPr>
    </w:lvl>
  </w:abstractNum>
  <w:abstractNum w:abstractNumId="1">
    <w:nsid w:val="F863CE5B"/>
    <w:multiLevelType w:val="singleLevel"/>
    <w:tmpl w:val="F863CE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DQ5MDFkNmU1MzdiNDQ4ZDUzZmI3MjUzOWRmNjIifQ=="/>
  </w:docVars>
  <w:rsids>
    <w:rsidRoot w:val="00000000"/>
    <w:rsid w:val="02235424"/>
    <w:rsid w:val="030B7015"/>
    <w:rsid w:val="03B10EED"/>
    <w:rsid w:val="04673CA2"/>
    <w:rsid w:val="07A82607"/>
    <w:rsid w:val="0A177FCD"/>
    <w:rsid w:val="0AD35BED"/>
    <w:rsid w:val="0B5A00BC"/>
    <w:rsid w:val="0D51729D"/>
    <w:rsid w:val="102D674A"/>
    <w:rsid w:val="103C4234"/>
    <w:rsid w:val="10501A8E"/>
    <w:rsid w:val="10C06C14"/>
    <w:rsid w:val="120D5E88"/>
    <w:rsid w:val="14132B6E"/>
    <w:rsid w:val="17005FBC"/>
    <w:rsid w:val="18671503"/>
    <w:rsid w:val="1BE37C5A"/>
    <w:rsid w:val="1C7B60E4"/>
    <w:rsid w:val="21E62252"/>
    <w:rsid w:val="2348066E"/>
    <w:rsid w:val="25E92311"/>
    <w:rsid w:val="279A1B15"/>
    <w:rsid w:val="286363AA"/>
    <w:rsid w:val="2B0F45C8"/>
    <w:rsid w:val="2B936FA7"/>
    <w:rsid w:val="2DA21723"/>
    <w:rsid w:val="2F9E416C"/>
    <w:rsid w:val="33A37FA3"/>
    <w:rsid w:val="362D7FF8"/>
    <w:rsid w:val="36372C24"/>
    <w:rsid w:val="3662094A"/>
    <w:rsid w:val="381256F7"/>
    <w:rsid w:val="38A74091"/>
    <w:rsid w:val="3AC32CD9"/>
    <w:rsid w:val="3B436748"/>
    <w:rsid w:val="3C4816E7"/>
    <w:rsid w:val="3C6B2713"/>
    <w:rsid w:val="3DB15B6F"/>
    <w:rsid w:val="3E1870CD"/>
    <w:rsid w:val="3F5D7BA0"/>
    <w:rsid w:val="40860A30"/>
    <w:rsid w:val="40C357E1"/>
    <w:rsid w:val="41D13F2D"/>
    <w:rsid w:val="42EB101F"/>
    <w:rsid w:val="436332AB"/>
    <w:rsid w:val="47363884"/>
    <w:rsid w:val="4E8F13F8"/>
    <w:rsid w:val="52AF3E17"/>
    <w:rsid w:val="52E55A8A"/>
    <w:rsid w:val="54E4023C"/>
    <w:rsid w:val="55287EB0"/>
    <w:rsid w:val="571406EC"/>
    <w:rsid w:val="575B47FA"/>
    <w:rsid w:val="59C363FA"/>
    <w:rsid w:val="5CE65A7D"/>
    <w:rsid w:val="61E15FB7"/>
    <w:rsid w:val="63EC6B88"/>
    <w:rsid w:val="65910993"/>
    <w:rsid w:val="65BA4B55"/>
    <w:rsid w:val="69A04061"/>
    <w:rsid w:val="6A246A40"/>
    <w:rsid w:val="6A815C41"/>
    <w:rsid w:val="6D4D4500"/>
    <w:rsid w:val="6D4D62AE"/>
    <w:rsid w:val="752B3379"/>
    <w:rsid w:val="75BA0348"/>
    <w:rsid w:val="7A4822D7"/>
    <w:rsid w:val="7B1D3764"/>
    <w:rsid w:val="7C977546"/>
    <w:rsid w:val="7CFC51CE"/>
    <w:rsid w:val="7D184B1F"/>
    <w:rsid w:val="7DA2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2805</Words>
  <Characters>3031</Characters>
  <Lines>0</Lines>
  <Paragraphs>0</Paragraphs>
  <TotalTime>17</TotalTime>
  <ScaleCrop>false</ScaleCrop>
  <LinksUpToDate>false</LinksUpToDate>
  <CharactersWithSpaces>3032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2022-05-28T11:38:00Z</dcterms:created>
  <dc:creator>kxdn</dc:creator>
  <cp:lastModifiedBy>Administrator</cp:lastModifiedBy>
  <cp:lastPrinted>2023-05-12T02:54:00Z</cp:lastPrinted>
  <dcterms:modified xsi:type="dcterms:W3CDTF">2024-12-24T07:29:56Z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E6E0574CD9E542E7B9FEA01EB3A3BDC9_13</vt:lpwstr>
  </property>
</Properties>
</file>