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79" w:lineRule="exact"/>
        <w:jc w:val="center"/>
        <w:rPr>
          <w:rFonts w:eastAsia="方正小标宋_GBK"/>
          <w:sz w:val="44"/>
          <w:szCs w:val="44"/>
        </w:rPr>
      </w:pPr>
      <w:bookmarkStart w:id="0" w:name="_Hlk35508978"/>
      <w:r>
        <w:rPr>
          <w:rFonts w:eastAsia="方正小标宋_GBK"/>
          <w:sz w:val="44"/>
          <w:szCs w:val="44"/>
        </w:rPr>
        <w:t>20</w:t>
      </w:r>
      <w:r>
        <w:rPr>
          <w:rFonts w:hint="eastAsia" w:eastAsia="方正小标宋_GBK"/>
          <w:sz w:val="44"/>
          <w:szCs w:val="44"/>
        </w:rPr>
        <w:t>2</w:t>
      </w:r>
      <w:r>
        <w:rPr>
          <w:rFonts w:hint="eastAsia" w:eastAsia="方正小标宋_GBK"/>
          <w:sz w:val="44"/>
          <w:szCs w:val="44"/>
          <w:lang w:val="en-US" w:eastAsia="zh-CN"/>
        </w:rPr>
        <w:t>2</w:t>
      </w:r>
      <w:r>
        <w:rPr>
          <w:rFonts w:eastAsia="方正小标宋_GBK"/>
          <w:sz w:val="44"/>
          <w:szCs w:val="44"/>
        </w:rPr>
        <w:t>年度</w:t>
      </w:r>
      <w:r>
        <w:rPr>
          <w:rFonts w:hint="eastAsia" w:eastAsia="方正小标宋_GBK"/>
          <w:sz w:val="44"/>
          <w:szCs w:val="44"/>
          <w:lang w:eastAsia="zh-CN"/>
        </w:rPr>
        <w:t>困难群众价格临时价格补贴</w:t>
      </w:r>
      <w:r>
        <w:rPr>
          <w:rFonts w:eastAsia="方正小标宋_GBK"/>
          <w:sz w:val="44"/>
          <w:szCs w:val="44"/>
        </w:rPr>
        <w:t>资金</w:t>
      </w:r>
    </w:p>
    <w:p>
      <w:pPr>
        <w:snapToGrid w:val="0"/>
        <w:spacing w:line="579" w:lineRule="exact"/>
        <w:jc w:val="center"/>
        <w:rPr>
          <w:rFonts w:eastAsia="方正小标宋_GBK"/>
          <w:sz w:val="44"/>
          <w:szCs w:val="44"/>
        </w:rPr>
      </w:pPr>
      <w:r>
        <w:rPr>
          <w:rFonts w:eastAsia="方正小标宋_GBK"/>
          <w:sz w:val="44"/>
          <w:szCs w:val="44"/>
        </w:rPr>
        <w:t>绩效自评报告</w:t>
      </w:r>
    </w:p>
    <w:bookmarkEnd w:id="0"/>
    <w:p>
      <w:pPr>
        <w:snapToGrid w:val="0"/>
        <w:spacing w:line="579" w:lineRule="exact"/>
        <w:jc w:val="center"/>
        <w:rPr>
          <w:szCs w:val="32"/>
        </w:rPr>
      </w:pPr>
    </w:p>
    <w:p>
      <w:pPr>
        <w:numPr>
          <w:ilvl w:val="0"/>
          <w:numId w:val="1"/>
        </w:numPr>
        <w:snapToGrid w:val="0"/>
        <w:spacing w:line="579" w:lineRule="exact"/>
        <w:ind w:firstLine="640" w:firstLineChars="200"/>
        <w:rPr>
          <w:rFonts w:eastAsia="方正黑体_GBK"/>
          <w:bCs/>
          <w:szCs w:val="32"/>
        </w:rPr>
      </w:pPr>
      <w:r>
        <w:rPr>
          <w:rFonts w:eastAsia="方正黑体_GBK"/>
          <w:bCs/>
          <w:szCs w:val="32"/>
        </w:rPr>
        <w:t>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绩效目标情况。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奉节县财政局《关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于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低收入困难群众价格临时补贴的通知》（奉节财社〔2022〕150号、奉节财社〔2022〕166号、奉节财社〔2022〕191号、奉节财社〔2022〕227号奉节财社〔2022〕156号、奉节财社〔2022〕165号、奉节财社〔2022〕192号、奉节财社〔2022〕229号），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共下达困难群众价</w:t>
      </w:r>
      <w:r>
        <w:rPr>
          <w:rFonts w:hint="eastAsia"/>
          <w:szCs w:val="32"/>
          <w:lang w:eastAsia="zh-CN"/>
        </w:rPr>
        <w:t>格临时补贴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519.75</w:t>
      </w:r>
      <w:r>
        <w:rPr>
          <w:rFonts w:hint="eastAsia"/>
          <w:szCs w:val="32"/>
          <w:lang w:val="en-US" w:eastAsia="zh-CN"/>
        </w:rPr>
        <w:t>万元，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在下达资金预算时同步下达了绩效目标。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（二）部门资金安排、分解下达预算和绩效目标情况。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（部门直接实施，无需分解）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jc w:val="both"/>
        <w:textAlignment w:val="auto"/>
        <w:outlineLvl w:val="9"/>
        <w:rPr>
          <w:szCs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202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年</w:t>
      </w:r>
      <w:r>
        <w:rPr>
          <w:rFonts w:hint="eastAsia" w:cs="Times New Roman"/>
          <w:color w:val="000000"/>
          <w:sz w:val="32"/>
          <w:szCs w:val="32"/>
          <w:lang w:eastAsia="zh-CN"/>
        </w:rPr>
        <w:t>下达城乡低保、特困、</w:t>
      </w:r>
      <w:r>
        <w:rPr>
          <w:rFonts w:hint="eastAsia"/>
          <w:szCs w:val="32"/>
        </w:rPr>
        <w:t>孤儿</w:t>
      </w:r>
      <w:r>
        <w:rPr>
          <w:rFonts w:hint="eastAsia"/>
          <w:szCs w:val="32"/>
          <w:lang w:eastAsia="zh-CN"/>
        </w:rPr>
        <w:t>（艾滋病病毒感染儿童）、</w:t>
      </w:r>
      <w:r>
        <w:rPr>
          <w:rFonts w:hint="eastAsia"/>
          <w:szCs w:val="32"/>
        </w:rPr>
        <w:t>实事无人抚养儿童</w:t>
      </w:r>
      <w:r>
        <w:rPr>
          <w:rFonts w:hint="eastAsia" w:cs="Times New Roman"/>
          <w:color w:val="000000"/>
          <w:sz w:val="32"/>
          <w:szCs w:val="32"/>
          <w:lang w:eastAsia="zh-CN"/>
        </w:rPr>
        <w:t>等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“困难群众</w:t>
      </w:r>
      <w:r>
        <w:rPr>
          <w:rFonts w:hint="eastAsia" w:cs="Times New Roman"/>
          <w:color w:val="000000"/>
          <w:sz w:val="32"/>
          <w:szCs w:val="32"/>
          <w:lang w:eastAsia="zh-CN"/>
        </w:rPr>
        <w:t>价格临时补贴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”专项资金，用于落实最低生活保障、特困人员救助供养、</w:t>
      </w:r>
      <w:r>
        <w:rPr>
          <w:rFonts w:hint="eastAsia"/>
          <w:szCs w:val="32"/>
        </w:rPr>
        <w:t>孤儿</w:t>
      </w:r>
      <w:r>
        <w:rPr>
          <w:rFonts w:hint="eastAsia"/>
          <w:szCs w:val="32"/>
          <w:lang w:eastAsia="zh-CN"/>
        </w:rPr>
        <w:t>（艾滋病病毒感染儿童）、</w:t>
      </w:r>
      <w:r>
        <w:rPr>
          <w:rFonts w:hint="eastAsia"/>
          <w:szCs w:val="32"/>
        </w:rPr>
        <w:t>实事无人抚养儿童</w:t>
      </w:r>
      <w:r>
        <w:rPr>
          <w:rFonts w:hint="eastAsia" w:cs="Times New Roman"/>
          <w:color w:val="000000"/>
          <w:sz w:val="32"/>
          <w:szCs w:val="32"/>
          <w:lang w:eastAsia="zh-CN"/>
        </w:rPr>
        <w:t>等价格临时补贴，以保障低收入困难群众基本生活不因物价上涨而降低。</w:t>
      </w:r>
    </w:p>
    <w:p>
      <w:pPr>
        <w:snapToGrid w:val="0"/>
        <w:spacing w:line="579" w:lineRule="exact"/>
        <w:ind w:firstLine="640" w:firstLineChars="200"/>
        <w:rPr>
          <w:rFonts w:eastAsia="方正黑体_GBK"/>
          <w:bCs/>
          <w:szCs w:val="32"/>
        </w:rPr>
      </w:pPr>
      <w:r>
        <w:rPr>
          <w:rFonts w:eastAsia="方正黑体_GBK"/>
          <w:bCs/>
          <w:szCs w:val="32"/>
        </w:rPr>
        <w:t>二、绩效目标完成情况分析</w:t>
      </w:r>
    </w:p>
    <w:p>
      <w:pPr>
        <w:snapToGrid w:val="0"/>
        <w:spacing w:line="579" w:lineRule="exact"/>
        <w:ind w:firstLine="640" w:firstLineChars="200"/>
        <w:outlineLvl w:val="0"/>
        <w:rPr>
          <w:szCs w:val="32"/>
        </w:rPr>
      </w:pPr>
      <w:r>
        <w:rPr>
          <w:rFonts w:eastAsia="方正楷体_GBK"/>
          <w:bCs/>
          <w:szCs w:val="32"/>
        </w:rPr>
        <w:t>（一）资金投入情况分析。</w:t>
      </w:r>
    </w:p>
    <w:p>
      <w:pPr>
        <w:snapToGrid w:val="0"/>
        <w:spacing w:line="579" w:lineRule="exact"/>
        <w:ind w:firstLine="640" w:firstLineChars="200"/>
        <w:outlineLvl w:val="0"/>
        <w:rPr>
          <w:rFonts w:hint="default" w:eastAsia="方正仿宋_GBK"/>
          <w:color w:val="333333"/>
          <w:szCs w:val="32"/>
          <w:lang w:val="en-US" w:eastAsia="zh-CN"/>
        </w:rPr>
      </w:pPr>
      <w:r>
        <w:rPr>
          <w:szCs w:val="32"/>
        </w:rPr>
        <w:t>1. 资金到位情况分析。</w:t>
      </w:r>
      <w:r>
        <w:rPr>
          <w:color w:val="333333"/>
          <w:szCs w:val="32"/>
        </w:rPr>
        <w:t>20</w:t>
      </w:r>
      <w:r>
        <w:rPr>
          <w:rFonts w:hint="eastAsia"/>
          <w:color w:val="333333"/>
          <w:szCs w:val="32"/>
        </w:rPr>
        <w:t>2</w:t>
      </w:r>
      <w:r>
        <w:rPr>
          <w:rFonts w:hint="eastAsia"/>
          <w:color w:val="333333"/>
          <w:szCs w:val="32"/>
          <w:lang w:val="en-US" w:eastAsia="zh-CN"/>
        </w:rPr>
        <w:t>2</w:t>
      </w:r>
      <w:r>
        <w:rPr>
          <w:color w:val="333333"/>
          <w:szCs w:val="32"/>
        </w:rPr>
        <w:t>年，财政安排我县</w:t>
      </w:r>
      <w:r>
        <w:rPr>
          <w:rFonts w:hint="eastAsia"/>
          <w:color w:val="333333"/>
          <w:szCs w:val="32"/>
          <w:lang w:eastAsia="zh-CN"/>
        </w:rPr>
        <w:t>困难群众价格临时补贴</w:t>
      </w:r>
      <w:r>
        <w:rPr>
          <w:color w:val="333333"/>
          <w:szCs w:val="32"/>
        </w:rPr>
        <w:t>保障经费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519.75</w:t>
      </w:r>
      <w:r>
        <w:rPr>
          <w:color w:val="333333"/>
          <w:szCs w:val="32"/>
        </w:rPr>
        <w:t>万元</w:t>
      </w:r>
      <w:r>
        <w:rPr>
          <w:rFonts w:hint="eastAsia"/>
          <w:color w:val="333333"/>
          <w:szCs w:val="32"/>
          <w:lang w:eastAsia="zh-CN"/>
        </w:rPr>
        <w:t>，实际到位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519.75</w:t>
      </w:r>
      <w:r>
        <w:rPr>
          <w:color w:val="333333"/>
          <w:szCs w:val="32"/>
        </w:rPr>
        <w:t>万元</w:t>
      </w:r>
      <w:r>
        <w:rPr>
          <w:rFonts w:hint="eastAsia"/>
          <w:color w:val="333333"/>
          <w:szCs w:val="32"/>
          <w:lang w:eastAsia="zh-CN"/>
        </w:rPr>
        <w:t>，</w:t>
      </w:r>
      <w:r>
        <w:rPr>
          <w:color w:val="333333"/>
          <w:szCs w:val="32"/>
        </w:rPr>
        <w:t>到位率100%</w:t>
      </w:r>
      <w:r>
        <w:rPr>
          <w:rFonts w:hint="eastAsia"/>
          <w:color w:val="333333"/>
          <w:szCs w:val="32"/>
          <w:lang w:val="en-US" w:eastAsia="zh-CN"/>
        </w:rPr>
        <w:t>。</w:t>
      </w:r>
    </w:p>
    <w:p>
      <w:pPr>
        <w:snapToGrid w:val="0"/>
        <w:spacing w:line="579" w:lineRule="exact"/>
        <w:ind w:firstLine="640" w:firstLineChars="200"/>
        <w:outlineLvl w:val="0"/>
        <w:rPr>
          <w:rFonts w:hint="eastAsia" w:eastAsia="方正仿宋_GBK"/>
          <w:color w:val="000000"/>
          <w:szCs w:val="32"/>
          <w:lang w:eastAsia="zh-CN"/>
        </w:rPr>
      </w:pPr>
      <w:r>
        <w:rPr>
          <w:szCs w:val="32"/>
        </w:rPr>
        <w:t>2. 资金使用情况分析。20</w:t>
      </w:r>
      <w:r>
        <w:rPr>
          <w:rFonts w:hint="eastAsia"/>
          <w:szCs w:val="32"/>
        </w:rPr>
        <w:t>2</w:t>
      </w:r>
      <w:r>
        <w:rPr>
          <w:rFonts w:hint="eastAsia"/>
          <w:szCs w:val="32"/>
          <w:lang w:val="en-US" w:eastAsia="zh-CN"/>
        </w:rPr>
        <w:t>2</w:t>
      </w:r>
      <w:r>
        <w:rPr>
          <w:szCs w:val="32"/>
        </w:rPr>
        <w:t>年本</w:t>
      </w:r>
      <w:r>
        <w:rPr>
          <w:color w:val="000000"/>
          <w:szCs w:val="32"/>
        </w:rPr>
        <w:t>项目实际支出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519.75</w:t>
      </w:r>
      <w:r>
        <w:rPr>
          <w:color w:val="333333"/>
          <w:szCs w:val="32"/>
        </w:rPr>
        <w:t>万元</w:t>
      </w:r>
      <w:r>
        <w:rPr>
          <w:color w:val="000000"/>
          <w:szCs w:val="32"/>
        </w:rPr>
        <w:t>万元，</w:t>
      </w:r>
      <w:r>
        <w:rPr>
          <w:color w:val="000000"/>
          <w:kern w:val="0"/>
          <w:szCs w:val="32"/>
        </w:rPr>
        <w:t>执行率</w:t>
      </w:r>
      <w:r>
        <w:rPr>
          <w:rFonts w:hint="eastAsia"/>
          <w:color w:val="000000"/>
          <w:szCs w:val="32"/>
        </w:rPr>
        <w:t>100</w:t>
      </w:r>
      <w:r>
        <w:rPr>
          <w:color w:val="000000"/>
          <w:szCs w:val="32"/>
        </w:rPr>
        <w:t>%</w:t>
      </w:r>
      <w:r>
        <w:rPr>
          <w:rFonts w:hint="eastAsia"/>
          <w:color w:val="000000"/>
          <w:szCs w:val="32"/>
          <w:lang w:eastAsia="zh-CN"/>
        </w:rPr>
        <w:t>。（其中孤儿及艾滋病病毒感染儿童和事实无人抚养儿童</w:t>
      </w:r>
      <w:r>
        <w:rPr>
          <w:rFonts w:hint="eastAsia"/>
          <w:color w:val="000000"/>
          <w:szCs w:val="32"/>
          <w:lang w:val="en-US" w:eastAsia="zh-CN"/>
        </w:rPr>
        <w:t>6.8万元；城乡低保439.2万元；特困人员73.75万元</w:t>
      </w:r>
      <w:r>
        <w:rPr>
          <w:rFonts w:hint="eastAsia"/>
          <w:color w:val="000000"/>
          <w:szCs w:val="32"/>
          <w:lang w:eastAsia="zh-CN"/>
        </w:rPr>
        <w:t>）。</w:t>
      </w:r>
    </w:p>
    <w:p>
      <w:pPr>
        <w:snapToGrid w:val="0"/>
        <w:spacing w:line="579" w:lineRule="exact"/>
        <w:ind w:firstLine="640" w:firstLineChars="200"/>
        <w:outlineLvl w:val="0"/>
        <w:rPr>
          <w:szCs w:val="32"/>
        </w:rPr>
      </w:pPr>
      <w:r>
        <w:rPr>
          <w:szCs w:val="32"/>
        </w:rPr>
        <w:t>3. 资金管理情况分析。</w:t>
      </w:r>
      <w:r>
        <w:rPr>
          <w:color w:val="333333"/>
          <w:szCs w:val="32"/>
        </w:rPr>
        <w:t>严格遵循专款专用</w:t>
      </w:r>
      <w:r>
        <w:rPr>
          <w:rFonts w:hint="eastAsia"/>
          <w:color w:val="333333"/>
          <w:szCs w:val="32"/>
        </w:rPr>
        <w:t>，</w:t>
      </w:r>
      <w:r>
        <w:rPr>
          <w:color w:val="333333"/>
          <w:szCs w:val="32"/>
        </w:rPr>
        <w:t>专项项目的申报严格按照市财政资金管理的要求进行，专项资金财政拨款到位后及时进行了项目开展和资金投入。</w:t>
      </w:r>
      <w:r>
        <w:rPr>
          <w:szCs w:val="32"/>
        </w:rPr>
        <w:tab/>
      </w:r>
    </w:p>
    <w:p>
      <w:pPr>
        <w:snapToGrid w:val="0"/>
        <w:spacing w:line="579" w:lineRule="exact"/>
        <w:ind w:firstLine="640" w:firstLineChars="200"/>
        <w:outlineLvl w:val="0"/>
        <w:rPr>
          <w:rFonts w:eastAsia="方正楷体_GBK"/>
          <w:bCs/>
          <w:szCs w:val="32"/>
        </w:rPr>
      </w:pPr>
      <w:r>
        <w:rPr>
          <w:rFonts w:eastAsia="方正楷体_GBK"/>
          <w:bCs/>
          <w:szCs w:val="32"/>
        </w:rPr>
        <w:t>（二）总体绩效目标完成情况分析。</w:t>
      </w:r>
    </w:p>
    <w:p>
      <w:pPr>
        <w:snapToGrid w:val="0"/>
        <w:spacing w:line="579" w:lineRule="exact"/>
        <w:ind w:firstLine="640" w:firstLineChars="200"/>
        <w:outlineLvl w:val="0"/>
        <w:rPr>
          <w:color w:val="FF0000"/>
          <w:szCs w:val="32"/>
        </w:rPr>
      </w:pPr>
      <w:r>
        <w:rPr>
          <w:rFonts w:hint="eastAsia"/>
          <w:color w:val="333333"/>
          <w:szCs w:val="32"/>
          <w:lang w:eastAsia="zh-CN"/>
        </w:rPr>
        <w:t>困难</w:t>
      </w:r>
      <w:r>
        <w:rPr>
          <w:rFonts w:hint="eastAsia"/>
          <w:color w:val="333333"/>
          <w:szCs w:val="32"/>
        </w:rPr>
        <w:t>基本生活得到切实保障</w:t>
      </w:r>
      <w:r>
        <w:rPr>
          <w:rFonts w:hint="eastAsia"/>
          <w:color w:val="333333"/>
          <w:szCs w:val="32"/>
          <w:lang w:eastAsia="zh-CN"/>
        </w:rPr>
        <w:t>，困难群众</w:t>
      </w:r>
      <w:r>
        <w:rPr>
          <w:rFonts w:hint="eastAsia"/>
          <w:color w:val="333333"/>
          <w:szCs w:val="32"/>
        </w:rPr>
        <w:t>保障标准与经济社会发展相适应</w:t>
      </w:r>
      <w:r>
        <w:rPr>
          <w:rFonts w:hint="eastAsia"/>
          <w:color w:val="333333"/>
          <w:szCs w:val="32"/>
          <w:lang w:eastAsia="zh-CN"/>
        </w:rPr>
        <w:t>，</w:t>
      </w:r>
      <w:r>
        <w:rPr>
          <w:rFonts w:hint="eastAsia"/>
          <w:color w:val="333333"/>
          <w:szCs w:val="32"/>
        </w:rPr>
        <w:t>资金发放及时高效</w:t>
      </w:r>
      <w:r>
        <w:rPr>
          <w:rFonts w:hint="eastAsia"/>
          <w:color w:val="333333"/>
          <w:szCs w:val="32"/>
          <w:lang w:eastAsia="zh-CN"/>
        </w:rPr>
        <w:t>，维护困难群众</w:t>
      </w:r>
      <w:r>
        <w:rPr>
          <w:rFonts w:hint="eastAsia"/>
          <w:color w:val="333333"/>
          <w:szCs w:val="32"/>
        </w:rPr>
        <w:t>合法权益，帮助体现党和政府对困难群众的关怀，</w:t>
      </w:r>
      <w:r>
        <w:rPr>
          <w:rFonts w:hint="eastAsia"/>
          <w:color w:val="333333"/>
          <w:szCs w:val="32"/>
          <w:lang w:eastAsia="zh-CN"/>
        </w:rPr>
        <w:t>确保困难群众生活不因物价上涨受影响，</w:t>
      </w:r>
      <w:r>
        <w:rPr>
          <w:rFonts w:hint="eastAsia"/>
          <w:color w:val="333333"/>
          <w:szCs w:val="32"/>
        </w:rPr>
        <w:t>全年目标实际完成与</w:t>
      </w:r>
      <w:r>
        <w:rPr>
          <w:color w:val="333333"/>
          <w:szCs w:val="32"/>
        </w:rPr>
        <w:t> </w:t>
      </w:r>
      <w:r>
        <w:rPr>
          <w:rFonts w:hint="eastAsia"/>
          <w:color w:val="333333"/>
          <w:szCs w:val="32"/>
        </w:rPr>
        <w:t>年初目标一致。</w:t>
      </w:r>
    </w:p>
    <w:p>
      <w:pPr>
        <w:snapToGrid w:val="0"/>
        <w:spacing w:line="579" w:lineRule="exact"/>
        <w:ind w:firstLine="640" w:firstLineChars="200"/>
        <w:outlineLvl w:val="0"/>
        <w:rPr>
          <w:szCs w:val="32"/>
        </w:rPr>
      </w:pPr>
      <w:r>
        <w:rPr>
          <w:rFonts w:eastAsia="方正楷体_GBK"/>
          <w:bCs/>
          <w:szCs w:val="32"/>
        </w:rPr>
        <w:t>（三）绩效目标完成情况分析。</w:t>
      </w:r>
    </w:p>
    <w:p>
      <w:pPr>
        <w:snapToGrid w:val="0"/>
        <w:spacing w:line="579" w:lineRule="exact"/>
        <w:ind w:firstLine="640" w:firstLineChars="200"/>
        <w:rPr>
          <w:szCs w:val="32"/>
        </w:rPr>
      </w:pPr>
      <w:r>
        <w:rPr>
          <w:szCs w:val="32"/>
        </w:rPr>
        <w:t>1. 产出指标完成情况分析。</w:t>
      </w:r>
      <w:r>
        <w:rPr>
          <w:color w:val="000000"/>
          <w:szCs w:val="32"/>
          <w:shd w:val="clear" w:color="auto" w:fill="FFFFFF"/>
        </w:rPr>
        <w:t>从产出来看，项目产出良好，基本完成各项年初设定指标值。</w:t>
      </w:r>
    </w:p>
    <w:p>
      <w:pPr>
        <w:snapToGrid w:val="0"/>
        <w:spacing w:line="579" w:lineRule="exact"/>
        <w:ind w:firstLine="640" w:firstLineChars="200"/>
        <w:rPr>
          <w:rFonts w:hint="default" w:eastAsia="方正仿宋_GBK"/>
          <w:szCs w:val="32"/>
          <w:lang w:val="en-US" w:eastAsia="zh-CN"/>
        </w:rPr>
      </w:pPr>
      <w:r>
        <w:rPr>
          <w:szCs w:val="32"/>
        </w:rPr>
        <w:t>（1）数量指标。</w:t>
      </w:r>
      <w:r>
        <w:rPr>
          <w:rFonts w:hint="eastAsia"/>
          <w:szCs w:val="32"/>
          <w:lang w:eastAsia="zh-CN"/>
        </w:rPr>
        <w:t>预计价格补贴受益人次</w:t>
      </w:r>
      <w:r>
        <w:rPr>
          <w:rFonts w:hint="eastAsia"/>
          <w:szCs w:val="32"/>
          <w:lang w:val="en-US" w:eastAsia="zh-CN"/>
        </w:rPr>
        <w:t>150000人次，实际受益人次159199人次，其中：</w:t>
      </w:r>
      <w:r>
        <w:rPr>
          <w:rFonts w:hint="eastAsia"/>
          <w:szCs w:val="32"/>
        </w:rPr>
        <w:t>孤儿和实事无人抚养儿童保障人次实际完成</w:t>
      </w:r>
      <w:r>
        <w:rPr>
          <w:rFonts w:hint="eastAsia"/>
          <w:szCs w:val="32"/>
          <w:lang w:val="en-US" w:eastAsia="zh-CN"/>
        </w:rPr>
        <w:t>1856</w:t>
      </w:r>
      <w:r>
        <w:rPr>
          <w:rFonts w:hint="eastAsia"/>
          <w:szCs w:val="32"/>
        </w:rPr>
        <w:t>人次</w:t>
      </w:r>
      <w:r>
        <w:rPr>
          <w:rFonts w:hint="eastAsia"/>
          <w:szCs w:val="32"/>
          <w:lang w:eastAsia="zh-CN"/>
        </w:rPr>
        <w:t>；城乡低保</w:t>
      </w:r>
      <w:r>
        <w:rPr>
          <w:rFonts w:hint="eastAsia"/>
          <w:szCs w:val="32"/>
          <w:lang w:val="en-US" w:eastAsia="zh-CN"/>
        </w:rPr>
        <w:t>实际完成 137244人次；特困实际完成20099人次；受益对象应补尽补，受益覆盖率100%，完成预定数量指标。</w:t>
      </w:r>
    </w:p>
    <w:p>
      <w:pPr>
        <w:snapToGrid w:val="0"/>
        <w:spacing w:line="580" w:lineRule="exact"/>
        <w:ind w:firstLine="640" w:firstLineChars="200"/>
        <w:rPr>
          <w:rFonts w:hint="default"/>
          <w:szCs w:val="32"/>
          <w:lang w:val="en-US" w:eastAsia="zh-CN"/>
        </w:rPr>
      </w:pPr>
      <w:r>
        <w:rPr>
          <w:szCs w:val="32"/>
        </w:rPr>
        <w:t>（2）质量指标。</w:t>
      </w:r>
      <w:r>
        <w:rPr>
          <w:rFonts w:hint="eastAsia"/>
          <w:szCs w:val="32"/>
          <w:lang w:eastAsia="zh-CN"/>
        </w:rPr>
        <w:t>受益对象均符合救助条件，对象合格率</w:t>
      </w:r>
      <w:r>
        <w:rPr>
          <w:rFonts w:hint="eastAsia"/>
          <w:szCs w:val="32"/>
          <w:lang w:val="en-US" w:eastAsia="zh-CN"/>
        </w:rPr>
        <w:t>100%，与预定目标一致；受益对象价格临时补贴均按政策标准进行补助，，按标准补助准确率100%，与预定目标一致。</w:t>
      </w:r>
    </w:p>
    <w:p>
      <w:pPr>
        <w:snapToGrid w:val="0"/>
        <w:spacing w:line="580" w:lineRule="exact"/>
        <w:ind w:firstLine="640" w:firstLineChars="200"/>
        <w:rPr>
          <w:szCs w:val="32"/>
        </w:rPr>
      </w:pPr>
      <w:r>
        <w:rPr>
          <w:szCs w:val="32"/>
        </w:rPr>
        <w:t>（3）时效指标。</w:t>
      </w:r>
    </w:p>
    <w:p>
      <w:pPr>
        <w:pStyle w:val="5"/>
        <w:widowControl/>
        <w:wordWrap w:val="0"/>
        <w:spacing w:line="580" w:lineRule="exact"/>
        <w:ind w:firstLine="640" w:firstLineChars="200"/>
        <w:rPr>
          <w:rFonts w:hint="eastAsia" w:ascii="Times New Roman" w:hAnsi="Times New Roman" w:eastAsia="方正仿宋_GBK"/>
          <w:color w:val="auto"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/>
          <w:color w:val="auto"/>
          <w:kern w:val="2"/>
          <w:sz w:val="32"/>
          <w:szCs w:val="32"/>
          <w:lang w:eastAsia="zh-CN"/>
        </w:rPr>
        <w:t>价格临时</w:t>
      </w:r>
      <w:r>
        <w:rPr>
          <w:rFonts w:hint="default" w:ascii="Times New Roman" w:hAnsi="Times New Roman" w:eastAsia="方正仿宋_GBK"/>
          <w:color w:val="auto"/>
          <w:kern w:val="2"/>
          <w:sz w:val="32"/>
          <w:szCs w:val="32"/>
        </w:rPr>
        <w:t>补贴</w:t>
      </w:r>
      <w:r>
        <w:rPr>
          <w:rFonts w:hint="eastAsia" w:ascii="Times New Roman" w:hAnsi="Times New Roman" w:eastAsia="方正仿宋_GBK"/>
          <w:color w:val="auto"/>
          <w:kern w:val="2"/>
          <w:sz w:val="32"/>
          <w:szCs w:val="32"/>
          <w:lang w:eastAsia="zh-CN"/>
        </w:rPr>
        <w:t>均按时发放，补贴发放及时率</w:t>
      </w:r>
      <w:r>
        <w:rPr>
          <w:rFonts w:ascii="Times New Roman" w:hAnsi="Times New Roman" w:eastAsia="方正仿宋_GBK"/>
          <w:color w:val="auto"/>
          <w:kern w:val="2"/>
          <w:sz w:val="32"/>
          <w:szCs w:val="32"/>
        </w:rPr>
        <w:t>100%</w:t>
      </w:r>
      <w:r>
        <w:rPr>
          <w:rFonts w:hint="eastAsia" w:ascii="Times New Roman" w:hAnsi="Times New Roman" w:eastAsia="方正仿宋_GBK"/>
          <w:color w:val="auto"/>
          <w:kern w:val="2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方正仿宋_GBK"/>
          <w:color w:val="auto"/>
          <w:kern w:val="2"/>
          <w:sz w:val="32"/>
          <w:szCs w:val="32"/>
          <w:lang w:val="en-US" w:eastAsia="zh-CN"/>
        </w:rPr>
        <w:t>与预定目标一致。</w:t>
      </w:r>
    </w:p>
    <w:p>
      <w:pPr>
        <w:snapToGrid w:val="0"/>
        <w:spacing w:line="579" w:lineRule="exact"/>
        <w:ind w:firstLine="640" w:firstLineChars="200"/>
        <w:rPr>
          <w:szCs w:val="32"/>
        </w:rPr>
      </w:pPr>
      <w:r>
        <w:rPr>
          <w:szCs w:val="32"/>
        </w:rPr>
        <w:t>2. 效益指标完成情况分析。</w:t>
      </w:r>
    </w:p>
    <w:p>
      <w:pPr>
        <w:snapToGrid w:val="0"/>
        <w:spacing w:line="579" w:lineRule="exact"/>
        <w:ind w:firstLine="640" w:firstLineChars="200"/>
        <w:rPr>
          <w:szCs w:val="32"/>
        </w:rPr>
      </w:pPr>
      <w:r>
        <w:rPr>
          <w:szCs w:val="32"/>
        </w:rPr>
        <w:t>（1）社会效益。</w:t>
      </w:r>
      <w:r>
        <w:rPr>
          <w:rFonts w:hint="eastAsia"/>
          <w:szCs w:val="32"/>
        </w:rPr>
        <w:t>预定目标：保障低收入困难群众基本生活不因物价上涨而降低</w:t>
      </w:r>
      <w:r>
        <w:rPr>
          <w:rFonts w:hint="eastAsia"/>
          <w:szCs w:val="32"/>
          <w:lang w:eastAsia="zh-CN"/>
        </w:rPr>
        <w:t>。</w:t>
      </w:r>
      <w:r>
        <w:rPr>
          <w:rFonts w:hint="eastAsia"/>
          <w:szCs w:val="32"/>
        </w:rPr>
        <w:t>实际完成情况：低收入困难群众基本生活</w:t>
      </w:r>
      <w:r>
        <w:rPr>
          <w:rFonts w:hint="eastAsia"/>
          <w:szCs w:val="32"/>
          <w:lang w:eastAsia="zh-CN"/>
        </w:rPr>
        <w:t>未</w:t>
      </w:r>
      <w:r>
        <w:rPr>
          <w:rFonts w:hint="eastAsia"/>
          <w:szCs w:val="32"/>
        </w:rPr>
        <w:t>因物价上涨而降低。</w:t>
      </w:r>
      <w:r>
        <w:rPr>
          <w:rFonts w:hint="eastAsia"/>
          <w:szCs w:val="32"/>
          <w:lang w:eastAsia="zh-CN"/>
        </w:rPr>
        <w:t>困难群众价格临时补贴</w:t>
      </w:r>
      <w:r>
        <w:rPr>
          <w:szCs w:val="32"/>
        </w:rPr>
        <w:t>发放工作做到了专款专用，层层把关，无违法乱纪行为。</w:t>
      </w:r>
      <w:r>
        <w:rPr>
          <w:rFonts w:hint="eastAsia"/>
          <w:szCs w:val="32"/>
        </w:rPr>
        <w:t>受助人员</w:t>
      </w:r>
      <w:r>
        <w:rPr>
          <w:rFonts w:hint="eastAsia"/>
          <w:szCs w:val="32"/>
          <w:lang w:eastAsia="zh-CN"/>
        </w:rPr>
        <w:t>未</w:t>
      </w:r>
      <w:r>
        <w:rPr>
          <w:rFonts w:hint="eastAsia"/>
          <w:szCs w:val="32"/>
        </w:rPr>
        <w:t>因物价上涨而降低生活水平</w:t>
      </w:r>
      <w:r>
        <w:rPr>
          <w:szCs w:val="32"/>
        </w:rPr>
        <w:t>，同时体现了党和政府对</w:t>
      </w:r>
      <w:r>
        <w:rPr>
          <w:rFonts w:hint="eastAsia"/>
          <w:szCs w:val="32"/>
          <w:lang w:eastAsia="zh-CN"/>
        </w:rPr>
        <w:t>困难群众</w:t>
      </w:r>
      <w:r>
        <w:rPr>
          <w:szCs w:val="32"/>
        </w:rPr>
        <w:t>的高度重视，化解了社会矛盾、促进了社会和谐发展。</w:t>
      </w:r>
    </w:p>
    <w:p>
      <w:pPr>
        <w:numPr>
          <w:ilvl w:val="0"/>
          <w:numId w:val="2"/>
        </w:numPr>
        <w:snapToGrid w:val="0"/>
        <w:spacing w:line="579" w:lineRule="exact"/>
        <w:ind w:firstLine="640" w:firstLineChars="200"/>
        <w:rPr>
          <w:szCs w:val="32"/>
        </w:rPr>
      </w:pPr>
      <w:r>
        <w:rPr>
          <w:szCs w:val="32"/>
        </w:rPr>
        <w:t>可持续影响。</w:t>
      </w:r>
      <w:r>
        <w:rPr>
          <w:rFonts w:hint="eastAsia"/>
          <w:szCs w:val="32"/>
          <w:lang w:eastAsia="zh-CN"/>
        </w:rPr>
        <w:t>困难群众</w:t>
      </w:r>
      <w:r>
        <w:rPr>
          <w:rFonts w:hint="eastAsia"/>
          <w:szCs w:val="32"/>
        </w:rPr>
        <w:t>基本</w:t>
      </w:r>
      <w:r>
        <w:rPr>
          <w:rFonts w:hint="eastAsia"/>
          <w:szCs w:val="32"/>
          <w:lang w:eastAsia="zh-CN"/>
        </w:rPr>
        <w:t>价格临时补贴</w:t>
      </w:r>
      <w:r>
        <w:rPr>
          <w:rFonts w:hint="eastAsia"/>
          <w:szCs w:val="32"/>
        </w:rPr>
        <w:t>保障制度不断完善，实际完成率100%。</w:t>
      </w:r>
      <w:r>
        <w:rPr>
          <w:szCs w:val="32"/>
        </w:rPr>
        <w:t>项目实施来，全县</w:t>
      </w:r>
      <w:r>
        <w:rPr>
          <w:rFonts w:hint="eastAsia"/>
          <w:szCs w:val="32"/>
          <w:lang w:eastAsia="zh-CN"/>
        </w:rPr>
        <w:t>有</w:t>
      </w:r>
      <w:r>
        <w:rPr>
          <w:rFonts w:hint="eastAsia"/>
          <w:szCs w:val="32"/>
          <w:lang w:val="en-US" w:eastAsia="zh-CN"/>
        </w:rPr>
        <w:t>159199</w:t>
      </w:r>
      <w:r>
        <w:rPr>
          <w:szCs w:val="32"/>
        </w:rPr>
        <w:t>人次获得</w:t>
      </w:r>
      <w:r>
        <w:rPr>
          <w:rFonts w:hint="eastAsia"/>
          <w:szCs w:val="32"/>
          <w:lang w:eastAsia="zh-CN"/>
        </w:rPr>
        <w:t>困难群众价格临时补贴保</w:t>
      </w:r>
      <w:r>
        <w:rPr>
          <w:szCs w:val="32"/>
        </w:rPr>
        <w:t>障金，体现了党和国家对这个弱势群体的关怀，同时也得到社会的高度赞赏，是一件福泽百姓的民生工程。</w:t>
      </w:r>
    </w:p>
    <w:p>
      <w:pPr>
        <w:snapToGrid w:val="0"/>
        <w:spacing w:line="579" w:lineRule="exact"/>
        <w:ind w:firstLine="640" w:firstLineChars="200"/>
        <w:rPr>
          <w:szCs w:val="32"/>
        </w:rPr>
      </w:pPr>
      <w:r>
        <w:rPr>
          <w:szCs w:val="32"/>
        </w:rPr>
        <w:t>3. 满意度指标完成情况分析。</w:t>
      </w:r>
    </w:p>
    <w:p>
      <w:pPr>
        <w:snapToGrid w:val="0"/>
        <w:spacing w:line="579" w:lineRule="exact"/>
        <w:ind w:firstLine="640" w:firstLineChars="200"/>
        <w:rPr>
          <w:szCs w:val="32"/>
        </w:rPr>
      </w:pPr>
      <w:r>
        <w:rPr>
          <w:rFonts w:hint="eastAsia"/>
          <w:szCs w:val="32"/>
          <w:lang w:eastAsia="zh-CN"/>
        </w:rPr>
        <w:t>预计</w:t>
      </w:r>
      <w:r>
        <w:rPr>
          <w:rFonts w:hint="eastAsia"/>
          <w:szCs w:val="32"/>
        </w:rPr>
        <w:t>服务对象工作满意度大于等于9</w:t>
      </w:r>
      <w:r>
        <w:rPr>
          <w:rFonts w:hint="eastAsia"/>
          <w:szCs w:val="32"/>
          <w:lang w:val="en-US" w:eastAsia="zh-CN"/>
        </w:rPr>
        <w:t>8</w:t>
      </w:r>
      <w:r>
        <w:rPr>
          <w:rFonts w:hint="eastAsia"/>
          <w:szCs w:val="32"/>
        </w:rPr>
        <w:t>%，实际满意率为</w:t>
      </w:r>
      <w:r>
        <w:rPr>
          <w:rFonts w:hint="eastAsia"/>
          <w:szCs w:val="32"/>
          <w:lang w:val="en-US" w:eastAsia="zh-CN"/>
        </w:rPr>
        <w:t>95</w:t>
      </w:r>
      <w:r>
        <w:rPr>
          <w:rFonts w:hint="eastAsia"/>
          <w:szCs w:val="32"/>
        </w:rPr>
        <w:t>%，</w:t>
      </w:r>
      <w:r>
        <w:rPr>
          <w:rFonts w:hint="eastAsia"/>
          <w:szCs w:val="32"/>
          <w:lang w:eastAsia="zh-CN"/>
        </w:rPr>
        <w:t>基本</w:t>
      </w:r>
      <w:r>
        <w:rPr>
          <w:rFonts w:hint="eastAsia"/>
          <w:szCs w:val="32"/>
        </w:rPr>
        <w:t>完成目标。</w:t>
      </w:r>
    </w:p>
    <w:p>
      <w:pPr>
        <w:snapToGrid w:val="0"/>
        <w:spacing w:line="579" w:lineRule="exact"/>
        <w:ind w:firstLine="640" w:firstLineChars="200"/>
        <w:rPr>
          <w:rFonts w:eastAsia="方正黑体_GBK"/>
          <w:bCs/>
          <w:szCs w:val="32"/>
        </w:rPr>
      </w:pPr>
      <w:r>
        <w:rPr>
          <w:rFonts w:eastAsia="方正黑体_GBK"/>
          <w:bCs/>
          <w:szCs w:val="32"/>
        </w:rPr>
        <w:t>三、偏离绩效目标的原因和下一步改进措施</w:t>
      </w:r>
    </w:p>
    <w:p>
      <w:pPr>
        <w:snapToGrid w:val="0"/>
        <w:spacing w:line="579" w:lineRule="exact"/>
        <w:ind w:firstLine="640" w:firstLineChars="200"/>
        <w:rPr>
          <w:rFonts w:hint="eastAsia"/>
          <w:szCs w:val="32"/>
          <w:lang w:eastAsia="zh-CN"/>
        </w:rPr>
      </w:pPr>
      <w:r>
        <w:rPr>
          <w:rFonts w:hint="eastAsia"/>
          <w:szCs w:val="32"/>
          <w:lang w:eastAsia="zh-CN"/>
        </w:rPr>
        <w:t>无偏离绩效目标的情况。</w:t>
      </w:r>
      <w:bookmarkStart w:id="1" w:name="_GoBack"/>
      <w:bookmarkEnd w:id="1"/>
    </w:p>
    <w:p>
      <w:pPr>
        <w:numPr>
          <w:ilvl w:val="0"/>
          <w:numId w:val="3"/>
        </w:numPr>
        <w:snapToGrid w:val="0"/>
        <w:spacing w:line="579" w:lineRule="exact"/>
        <w:ind w:firstLine="640" w:firstLineChars="200"/>
        <w:rPr>
          <w:rFonts w:eastAsia="方正黑体_GBK"/>
          <w:bCs/>
          <w:szCs w:val="32"/>
        </w:rPr>
      </w:pPr>
      <w:r>
        <w:rPr>
          <w:rFonts w:eastAsia="方正黑体_GBK"/>
          <w:bCs/>
          <w:szCs w:val="32"/>
        </w:rPr>
        <w:t>绩效自评结果拟应用和公开情况</w:t>
      </w:r>
    </w:p>
    <w:p>
      <w:pPr>
        <w:snapToGrid w:val="0"/>
        <w:spacing w:line="579" w:lineRule="exact"/>
        <w:ind w:firstLine="640" w:firstLineChars="200"/>
        <w:rPr>
          <w:rFonts w:hint="eastAsia"/>
          <w:szCs w:val="32"/>
          <w:lang w:eastAsia="zh-CN"/>
        </w:rPr>
      </w:pPr>
      <w:r>
        <w:rPr>
          <w:rFonts w:hint="eastAsia"/>
          <w:szCs w:val="32"/>
          <w:lang w:eastAsia="zh-CN"/>
        </w:rPr>
        <w:t xml:space="preserve"> 项目自评分数97分，拟在县政府门户网站公开。</w:t>
      </w:r>
    </w:p>
    <w:p>
      <w:pPr>
        <w:snapToGrid w:val="0"/>
        <w:spacing w:line="579" w:lineRule="exact"/>
        <w:ind w:firstLine="640" w:firstLineChars="200"/>
        <w:rPr>
          <w:rFonts w:eastAsia="方正黑体_GBK"/>
          <w:bCs/>
          <w:szCs w:val="32"/>
        </w:rPr>
      </w:pPr>
      <w:r>
        <w:rPr>
          <w:rFonts w:eastAsia="方正黑体_GBK"/>
          <w:bCs/>
          <w:szCs w:val="32"/>
        </w:rPr>
        <w:t>五、其他需要说明的问题</w:t>
      </w:r>
    </w:p>
    <w:p>
      <w:pPr>
        <w:snapToGrid w:val="0"/>
        <w:spacing w:line="579" w:lineRule="exact"/>
        <w:ind w:firstLine="640" w:firstLineChars="200"/>
        <w:rPr>
          <w:rFonts w:hint="eastAsia"/>
          <w:szCs w:val="32"/>
          <w:lang w:eastAsia="zh-CN"/>
        </w:rPr>
      </w:pPr>
      <w:r>
        <w:rPr>
          <w:rFonts w:hint="eastAsia"/>
          <w:szCs w:val="32"/>
          <w:lang w:eastAsia="zh-CN"/>
        </w:rPr>
        <w:t>无</w:t>
      </w:r>
    </w:p>
    <w:p/>
    <w:sectPr>
      <w:headerReference r:id="rId3" w:type="default"/>
      <w:footerReference r:id="rId4" w:type="default"/>
      <w:footerReference r:id="rId5" w:type="even"/>
      <w:pgSz w:w="11906" w:h="16838"/>
      <w:pgMar w:top="2098" w:right="1474" w:bottom="1985" w:left="1588" w:header="851" w:footer="1474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 xml:space="preserve">— </w:t>
    </w:r>
    <w:r>
      <w:rPr>
        <w:rFonts w:ascii="Times New Roman" w:hAnsi="Times New Roman" w:cs="Times New Roman"/>
        <w:sz w:val="28"/>
        <w:szCs w:val="28"/>
      </w:rPr>
      <w:fldChar w:fldCharType="begin"/>
    </w:r>
    <w:r>
      <w:rPr>
        <w:rFonts w:ascii="Times New Roman" w:hAnsi="Times New Roman" w:cs="Times New Roman"/>
        <w:sz w:val="28"/>
        <w:szCs w:val="28"/>
      </w:rPr>
      <w:instrText xml:space="preserve"> PAGE   \* MERGEFORMAT </w:instrText>
    </w:r>
    <w:r>
      <w:rPr>
        <w:rFonts w:ascii="Times New Roman" w:hAnsi="Times New Roman" w:cs="Times New Roman"/>
        <w:sz w:val="28"/>
        <w:szCs w:val="28"/>
      </w:rPr>
      <w:fldChar w:fldCharType="separate"/>
    </w:r>
    <w:r>
      <w:rPr>
        <w:rFonts w:ascii="Times New Roman" w:hAnsi="Times New Roman" w:cs="Times New Roman"/>
        <w:sz w:val="28"/>
        <w:szCs w:val="28"/>
        <w:lang w:val="zh-CN"/>
      </w:rPr>
      <w:t>2</w:t>
    </w:r>
    <w:r>
      <w:rPr>
        <w:rFonts w:ascii="Times New Roman" w:hAnsi="Times New Roman" w:cs="Times New Roman"/>
        <w:sz w:val="28"/>
        <w:szCs w:val="28"/>
      </w:rPr>
      <w:fldChar w:fldCharType="end"/>
    </w:r>
    <w:r>
      <w:rPr>
        <w:rFonts w:ascii="Times New Roman" w:hAnsi="Times New Roman" w:cs="Times New Roman"/>
        <w:sz w:val="28"/>
        <w:szCs w:val="28"/>
      </w:rPr>
      <w:t xml:space="preserve"> 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 xml:space="preserve">— </w:t>
    </w:r>
    <w:r>
      <w:rPr>
        <w:rFonts w:ascii="Times New Roman" w:hAnsi="Times New Roman" w:cs="Times New Roman"/>
        <w:sz w:val="28"/>
        <w:szCs w:val="28"/>
      </w:rPr>
      <w:fldChar w:fldCharType="begin"/>
    </w:r>
    <w:r>
      <w:rPr>
        <w:rFonts w:ascii="Times New Roman" w:hAnsi="Times New Roman" w:cs="Times New Roman"/>
        <w:sz w:val="28"/>
        <w:szCs w:val="28"/>
      </w:rPr>
      <w:instrText xml:space="preserve"> PAGE   \* MERGEFORMAT </w:instrText>
    </w:r>
    <w:r>
      <w:rPr>
        <w:rFonts w:ascii="Times New Roman" w:hAnsi="Times New Roman" w:cs="Times New Roman"/>
        <w:sz w:val="28"/>
        <w:szCs w:val="28"/>
      </w:rPr>
      <w:fldChar w:fldCharType="separate"/>
    </w:r>
    <w:r>
      <w:rPr>
        <w:rFonts w:ascii="Times New Roman" w:hAnsi="Times New Roman" w:cs="Times New Roman"/>
        <w:sz w:val="28"/>
        <w:szCs w:val="28"/>
        <w:lang w:val="zh-CN"/>
      </w:rPr>
      <w:t>10</w:t>
    </w:r>
    <w:r>
      <w:rPr>
        <w:rFonts w:ascii="Times New Roman" w:hAnsi="Times New Roman" w:cs="Times New Roman"/>
        <w:sz w:val="28"/>
        <w:szCs w:val="28"/>
      </w:rPr>
      <w:fldChar w:fldCharType="end"/>
    </w:r>
    <w:r>
      <w:rPr>
        <w:rFonts w:ascii="Times New Roman" w:hAnsi="Times New Roman" w:cs="Times New Roman"/>
        <w:sz w:val="28"/>
        <w:szCs w:val="28"/>
      </w:rPr>
      <w:t xml:space="preserve"> —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hint="default" w:eastAsia="方正仿宋_GBK"/>
        <w:lang w:val="en-US" w:eastAsia="zh-CN"/>
      </w:rPr>
    </w:pPr>
    <w:r>
      <w:rPr>
        <w:rFonts w:hint="eastAsia"/>
        <w:lang w:val="en-US" w:eastAsia="zh-CN"/>
      </w:rPr>
      <w:t>655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BAFB266"/>
    <w:multiLevelType w:val="singleLevel"/>
    <w:tmpl w:val="8BAFB26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B88CBEFC"/>
    <w:multiLevelType w:val="singleLevel"/>
    <w:tmpl w:val="B88CBEFC"/>
    <w:lvl w:ilvl="0" w:tentative="0">
      <w:start w:val="2"/>
      <w:numFmt w:val="decimal"/>
      <w:suff w:val="nothing"/>
      <w:lvlText w:val="（%1）"/>
      <w:lvlJc w:val="left"/>
    </w:lvl>
  </w:abstractNum>
  <w:abstractNum w:abstractNumId="2">
    <w:nsid w:val="08C41F66"/>
    <w:multiLevelType w:val="singleLevel"/>
    <w:tmpl w:val="08C41F66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8F561A"/>
    <w:rsid w:val="003B5FAC"/>
    <w:rsid w:val="004706DF"/>
    <w:rsid w:val="0092325B"/>
    <w:rsid w:val="00971524"/>
    <w:rsid w:val="009D6B5B"/>
    <w:rsid w:val="00AE7882"/>
    <w:rsid w:val="00DC1B94"/>
    <w:rsid w:val="018F141C"/>
    <w:rsid w:val="0C6E5B18"/>
    <w:rsid w:val="0F5E3F58"/>
    <w:rsid w:val="200475AE"/>
    <w:rsid w:val="20A415E0"/>
    <w:rsid w:val="20D938BF"/>
    <w:rsid w:val="26696201"/>
    <w:rsid w:val="294A0003"/>
    <w:rsid w:val="29593906"/>
    <w:rsid w:val="2FA519CE"/>
    <w:rsid w:val="31F36A80"/>
    <w:rsid w:val="3A8F561A"/>
    <w:rsid w:val="454B5220"/>
    <w:rsid w:val="475833F8"/>
    <w:rsid w:val="4A006DBE"/>
    <w:rsid w:val="4B2973DF"/>
    <w:rsid w:val="5F400934"/>
    <w:rsid w:val="7D52476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</w:pPr>
    <w:rPr>
      <w:rFonts w:asciiTheme="minorHAnsi" w:hAnsiTheme="minorHAnsi" w:eastAsiaTheme="minorEastAsia" w:cstheme="minorBidi"/>
      <w:sz w:val="21"/>
      <w:szCs w:val="22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jc w:val="left"/>
    </w:pPr>
    <w:rPr>
      <w:rFonts w:hint="eastAsia" w:ascii="微软雅黑" w:hAnsi="微软雅黑" w:eastAsia="微软雅黑"/>
      <w:color w:val="4C4C4C"/>
      <w:kern w:val="0"/>
      <w:sz w:val="21"/>
      <w:szCs w:val="21"/>
    </w:rPr>
  </w:style>
  <w:style w:type="character" w:customStyle="1" w:styleId="8">
    <w:name w:val="页眉 Char"/>
    <w:basedOn w:val="7"/>
    <w:link w:val="4"/>
    <w:qFormat/>
    <w:uiPriority w:val="0"/>
    <w:rPr>
      <w:rFonts w:ascii="Times New Roman" w:hAnsi="Times New Roman" w:eastAsia="方正仿宋_GBK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1011</Words>
  <Characters>105</Characters>
  <Lines>1</Lines>
  <Paragraphs>2</Paragraphs>
  <TotalTime>4</TotalTime>
  <ScaleCrop>false</ScaleCrop>
  <LinksUpToDate>false</LinksUpToDate>
  <CharactersWithSpaces>1114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2020-03-24T12:36:00Z</dcterms:created>
  <dc:creator>sunshine</dc:creator>
  <cp:lastModifiedBy>Administrator</cp:lastModifiedBy>
  <cp:lastPrinted>2021-06-18T08:19:00Z</cp:lastPrinted>
  <dcterms:modified xsi:type="dcterms:W3CDTF">2023-04-13T02:02:14Z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  <property fmtid="{D5CDD505-2E9C-101B-9397-08002B2CF9AE}" pid="3" name="KSOSaveFontToCloudKey">
    <vt:lpwstr>260200015_cloud</vt:lpwstr>
  </property>
  <property fmtid="{D5CDD505-2E9C-101B-9397-08002B2CF9AE}" pid="4" name="ICV">
    <vt:lpwstr>F0D4D3D2C7474CC6AFD9F99CDDAD1C26</vt:lpwstr>
  </property>
</Properties>
</file>