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bidi w:val="0"/>
        <w:snapToGrid/>
        <w:spacing w:line="560" w:lineRule="exact"/>
        <w:jc w:val="center"/>
        <w:textAlignment w:val="auto"/>
        <w:rPr>
          <w:rFonts w:hint="eastAsia" w:ascii="方正小标宋_GBK" w:hAnsi="方正小标宋_GBK" w:eastAsia="方正小标宋_GBK" w:cs="方正小标宋_GBK"/>
          <w:b w:val="0"/>
          <w:bCs w:val="0"/>
          <w:color w:val="auto"/>
          <w:sz w:val="44"/>
          <w:szCs w:val="44"/>
          <w:shd w:val="clear" w:color="auto" w:fill="FFFFFF"/>
          <w:lang w:val="en-US" w:eastAsia="zh-CN" w:bidi="ar"/>
        </w:rPr>
      </w:pPr>
      <w:r>
        <w:rPr>
          <w:rFonts w:hint="eastAsia" w:ascii="方正小标宋_GBK" w:hAnsi="方正小标宋_GBK" w:eastAsia="方正小标宋_GBK" w:cs="方正小标宋_GBK"/>
          <w:b w:val="0"/>
          <w:bCs w:val="0"/>
          <w:color w:val="auto"/>
          <w:sz w:val="44"/>
          <w:szCs w:val="44"/>
          <w:shd w:val="clear" w:color="auto" w:fill="FFFFFF"/>
          <w:lang w:val="en-US" w:eastAsia="zh-CN" w:bidi="ar"/>
        </w:rPr>
        <w:t>奉节县科学技术局</w:t>
      </w:r>
    </w:p>
    <w:p>
      <w:pPr>
        <w:keepNext w:val="0"/>
        <w:keepLines w:val="0"/>
        <w:pageBreakBefore w:val="0"/>
        <w:widowControl w:val="0"/>
        <w:kinsoku/>
        <w:wordWrap/>
        <w:overflowPunct/>
        <w:topLinePunct w:val="0"/>
        <w:bidi w:val="0"/>
        <w:snapToGrid/>
        <w:spacing w:line="560" w:lineRule="exact"/>
        <w:ind w:firstLine="872" w:firstLineChars="200"/>
        <w:jc w:val="center"/>
        <w:textAlignment w:val="auto"/>
        <w:rPr>
          <w:rFonts w:hint="eastAsia" w:ascii="方正小标宋_GBK" w:hAnsi="方正小标宋_GBK" w:eastAsia="方正小标宋_GBK" w:cs="方正小标宋_GBK"/>
          <w:b w:val="0"/>
          <w:bCs w:val="0"/>
          <w:i w:val="0"/>
          <w:iCs w:val="0"/>
          <w:caps w:val="0"/>
          <w:color w:val="auto"/>
          <w:spacing w:val="0"/>
          <w:kern w:val="0"/>
          <w:sz w:val="44"/>
          <w:szCs w:val="44"/>
          <w:u w:val="none"/>
          <w:shd w:val="clear" w:color="auto" w:fill="FFFFFF"/>
          <w:lang w:val="en-US" w:eastAsia="zh-CN" w:bidi="ar"/>
        </w:rPr>
      </w:pPr>
      <w:r>
        <w:rPr>
          <w:rFonts w:hint="eastAsia" w:ascii="方正小标宋_GBK" w:hAnsi="方正小标宋_GBK" w:eastAsia="方正小标宋_GBK" w:cs="方正小标宋_GBK"/>
          <w:b w:val="0"/>
          <w:bCs w:val="0"/>
          <w:i w:val="0"/>
          <w:iCs w:val="0"/>
          <w:caps w:val="0"/>
          <w:color w:val="auto"/>
          <w:spacing w:val="0"/>
          <w:kern w:val="0"/>
          <w:sz w:val="44"/>
          <w:szCs w:val="44"/>
          <w:u w:val="none"/>
          <w:shd w:val="clear" w:color="auto" w:fill="FFFFFF"/>
          <w:lang w:val="en-US" w:eastAsia="zh-CN" w:bidi="ar"/>
        </w:rPr>
        <w:t>2022年度部门整体支出预算绩效自评报告</w:t>
      </w:r>
    </w:p>
    <w:p>
      <w:pPr>
        <w:pStyle w:val="2"/>
        <w:ind w:firstLine="640"/>
        <w:rPr>
          <w:rFonts w:hint="default"/>
          <w:lang w:val="en-US" w:eastAsia="zh-CN"/>
        </w:rPr>
      </w:pP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w:t>
      </w:r>
      <w:r>
        <w:rPr>
          <w:rFonts w:hint="eastAsia" w:ascii="方正黑体_GBK" w:hAnsi="方正黑体_GBK" w:eastAsia="方正黑体_GBK" w:cs="方正黑体_GBK"/>
          <w:b w:val="0"/>
          <w:bCs w:val="0"/>
          <w:sz w:val="32"/>
          <w:szCs w:val="32"/>
          <w:lang w:eastAsia="zh-CN"/>
        </w:rPr>
        <w:t>单位</w:t>
      </w:r>
      <w:r>
        <w:rPr>
          <w:rFonts w:hint="eastAsia" w:ascii="方正黑体_GBK" w:hAnsi="方正黑体_GBK" w:eastAsia="方正黑体_GBK" w:cs="方正黑体_GBK"/>
          <w:b w:val="0"/>
          <w:bCs w:val="0"/>
          <w:sz w:val="32"/>
          <w:szCs w:val="32"/>
        </w:rPr>
        <w:t>概况</w:t>
      </w:r>
    </w:p>
    <w:p>
      <w:pPr>
        <w:keepNext w:val="0"/>
        <w:keepLines w:val="0"/>
        <w:pageBreakBefore w:val="0"/>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lang w:val="en-US" w:eastAsia="zh-CN"/>
        </w:rPr>
        <w:t>202</w:t>
      </w:r>
      <w:r>
        <w:rPr>
          <w:rFonts w:hint="eastAsia" w:ascii="Times New Roman" w:hAnsi="Times New Roman" w:cs="方正仿宋_GBK"/>
          <w:sz w:val="32"/>
          <w:szCs w:val="32"/>
          <w:lang w:val="en-US" w:eastAsia="zh-CN"/>
        </w:rPr>
        <w:t>2</w:t>
      </w:r>
      <w:r>
        <w:rPr>
          <w:rFonts w:hint="eastAsia" w:ascii="Times New Roman" w:hAnsi="Times New Roman" w:eastAsia="方正仿宋_GBK" w:cs="方正仿宋_GBK"/>
          <w:sz w:val="32"/>
          <w:szCs w:val="32"/>
        </w:rPr>
        <w:t>年我</w:t>
      </w:r>
      <w:r>
        <w:rPr>
          <w:rFonts w:hint="eastAsia" w:ascii="Times New Roman" w:hAnsi="Times New Roman" w:eastAsia="方正仿宋_GBK" w:cs="方正仿宋_GBK"/>
          <w:sz w:val="32"/>
          <w:szCs w:val="32"/>
          <w:lang w:eastAsia="zh-CN"/>
        </w:rPr>
        <w:t>单位</w:t>
      </w:r>
      <w:r>
        <w:rPr>
          <w:rFonts w:hint="eastAsia" w:ascii="Times New Roman" w:hAnsi="Times New Roman" w:eastAsia="方正仿宋_GBK" w:cs="方正仿宋_GBK"/>
          <w:sz w:val="32"/>
          <w:szCs w:val="32"/>
        </w:rPr>
        <w:t>预算编制范围包括</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lang w:val="en-US" w:eastAsia="zh-CN"/>
        </w:rPr>
        <w:t>奉节县科学技术局</w:t>
      </w:r>
      <w:r>
        <w:rPr>
          <w:rFonts w:hint="eastAsia" w:ascii="Times New Roman" w:hAnsi="Times New Roman" w:eastAsia="方正仿宋_GBK" w:cs="方正仿宋_GBK"/>
          <w:sz w:val="32"/>
          <w:szCs w:val="32"/>
        </w:rPr>
        <w:t>机关及所</w:t>
      </w:r>
      <w:r>
        <w:rPr>
          <w:rFonts w:hint="eastAsia" w:ascii="Times New Roman" w:hAnsi="Times New Roman" w:eastAsia="方正仿宋_GBK" w:cs="方正仿宋_GBK"/>
          <w:sz w:val="32"/>
          <w:szCs w:val="32"/>
          <w:lang w:eastAsia="zh-CN"/>
        </w:rPr>
        <w:t>属</w:t>
      </w:r>
      <w:r>
        <w:rPr>
          <w:rFonts w:hint="eastAsia" w:ascii="Times New Roman" w:hAnsi="Times New Roman" w:eastAsia="方正仿宋_GBK" w:cs="方正仿宋_GBK"/>
          <w:sz w:val="32"/>
          <w:szCs w:val="32"/>
          <w:lang w:val="en-US" w:eastAsia="zh-CN"/>
        </w:rPr>
        <w:t>奉节县生产力促进中心、奉节县大数据中心</w:t>
      </w:r>
      <w:r>
        <w:rPr>
          <w:rFonts w:hint="eastAsia" w:ascii="Times New Roman" w:hAnsi="Times New Roman" w:eastAsia="方正仿宋_GBK" w:cs="方正仿宋_GBK"/>
          <w:sz w:val="32"/>
          <w:szCs w:val="32"/>
          <w:lang w:eastAsia="zh-CN"/>
        </w:rPr>
        <w:t>共计</w:t>
      </w:r>
      <w:r>
        <w:rPr>
          <w:rFonts w:hint="eastAsia" w:ascii="Times New Roman" w:hAnsi="Times New Roman" w:eastAsia="方正仿宋_GBK" w:cs="方正仿宋_GBK"/>
          <w:sz w:val="32"/>
          <w:szCs w:val="32"/>
          <w:lang w:val="en-US" w:eastAsia="zh-CN"/>
        </w:rPr>
        <w:t>3个单位</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将</w:t>
      </w:r>
      <w:r>
        <w:rPr>
          <w:rFonts w:hint="eastAsia" w:ascii="Times New Roman" w:hAnsi="Times New Roman" w:eastAsia="方正仿宋_GBK" w:cs="方正仿宋_GBK"/>
          <w:sz w:val="32"/>
          <w:szCs w:val="32"/>
          <w:lang w:val="en-US" w:eastAsia="zh-CN"/>
        </w:rPr>
        <w:t>科技局</w:t>
      </w:r>
      <w:r>
        <w:rPr>
          <w:rFonts w:hint="eastAsia" w:ascii="Times New Roman" w:hAnsi="Times New Roman" w:eastAsia="方正仿宋_GBK" w:cs="方正仿宋_GBK"/>
          <w:sz w:val="32"/>
          <w:szCs w:val="32"/>
        </w:rPr>
        <w:t>作为一级预算单位，具体为（</w:t>
      </w:r>
      <w:r>
        <w:rPr>
          <w:rFonts w:hint="eastAsia" w:ascii="Times New Roman" w:hAnsi="Times New Roman" w:eastAsia="方正仿宋_GBK" w:cs="方正仿宋_GBK"/>
          <w:sz w:val="32"/>
          <w:szCs w:val="32"/>
          <w:lang w:val="en-US" w:eastAsia="zh-CN"/>
        </w:rPr>
        <w:t>局机关、生产力促进中心、大数据中心</w:t>
      </w:r>
      <w:r>
        <w:rPr>
          <w:rFonts w:hint="eastAsia" w:ascii="Times New Roman" w:hAnsi="Times New Roman" w:eastAsia="方正仿宋_GBK" w:cs="方正仿宋_GBK"/>
          <w:sz w:val="32"/>
          <w:szCs w:val="32"/>
        </w:rPr>
        <w:t>）</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我单位</w:t>
      </w:r>
      <w:r>
        <w:rPr>
          <w:rFonts w:hint="eastAsia" w:ascii="Times New Roman" w:hAnsi="Times New Roman" w:eastAsia="方正仿宋_GBK" w:cs="方正仿宋_GBK"/>
          <w:sz w:val="32"/>
          <w:szCs w:val="32"/>
          <w:lang w:eastAsia="zh-CN"/>
        </w:rPr>
        <w:t>核定</w:t>
      </w:r>
      <w:r>
        <w:rPr>
          <w:rFonts w:hint="eastAsia" w:ascii="Times New Roman" w:hAnsi="Times New Roman" w:eastAsia="方正仿宋_GBK" w:cs="方正仿宋_GBK"/>
          <w:sz w:val="32"/>
          <w:szCs w:val="32"/>
        </w:rPr>
        <w:t>人员编制数为</w:t>
      </w:r>
      <w:r>
        <w:rPr>
          <w:rFonts w:hint="eastAsia" w:ascii="Times New Roman" w:hAnsi="Times New Roman" w:eastAsia="方正仿宋_GBK" w:cs="方正仿宋_GBK"/>
          <w:sz w:val="32"/>
          <w:szCs w:val="32"/>
          <w:lang w:val="en-US" w:eastAsia="zh-CN"/>
        </w:rPr>
        <w:t>24</w:t>
      </w:r>
      <w:r>
        <w:rPr>
          <w:rFonts w:hint="eastAsia" w:ascii="Times New Roman" w:hAnsi="Times New Roman" w:eastAsia="方正仿宋_GBK" w:cs="方正仿宋_GBK"/>
          <w:sz w:val="32"/>
          <w:szCs w:val="32"/>
        </w:rPr>
        <w:t>人</w:t>
      </w:r>
      <w:r>
        <w:rPr>
          <w:rFonts w:hint="eastAsia" w:ascii="Times New Roman" w:hAnsi="Times New Roman" w:eastAsia="方正仿宋_GBK" w:cs="方正仿宋_GBK"/>
          <w:sz w:val="32"/>
          <w:szCs w:val="32"/>
          <w:lang w:eastAsia="zh-CN"/>
        </w:rPr>
        <w:t>（其中行政编制</w:t>
      </w:r>
      <w:r>
        <w:rPr>
          <w:rFonts w:hint="eastAsia" w:ascii="Times New Roman" w:hAnsi="Times New Roman" w:eastAsia="方正仿宋_GBK" w:cs="方正仿宋_GBK"/>
          <w:sz w:val="32"/>
          <w:szCs w:val="32"/>
          <w:lang w:val="en-US" w:eastAsia="zh-CN"/>
        </w:rPr>
        <w:t>12人，行政工勤1人，事业编制11人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，实际在职在岗</w:t>
      </w:r>
      <w:r>
        <w:rPr>
          <w:rFonts w:hint="eastAsia" w:ascii="Times New Roman" w:hAnsi="Times New Roman" w:eastAsia="方正仿宋_GBK" w:cs="方正仿宋_GBK"/>
          <w:sz w:val="32"/>
          <w:szCs w:val="32"/>
          <w:lang w:val="en-US" w:eastAsia="zh-CN"/>
        </w:rPr>
        <w:t>2</w:t>
      </w:r>
      <w:r>
        <w:rPr>
          <w:rFonts w:hint="eastAsia" w:ascii="Times New Roman" w:hAnsi="Times New Roman" w:cs="方正仿宋_GBK"/>
          <w:sz w:val="32"/>
          <w:szCs w:val="32"/>
          <w:lang w:val="en-US" w:eastAsia="zh-CN"/>
        </w:rPr>
        <w:t>2</w:t>
      </w:r>
      <w:r>
        <w:rPr>
          <w:rFonts w:hint="eastAsia" w:ascii="Times New Roman" w:hAnsi="Times New Roman" w:eastAsia="方正仿宋_GBK" w:cs="方正仿宋_GBK"/>
          <w:sz w:val="32"/>
          <w:szCs w:val="32"/>
        </w:rPr>
        <w:t>人</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房屋</w:t>
      </w:r>
      <w:r>
        <w:rPr>
          <w:rFonts w:hint="eastAsia" w:ascii="Times New Roman" w:hAnsi="Times New Roman" w:eastAsia="方正仿宋_GBK" w:cs="方正仿宋_GBK"/>
          <w:sz w:val="32"/>
          <w:szCs w:val="32"/>
          <w:lang w:eastAsia="zh-CN"/>
        </w:rPr>
        <w:t>使用面积</w:t>
      </w:r>
      <w:r>
        <w:rPr>
          <w:rFonts w:hint="eastAsia" w:ascii="Times New Roman" w:hAnsi="Times New Roman" w:eastAsia="方正仿宋_GBK" w:cs="方正仿宋_GBK"/>
          <w:sz w:val="32"/>
          <w:szCs w:val="32"/>
          <w:lang w:val="en-US" w:eastAsia="zh-CN"/>
        </w:rPr>
        <w:t>400平方米</w:t>
      </w:r>
      <w:r>
        <w:rPr>
          <w:rFonts w:hint="eastAsia" w:ascii="Times New Roman" w:hAnsi="Times New Roman" w:eastAsia="方正仿宋_GBK" w:cs="方正仿宋_GBK"/>
          <w:sz w:val="32"/>
          <w:szCs w:val="32"/>
        </w:rPr>
        <w:t>。</w:t>
      </w:r>
    </w:p>
    <w:p>
      <w:pPr>
        <w:keepNext w:val="0"/>
        <w:keepLines w:val="0"/>
        <w:pageBreakBefore w:val="0"/>
        <w:numPr>
          <w:ilvl w:val="0"/>
          <w:numId w:val="1"/>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基本职责</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eastAsia" w:ascii="Times New Roman" w:hAnsi="Times New Roman" w:eastAsia="方正仿宋_GBK" w:cs="方正仿宋_GBK"/>
          <w:sz w:val="32"/>
          <w:szCs w:val="32"/>
        </w:rPr>
      </w:pPr>
      <w:r>
        <w:rPr>
          <w:rFonts w:hint="eastAsia" w:ascii="方正仿宋_GBK" w:hAnsi="方正仿宋_GBK" w:eastAsia="方正仿宋_GBK" w:cs="方正仿宋_GBK"/>
          <w:sz w:val="32"/>
          <w:szCs w:val="32"/>
          <w:lang w:val="en-US" w:eastAsia="zh-CN"/>
        </w:rPr>
        <w:t xml:space="preserve"> </w:t>
      </w:r>
      <w:r>
        <w:rPr>
          <w:rFonts w:hint="eastAsia" w:ascii="Times New Roman" w:hAnsi="Times New Roman" w:eastAsia="方正仿宋_GBK" w:cs="方正仿宋_GBK"/>
          <w:sz w:val="32"/>
          <w:szCs w:val="32"/>
        </w:rPr>
        <w:t>拟订全县科技创新发展规划以及科技发展、大数据、人工智能、信息化应用、社会公共信息资源整合与应用、智慧城市建设、国外智力引进规划和政策措施并组织实施。统筹推进全县创新体系建设和科技体制改革，会同有关部门健全技术创新激励机制。指导科研机构改革发展，推动企业科技创新能力建设，推进全县重大科技决策咨询相关制度建设。</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contextualSpacing/>
        <w:textAlignment w:val="auto"/>
        <w:rPr>
          <w:rFonts w:hint="default" w:ascii="方正仿宋_GBK" w:hAnsi="方正仿宋_GBK" w:eastAsia="方正仿宋_GBK" w:cs="方正仿宋_GBK"/>
          <w:sz w:val="32"/>
          <w:szCs w:val="32"/>
          <w:lang w:val="en-US" w:eastAsia="zh-CN"/>
        </w:rPr>
      </w:pPr>
      <w:r>
        <w:rPr>
          <w:rFonts w:hint="eastAsia" w:ascii="Times New Roman" w:hAnsi="Times New Roman" w:eastAsia="方正仿宋_GBK" w:cs="方正仿宋_GBK"/>
          <w:sz w:val="32"/>
          <w:szCs w:val="32"/>
        </w:rPr>
        <w:t>负责编制县级科技项目规划并监督实施。牵头推进全县科技管理平台建设和科研项目资金协调、评估、监管机制。会同有关部门提出优化配置科技资源的政策措施建议，推动多万元化科技投入体系建设和科技金融结合。协调管理县级财政科技计划</w:t>
      </w:r>
      <w:r>
        <w:rPr>
          <w:rFonts w:hint="eastAsia" w:cs="方正仿宋_GBK"/>
          <w:sz w:val="32"/>
          <w:szCs w:val="32"/>
          <w:lang w:eastAsia="zh-CN"/>
        </w:rPr>
        <w:t>（</w:t>
      </w:r>
      <w:r>
        <w:rPr>
          <w:rFonts w:hint="eastAsia" w:ascii="Times New Roman" w:hAnsi="Times New Roman" w:eastAsia="方正仿宋_GBK" w:cs="方正仿宋_GBK"/>
          <w:sz w:val="32"/>
          <w:szCs w:val="32"/>
        </w:rPr>
        <w:t>专项、基金等</w:t>
      </w:r>
      <w:r>
        <w:rPr>
          <w:rFonts w:hint="eastAsia" w:cs="方正仿宋_GBK"/>
          <w:sz w:val="32"/>
          <w:szCs w:val="32"/>
          <w:lang w:eastAsia="zh-CN"/>
        </w:rPr>
        <w:t>）</w:t>
      </w:r>
      <w:r>
        <w:rPr>
          <w:rFonts w:hint="eastAsia" w:ascii="Times New Roman" w:hAnsi="Times New Roman" w:eastAsia="方正仿宋_GBK" w:cs="方正仿宋_GBK"/>
          <w:sz w:val="32"/>
          <w:szCs w:val="32"/>
        </w:rPr>
        <w:t>并监督实施。组织拟订高新技术发展及产业化、科技促进农业农村和社会发展规划、政策和措施并组织实施。组织开展重点领域技术发展需求分析，提出重大任务并监督实施。牵头全县技术转移体系建设，拟订科技成果转移转化和促进产学研结合的相关政策措施并监督实施。指导科技服务业、技术市场和科技中介组织发展。统筹县域科技创新体系建设，指导县域创新发展、科技资源合理布局和协同创新能力建设，推动科技园区建设。会同有关部门拟订科技人才队伍建设规划和政策，建立健全科技人才评价和激励机制，组织实施科技人才计划，推动高端科技创新人才队伍建设。拟订科学普及和科学传播规划、政策并组织实施。负责推动科技、大数据、人工智能、信息化领域对外交流合作，组织开展国内外科技合作与科技人才交流。负责外国专家管理工作。承担引进科技创新资源、科技型企业培育、科技宣传等工作。负责数据资源建设、管理，促进大数据政用、民用、商用。负责推进全县政府数据采集汇聚、登记管理、共享开放。负责推动社会数据汇聚融合、互联互通、资源共享。负责推进社会公共信息资源整合和应用。负责推动全县数据安全体系建设工作。负责全县大数据应用发展管理。负责推进全县信息化应用工作。统筹推进全县智慧城市建设。负责组织协调跨部门、跨行业、跨领域的信息化应用，协调解决信息化建设中的重大问题等。</w:t>
      </w:r>
    </w:p>
    <w:p>
      <w:pPr>
        <w:keepNext w:val="0"/>
        <w:keepLines w:val="0"/>
        <w:pageBreakBefore w:val="0"/>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（三）年度主要工作概述</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（一）持续强化机关党建。</w:t>
      </w:r>
      <w:r>
        <w:rPr>
          <w:rFonts w:hint="eastAsia" w:ascii="Times New Roman" w:hAnsi="Times New Roman" w:eastAsia="方正仿宋_GBK" w:cs="方正仿宋_GBK"/>
          <w:sz w:val="32"/>
          <w:szCs w:val="32"/>
        </w:rPr>
        <w:t>一是狠抓责任落实。严格落实书记第一责任、班子成员“一岗双责”。落实党风廉政建设、意识形态工作责任制等，研究部署党建工作4次，开展警示教育10次，谈心谈话50余人次。二是狠抓政治建设。认真学习贯彻习近平新时代中国特色社会主义思想和党的二十大精神，推动干部理想信念教育常态化制度化，增强“四个意识”、坚定“四个自信”、做到“两个维护”。召开党组理论学习中心组学习15次。三是狠抓支部规范。贯彻《中国共产党支部工作条例</w:t>
      </w:r>
      <w:r>
        <w:rPr>
          <w:rFonts w:hint="eastAsia" w:cs="方正仿宋_GBK"/>
          <w:sz w:val="32"/>
          <w:szCs w:val="32"/>
          <w:lang w:eastAsia="zh-CN"/>
        </w:rPr>
        <w:t>（试行）</w:t>
      </w:r>
      <w:r>
        <w:rPr>
          <w:rFonts w:hint="eastAsia" w:ascii="Times New Roman" w:hAnsi="Times New Roman" w:eastAsia="方正仿宋_GBK" w:cs="方正仿宋_GBK"/>
          <w:sz w:val="32"/>
          <w:szCs w:val="32"/>
        </w:rPr>
        <w:t>》等规章制度。认真执行《关于新形势下党内政治生活的若干准则》，规范落实“三会一课”、组织生活会等基本制度。开展主题党日活动12次。发展入党积极分子2名。</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（二）提升科技创新能力。</w:t>
      </w:r>
      <w:r>
        <w:rPr>
          <w:rFonts w:hint="eastAsia" w:ascii="Times New Roman" w:hAnsi="Times New Roman" w:eastAsia="方正仿宋_GBK" w:cs="方正仿宋_GBK"/>
          <w:sz w:val="32"/>
          <w:szCs w:val="32"/>
        </w:rPr>
        <w:t>一是培育创新主体。推动创新型企业蓬勃发展，壮大科技型中小微企业群体。新增科技型企业23家，总数达502家（在渝东北、渝东南排名第二）。建立高新技术企业培育库，有序开展培育服务，预计新增高新技术企业6家，有效期内高新技术企业预计达23家。二是发展创新平台。围绕脐橙、生物制药、玻璃加工、新材料、中药材等产业，加强创新平台建设，推进科技企业孵化器提档升级，新增市级科普基地1个，有序推进众创空间、“星创天地”建设，创新平台总数达50个。三是汇聚科技人才。对接各级各类人才支持计划，加强科技人才引进，从市内外高等院校、科研院所等单位选派市级科技特派员30名、“三区”科技人才10名支持企业创新发展，选派70名县级科技特派员服务145个村。</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（三）优化科技创新生态。</w:t>
      </w:r>
      <w:r>
        <w:rPr>
          <w:rFonts w:hint="eastAsia" w:ascii="Times New Roman" w:hAnsi="Times New Roman" w:eastAsia="方正仿宋_GBK" w:cs="方正仿宋_GBK"/>
          <w:sz w:val="32"/>
          <w:szCs w:val="32"/>
        </w:rPr>
        <w:t>一是落实科技创新政策。大力宣传落实《奉节县企业科技创新积分管理办法（试行）》（全市首个企业科技创新积分管理办法），拟为29家企业发放资助资金428万余元。二是强化科技金融支撑。大力推进知识价值信用贷款工作，有效缓解企业融资难题。为109家企业发放知识价值信用贷款2.06亿元，引导发放商业贷款3370万元。累计已为376家企业发放知识价值信用贷款6.59亿元，引导发放商业贷款2.02亿元。三是促进科技成果转移转化。强化对技术市场和科技成果转化的指导、管理和服务，有序开展技术合同认定登记工作。新增登记技术市场成交合同额1207.2万元，技术市场成交合同额累计达4892.26万元。四是大力推进科学普及。组织“科普讲解大赛”“科技活动周”等活动，开展科普进社区、进农村、进校园、进基地等一系列科普活动。“夔州科普”志愿服务队开展活动20余次。</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Times New Roman" w:hAnsi="Times New Roman" w:eastAsia="方正仿宋_GBK" w:cs="方正仿宋_GBK"/>
          <w:sz w:val="32"/>
          <w:szCs w:val="32"/>
        </w:rPr>
      </w:pPr>
      <w:r>
        <w:rPr>
          <w:rFonts w:hint="eastAsia" w:ascii="Times New Roman" w:hAnsi="Times New Roman" w:eastAsia="方正楷体_GBK" w:cs="方正仿宋_GBK"/>
          <w:sz w:val="32"/>
          <w:szCs w:val="32"/>
        </w:rPr>
        <w:t>（四）推进大数据应用发展管理。</w:t>
      </w:r>
      <w:r>
        <w:rPr>
          <w:rFonts w:hint="eastAsia" w:ascii="Times New Roman" w:hAnsi="Times New Roman" w:eastAsia="方正仿宋_GBK" w:cs="方正仿宋_GBK"/>
          <w:sz w:val="32"/>
          <w:szCs w:val="32"/>
        </w:rPr>
        <w:t>一是加强数据资源汇聚共享。深化“云长制”改革，落实政务数据资源“三清单”制度，推进奉节县政务信息资源共享交换平台使用及优化，新增清单管理、信息系统填报等功能，提升数据汇聚效率。实现全县53个部门的政务数据接入汇聚，梳理形成800余条资源目录，汇聚政务数据1900余万条。二是优化升级“一点到户”大数据平台。平台建立可扩展的架构、数据采集可灵活配置的指标管理与采集任务体系、可控的权限管理系统、完善的基础数据体系，使平台具有支持业务增长、定制数据采集模板、统计分析数据等功能，并在安坪镇三坨村开展试点工作。三是制订系列规划方案。编制《奉节县新型智慧城市“十四五”规划》《奉节县新型智慧城市2022</w:t>
      </w:r>
      <w:r>
        <w:rPr>
          <w:rFonts w:hint="eastAsia" w:ascii="Times New Roman" w:hAnsi="Times New Roman" w:eastAsia="方正仿宋_GBK" w:cs="方正仿宋_GBK"/>
          <w:sz w:val="32"/>
          <w:szCs w:val="32"/>
          <w:lang w:eastAsia="zh-CN"/>
        </w:rPr>
        <w:t>—</w:t>
      </w:r>
      <w:r>
        <w:rPr>
          <w:rFonts w:hint="eastAsia" w:ascii="Times New Roman" w:hAnsi="Times New Roman" w:eastAsia="方正仿宋_GBK" w:cs="方正仿宋_GBK"/>
          <w:sz w:val="32"/>
          <w:szCs w:val="32"/>
        </w:rPr>
        <w:t>2025年建设方案》，制定《奉节县城区突发规模性新冠肺炎疫情“渝康码”整体运行保障实施预案》，印发《关于加强奉节县政务信息化项目管理的通知》。</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方正仿宋_GBK" w:hAnsi="方正仿宋_GBK" w:eastAsia="方正仿宋_GBK" w:cs="方正仿宋_GBK"/>
          <w:sz w:val="32"/>
          <w:szCs w:val="32"/>
          <w:lang w:eastAsia="zh-CN"/>
        </w:rPr>
      </w:pPr>
      <w:r>
        <w:rPr>
          <w:rFonts w:hint="eastAsia" w:ascii="Times New Roman" w:hAnsi="Times New Roman" w:eastAsia="方正楷体_GBK" w:cs="方正仿宋_GBK"/>
          <w:sz w:val="32"/>
          <w:szCs w:val="32"/>
        </w:rPr>
        <w:t>（五）推动大数据产业发展。</w:t>
      </w:r>
      <w:r>
        <w:rPr>
          <w:rFonts w:hint="eastAsia" w:ascii="Times New Roman" w:hAnsi="Times New Roman" w:eastAsia="方正仿宋_GBK" w:cs="方正仿宋_GBK"/>
          <w:sz w:val="32"/>
          <w:szCs w:val="32"/>
        </w:rPr>
        <w:t>一是规划建设产业集聚区。规划建设大数据产业园，在商会大厦、能源大厦打造大数据产业楼宇，已部分投入使用。二是大力开展招商引资。引进百度、罗普特、重庆誉存、四川龙祥达、湖北锦拓云等22家知名企业入驻，其中16家已投产运营。签约百度智能云（奉节）人工智能基础数据产业基地、人工智能训练数据标注孵化基地等项目22个（其中18个项目已经开工实施），协议投资共计18.8亿元，预计提供就业岗位2000余个，目前已提供就业岗位700余个。三是营造良好发展环境。编制服务招商引资企业工作手册，确定专人开展公司注册、企业用工等全方位跟踪服务，协助20家企业在奉注册公司，协助百度、罗普特等企业招聘及培训大数据产业人员500余人。制作大数据产业发展宣传片。中央财经频道《制能中国》栏目对奉节数字经济发展成效进行专访报道。</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lang w:eastAsia="zh-CN"/>
        </w:rPr>
      </w:pPr>
      <w:r>
        <w:rPr>
          <w:rFonts w:hint="eastAsia" w:ascii="方正楷体_GBK" w:hAnsi="方正楷体_GBK" w:eastAsia="方正楷体_GBK" w:cs="方正楷体_GBK"/>
          <w:sz w:val="32"/>
          <w:szCs w:val="32"/>
          <w:lang w:eastAsia="zh-CN"/>
        </w:rPr>
        <w:t>（四）绩效目标</w:t>
      </w:r>
    </w:p>
    <w:p>
      <w:pPr>
        <w:keepNext w:val="0"/>
        <w:keepLines w:val="0"/>
        <w:pageBreakBefore w:val="0"/>
        <w:numPr>
          <w:ilvl w:val="0"/>
          <w:numId w:val="0"/>
        </w:numPr>
        <w:kinsoku/>
        <w:wordWrap/>
        <w:overflowPunct/>
        <w:topLinePunct w:val="0"/>
        <w:bidi w:val="0"/>
        <w:snapToGrid/>
        <w:spacing w:line="560" w:lineRule="exact"/>
        <w:ind w:firstLine="632" w:firstLineChars="200"/>
        <w:rPr>
          <w:rFonts w:hint="default"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eastAsia="zh-CN"/>
        </w:rPr>
        <w:t>整体支出绩效目标申报及年中追加支出绩效目标情况：年初预算下达了整体支出绩效目标</w:t>
      </w:r>
      <w:r>
        <w:rPr>
          <w:rFonts w:hint="eastAsia" w:ascii="方正仿宋_GBK" w:hAnsi="方正仿宋_GBK" w:cs="方正仿宋_GBK"/>
          <w:color w:val="auto"/>
          <w:sz w:val="32"/>
          <w:szCs w:val="32"/>
          <w:lang w:val="en-US" w:eastAsia="zh-CN"/>
        </w:rPr>
        <w:t>449.44万元</w:t>
      </w:r>
      <w:r>
        <w:rPr>
          <w:rFonts w:hint="eastAsia" w:ascii="方正仿宋_GBK" w:hAnsi="方正仿宋_GBK" w:eastAsia="方正仿宋_GBK" w:cs="方正仿宋_GBK"/>
          <w:color w:val="auto"/>
          <w:sz w:val="32"/>
          <w:szCs w:val="32"/>
          <w:lang w:eastAsia="zh-CN"/>
        </w:rPr>
        <w:t>，年中追加了</w:t>
      </w:r>
      <w:r>
        <w:rPr>
          <w:rFonts w:hint="eastAsia" w:ascii="方正仿宋_GBK" w:hAnsi="方正仿宋_GBK" w:cs="方正仿宋_GBK"/>
          <w:color w:val="auto"/>
          <w:sz w:val="32"/>
          <w:szCs w:val="32"/>
          <w:lang w:eastAsia="zh-CN"/>
        </w:rPr>
        <w:t>项目</w:t>
      </w:r>
      <w:r>
        <w:rPr>
          <w:rFonts w:hint="eastAsia" w:ascii="方正仿宋_GBK" w:hAnsi="方正仿宋_GBK" w:eastAsia="方正仿宋_GBK" w:cs="方正仿宋_GBK"/>
          <w:color w:val="auto"/>
          <w:sz w:val="32"/>
          <w:szCs w:val="32"/>
          <w:lang w:eastAsia="zh-CN"/>
        </w:rPr>
        <w:t>预算</w:t>
      </w:r>
      <w:r>
        <w:rPr>
          <w:rFonts w:hint="eastAsia" w:ascii="方正仿宋_GBK" w:hAnsi="方正仿宋_GBK" w:cs="方正仿宋_GBK"/>
          <w:color w:val="auto"/>
          <w:sz w:val="32"/>
          <w:szCs w:val="32"/>
          <w:lang w:val="en-US" w:eastAsia="zh-CN"/>
        </w:rPr>
        <w:t>884.59万元、人员经费指标结算28.49万元</w:t>
      </w:r>
      <w:r>
        <w:rPr>
          <w:rFonts w:hint="eastAsia" w:ascii="方正仿宋_GBK" w:hAnsi="方正仿宋_GBK" w:eastAsia="方正仿宋_GBK" w:cs="方正仿宋_GBK"/>
          <w:color w:val="auto"/>
          <w:sz w:val="32"/>
          <w:szCs w:val="32"/>
          <w:lang w:eastAsia="zh-CN"/>
        </w:rPr>
        <w:t>，对整体支出绩效目标进行了调整，我单位根据调整后的整体支出绩效目标开展了自评。</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（五）年度预决算</w:t>
      </w:r>
      <w:r>
        <w:rPr>
          <w:rFonts w:hint="eastAsia" w:ascii="方正楷体_GBK" w:hAnsi="方正楷体_GBK" w:eastAsia="方正楷体_GBK" w:cs="方正楷体_GBK"/>
          <w:sz w:val="32"/>
          <w:szCs w:val="32"/>
        </w:rPr>
        <w:t>情况</w:t>
      </w:r>
    </w:p>
    <w:p>
      <w:pPr>
        <w:keepNext w:val="0"/>
        <w:keepLines w:val="0"/>
        <w:pageBreakBefore w:val="0"/>
        <w:kinsoku/>
        <w:wordWrap/>
        <w:overflowPunct/>
        <w:topLinePunct w:val="0"/>
        <w:bidi w:val="0"/>
        <w:snapToGrid/>
        <w:spacing w:line="560" w:lineRule="exact"/>
        <w:ind w:firstLine="632" w:firstLineChars="200"/>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我单位</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lang w:eastAsia="zh-CN"/>
        </w:rPr>
        <w:t>初</w:t>
      </w:r>
      <w:r>
        <w:rPr>
          <w:rFonts w:hint="eastAsia" w:ascii="方正仿宋_GBK" w:hAnsi="方正仿宋_GBK" w:eastAsia="方正仿宋_GBK" w:cs="方正仿宋_GBK"/>
          <w:sz w:val="32"/>
          <w:szCs w:val="32"/>
        </w:rPr>
        <w:t>预算总</w:t>
      </w:r>
      <w:r>
        <w:rPr>
          <w:rFonts w:hint="eastAsia" w:ascii="方正仿宋_GBK" w:hAnsi="方正仿宋_GBK" w:eastAsia="方正仿宋_GBK" w:cs="方正仿宋_GBK"/>
          <w:sz w:val="32"/>
          <w:szCs w:val="32"/>
          <w:lang w:eastAsia="zh-CN"/>
        </w:rPr>
        <w:t>收入为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lang w:val="en-US" w:eastAsia="zh-CN"/>
        </w:rPr>
        <w:t>万元，年中追加收入</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color w:val="auto"/>
          <w:sz w:val="32"/>
          <w:szCs w:val="32"/>
          <w:lang w:val="en-US" w:eastAsia="zh-CN"/>
        </w:rPr>
        <w:t>、人员经费指标结算28.49万元</w:t>
      </w:r>
      <w:r>
        <w:rPr>
          <w:rFonts w:hint="eastAsia" w:ascii="方正仿宋_GBK" w:hAnsi="方正仿宋_GBK" w:eastAsia="方正仿宋_GBK" w:cs="方正仿宋_GBK"/>
          <w:sz w:val="32"/>
          <w:szCs w:val="32"/>
          <w:lang w:val="en-US" w:eastAsia="zh-CN"/>
        </w:rPr>
        <w:t>，全年总收入为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万元；全年总</w:t>
      </w:r>
      <w:r>
        <w:rPr>
          <w:rFonts w:hint="eastAsia" w:ascii="方正仿宋_GBK" w:hAnsi="方正仿宋_GBK" w:eastAsia="方正仿宋_GBK" w:cs="方正仿宋_GBK"/>
          <w:sz w:val="32"/>
          <w:szCs w:val="32"/>
        </w:rPr>
        <w:t>支出为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477.93</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396.42</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w:t>
      </w:r>
      <w:r>
        <w:rPr>
          <w:rFonts w:hint="eastAsia" w:ascii="方正仿宋_GBK" w:hAnsi="方正仿宋_GBK" w:eastAsia="方正仿宋_GBK" w:cs="方正仿宋_GBK"/>
          <w:b/>
          <w:bCs/>
          <w:sz w:val="32"/>
          <w:szCs w:val="32"/>
        </w:rPr>
        <w:t>年初</w:t>
      </w:r>
      <w:r>
        <w:rPr>
          <w:rFonts w:hint="eastAsia" w:ascii="方正仿宋_GBK" w:hAnsi="方正仿宋_GBK" w:eastAsia="方正仿宋_GBK" w:cs="方正仿宋_GBK"/>
          <w:sz w:val="32"/>
          <w:szCs w:val="32"/>
        </w:rPr>
        <w:t>预算收入</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万元，其中：财政拨款收入年初预算</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b/>
          <w:bCs/>
          <w:sz w:val="32"/>
          <w:szCs w:val="32"/>
          <w:lang w:eastAsia="zh-CN"/>
        </w:rPr>
        <w:t>年中</w:t>
      </w:r>
      <w:r>
        <w:rPr>
          <w:rFonts w:hint="eastAsia" w:ascii="方正仿宋_GBK" w:hAnsi="方正仿宋_GBK" w:eastAsia="方正仿宋_GBK" w:cs="方正仿宋_GBK"/>
          <w:sz w:val="32"/>
          <w:szCs w:val="32"/>
          <w:lang w:eastAsia="zh-CN"/>
        </w:rPr>
        <w:t>追加</w:t>
      </w:r>
      <w:r>
        <w:rPr>
          <w:rFonts w:hint="eastAsia" w:ascii="方正仿宋_GBK" w:hAnsi="方正仿宋_GBK" w:eastAsia="方正仿宋_GBK" w:cs="方正仿宋_GBK"/>
          <w:sz w:val="32"/>
          <w:szCs w:val="32"/>
        </w:rPr>
        <w:t>专项资金</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color w:val="auto"/>
          <w:sz w:val="32"/>
          <w:szCs w:val="32"/>
          <w:lang w:val="en-US" w:eastAsia="zh-CN"/>
        </w:rPr>
        <w:t>、人员经费指标结算28.49万元</w:t>
      </w:r>
      <w:r>
        <w:rPr>
          <w:rFonts w:hint="eastAsia" w:ascii="方正仿宋_GBK" w:hAnsi="方正仿宋_GBK" w:eastAsia="方正仿宋_GBK" w:cs="方正仿宋_GBK"/>
          <w:sz w:val="32"/>
          <w:szCs w:val="32"/>
          <w:lang w:eastAsia="zh-CN"/>
        </w:rPr>
        <w:t>（一般公共预算收入</w:t>
      </w:r>
      <w:r>
        <w:rPr>
          <w:rFonts w:hint="eastAsia" w:ascii="方正仿宋_GBK" w:hAnsi="方正仿宋_GBK" w:cs="方正仿宋_GBK"/>
          <w:sz w:val="32"/>
          <w:szCs w:val="32"/>
          <w:lang w:val="en-US" w:eastAsia="zh-CN"/>
        </w:rPr>
        <w:t>28.49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），共计收入</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lang w:val="en-US" w:eastAsia="zh-CN"/>
        </w:rPr>
      </w:pPr>
      <w:r>
        <w:rPr>
          <w:rFonts w:hint="eastAsia" w:ascii="方正仿宋_GBK" w:hAnsi="方正仿宋_GBK" w:eastAsia="方正仿宋_GBK" w:cs="方正仿宋_GBK"/>
          <w:sz w:val="32"/>
          <w:szCs w:val="32"/>
        </w:rPr>
        <w:t>2、</w:t>
      </w:r>
      <w:r>
        <w:rPr>
          <w:rFonts w:hint="eastAsia" w:ascii="方正仿宋_GBK" w:hAnsi="方正仿宋_GBK" w:eastAsia="方正仿宋_GBK" w:cs="方正仿宋_GBK"/>
          <w:sz w:val="32"/>
          <w:szCs w:val="32"/>
          <w:lang w:eastAsia="zh-CN"/>
        </w:rPr>
        <w:t>年初</w:t>
      </w:r>
      <w:r>
        <w:rPr>
          <w:rFonts w:hint="eastAsia" w:ascii="方正仿宋_GBK" w:hAnsi="方正仿宋_GBK" w:eastAsia="方正仿宋_GBK" w:cs="方正仿宋_GBK"/>
          <w:sz w:val="32"/>
          <w:szCs w:val="32"/>
        </w:rPr>
        <w:t>预算支出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万元，基本支出</w:t>
      </w:r>
      <w:r>
        <w:rPr>
          <w:rFonts w:hint="eastAsia" w:ascii="方正仿宋_GBK" w:hAnsi="方正仿宋_GBK" w:cs="方正仿宋_GBK"/>
          <w:sz w:val="32"/>
          <w:szCs w:val="32"/>
          <w:lang w:val="en-US" w:eastAsia="zh-CN"/>
        </w:rPr>
        <w:t>449.44</w:t>
      </w:r>
      <w:r>
        <w:rPr>
          <w:rFonts w:hint="eastAsia" w:ascii="方正仿宋_GBK" w:hAnsi="方正仿宋_GBK" w:eastAsia="方正仿宋_GBK" w:cs="方正仿宋_GBK"/>
          <w:sz w:val="32"/>
          <w:szCs w:val="32"/>
        </w:rPr>
        <w:t>万</w:t>
      </w:r>
      <w:r>
        <w:rPr>
          <w:rFonts w:hint="eastAsia" w:ascii="方正仿宋_GBK" w:hAnsi="方正仿宋_GBK" w:eastAsia="方正仿宋_GBK" w:cs="方正仿宋_GBK"/>
          <w:sz w:val="32"/>
          <w:szCs w:val="32"/>
          <w:lang w:eastAsia="zh-CN"/>
        </w:rPr>
        <w:t>元（</w:t>
      </w:r>
      <w:r>
        <w:rPr>
          <w:rFonts w:hint="eastAsia" w:ascii="方正仿宋_GBK" w:hAnsi="方正仿宋_GBK" w:eastAsia="方正仿宋_GBK" w:cs="方正仿宋_GBK"/>
          <w:sz w:val="32"/>
          <w:szCs w:val="32"/>
        </w:rPr>
        <w:t>工资福利支出</w:t>
      </w:r>
      <w:r>
        <w:rPr>
          <w:rFonts w:hint="eastAsia" w:ascii="方正仿宋_GBK" w:hAnsi="方正仿宋_GBK" w:cs="方正仿宋_GBK"/>
          <w:sz w:val="32"/>
          <w:szCs w:val="32"/>
          <w:lang w:val="en-US" w:eastAsia="zh-CN"/>
        </w:rPr>
        <w:t>367.93</w:t>
      </w:r>
      <w:r>
        <w:rPr>
          <w:rFonts w:hint="eastAsia" w:ascii="方正仿宋_GBK" w:hAnsi="方正仿宋_GBK" w:eastAsia="方正仿宋_GBK" w:cs="方正仿宋_GBK"/>
          <w:sz w:val="32"/>
          <w:szCs w:val="32"/>
        </w:rPr>
        <w:t>万元、商品和服务支出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lang w:eastAsia="zh-CN"/>
        </w:rPr>
        <w:t>；年中追加</w:t>
      </w:r>
      <w:r>
        <w:rPr>
          <w:rFonts w:hint="eastAsia" w:ascii="方正仿宋_GBK" w:hAnsi="方正仿宋_GBK" w:eastAsia="方正仿宋_GBK" w:cs="方正仿宋_GBK"/>
          <w:color w:val="auto"/>
          <w:sz w:val="32"/>
          <w:szCs w:val="32"/>
          <w:highlight w:val="none"/>
          <w:lang w:val="en-US" w:eastAsia="zh-CN"/>
        </w:rPr>
        <w:t>（</w:t>
      </w:r>
      <w:r>
        <w:rPr>
          <w:rFonts w:hint="eastAsia" w:ascii="方正仿宋_GBK" w:hAnsi="方正仿宋_GBK" w:cs="方正仿宋_GBK"/>
          <w:color w:val="auto"/>
          <w:sz w:val="32"/>
          <w:szCs w:val="32"/>
          <w:highlight w:val="none"/>
          <w:lang w:val="en-US" w:eastAsia="zh-CN"/>
        </w:rPr>
        <w:t>13</w:t>
      </w:r>
      <w:r>
        <w:rPr>
          <w:rFonts w:hint="eastAsia" w:ascii="方正仿宋_GBK" w:hAnsi="方正仿宋_GBK" w:eastAsia="方正仿宋_GBK" w:cs="方正仿宋_GBK"/>
          <w:color w:val="auto"/>
          <w:sz w:val="32"/>
          <w:szCs w:val="32"/>
          <w:highlight w:val="none"/>
          <w:lang w:val="en-US" w:eastAsia="zh-CN"/>
        </w:rPr>
        <w:t>个项目</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lang w:eastAsia="zh-CN"/>
        </w:rPr>
        <w:t>专项支出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lang w:val="en-US" w:eastAsia="zh-CN"/>
        </w:rPr>
        <w:t>万元</w:t>
      </w:r>
      <w:r>
        <w:rPr>
          <w:rFonts w:hint="eastAsia" w:ascii="方正仿宋_GBK" w:hAnsi="方正仿宋_GBK" w:cs="方正仿宋_GBK"/>
          <w:sz w:val="32"/>
          <w:szCs w:val="32"/>
          <w:lang w:val="en-US" w:eastAsia="zh-CN"/>
        </w:rPr>
        <w:t>、人员经费结算基本支出28.49万元</w:t>
      </w:r>
      <w:r>
        <w:rPr>
          <w:rFonts w:hint="eastAsia" w:ascii="方正仿宋_GBK" w:hAnsi="方正仿宋_GBK" w:eastAsia="方正仿宋_GBK" w:cs="方正仿宋_GBK"/>
          <w:sz w:val="32"/>
          <w:szCs w:val="32"/>
          <w:lang w:val="en-US" w:eastAsia="zh-CN"/>
        </w:rPr>
        <w:t>，共计支出为</w:t>
      </w:r>
      <w:r>
        <w:rPr>
          <w:rFonts w:hint="eastAsia" w:ascii="方正仿宋_GBK" w:hAnsi="方正仿宋_GBK" w:cs="方正仿宋_GBK"/>
          <w:sz w:val="32"/>
          <w:szCs w:val="32"/>
          <w:lang w:val="en-US" w:eastAsia="zh-CN"/>
        </w:rPr>
        <w:t>1362.52</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二、整体支出管理及使用情况</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基本支出</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年度我</w:t>
      </w:r>
      <w:r>
        <w:rPr>
          <w:rFonts w:hint="eastAsia" w:ascii="方正仿宋_GBK" w:hAnsi="方正仿宋_GBK" w:cs="方正仿宋_GBK"/>
          <w:sz w:val="32"/>
          <w:szCs w:val="32"/>
          <w:lang w:eastAsia="zh-CN"/>
        </w:rPr>
        <w:t>单位</w:t>
      </w:r>
      <w:r>
        <w:rPr>
          <w:rFonts w:hint="eastAsia" w:ascii="方正仿宋_GBK" w:hAnsi="方正仿宋_GBK" w:eastAsia="方正仿宋_GBK" w:cs="方正仿宋_GBK"/>
          <w:sz w:val="32"/>
          <w:szCs w:val="32"/>
        </w:rPr>
        <w:t>基本支出</w:t>
      </w:r>
      <w:r>
        <w:rPr>
          <w:rFonts w:hint="eastAsia" w:ascii="方正仿宋_GBK" w:hAnsi="方正仿宋_GBK" w:cs="方正仿宋_GBK"/>
          <w:sz w:val="32"/>
          <w:szCs w:val="32"/>
          <w:lang w:val="en-US" w:eastAsia="zh-CN"/>
        </w:rPr>
        <w:t>477.93</w:t>
      </w:r>
      <w:r>
        <w:rPr>
          <w:rFonts w:hint="eastAsia" w:ascii="方正仿宋_GBK" w:hAnsi="方正仿宋_GBK" w:eastAsia="方正仿宋_GBK" w:cs="方正仿宋_GBK"/>
          <w:sz w:val="32"/>
          <w:szCs w:val="32"/>
        </w:rPr>
        <w:t>万元，其中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人员支出</w:t>
      </w:r>
      <w:r>
        <w:rPr>
          <w:rFonts w:hint="eastAsia" w:ascii="方正仿宋_GBK" w:hAnsi="方正仿宋_GBK" w:cs="方正仿宋_GBK"/>
          <w:sz w:val="32"/>
          <w:szCs w:val="32"/>
          <w:lang w:val="en-US" w:eastAsia="zh-CN"/>
        </w:rPr>
        <w:t>396.42</w:t>
      </w:r>
      <w:r>
        <w:rPr>
          <w:rFonts w:hint="eastAsia" w:ascii="方正仿宋_GBK" w:hAnsi="方正仿宋_GBK" w:eastAsia="方正仿宋_GBK" w:cs="方正仿宋_GBK"/>
          <w:sz w:val="32"/>
          <w:szCs w:val="32"/>
        </w:rPr>
        <w:t>万元，公用支出</w:t>
      </w:r>
      <w:r>
        <w:rPr>
          <w:rFonts w:hint="eastAsia" w:ascii="方正仿宋_GBK" w:hAnsi="方正仿宋_GBK" w:cs="方正仿宋_GBK"/>
          <w:sz w:val="32"/>
          <w:szCs w:val="32"/>
          <w:lang w:val="en-US" w:eastAsia="zh-CN"/>
        </w:rPr>
        <w:t>81.51</w:t>
      </w:r>
      <w:r>
        <w:rPr>
          <w:rFonts w:hint="eastAsia" w:ascii="方正仿宋_GBK" w:hAnsi="方正仿宋_GBK" w:eastAsia="方正仿宋_GBK" w:cs="方正仿宋_GBK"/>
          <w:sz w:val="32"/>
          <w:szCs w:val="32"/>
        </w:rPr>
        <w:t>万元。</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年三公经费支出</w:t>
      </w:r>
      <w:r>
        <w:rPr>
          <w:rFonts w:hint="eastAsia" w:ascii="方正仿宋_GBK" w:hAnsi="方正仿宋_GBK" w:cs="方正仿宋_GBK"/>
          <w:sz w:val="32"/>
          <w:szCs w:val="32"/>
          <w:lang w:val="en-US" w:eastAsia="zh-CN"/>
        </w:rPr>
        <w:t>0.86</w:t>
      </w:r>
      <w:r>
        <w:rPr>
          <w:rFonts w:hint="eastAsia" w:ascii="方正仿宋_GBK" w:hAnsi="方正仿宋_GBK" w:eastAsia="方正仿宋_GBK" w:cs="方正仿宋_GBK"/>
          <w:sz w:val="32"/>
          <w:szCs w:val="32"/>
        </w:rPr>
        <w:t>万元，</w:t>
      </w:r>
      <w:r>
        <w:rPr>
          <w:rFonts w:hint="eastAsia" w:ascii="方正仿宋_GBK" w:hAnsi="方正仿宋_GBK" w:cs="方正仿宋_GBK"/>
          <w:sz w:val="32"/>
          <w:szCs w:val="32"/>
          <w:lang w:eastAsia="zh-CN"/>
        </w:rPr>
        <w:t>较上年持平</w:t>
      </w:r>
      <w:r>
        <w:rPr>
          <w:rFonts w:hint="eastAsia" w:ascii="方正仿宋_GBK" w:hAnsi="方正仿宋_GBK" w:eastAsia="方正仿宋_GBK" w:cs="方正仿宋_GBK"/>
          <w:sz w:val="32"/>
          <w:szCs w:val="32"/>
        </w:rPr>
        <w:t>。其中</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公务接待费</w:t>
      </w:r>
      <w:r>
        <w:rPr>
          <w:rFonts w:hint="eastAsia" w:ascii="方正仿宋_GBK" w:hAnsi="方正仿宋_GBK" w:cs="方正仿宋_GBK"/>
          <w:sz w:val="32"/>
          <w:szCs w:val="32"/>
          <w:lang w:val="en-US" w:eastAsia="zh-CN"/>
        </w:rPr>
        <w:t>0.86</w:t>
      </w:r>
      <w:r>
        <w:rPr>
          <w:rFonts w:hint="eastAsia" w:ascii="方正仿宋_GBK" w:hAnsi="方正仿宋_GBK" w:eastAsia="方正仿宋_GBK" w:cs="方正仿宋_GBK"/>
          <w:sz w:val="32"/>
          <w:szCs w:val="32"/>
        </w:rPr>
        <w:t>万元，公务用车运行维护费</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万元，同比上年增加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政府采购完成</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lang w:val="en-US" w:eastAsia="zh-CN"/>
        </w:rPr>
        <w:t>万元，</w:t>
      </w:r>
      <w:r>
        <w:rPr>
          <w:rFonts w:hint="eastAsia" w:ascii="方正仿宋_GBK" w:hAnsi="方正仿宋_GBK" w:eastAsia="方正仿宋_GBK" w:cs="方正仿宋_GBK"/>
          <w:sz w:val="32"/>
          <w:szCs w:val="32"/>
        </w:rPr>
        <w:t>同比上年增加</w:t>
      </w:r>
      <w:r>
        <w:rPr>
          <w:rFonts w:hint="eastAsia" w:ascii="方正仿宋_GBK" w:hAnsi="方正仿宋_GBK" w:eastAsia="方正仿宋_GBK" w:cs="方正仿宋_GBK"/>
          <w:sz w:val="32"/>
          <w:szCs w:val="32"/>
          <w:lang w:eastAsia="zh-CN"/>
        </w:rPr>
        <w:t>（减少）</w:t>
      </w:r>
      <w:r>
        <w:rPr>
          <w:rFonts w:hint="eastAsia" w:ascii="方正仿宋_GBK" w:hAnsi="方正仿宋_GBK" w:cs="方正仿宋_GBK"/>
          <w:sz w:val="32"/>
          <w:szCs w:val="32"/>
          <w:lang w:val="en-US" w:eastAsia="zh-CN"/>
        </w:rPr>
        <w:t>0</w:t>
      </w:r>
      <w:r>
        <w:rPr>
          <w:rFonts w:hint="eastAsia" w:ascii="方正仿宋_GBK" w:hAnsi="方正仿宋_GBK" w:eastAsia="方正仿宋_GBK" w:cs="方正仿宋_GBK"/>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项目支出</w:t>
      </w:r>
      <w:r>
        <w:rPr>
          <w:rFonts w:hint="eastAsia" w:ascii="方正仿宋_GBK" w:hAnsi="方正仿宋_GBK" w:eastAsia="方正仿宋_GBK" w:cs="方正仿宋_GBK"/>
          <w:sz w:val="32"/>
          <w:szCs w:val="32"/>
        </w:rPr>
        <w:t>：</w:t>
      </w:r>
      <w:r>
        <w:rPr>
          <w:rFonts w:hint="eastAsia" w:ascii="方正仿宋_GBK" w:hAnsi="方正仿宋_GBK" w:cs="方正仿宋_GBK"/>
          <w:sz w:val="32"/>
          <w:szCs w:val="32"/>
          <w:lang w:val="en-US" w:eastAsia="zh-CN"/>
        </w:rPr>
        <w:t>2022</w:t>
      </w:r>
      <w:r>
        <w:rPr>
          <w:rFonts w:hint="eastAsia" w:ascii="方正仿宋_GBK" w:hAnsi="方正仿宋_GBK" w:eastAsia="方正仿宋_GBK" w:cs="方正仿宋_GBK"/>
          <w:sz w:val="32"/>
          <w:szCs w:val="32"/>
        </w:rPr>
        <w:t>年财政拨款项目支出</w:t>
      </w:r>
      <w:r>
        <w:rPr>
          <w:rFonts w:hint="eastAsia" w:ascii="方正仿宋_GBK" w:hAnsi="方正仿宋_GBK" w:cs="方正仿宋_GBK"/>
          <w:sz w:val="32"/>
          <w:szCs w:val="32"/>
          <w:lang w:val="en-US" w:eastAsia="zh-CN"/>
        </w:rPr>
        <w:t>884.59</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sz w:val="32"/>
          <w:szCs w:val="32"/>
          <w:lang w:eastAsia="zh-CN"/>
        </w:rPr>
        <w:t>，同比上年减少</w:t>
      </w:r>
      <w:r>
        <w:rPr>
          <w:rFonts w:hint="eastAsia" w:ascii="方正仿宋_GBK" w:hAnsi="方正仿宋_GBK" w:cs="方正仿宋_GBK"/>
          <w:sz w:val="32"/>
          <w:szCs w:val="32"/>
          <w:lang w:val="en-US" w:eastAsia="zh-CN"/>
        </w:rPr>
        <w:t>34.14</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其中</w:t>
      </w:r>
      <w:r>
        <w:rPr>
          <w:rFonts w:hint="eastAsia" w:ascii="方正仿宋_GBK" w:hAnsi="方正仿宋_GBK" w:eastAsia="方正仿宋_GBK" w:cs="方正仿宋_GBK"/>
          <w:color w:val="auto"/>
          <w:sz w:val="32"/>
          <w:szCs w:val="32"/>
          <w:lang w:eastAsia="zh-CN"/>
        </w:rPr>
        <w:t>：奉节县政务信息资源共享交换平台项目（一期）</w:t>
      </w:r>
      <w:r>
        <w:rPr>
          <w:rFonts w:hint="eastAsia" w:ascii="方正仿宋_GBK" w:hAnsi="方正仿宋_GBK" w:cs="方正仿宋_GBK"/>
          <w:color w:val="auto"/>
          <w:sz w:val="32"/>
          <w:szCs w:val="32"/>
          <w:lang w:val="en-US" w:eastAsia="zh-CN"/>
        </w:rPr>
        <w:t>50万元、2020年度企业科技创新积分资助资金21.84万元、奉节县政务信息共享交换平台项目（一期）运维服务经费50.77万元、《中国农村科技》理事会会费5万元、百度智能云数据标注项目管理平台630万元、奉节县大数据产业园项目29.98万元、奉节脐橙测土配方施肥技术推广应用项目4万元、企业云端办公软件的开发与应用项目6万元、果酒原材料（脐橙）研究与示范项目6万元、统计能力提升及研发投入培训项目29.99万元、三峡油橄榄示范基地丰产栽培技术推广与应用8万元、诗城文化科普活动8万元、奉节县大数据产业园形象提升项目34.99万元</w:t>
      </w:r>
      <w:r>
        <w:rPr>
          <w:rFonts w:hint="eastAsia" w:ascii="方正仿宋_GBK" w:hAnsi="方正仿宋_GBK" w:eastAsia="方正仿宋_GBK" w:cs="方正仿宋_GBK"/>
          <w:color w:val="auto"/>
          <w:sz w:val="32"/>
          <w:szCs w:val="32"/>
        </w:rPr>
        <w:t>）。</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三、整体支出绩效情况</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（一）</w:t>
      </w:r>
      <w:r>
        <w:rPr>
          <w:rFonts w:hint="eastAsia" w:ascii="方正楷体_GBK" w:hAnsi="方正楷体_GBK" w:eastAsia="方正楷体_GBK" w:cs="方正楷体_GBK"/>
          <w:sz w:val="32"/>
          <w:szCs w:val="32"/>
        </w:rPr>
        <w:t>财务管理制度建设情况</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资金拨付严格按程序申报、审批，资金使用合理合规，财政资金安全。</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（二）</w:t>
      </w:r>
      <w:r>
        <w:rPr>
          <w:rFonts w:hint="eastAsia" w:ascii="方正楷体_GBK" w:hAnsi="方正楷体_GBK" w:eastAsia="方正楷体_GBK" w:cs="方正楷体_GBK"/>
          <w:sz w:val="32"/>
          <w:szCs w:val="32"/>
        </w:rPr>
        <w:t>资产管理：</w:t>
      </w:r>
      <w:r>
        <w:rPr>
          <w:rFonts w:hint="eastAsia" w:ascii="方正仿宋_GBK" w:hAnsi="方正仿宋_GBK" w:cs="方正仿宋_GBK"/>
          <w:color w:val="auto"/>
          <w:sz w:val="32"/>
          <w:szCs w:val="32"/>
          <w:lang w:eastAsia="zh-CN"/>
        </w:rPr>
        <w:t>每月按</w:t>
      </w:r>
      <w:r>
        <w:rPr>
          <w:rFonts w:hint="eastAsia" w:ascii="方正仿宋_GBK" w:hAnsi="方正仿宋_GBK" w:eastAsia="方正仿宋_GBK" w:cs="方正仿宋_GBK"/>
          <w:color w:val="auto"/>
          <w:sz w:val="32"/>
          <w:szCs w:val="32"/>
          <w:lang w:eastAsia="zh-CN"/>
        </w:rPr>
        <w:t>时</w:t>
      </w:r>
      <w:r>
        <w:rPr>
          <w:rFonts w:hint="eastAsia" w:ascii="方正仿宋_GBK" w:hAnsi="方正仿宋_GBK" w:eastAsia="方正仿宋_GBK" w:cs="方正仿宋_GBK"/>
          <w:color w:val="auto"/>
          <w:sz w:val="32"/>
          <w:szCs w:val="32"/>
        </w:rPr>
        <w:t>报送资产情况报表，各项资产核算准确、帐实相符、管理到位。</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楷体_GBK" w:hAnsi="方正楷体_GBK" w:eastAsia="方正楷体_GBK" w:cs="方正楷体_GBK"/>
          <w:sz w:val="32"/>
          <w:szCs w:val="32"/>
          <w:lang w:eastAsia="zh-CN"/>
        </w:rPr>
        <w:t>（三）</w:t>
      </w:r>
      <w:r>
        <w:rPr>
          <w:rFonts w:hint="eastAsia" w:ascii="方正楷体_GBK" w:hAnsi="方正楷体_GBK" w:eastAsia="方正楷体_GBK" w:cs="方正楷体_GBK"/>
          <w:sz w:val="32"/>
          <w:szCs w:val="32"/>
        </w:rPr>
        <w:t>预决算公开</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lang w:eastAsia="zh-CN"/>
        </w:rPr>
        <w:t>按时</w:t>
      </w:r>
      <w:r>
        <w:rPr>
          <w:rFonts w:hint="eastAsia" w:ascii="方正仿宋_GBK" w:hAnsi="方正仿宋_GBK" w:eastAsia="方正仿宋_GBK" w:cs="方正仿宋_GBK"/>
          <w:color w:val="auto"/>
          <w:sz w:val="32"/>
          <w:szCs w:val="32"/>
        </w:rPr>
        <w:t>在县人民政府门户网站上进行预决算公开。</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0000FF"/>
          <w:sz w:val="32"/>
          <w:szCs w:val="32"/>
        </w:rPr>
      </w:pPr>
      <w:r>
        <w:rPr>
          <w:rFonts w:hint="eastAsia" w:ascii="方正楷体_GBK" w:hAnsi="方正楷体_GBK" w:eastAsia="方正楷体_GBK" w:cs="方正楷体_GBK"/>
          <w:sz w:val="32"/>
          <w:szCs w:val="32"/>
          <w:lang w:eastAsia="zh-CN"/>
        </w:rPr>
        <w:t>（四）</w:t>
      </w:r>
      <w:r>
        <w:rPr>
          <w:rFonts w:hint="eastAsia" w:ascii="方正楷体_GBK" w:hAnsi="方正楷体_GBK" w:eastAsia="方正楷体_GBK" w:cs="方正楷体_GBK"/>
          <w:sz w:val="32"/>
          <w:szCs w:val="32"/>
        </w:rPr>
        <w:t>“三公经费”控制情况</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auto"/>
          <w:sz w:val="32"/>
          <w:szCs w:val="32"/>
        </w:rPr>
        <w:t>能严格遵守各项规章制度，严控“三公”经费支出，并及时在县人民政府门户网站上对“三公”经费情况进行公示。</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lang w:eastAsia="zh-CN"/>
        </w:rPr>
      </w:pPr>
      <w:r>
        <w:rPr>
          <w:rFonts w:hint="eastAsia" w:ascii="方正楷体_GBK" w:hAnsi="方正楷体_GBK" w:eastAsia="方正楷体_GBK" w:cs="方正楷体_GBK"/>
          <w:sz w:val="32"/>
          <w:szCs w:val="32"/>
          <w:lang w:eastAsia="zh-CN"/>
        </w:rPr>
        <w:t>（五）政府采购情况</w:t>
      </w:r>
      <w:r>
        <w:rPr>
          <w:rFonts w:hint="eastAsia" w:ascii="方正仿宋_GBK" w:hAnsi="方正仿宋_GBK" w:eastAsia="方正仿宋_GBK" w:cs="方正仿宋_GBK"/>
          <w:sz w:val="32"/>
          <w:szCs w:val="32"/>
          <w:lang w:eastAsia="zh-CN"/>
        </w:rPr>
        <w:t>：</w:t>
      </w:r>
      <w:r>
        <w:rPr>
          <w:rFonts w:hint="eastAsia" w:ascii="方正仿宋_GBK" w:hAnsi="方正仿宋_GBK" w:cs="方正仿宋_GBK"/>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（六）</w:t>
      </w:r>
      <w:r>
        <w:rPr>
          <w:rFonts w:hint="eastAsia" w:ascii="方正楷体_GBK" w:hAnsi="方正楷体_GBK" w:eastAsia="方正楷体_GBK" w:cs="方正楷体_GBK"/>
          <w:sz w:val="32"/>
          <w:szCs w:val="32"/>
        </w:rPr>
        <w:t>认真履行职责</w:t>
      </w:r>
      <w:r>
        <w:rPr>
          <w:rFonts w:hint="eastAsia" w:ascii="方正楷体_GBK" w:hAnsi="方正楷体_GBK" w:eastAsia="方正楷体_GBK" w:cs="方正楷体_GBK"/>
          <w:sz w:val="32"/>
          <w:szCs w:val="32"/>
          <w:lang w:eastAsia="zh-CN"/>
        </w:rPr>
        <w:t>情况：</w:t>
      </w:r>
      <w:r>
        <w:rPr>
          <w:rFonts w:hint="eastAsia" w:ascii="Times New Roman" w:hAnsi="Times New Roman" w:eastAsia="方正仿宋_GBK" w:cs="方正仿宋_GBK"/>
          <w:sz w:val="32"/>
          <w:szCs w:val="32"/>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p>
      <w:pPr>
        <w:keepNext w:val="0"/>
        <w:keepLines w:val="0"/>
        <w:pageBreakBefore w:val="0"/>
        <w:numPr>
          <w:ilvl w:val="0"/>
          <w:numId w:val="2"/>
        </w:numPr>
        <w:kinsoku/>
        <w:wordWrap/>
        <w:overflowPunct/>
        <w:topLinePunct w:val="0"/>
        <w:bidi w:val="0"/>
        <w:snapToGrid/>
        <w:spacing w:line="560" w:lineRule="exact"/>
        <w:ind w:left="640" w:leftChars="0" w:firstLine="0" w:firstLineChars="0"/>
        <w:rPr>
          <w:rFonts w:hint="eastAsia" w:ascii="方正黑体_GBK" w:hAnsi="方正黑体_GBK" w:eastAsia="方正黑体_GBK" w:cs="方正黑体_GBK"/>
          <w:b w:val="0"/>
          <w:bCs w:val="0"/>
          <w:i w:val="0"/>
          <w:iCs w:val="0"/>
          <w:caps w:val="0"/>
          <w:color w:val="000000"/>
          <w:spacing w:val="0"/>
          <w:sz w:val="32"/>
          <w:szCs w:val="32"/>
        </w:rPr>
      </w:pPr>
      <w:r>
        <w:rPr>
          <w:rFonts w:hint="eastAsia" w:ascii="方正黑体_GBK" w:hAnsi="方正黑体_GBK" w:eastAsia="方正黑体_GBK" w:cs="方正黑体_GBK"/>
          <w:b w:val="0"/>
          <w:bCs w:val="0"/>
          <w:i w:val="0"/>
          <w:iCs w:val="0"/>
          <w:caps w:val="0"/>
          <w:color w:val="000000"/>
          <w:spacing w:val="0"/>
          <w:sz w:val="32"/>
          <w:szCs w:val="32"/>
        </w:rPr>
        <w:t>评价结论</w:t>
      </w:r>
      <w:r>
        <w:rPr>
          <w:rFonts w:hint="eastAsia" w:ascii="方正黑体_GBK" w:hAnsi="方正黑体_GBK" w:eastAsia="方正黑体_GBK" w:cs="方正黑体_GBK"/>
          <w:b w:val="0"/>
          <w:bCs w:val="0"/>
          <w:i w:val="0"/>
          <w:iCs w:val="0"/>
          <w:caps w:val="0"/>
          <w:color w:val="000000"/>
          <w:spacing w:val="0"/>
          <w:sz w:val="32"/>
          <w:szCs w:val="32"/>
          <w:lang w:eastAsia="zh-CN"/>
        </w:rPr>
        <w:t>及分析</w:t>
      </w:r>
    </w:p>
    <w:p>
      <w:pPr>
        <w:keepNext w:val="0"/>
        <w:keepLines w:val="0"/>
        <w:pageBreakBefore w:val="0"/>
        <w:numPr>
          <w:ilvl w:val="0"/>
          <w:numId w:val="0"/>
        </w:numPr>
        <w:kinsoku/>
        <w:wordWrap/>
        <w:overflowPunct/>
        <w:topLinePunct w:val="0"/>
        <w:bidi w:val="0"/>
        <w:snapToGrid/>
        <w:spacing w:line="560" w:lineRule="exact"/>
        <w:ind w:firstLine="632" w:firstLineChars="200"/>
        <w:rPr>
          <w:rFonts w:hint="default"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通过认真开展单位整体支出绩效目标自评，综合评分</w:t>
      </w:r>
      <w:r>
        <w:rPr>
          <w:rFonts w:hint="eastAsia" w:ascii="仿宋_GB2312" w:hAnsi="仿宋_GB2312" w:eastAsia="仿宋_GB2312" w:cs="仿宋_GB2312"/>
          <w:i w:val="0"/>
          <w:iCs w:val="0"/>
          <w:caps w:val="0"/>
          <w:color w:val="000000"/>
          <w:spacing w:val="0"/>
          <w:sz w:val="32"/>
          <w:szCs w:val="32"/>
          <w:highlight w:val="none"/>
          <w:lang w:val="en-US" w:eastAsia="zh-CN"/>
        </w:rPr>
        <w:t>99.1</w:t>
      </w:r>
      <w:r>
        <w:rPr>
          <w:rFonts w:hint="eastAsia" w:ascii="仿宋_GB2312" w:hAnsi="仿宋_GB2312" w:eastAsia="仿宋_GB2312" w:cs="仿宋_GB2312"/>
          <w:i w:val="0"/>
          <w:iCs w:val="0"/>
          <w:caps w:val="0"/>
          <w:color w:val="000000"/>
          <w:spacing w:val="0"/>
          <w:sz w:val="32"/>
          <w:szCs w:val="32"/>
          <w:lang w:val="en-US" w:eastAsia="zh-CN"/>
        </w:rPr>
        <w:t>分，评价结果为“优”。</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仿宋_GB2312" w:hAnsi="仿宋_GB2312" w:eastAsia="仿宋_GB2312" w:cs="仿宋_GB2312"/>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（一）经济性分析</w:t>
      </w:r>
    </w:p>
    <w:p>
      <w:pPr>
        <w:keepNext w:val="0"/>
        <w:keepLines w:val="0"/>
        <w:pageBreakBefore w:val="0"/>
        <w:numPr>
          <w:ilvl w:val="0"/>
          <w:numId w:val="0"/>
        </w:numPr>
        <w:kinsoku/>
        <w:wordWrap/>
        <w:overflowPunct/>
        <w:topLinePunct w:val="0"/>
        <w:bidi w:val="0"/>
        <w:snapToGrid/>
        <w:spacing w:line="560" w:lineRule="exact"/>
        <w:ind w:firstLine="632" w:firstLineChars="200"/>
        <w:rPr>
          <w:rFonts w:hint="eastAsia" w:ascii="仿宋_GB2312" w:hAnsi="仿宋_GB2312" w:eastAsia="仿宋_GB2312" w:cs="仿宋_GB2312"/>
          <w:i w:val="0"/>
          <w:iCs w:val="0"/>
          <w:caps w:val="0"/>
          <w:color w:val="000000"/>
          <w:spacing w:val="0"/>
          <w:sz w:val="32"/>
          <w:szCs w:val="32"/>
          <w:lang w:val="en-US" w:eastAsia="zh-CN"/>
        </w:rPr>
      </w:pPr>
      <w:r>
        <w:rPr>
          <w:rFonts w:hint="eastAsia" w:ascii="仿宋_GB2312" w:hAnsi="仿宋_GB2312" w:eastAsia="仿宋_GB2312" w:cs="仿宋_GB2312"/>
          <w:i w:val="0"/>
          <w:iCs w:val="0"/>
          <w:caps w:val="0"/>
          <w:color w:val="000000"/>
          <w:spacing w:val="0"/>
          <w:sz w:val="32"/>
          <w:szCs w:val="32"/>
          <w:lang w:val="en-US" w:eastAsia="zh-CN"/>
        </w:rPr>
        <w:t>执行绩效评价体系，从以下几个方面提升了我单位的绩效工作：</w:t>
      </w:r>
      <w:r>
        <w:rPr>
          <w:rFonts w:hint="eastAsia" w:ascii="仿宋_GB2312" w:hAnsi="仿宋_GB2312" w:eastAsia="仿宋_GB2312" w:cs="仿宋_GB2312"/>
          <w:i w:val="0"/>
          <w:iCs w:val="0"/>
          <w:caps w:val="0"/>
          <w:color w:val="auto"/>
          <w:spacing w:val="0"/>
          <w:sz w:val="32"/>
          <w:szCs w:val="32"/>
          <w:lang w:val="en-US" w:eastAsia="zh-CN"/>
        </w:rPr>
        <w:t>一是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方正楷体_GBK" w:hAnsi="方正楷体_GBK" w:eastAsia="方正楷体_GBK" w:cs="方正楷体_GBK"/>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（二）效率性分析</w:t>
      </w:r>
    </w:p>
    <w:p>
      <w:pPr>
        <w:keepNext w:val="0"/>
        <w:keepLines w:val="0"/>
        <w:pageBreakBefore w:val="0"/>
        <w:numPr>
          <w:ilvl w:val="0"/>
          <w:numId w:val="0"/>
        </w:numPr>
        <w:kinsoku/>
        <w:wordWrap/>
        <w:overflowPunct/>
        <w:topLinePunct w:val="0"/>
        <w:bidi w:val="0"/>
        <w:snapToGrid/>
        <w:spacing w:line="560" w:lineRule="exact"/>
        <w:ind w:left="640" w:leftChars="0"/>
        <w:rPr>
          <w:rFonts w:hint="eastAsia" w:cs="方正仿宋_GBK"/>
          <w:sz w:val="32"/>
          <w:szCs w:val="32"/>
          <w:lang w:val="en-US" w:eastAsia="zh-CN"/>
        </w:rPr>
      </w:pPr>
      <w:r>
        <w:rPr>
          <w:rFonts w:hint="eastAsia" w:cs="方正仿宋_GBK"/>
          <w:sz w:val="32"/>
          <w:szCs w:val="32"/>
          <w:lang w:eastAsia="zh-CN"/>
        </w:rPr>
        <w:t>预算执行</w:t>
      </w:r>
      <w:r>
        <w:rPr>
          <w:rFonts w:hint="eastAsia" w:cs="方正仿宋_GBK"/>
          <w:sz w:val="32"/>
          <w:szCs w:val="32"/>
          <w:lang w:val="en-US" w:eastAsia="zh-CN"/>
        </w:rPr>
        <w:t>100%。</w:t>
      </w:r>
    </w:p>
    <w:p>
      <w:pPr>
        <w:keepNext w:val="0"/>
        <w:keepLines w:val="0"/>
        <w:pageBreakBefore w:val="0"/>
        <w:numPr>
          <w:ilvl w:val="0"/>
          <w:numId w:val="0"/>
        </w:numPr>
        <w:kinsoku/>
        <w:wordWrap/>
        <w:overflowPunct/>
        <w:topLinePunct w:val="0"/>
        <w:bidi w:val="0"/>
        <w:snapToGrid/>
        <w:spacing w:line="560" w:lineRule="exact"/>
        <w:ind w:left="640" w:leftChars="0"/>
        <w:rPr>
          <w:rFonts w:hint="eastAsia" w:ascii="方正楷体_GBK" w:hAnsi="方正楷体_GBK" w:eastAsia="方正楷体_GBK" w:cs="方正楷体_GBK"/>
          <w:i w:val="0"/>
          <w:iCs w:val="0"/>
          <w:caps w:val="0"/>
          <w:color w:val="000000"/>
          <w:spacing w:val="0"/>
          <w:sz w:val="32"/>
          <w:szCs w:val="32"/>
          <w:lang w:val="en-US" w:eastAsia="zh-CN"/>
        </w:rPr>
      </w:pPr>
      <w:r>
        <w:rPr>
          <w:rFonts w:hint="eastAsia" w:ascii="方正楷体_GBK" w:hAnsi="方正楷体_GBK" w:eastAsia="方正楷体_GBK" w:cs="方正楷体_GBK"/>
          <w:i w:val="0"/>
          <w:iCs w:val="0"/>
          <w:caps w:val="0"/>
          <w:color w:val="000000"/>
          <w:spacing w:val="0"/>
          <w:sz w:val="32"/>
          <w:szCs w:val="32"/>
          <w:lang w:val="en-US" w:eastAsia="zh-CN"/>
        </w:rPr>
        <w:t>（三）效益性分析</w:t>
      </w:r>
    </w:p>
    <w:p>
      <w:pPr>
        <w:keepNext w:val="0"/>
        <w:keepLines w:val="0"/>
        <w:pageBreakBefore w:val="0"/>
        <w:kinsoku/>
        <w:wordWrap/>
        <w:overflowPunct/>
        <w:topLinePunct w:val="0"/>
        <w:bidi w:val="0"/>
        <w:snapToGrid/>
        <w:spacing w:line="560" w:lineRule="exact"/>
        <w:ind w:firstLine="632" w:firstLineChars="200"/>
        <w:rPr>
          <w:rFonts w:hint="eastAsia" w:ascii="Times New Roman" w:hAnsi="Times New Roman" w:eastAsia="方正仿宋_GBK" w:cs="方正仿宋_GBK"/>
          <w:sz w:val="32"/>
          <w:szCs w:val="32"/>
        </w:rPr>
      </w:pPr>
      <w:r>
        <w:rPr>
          <w:rFonts w:hint="eastAsia" w:ascii="Times New Roman" w:hAnsi="Times New Roman" w:eastAsia="方正仿宋_GBK" w:cs="方正仿宋_GBK"/>
          <w:sz w:val="32"/>
          <w:szCs w:val="32"/>
        </w:rPr>
        <w:t>我县通过科技部组织的创新型县（市）验收，成为全国首批、全市唯一的创新型县。获得“第九届重庆科普讲解大赛优秀组织奖”。</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五</w:t>
      </w:r>
      <w:r>
        <w:rPr>
          <w:rFonts w:hint="eastAsia" w:ascii="方正黑体_GBK" w:hAnsi="方正黑体_GBK" w:eastAsia="方正黑体_GBK" w:cs="方正黑体_GBK"/>
          <w:b w:val="0"/>
          <w:bCs w:val="0"/>
          <w:sz w:val="32"/>
          <w:szCs w:val="32"/>
        </w:rPr>
        <w:t>、存在的问题</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lang w:eastAsia="zh-CN"/>
        </w:rPr>
      </w:pPr>
      <w:r>
        <w:rPr>
          <w:rFonts w:hint="eastAsia" w:ascii="方正仿宋_GBK" w:hAnsi="方正仿宋_GBK" w:cs="方正仿宋_GBK"/>
          <w:color w:val="auto"/>
          <w:sz w:val="32"/>
          <w:szCs w:val="32"/>
          <w:lang w:eastAsia="zh-CN"/>
        </w:rPr>
        <w:t>公务卡刷卡率未达标。</w:t>
      </w:r>
    </w:p>
    <w:p>
      <w:pPr>
        <w:keepNext w:val="0"/>
        <w:keepLines w:val="0"/>
        <w:pageBreakBefore w:val="0"/>
        <w:kinsoku/>
        <w:wordWrap/>
        <w:overflowPunct/>
        <w:topLinePunct w:val="0"/>
        <w:bidi w:val="0"/>
        <w:snapToGrid/>
        <w:spacing w:line="560" w:lineRule="exact"/>
        <w:ind w:firstLine="632" w:firstLineChars="200"/>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lang w:eastAsia="zh-CN"/>
        </w:rPr>
        <w:t>六</w:t>
      </w:r>
      <w:r>
        <w:rPr>
          <w:rFonts w:hint="eastAsia" w:ascii="方正黑体_GBK" w:hAnsi="方正黑体_GBK" w:eastAsia="方正黑体_GBK" w:cs="方正黑体_GBK"/>
          <w:b w:val="0"/>
          <w:bCs w:val="0"/>
          <w:sz w:val="32"/>
          <w:szCs w:val="32"/>
        </w:rPr>
        <w:t>、改进措施和有关建议</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eastAsia="zh-CN"/>
        </w:rPr>
        <w:t>（一）</w:t>
      </w:r>
      <w:r>
        <w:rPr>
          <w:rFonts w:hint="eastAsia" w:ascii="方正仿宋_GBK" w:hAnsi="方正仿宋_GBK" w:eastAsia="方正仿宋_GBK" w:cs="方正仿宋_GBK"/>
          <w:color w:val="auto"/>
          <w:sz w:val="32"/>
          <w:szCs w:val="32"/>
        </w:rPr>
        <w:t>细化预算编制工作，进一步加强内设机构的预算管理意识，严格按照预算编制的相关制度和要求进行预算编制。</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color w:val="auto"/>
          <w:sz w:val="32"/>
          <w:szCs w:val="32"/>
          <w:lang w:eastAsia="zh-CN"/>
        </w:rPr>
        <w:t>（二）</w:t>
      </w:r>
      <w:r>
        <w:rPr>
          <w:rFonts w:hint="eastAsia" w:ascii="方正仿宋_GBK" w:hAnsi="方正仿宋_GBK" w:eastAsia="方正仿宋_GBK" w:cs="方正仿宋_GBK"/>
          <w:color w:val="auto"/>
          <w:sz w:val="32"/>
          <w:szCs w:val="32"/>
        </w:rPr>
        <w:t>加强财务管理，严格财务审核。加强单位财务管理，健全单位财务管理制度体系，规范单位财务行为。在费用报账支付时，按照预算规定的费用项目和用途进行资金使用审核、财务严格核算，杜绝超支现象的发生。</w:t>
      </w:r>
    </w:p>
    <w:p>
      <w:pPr>
        <w:keepNext w:val="0"/>
        <w:keepLines w:val="0"/>
        <w:pageBreakBefore w:val="0"/>
        <w:kinsoku/>
        <w:wordWrap/>
        <w:overflowPunct/>
        <w:topLinePunct w:val="0"/>
        <w:bidi w:val="0"/>
        <w:snapToGrid/>
        <w:spacing w:line="560" w:lineRule="exact"/>
        <w:ind w:firstLine="632"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eastAsia="zh-CN"/>
        </w:rPr>
        <w:t>附</w:t>
      </w:r>
      <w:r>
        <w:rPr>
          <w:rFonts w:hint="eastAsia" w:ascii="方正仿宋_GBK" w:hAnsi="方正仿宋_GBK" w:cs="方正仿宋_GBK"/>
          <w:sz w:val="32"/>
          <w:szCs w:val="32"/>
          <w:lang w:val="en-US" w:eastAsia="zh-CN"/>
        </w:rPr>
        <w:t>件</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部门（单位）</w:t>
      </w:r>
      <w:r>
        <w:rPr>
          <w:rFonts w:hint="eastAsia" w:ascii="方正仿宋_GBK" w:hAnsi="方正仿宋_GBK" w:eastAsia="方正仿宋_GBK" w:cs="方正仿宋_GBK"/>
          <w:sz w:val="32"/>
          <w:szCs w:val="32"/>
        </w:rPr>
        <w:t>整体支出</w:t>
      </w:r>
      <w:r>
        <w:rPr>
          <w:rFonts w:hint="eastAsia" w:ascii="方正仿宋_GBK" w:hAnsi="方正仿宋_GBK" w:eastAsia="方正仿宋_GBK" w:cs="方正仿宋_GBK"/>
          <w:sz w:val="32"/>
          <w:szCs w:val="32"/>
          <w:lang w:eastAsia="zh-CN"/>
        </w:rPr>
        <w:t>预算</w:t>
      </w:r>
      <w:r>
        <w:rPr>
          <w:rFonts w:hint="eastAsia" w:ascii="方正仿宋_GBK" w:hAnsi="方正仿宋_GBK" w:eastAsia="方正仿宋_GBK" w:cs="方正仿宋_GBK"/>
          <w:sz w:val="32"/>
          <w:szCs w:val="32"/>
        </w:rPr>
        <w:t>绩效自评表</w:t>
      </w:r>
    </w:p>
    <w:p>
      <w:pPr>
        <w:keepNext w:val="0"/>
        <w:keepLines w:val="0"/>
        <w:pageBreakBefore w:val="0"/>
        <w:kinsoku/>
        <w:wordWrap/>
        <w:overflowPunct/>
        <w:topLinePunct w:val="0"/>
        <w:bidi w:val="0"/>
        <w:snapToGrid/>
        <w:spacing w:line="560" w:lineRule="exact"/>
        <w:ind w:firstLine="5372" w:firstLineChars="1700"/>
        <w:rPr>
          <w:rFonts w:hint="eastAsia" w:ascii="仿宋_GB2312" w:hAnsi="仿宋_GB2312" w:eastAsia="仿宋_GB2312" w:cs="仿宋_GB2312"/>
          <w:i w:val="0"/>
          <w:iCs w:val="0"/>
          <w:caps w:val="0"/>
          <w:color w:val="auto"/>
          <w:spacing w:val="0"/>
          <w:sz w:val="32"/>
          <w:szCs w:val="32"/>
          <w:lang w:val="en-US" w:eastAsia="zh-CN"/>
        </w:rPr>
      </w:pPr>
      <w:r>
        <w:rPr>
          <w:rFonts w:hint="eastAsia" w:ascii="仿宋_GB2312" w:hAnsi="仿宋_GB2312" w:eastAsia="仿宋_GB2312" w:cs="仿宋_GB2312"/>
          <w:i w:val="0"/>
          <w:iCs w:val="0"/>
          <w:caps w:val="0"/>
          <w:color w:val="auto"/>
          <w:spacing w:val="0"/>
          <w:sz w:val="32"/>
          <w:szCs w:val="32"/>
          <w:lang w:val="en-US" w:eastAsia="zh-CN"/>
        </w:rPr>
        <w:t>奉节县科学技术局</w:t>
      </w:r>
    </w:p>
    <w:p>
      <w:pPr>
        <w:keepNext w:val="0"/>
        <w:keepLines w:val="0"/>
        <w:pageBreakBefore w:val="0"/>
        <w:kinsoku/>
        <w:wordWrap/>
        <w:overflowPunct/>
        <w:topLinePunct w:val="0"/>
        <w:bidi w:val="0"/>
        <w:snapToGrid/>
        <w:spacing w:line="560" w:lineRule="exact"/>
        <w:ind w:firstLine="5372" w:firstLineChars="1700"/>
        <w:rPr>
          <w:rFonts w:hint="eastAsia" w:ascii="方正仿宋_GBK" w:hAnsi="方正仿宋_GBK" w:eastAsia="方正仿宋_GBK" w:cs="方正仿宋_GBK"/>
          <w:color w:val="auto"/>
          <w:sz w:val="32"/>
          <w:szCs w:val="32"/>
          <w:lang w:eastAsia="zh-CN"/>
        </w:rPr>
      </w:pPr>
      <w:r>
        <w:rPr>
          <w:rFonts w:hint="eastAsia" w:ascii="方正仿宋_GBK" w:hAnsi="方正仿宋_GBK" w:cs="方正仿宋_GBK"/>
          <w:color w:val="auto"/>
          <w:sz w:val="32"/>
          <w:szCs w:val="32"/>
          <w:lang w:val="en-US" w:eastAsia="zh-CN"/>
        </w:rPr>
        <w:t>2023</w:t>
      </w:r>
      <w:r>
        <w:rPr>
          <w:rFonts w:hint="eastAsia" w:ascii="方正仿宋_GBK" w:hAnsi="方正仿宋_GBK" w:eastAsia="方正仿宋_GBK" w:cs="方正仿宋_GBK"/>
          <w:color w:val="auto"/>
          <w:sz w:val="32"/>
          <w:szCs w:val="32"/>
        </w:rPr>
        <w:t>年</w:t>
      </w:r>
      <w:r>
        <w:rPr>
          <w:rFonts w:hint="eastAsia" w:ascii="方正仿宋_GBK" w:hAnsi="方正仿宋_GBK" w:cs="方正仿宋_GBK"/>
          <w:color w:val="auto"/>
          <w:sz w:val="32"/>
          <w:szCs w:val="32"/>
          <w:lang w:val="en-US" w:eastAsia="zh-CN"/>
        </w:rPr>
        <w:t>1</w:t>
      </w:r>
      <w:r>
        <w:rPr>
          <w:rFonts w:hint="eastAsia" w:ascii="方正仿宋_GBK" w:hAnsi="方正仿宋_GBK" w:eastAsia="方正仿宋_GBK" w:cs="方正仿宋_GBK"/>
          <w:color w:val="auto"/>
          <w:sz w:val="32"/>
          <w:szCs w:val="32"/>
        </w:rPr>
        <w:t>月</w:t>
      </w:r>
      <w:r>
        <w:rPr>
          <w:rFonts w:hint="eastAsia" w:ascii="方正仿宋_GBK" w:hAnsi="方正仿宋_GBK" w:cs="方正仿宋_GBK"/>
          <w:color w:val="auto"/>
          <w:sz w:val="32"/>
          <w:szCs w:val="32"/>
          <w:lang w:val="en-US" w:eastAsia="zh-CN"/>
        </w:rPr>
        <w:t>19</w:t>
      </w:r>
      <w:r>
        <w:rPr>
          <w:rFonts w:hint="eastAsia" w:ascii="方正仿宋_GBK" w:hAnsi="方正仿宋_GBK" w:eastAsia="方正仿宋_GBK" w:cs="方正仿宋_GBK"/>
          <w:color w:val="auto"/>
          <w:sz w:val="32"/>
          <w:szCs w:val="32"/>
        </w:rPr>
        <w:t>日</w:t>
      </w:r>
    </w:p>
    <w:tbl>
      <w:tblPr>
        <w:tblStyle w:val="5"/>
        <w:tblpPr w:leftFromText="180" w:rightFromText="180" w:vertAnchor="text" w:horzAnchor="page" w:tblpX="1661" w:tblpY="-22"/>
        <w:tblOverlap w:val="never"/>
        <w:tblW w:w="8556" w:type="dxa"/>
        <w:tblInd w:w="0" w:type="dxa"/>
        <w:tblLayout w:type="fixed"/>
        <w:tblCellMar>
          <w:top w:w="0" w:type="dxa"/>
          <w:left w:w="108" w:type="dxa"/>
          <w:bottom w:w="0" w:type="dxa"/>
          <w:right w:w="108" w:type="dxa"/>
        </w:tblCellMar>
      </w:tblPr>
      <w:tblGrid>
        <w:gridCol w:w="1266"/>
        <w:gridCol w:w="1215"/>
        <w:gridCol w:w="1815"/>
        <w:gridCol w:w="1080"/>
        <w:gridCol w:w="1110"/>
        <w:gridCol w:w="1020"/>
        <w:gridCol w:w="1050"/>
      </w:tblGrid>
      <w:tr>
        <w:tblPrEx>
          <w:tblCellMar>
            <w:top w:w="0" w:type="dxa"/>
            <w:left w:w="108" w:type="dxa"/>
            <w:bottom w:w="0" w:type="dxa"/>
            <w:right w:w="108" w:type="dxa"/>
          </w:tblCellMar>
        </w:tblPrEx>
        <w:trPr>
          <w:trHeight w:val="927" w:hRule="atLeast"/>
        </w:trPr>
        <w:tc>
          <w:tcPr>
            <w:tcW w:w="8556" w:type="dxa"/>
            <w:gridSpan w:val="7"/>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部门（单位）整体支出</w:t>
            </w:r>
            <w:r>
              <w:rPr>
                <w:rFonts w:hint="eastAsia" w:ascii="宋体" w:hAnsi="宋体" w:cs="宋体"/>
                <w:b/>
                <w:bCs/>
                <w:i w:val="0"/>
                <w:iCs w:val="0"/>
                <w:color w:val="000000"/>
                <w:kern w:val="0"/>
                <w:sz w:val="32"/>
                <w:szCs w:val="32"/>
                <w:u w:val="none"/>
                <w:lang w:val="en-US" w:eastAsia="zh-CN" w:bidi="ar"/>
              </w:rPr>
              <w:t>预算</w:t>
            </w:r>
            <w:r>
              <w:rPr>
                <w:rFonts w:hint="eastAsia" w:ascii="宋体" w:hAnsi="宋体" w:eastAsia="宋体" w:cs="宋体"/>
                <w:b/>
                <w:bCs/>
                <w:i w:val="0"/>
                <w:iCs w:val="0"/>
                <w:color w:val="000000"/>
                <w:kern w:val="0"/>
                <w:sz w:val="32"/>
                <w:szCs w:val="32"/>
                <w:u w:val="none"/>
                <w:lang w:val="en-US" w:eastAsia="zh-CN" w:bidi="ar"/>
              </w:rPr>
              <w:t>绩效自评表</w:t>
            </w:r>
          </w:p>
        </w:tc>
      </w:tr>
      <w:tr>
        <w:tblPrEx>
          <w:tblCellMar>
            <w:top w:w="0" w:type="dxa"/>
            <w:left w:w="108" w:type="dxa"/>
            <w:bottom w:w="0" w:type="dxa"/>
            <w:right w:w="108" w:type="dxa"/>
          </w:tblCellMar>
        </w:tblPrEx>
        <w:trPr>
          <w:trHeight w:val="315" w:hRule="atLeast"/>
        </w:trPr>
        <w:tc>
          <w:tcPr>
            <w:tcW w:w="8556" w:type="dxa"/>
            <w:gridSpan w:val="7"/>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r>
              <w:rPr>
                <w:rStyle w:val="8"/>
                <w:rFonts w:eastAsia="宋体"/>
                <w:lang w:val="en-US" w:eastAsia="zh-CN" w:bidi="ar"/>
              </w:rPr>
              <w:t xml:space="preserve"> </w:t>
            </w:r>
            <w:r>
              <w:rPr>
                <w:rStyle w:val="8"/>
                <w:rFonts w:hint="eastAsia"/>
                <w:lang w:val="en-US" w:eastAsia="zh-CN" w:bidi="ar"/>
              </w:rPr>
              <w:t>2022</w:t>
            </w:r>
            <w:r>
              <w:rPr>
                <w:rStyle w:val="9"/>
                <w:lang w:val="en-US" w:eastAsia="zh-CN" w:bidi="ar"/>
              </w:rPr>
              <w:t>年度）</w:t>
            </w:r>
          </w:p>
        </w:tc>
      </w:tr>
      <w:tr>
        <w:tblPrEx>
          <w:tblCellMar>
            <w:top w:w="0" w:type="dxa"/>
            <w:left w:w="108" w:type="dxa"/>
            <w:bottom w:w="0" w:type="dxa"/>
            <w:right w:w="108" w:type="dxa"/>
          </w:tblCellMar>
        </w:tblPrEx>
        <w:trPr>
          <w:trHeight w:val="560" w:hRule="atLeast"/>
        </w:trPr>
        <w:tc>
          <w:tcPr>
            <w:tcW w:w="12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部门名称</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奉节县科学技术局</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内设机构个数</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职工实有人数</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22</w:t>
            </w:r>
          </w:p>
        </w:tc>
      </w:tr>
      <w:tr>
        <w:tblPrEx>
          <w:tblCellMar>
            <w:top w:w="0" w:type="dxa"/>
            <w:left w:w="108" w:type="dxa"/>
            <w:bottom w:w="0" w:type="dxa"/>
            <w:right w:w="108" w:type="dxa"/>
          </w:tblCellMar>
        </w:tblPrEx>
        <w:trPr>
          <w:trHeight w:val="560" w:hRule="atLeast"/>
        </w:trPr>
        <w:tc>
          <w:tcPr>
            <w:tcW w:w="1266" w:type="dxa"/>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项目负责人</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邓江席</w:t>
            </w:r>
          </w:p>
        </w:tc>
        <w:tc>
          <w:tcPr>
            <w:tcW w:w="219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联系电话</w:t>
            </w:r>
          </w:p>
        </w:tc>
        <w:tc>
          <w:tcPr>
            <w:tcW w:w="207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56557235</w:t>
            </w:r>
          </w:p>
        </w:tc>
      </w:tr>
      <w:tr>
        <w:tblPrEx>
          <w:tblCellMar>
            <w:top w:w="0" w:type="dxa"/>
            <w:left w:w="108" w:type="dxa"/>
            <w:bottom w:w="0" w:type="dxa"/>
            <w:right w:w="108" w:type="dxa"/>
          </w:tblCellMar>
        </w:tblPrEx>
        <w:trPr>
          <w:trHeight w:val="570" w:hRule="atLeast"/>
        </w:trPr>
        <w:tc>
          <w:tcPr>
            <w:tcW w:w="1266" w:type="dxa"/>
            <w:vMerge w:val="restart"/>
            <w:tcBorders>
              <w:top w:val="single" w:color="000000" w:sz="4" w:space="0"/>
              <w:left w:val="single" w:color="000000" w:sz="4" w:space="0"/>
              <w:bottom w:val="nil"/>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预算及执行整体规模（万元）</w:t>
            </w: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资金来源与结构</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年初预算</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追加预算</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预算执行</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default"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eastAsia="方正仿宋_GBK" w:cs="方正仿宋_GBK"/>
                <w:i w:val="0"/>
                <w:iCs w:val="0"/>
                <w:color w:val="000000"/>
                <w:kern w:val="0"/>
                <w:sz w:val="20"/>
                <w:szCs w:val="20"/>
                <w:u w:val="none"/>
                <w:lang w:val="en-US" w:eastAsia="zh-CN" w:bidi="ar"/>
              </w:rPr>
              <w:t>执行率%</w:t>
            </w:r>
          </w:p>
        </w:tc>
      </w:tr>
      <w:tr>
        <w:tblPrEx>
          <w:tblCellMar>
            <w:top w:w="0" w:type="dxa"/>
            <w:left w:w="108" w:type="dxa"/>
            <w:bottom w:w="0" w:type="dxa"/>
            <w:right w:w="108" w:type="dxa"/>
          </w:tblCellMar>
        </w:tblPrEx>
        <w:trPr>
          <w:trHeight w:val="450"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资金来源：（</w:t>
            </w:r>
            <w:r>
              <w:rPr>
                <w:rStyle w:val="10"/>
                <w:rFonts w:hint="eastAsia" w:ascii="方正仿宋_GBK" w:hAnsi="方正仿宋_GBK" w:eastAsia="方正仿宋_GBK" w:cs="方正仿宋_GBK"/>
                <w:sz w:val="20"/>
                <w:szCs w:val="20"/>
                <w:lang w:val="en-US" w:eastAsia="zh-CN" w:bidi="ar"/>
              </w:rPr>
              <w:t>1</w:t>
            </w:r>
            <w:r>
              <w:rPr>
                <w:rStyle w:val="11"/>
                <w:rFonts w:hint="eastAsia" w:ascii="方正仿宋_GBK" w:hAnsi="方正仿宋_GBK" w:eastAsia="方正仿宋_GBK" w:cs="方正仿宋_GBK"/>
                <w:sz w:val="20"/>
                <w:szCs w:val="20"/>
                <w:lang w:val="en-US" w:eastAsia="zh-CN" w:bidi="ar"/>
              </w:rPr>
              <w:t>）财政拨款</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449.44</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913.08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1362.52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31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（2）其他资金</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r>
      <w:tr>
        <w:tblPrEx>
          <w:tblCellMar>
            <w:top w:w="0" w:type="dxa"/>
            <w:left w:w="108" w:type="dxa"/>
            <w:bottom w:w="0" w:type="dxa"/>
            <w:right w:w="108" w:type="dxa"/>
          </w:tblCellMar>
        </w:tblPrEx>
        <w:trPr>
          <w:trHeight w:val="36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资金结构：（</w:t>
            </w:r>
            <w:r>
              <w:rPr>
                <w:rStyle w:val="10"/>
                <w:rFonts w:hint="eastAsia" w:ascii="方正仿宋_GBK" w:hAnsi="方正仿宋_GBK" w:eastAsia="方正仿宋_GBK" w:cs="方正仿宋_GBK"/>
                <w:sz w:val="20"/>
                <w:szCs w:val="20"/>
                <w:lang w:val="en-US" w:eastAsia="zh-CN" w:bidi="ar"/>
              </w:rPr>
              <w:t>1</w:t>
            </w:r>
            <w:r>
              <w:rPr>
                <w:rStyle w:val="11"/>
                <w:rFonts w:hint="eastAsia" w:ascii="方正仿宋_GBK" w:hAnsi="方正仿宋_GBK" w:eastAsia="方正仿宋_GBK" w:cs="方正仿宋_GBK"/>
                <w:sz w:val="20"/>
                <w:szCs w:val="20"/>
                <w:lang w:val="en-US" w:eastAsia="zh-CN" w:bidi="ar"/>
              </w:rPr>
              <w:t>）基本支出</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449.44</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28.49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477.93</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245" w:hRule="atLeast"/>
        </w:trPr>
        <w:tc>
          <w:tcPr>
            <w:tcW w:w="1266" w:type="dxa"/>
            <w:vMerge w:val="continue"/>
            <w:tcBorders>
              <w:top w:val="single" w:color="000000" w:sz="4" w:space="0"/>
              <w:left w:val="single" w:color="000000" w:sz="4" w:space="0"/>
              <w:bottom w:val="nil"/>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303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righ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（2）项目支出</w:t>
            </w:r>
          </w:p>
        </w:tc>
        <w:tc>
          <w:tcPr>
            <w:tcW w:w="1080" w:type="dxa"/>
            <w:tcBorders>
              <w:top w:val="single" w:color="000000" w:sz="4" w:space="0"/>
              <w:left w:val="nil"/>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884.59</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884.59</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cs="方正仿宋_GBK"/>
                <w:i w:val="0"/>
                <w:iCs w:val="0"/>
                <w:color w:val="000000"/>
                <w:sz w:val="20"/>
                <w:szCs w:val="20"/>
                <w:u w:val="none"/>
                <w:lang w:val="en-US" w:eastAsia="zh-CN"/>
              </w:rPr>
              <w:t>100%</w:t>
            </w:r>
          </w:p>
        </w:tc>
      </w:tr>
      <w:tr>
        <w:tblPrEx>
          <w:tblCellMar>
            <w:top w:w="0" w:type="dxa"/>
            <w:left w:w="108" w:type="dxa"/>
            <w:bottom w:w="0" w:type="dxa"/>
            <w:right w:w="108" w:type="dxa"/>
          </w:tblCellMar>
        </w:tblPrEx>
        <w:trPr>
          <w:trHeight w:val="375" w:hRule="atLeast"/>
        </w:trPr>
        <w:tc>
          <w:tcPr>
            <w:tcW w:w="1266"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年度总</w:t>
            </w:r>
            <w:r>
              <w:rPr>
                <w:rFonts w:hint="eastAsia" w:ascii="方正仿宋_GBK" w:hAnsi="方正仿宋_GBK" w:eastAsia="方正仿宋_GBK" w:cs="方正仿宋_GBK"/>
                <w:b/>
                <w:bCs/>
                <w:i w:val="0"/>
                <w:iCs w:val="0"/>
                <w:color w:val="000000"/>
                <w:kern w:val="0"/>
                <w:sz w:val="20"/>
                <w:szCs w:val="20"/>
                <w:u w:val="none"/>
                <w:lang w:val="en-US" w:eastAsia="zh-CN" w:bidi="ar"/>
              </w:rPr>
              <w:br w:type="textWrapping"/>
            </w:r>
            <w:r>
              <w:rPr>
                <w:rFonts w:hint="eastAsia" w:ascii="方正仿宋_GBK" w:hAnsi="方正仿宋_GBK" w:eastAsia="方正仿宋_GBK" w:cs="方正仿宋_GBK"/>
                <w:b/>
                <w:bCs/>
                <w:i w:val="0"/>
                <w:iCs w:val="0"/>
                <w:color w:val="000000"/>
                <w:kern w:val="0"/>
                <w:sz w:val="20"/>
                <w:szCs w:val="20"/>
                <w:u w:val="none"/>
                <w:lang w:val="en-US" w:eastAsia="zh-CN" w:bidi="ar"/>
              </w:rPr>
              <w:t>体目标      及完成情况</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年初工作 计划综述</w:t>
            </w:r>
          </w:p>
        </w:tc>
        <w:tc>
          <w:tcPr>
            <w:tcW w:w="607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sz w:val="20"/>
                <w:szCs w:val="20"/>
                <w:u w:val="none"/>
              </w:rPr>
              <w:t xml:space="preserve"> 拟订全县科技创新发展规划以及科技发展、大数据、人工智能、信息化应用、社会公共信息资源整合与应用、智慧城市建设、国外智力引进规划和政策措施并组织实施。统筹推进全县创新体系建设和科技体制改革，会同有关部门健全技术创新激励机制。指导科研机构改革发展，推动企业科技创新能力建设，推进全县重大科技决策咨询相关制度建设。协调管理县级财政科技计划（专项、基金等)并监督实施。组织拟订高新技术发展及产业化、科技促进农业农村和社会发展规划、政策和措施并组织实施。组织开展重点领域技术发展需求分析，提出重大任务并监督实施。牵头全县技术转移体系建设，拟订科技成果转移转化和促进产学研结合的相关政策措施并监督实施。指导科技服务业、技术市场和科技中介组织发展。统筹县域科技创新体系建设，指导县域创新发展、科技资源合理布局和协同创新能力建设，推动科技园区建设。）负责科技监督评价体系建设和相关科技评估管理，统筹科研诚信建设。组织实施创新调查和科技报告制度，承担全县科技保密工作。会同有关部门拟订科技人才队伍建设规划和政策，建立健全科技人才评价和激励机制，组织实施科技人才计划，推动高端科技创新人才队伍建设。拟订科学普及和科学传播规划、政策并组织实施。负责推动科技、大数据、人工智能、信息化领域对外交流合作，组织开展国内外科技合作与科技人才交流。负责外国专家管理工作。承担引进科技创新资源、科技型企业培育、科技宣传等工作。负责数据资源建设、管理，促进大数据政用、民用、商用。负责推进全县政府数据采集汇聚、登记管理、共享开放。负责推动社会数据汇聚融合、互联互通、资源共享。负责推进社会公共信息资源整合和应用。负责推动全县数据安全体系建设工作。负责全县大数据应用发展管理。负责推进全县信息化应用工作。统筹推进全县智慧城市建设。负责组织协调跨部门、跨行业、跨领域的信息化应用，协调解决信息化建设中的重大问题。负责机关、所属事业单位和行业社会组织党建工作。完成县委、县政府交办的其它任务。</w:t>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r>
              <w:rPr>
                <w:rFonts w:hint="eastAsia" w:ascii="方正仿宋_GBK" w:hAnsi="方正仿宋_GBK" w:eastAsia="方正仿宋_GBK" w:cs="方正仿宋_GBK"/>
                <w:i w:val="0"/>
                <w:iCs w:val="0"/>
                <w:color w:val="000000"/>
                <w:sz w:val="20"/>
                <w:szCs w:val="20"/>
                <w:u w:val="none"/>
              </w:rPr>
              <w:tab/>
            </w:r>
          </w:p>
        </w:tc>
      </w:tr>
      <w:tr>
        <w:tblPrEx>
          <w:tblCellMar>
            <w:top w:w="0" w:type="dxa"/>
            <w:left w:w="108" w:type="dxa"/>
            <w:bottom w:w="0" w:type="dxa"/>
            <w:right w:w="108" w:type="dxa"/>
          </w:tblCellMar>
        </w:tblPrEx>
        <w:trPr>
          <w:trHeight w:val="2005" w:hRule="atLeast"/>
        </w:trPr>
        <w:tc>
          <w:tcPr>
            <w:tcW w:w="1266"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全年完成 情况综述</w:t>
            </w:r>
          </w:p>
        </w:tc>
        <w:tc>
          <w:tcPr>
            <w:tcW w:w="6075"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sz w:val="20"/>
                <w:szCs w:val="20"/>
                <w:u w:val="none"/>
              </w:rPr>
              <w:t>2022年，县科技局在县委、县政府的领导下，完成《奉节县科技创新“十四五”规划》《奉节县新型智慧城市“十四五”规划》编制，推动实施“科技创新赋能”工程，大力推进科技创新和大数据应用发展管理工作，各项工作取得新进展。我县通过科技部组织的创新型县（市）验收，成为全国首批、全市唯一的创新型县。获得“第九届重庆科普讲解大赛优秀组织奖”。</w:t>
            </w:r>
          </w:p>
        </w:tc>
      </w:tr>
      <w:tr>
        <w:tblPrEx>
          <w:tblCellMar>
            <w:top w:w="0" w:type="dxa"/>
            <w:left w:w="108" w:type="dxa"/>
            <w:bottom w:w="0" w:type="dxa"/>
            <w:right w:w="108" w:type="dxa"/>
          </w:tblCellMar>
        </w:tblPrEx>
        <w:trPr>
          <w:trHeight w:val="460" w:hRule="atLeast"/>
        </w:trPr>
        <w:tc>
          <w:tcPr>
            <w:tcW w:w="8556" w:type="dxa"/>
            <w:gridSpan w:val="7"/>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分解目标自评</w:t>
            </w:r>
          </w:p>
        </w:tc>
      </w:tr>
      <w:tr>
        <w:tblPrEx>
          <w:tblCellMar>
            <w:top w:w="0" w:type="dxa"/>
            <w:left w:w="108" w:type="dxa"/>
            <w:bottom w:w="0" w:type="dxa"/>
            <w:right w:w="108" w:type="dxa"/>
          </w:tblCellMar>
        </w:tblPrEx>
        <w:trPr>
          <w:trHeight w:val="470" w:hRule="atLeast"/>
        </w:trPr>
        <w:tc>
          <w:tcPr>
            <w:tcW w:w="126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一级指标</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二级指标</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指标值</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分值</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完成值</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自评得分</w:t>
            </w:r>
          </w:p>
        </w:tc>
      </w:tr>
      <w:tr>
        <w:tblPrEx>
          <w:tblCellMar>
            <w:top w:w="0" w:type="dxa"/>
            <w:left w:w="108" w:type="dxa"/>
            <w:bottom w:w="0" w:type="dxa"/>
            <w:right w:w="108" w:type="dxa"/>
          </w:tblCellMar>
        </w:tblPrEx>
        <w:trPr>
          <w:trHeight w:val="315" w:hRule="atLeast"/>
        </w:trPr>
        <w:tc>
          <w:tcPr>
            <w:tcW w:w="126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产出指标</w:t>
            </w: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数量指标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实际完成率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lang w:val="en-US"/>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7.5</w:t>
            </w:r>
          </w:p>
        </w:tc>
      </w:tr>
      <w:tr>
        <w:tblPrEx>
          <w:tblCellMar>
            <w:top w:w="0" w:type="dxa"/>
            <w:left w:w="108" w:type="dxa"/>
            <w:bottom w:w="0" w:type="dxa"/>
            <w:right w:w="108" w:type="dxa"/>
          </w:tblCellMar>
        </w:tblPrEx>
        <w:trPr>
          <w:trHeight w:val="300"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质量指标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质量达标率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90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8.5</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时效指标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完成及时率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90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8</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成本指标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成本节约率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0.2%</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Theme="minorEastAsia" w:hAnsiTheme="minorEastAsia" w:eastAsiaTheme="minorEastAsia" w:cstheme="minorEastAsia"/>
                <w:i w:val="0"/>
                <w:iCs w:val="0"/>
                <w:color w:val="000000"/>
                <w:sz w:val="20"/>
                <w:szCs w:val="20"/>
                <w:u w:val="none"/>
                <w:lang w:val="en-US" w:eastAsia="zh-CN"/>
              </w:rPr>
            </w:pPr>
            <w:r>
              <w:rPr>
                <w:rFonts w:hint="eastAsia" w:asciiTheme="minorEastAsia" w:hAnsiTheme="minorEastAsia" w:eastAsiaTheme="minorEastAsia" w:cstheme="minorEastAsia"/>
                <w:i w:val="0"/>
                <w:iCs w:val="0"/>
                <w:color w:val="000000"/>
                <w:sz w:val="20"/>
                <w:szCs w:val="20"/>
                <w:u w:val="none"/>
                <w:lang w:val="en-US" w:eastAsia="zh-CN"/>
              </w:rPr>
              <w:t>0.2</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90" w:hRule="atLeast"/>
        </w:trPr>
        <w:tc>
          <w:tcPr>
            <w:tcW w:w="1266"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履职效能</w:t>
            </w:r>
          </w:p>
        </w:tc>
        <w:tc>
          <w:tcPr>
            <w:tcW w:w="121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数量指标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个性指标完成率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39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公用经费控制率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20"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共性指标完成率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48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积分资助企业数量</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20家</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20家</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三公经费控制率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在职人员控制率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95.8%</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95.8%</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0"/>
                <w:szCs w:val="20"/>
                <w:u w:val="none"/>
              </w:rPr>
            </w:pPr>
            <w:r>
              <w:rPr>
                <w:rFonts w:hint="eastAsia" w:asciiTheme="minorEastAsia" w:hAnsiTheme="minorEastAsia" w:eastAsiaTheme="minorEastAsia" w:cstheme="minorEastAsia"/>
                <w:i w:val="0"/>
                <w:color w:val="000000"/>
                <w:kern w:val="0"/>
                <w:sz w:val="20"/>
                <w:szCs w:val="20"/>
                <w:u w:val="none"/>
                <w:lang w:val="en-US" w:eastAsia="zh-CN" w:bidi="ar"/>
              </w:rPr>
              <w:t>1</w:t>
            </w:r>
          </w:p>
        </w:tc>
      </w:tr>
    </w:tbl>
    <w:tbl>
      <w:tblPr>
        <w:tblStyle w:val="5"/>
        <w:tblpPr w:leftFromText="180" w:rightFromText="180" w:vertAnchor="text" w:horzAnchor="page" w:tblpX="1666" w:tblpY="668"/>
        <w:tblOverlap w:val="never"/>
        <w:tblW w:w="8556" w:type="dxa"/>
        <w:tblInd w:w="0" w:type="dxa"/>
        <w:tblLayout w:type="fixed"/>
        <w:tblCellMar>
          <w:top w:w="0" w:type="dxa"/>
          <w:left w:w="108" w:type="dxa"/>
          <w:bottom w:w="0" w:type="dxa"/>
          <w:right w:w="108" w:type="dxa"/>
        </w:tblCellMar>
      </w:tblPr>
      <w:tblGrid>
        <w:gridCol w:w="1266"/>
        <w:gridCol w:w="1215"/>
        <w:gridCol w:w="1815"/>
        <w:gridCol w:w="1080"/>
        <w:gridCol w:w="1110"/>
        <w:gridCol w:w="1020"/>
        <w:gridCol w:w="1050"/>
      </w:tblGrid>
      <w:tr>
        <w:tblPrEx>
          <w:tblCellMar>
            <w:top w:w="0" w:type="dxa"/>
            <w:left w:w="108" w:type="dxa"/>
            <w:bottom w:w="0" w:type="dxa"/>
            <w:right w:w="108" w:type="dxa"/>
          </w:tblCellMar>
        </w:tblPrEx>
        <w:trPr>
          <w:trHeight w:val="315" w:hRule="atLeast"/>
        </w:trPr>
        <w:tc>
          <w:tcPr>
            <w:tcW w:w="1266" w:type="dxa"/>
            <w:vMerge w:val="restart"/>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履职效能</w:t>
            </w:r>
          </w:p>
        </w:tc>
        <w:tc>
          <w:tcPr>
            <w:tcW w:w="121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lang w:eastAsia="zh-CN"/>
              </w:rPr>
            </w:pPr>
            <w:r>
              <w:rPr>
                <w:rFonts w:hint="eastAsia" w:ascii="方正仿宋_GBK" w:hAnsi="方正仿宋_GBK" w:cs="方正仿宋_GBK"/>
                <w:i w:val="0"/>
                <w:iCs w:val="0"/>
                <w:color w:val="000000"/>
                <w:sz w:val="20"/>
                <w:szCs w:val="20"/>
                <w:u w:val="none"/>
                <w:lang w:eastAsia="zh-CN"/>
              </w:rPr>
              <w:t>质量指标</w:t>
            </w:r>
          </w:p>
        </w:tc>
        <w:tc>
          <w:tcPr>
            <w:tcW w:w="181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center"/>
              <w:rPr>
                <w:rFonts w:hint="eastAsia" w:ascii="方正仿宋_GBK" w:hAnsi="方正仿宋_GBK" w:eastAsia="方正仿宋_GBK" w:cs="方正仿宋_GBK"/>
                <w:i w:val="0"/>
                <w:color w:val="000000"/>
                <w:kern w:val="0"/>
                <w:sz w:val="20"/>
                <w:szCs w:val="20"/>
                <w:u w:val="none"/>
                <w:lang w:val="en-US" w:eastAsia="zh-CN" w:bidi="ar"/>
              </w:rPr>
            </w:pPr>
            <w:r>
              <w:rPr>
                <w:rFonts w:hint="eastAsia" w:ascii="方正仿宋_GBK" w:hAnsi="方正仿宋_GBK" w:eastAsia="方正仿宋_GBK" w:cs="方正仿宋_GBK"/>
                <w:i w:val="0"/>
                <w:color w:val="000000"/>
                <w:kern w:val="0"/>
                <w:sz w:val="20"/>
                <w:szCs w:val="20"/>
                <w:u w:val="none"/>
                <w:lang w:val="en-US" w:eastAsia="zh-CN" w:bidi="ar"/>
              </w:rPr>
              <w:t>公务卡刷卡率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＞40%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6.97%</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0.1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固定资产利用率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64"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left"/>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管理制度健全性</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6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绩效目标合格率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≥95%</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企业科技创新积分资助正常知晓率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lang w:val="en-US"/>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信息公开完整率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预算编制完整率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nil"/>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预算编制准确率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预算执行率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政府采购执行率</w:t>
            </w:r>
          </w:p>
        </w:tc>
        <w:tc>
          <w:tcPr>
            <w:tcW w:w="10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315"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质量达标率资金使用合规性</w:t>
            </w:r>
          </w:p>
        </w:tc>
        <w:tc>
          <w:tcPr>
            <w:tcW w:w="108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136"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资金结转结余率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宋体" w:cs="方正仿宋_GBK"/>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0元</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0元</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219"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kern w:val="0"/>
                <w:sz w:val="20"/>
                <w:szCs w:val="20"/>
                <w:u w:val="none"/>
                <w:lang w:val="en-US" w:eastAsia="zh-CN" w:bidi="ar"/>
              </w:rPr>
            </w:pPr>
          </w:p>
        </w:tc>
        <w:tc>
          <w:tcPr>
            <w:tcW w:w="1215"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资助对象符合《奉节县人民政府关于印发奉节县企业科技创新积分管理办法（试行）》等政策</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103" w:hRule="atLeast"/>
        </w:trPr>
        <w:tc>
          <w:tcPr>
            <w:tcW w:w="1266"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kern w:val="0"/>
                <w:sz w:val="20"/>
                <w:szCs w:val="20"/>
                <w:u w:val="none"/>
                <w:lang w:val="en-US" w:eastAsia="zh-CN" w:bidi="ar"/>
              </w:rPr>
            </w:pPr>
          </w:p>
        </w:tc>
        <w:tc>
          <w:tcPr>
            <w:tcW w:w="121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cs="方正仿宋_GBK"/>
                <w:i w:val="0"/>
                <w:iCs w:val="0"/>
                <w:color w:val="000000"/>
                <w:kern w:val="0"/>
                <w:sz w:val="20"/>
                <w:szCs w:val="20"/>
                <w:u w:val="none"/>
                <w:lang w:val="en-US" w:eastAsia="zh-CN" w:bidi="ar"/>
              </w:rPr>
              <w:t>时效指标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按期培育企业完成率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lang w:val="en-US" w:eastAsia="zh-CN"/>
              </w:rPr>
            </w:pPr>
            <w:r>
              <w:rPr>
                <w:rFonts w:hint="eastAsia" w:ascii="宋体" w:hAnsi="宋体" w:eastAsia="宋体" w:cs="宋体"/>
                <w:i w:val="0"/>
                <w:color w:val="000000"/>
                <w:kern w:val="0"/>
                <w:sz w:val="20"/>
                <w:szCs w:val="20"/>
                <w:u w:val="none"/>
                <w:lang w:val="en-US" w:eastAsia="zh-CN" w:bidi="ar"/>
              </w:rPr>
              <w:t>3</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160" w:hRule="atLeast"/>
        </w:trPr>
        <w:tc>
          <w:tcPr>
            <w:tcW w:w="1266"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预决算信息公开</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r>
      <w:tr>
        <w:tblPrEx>
          <w:tblCellMar>
            <w:top w:w="0" w:type="dxa"/>
            <w:left w:w="108" w:type="dxa"/>
            <w:bottom w:w="0" w:type="dxa"/>
            <w:right w:w="108" w:type="dxa"/>
          </w:tblCellMar>
        </w:tblPrEx>
        <w:trPr>
          <w:trHeight w:val="213"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成本指标</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eastAsia="方正仿宋_GBK" w:cs="方正仿宋_GBK"/>
                <w:i w:val="0"/>
                <w:iCs w:val="0"/>
                <w:color w:val="000000"/>
                <w:kern w:val="0"/>
                <w:sz w:val="20"/>
                <w:szCs w:val="20"/>
                <w:u w:val="none"/>
                <w:lang w:val="en-US" w:eastAsia="zh-CN" w:bidi="ar"/>
              </w:rPr>
              <w:t>经济成本指标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单位运行人均成本变化</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良</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良</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09" w:hRule="atLeast"/>
        </w:trPr>
        <w:tc>
          <w:tcPr>
            <w:tcW w:w="126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lang w:eastAsia="zh-CN"/>
              </w:rPr>
            </w:pPr>
            <w:r>
              <w:rPr>
                <w:rFonts w:hint="eastAsia" w:ascii="方正仿宋_GBK" w:hAnsi="方正仿宋_GBK" w:cs="方正仿宋_GBK"/>
                <w:b/>
                <w:bCs/>
                <w:i w:val="0"/>
                <w:iCs w:val="0"/>
                <w:color w:val="000000"/>
                <w:sz w:val="20"/>
                <w:szCs w:val="20"/>
                <w:u w:val="none"/>
                <w:lang w:eastAsia="zh-CN"/>
              </w:rPr>
              <w:t>社会效应</w:t>
            </w:r>
          </w:p>
        </w:tc>
        <w:tc>
          <w:tcPr>
            <w:tcW w:w="121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方正仿宋_GBK" w:hAnsi="方正仿宋_GBK" w:cs="方正仿宋_GBK"/>
                <w:i w:val="0"/>
                <w:iCs w:val="0"/>
                <w:color w:val="000000"/>
                <w:kern w:val="0"/>
                <w:sz w:val="20"/>
                <w:szCs w:val="20"/>
                <w:u w:val="none"/>
                <w:lang w:val="en-US" w:eastAsia="zh-CN" w:bidi="ar"/>
              </w:rPr>
              <w:t>社会效益</w:t>
            </w:r>
            <w:r>
              <w:rPr>
                <w:rFonts w:hint="eastAsia" w:ascii="方正仿宋_GBK" w:hAnsi="方正仿宋_GBK" w:eastAsia="方正仿宋_GBK" w:cs="方正仿宋_GBK"/>
                <w:i w:val="0"/>
                <w:iCs w:val="0"/>
                <w:color w:val="000000"/>
                <w:kern w:val="0"/>
                <w:sz w:val="20"/>
                <w:szCs w:val="20"/>
                <w:u w:val="none"/>
                <w:lang w:val="en-US" w:eastAsia="zh-CN" w:bidi="ar"/>
              </w:rPr>
              <w:t>指标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带动经济发展</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r>
      <w:tr>
        <w:tblPrEx>
          <w:tblCellMar>
            <w:top w:w="0" w:type="dxa"/>
            <w:left w:w="108" w:type="dxa"/>
            <w:bottom w:w="0" w:type="dxa"/>
            <w:right w:w="108" w:type="dxa"/>
          </w:tblCellMar>
        </w:tblPrEx>
        <w:trPr>
          <w:trHeight w:val="109" w:hRule="atLeast"/>
        </w:trPr>
        <w:tc>
          <w:tcPr>
            <w:tcW w:w="126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单位正常运转</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09" w:hRule="atLeast"/>
        </w:trPr>
        <w:tc>
          <w:tcPr>
            <w:tcW w:w="126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kern w:val="0"/>
                <w:sz w:val="20"/>
                <w:szCs w:val="20"/>
                <w:u w:val="none"/>
                <w:lang w:val="en-US" w:eastAsia="zh-CN" w:bidi="ar"/>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提供科技人才服务</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优</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CellMar>
            <w:top w:w="0" w:type="dxa"/>
            <w:left w:w="108" w:type="dxa"/>
            <w:bottom w:w="0" w:type="dxa"/>
            <w:right w:w="108" w:type="dxa"/>
          </w:tblCellMar>
        </w:tblPrEx>
        <w:trPr>
          <w:trHeight w:val="169" w:hRule="atLeast"/>
        </w:trPr>
        <w:tc>
          <w:tcPr>
            <w:tcW w:w="126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b/>
                <w:bCs/>
                <w:i w:val="0"/>
                <w:iCs w:val="0"/>
                <w:color w:val="000000"/>
                <w:sz w:val="20"/>
                <w:szCs w:val="20"/>
                <w:u w:val="none"/>
              </w:rPr>
            </w:pPr>
          </w:p>
        </w:tc>
        <w:tc>
          <w:tcPr>
            <w:tcW w:w="1215"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napToGrid/>
              <w:spacing w:line="560" w:lineRule="exact"/>
              <w:jc w:val="center"/>
              <w:rPr>
                <w:rFonts w:hint="eastAsia" w:ascii="方正仿宋_GBK" w:hAnsi="方正仿宋_GBK" w:eastAsia="方正仿宋_GBK" w:cs="方正仿宋_GBK"/>
                <w:i w:val="0"/>
                <w:iCs w:val="0"/>
                <w:color w:val="000000"/>
                <w:sz w:val="20"/>
                <w:szCs w:val="20"/>
                <w:u w:val="none"/>
              </w:rPr>
            </w:pP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仿宋_GBK" w:hAnsi="方正仿宋_GBK" w:cs="方正仿宋_GBK"/>
                <w:i w:val="0"/>
                <w:iCs w:val="0"/>
                <w:color w:val="000000"/>
                <w:sz w:val="20"/>
                <w:szCs w:val="20"/>
                <w:u w:val="none"/>
                <w:lang w:val="en-US" w:eastAsia="zh-CN"/>
              </w:rPr>
            </w:pPr>
            <w:r>
              <w:rPr>
                <w:rFonts w:hint="eastAsia" w:ascii="方正仿宋_GBK" w:hAnsi="方正仿宋_GBK" w:cs="方正仿宋_GBK"/>
                <w:i w:val="0"/>
                <w:iCs w:val="0"/>
                <w:color w:val="000000"/>
                <w:sz w:val="20"/>
                <w:szCs w:val="20"/>
                <w:u w:val="none"/>
                <w:lang w:val="en-US" w:eastAsia="zh-CN"/>
              </w:rPr>
              <w:t>招商引资金额</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15亿</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15亿</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r>
      <w:tr>
        <w:tblPrEx>
          <w:tblCellMar>
            <w:top w:w="0" w:type="dxa"/>
            <w:left w:w="108" w:type="dxa"/>
            <w:bottom w:w="0" w:type="dxa"/>
            <w:right w:w="108" w:type="dxa"/>
          </w:tblCellMar>
        </w:tblPrEx>
        <w:trPr>
          <w:trHeight w:val="132"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可持续发展能力</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可持续发展能力</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管理制度持续可行</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110" w:type="dxa"/>
            <w:tcBorders>
              <w:top w:val="single" w:color="auto"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c>
          <w:tcPr>
            <w:tcW w:w="102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050" w:type="dxa"/>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108" w:type="dxa"/>
            <w:bottom w:w="0" w:type="dxa"/>
            <w:right w:w="108" w:type="dxa"/>
          </w:tblCellMar>
        </w:tblPrEx>
        <w:trPr>
          <w:trHeight w:val="190"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服务对象满意度</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社会公众或服务对象满意度</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方正仿宋_GBK" w:hAnsi="方正仿宋_GBK" w:eastAsia="方正仿宋_GBK" w:cs="方正仿宋_GBK"/>
                <w:i w:val="0"/>
                <w:iCs w:val="0"/>
                <w:color w:val="000000"/>
                <w:sz w:val="20"/>
                <w:szCs w:val="20"/>
                <w:u w:val="none"/>
                <w:lang w:val="en-US"/>
              </w:rPr>
            </w:pPr>
            <w:r>
              <w:rPr>
                <w:rFonts w:hint="eastAsia" w:ascii="宋体" w:hAnsi="宋体" w:eastAsia="宋体" w:cs="宋体"/>
                <w:i w:val="0"/>
                <w:color w:val="000000"/>
                <w:kern w:val="0"/>
                <w:sz w:val="22"/>
                <w:szCs w:val="22"/>
                <w:u w:val="none"/>
                <w:lang w:val="en-US" w:eastAsia="zh-CN" w:bidi="ar"/>
              </w:rPr>
              <w:t>≥95%</w:t>
            </w:r>
          </w:p>
        </w:tc>
        <w:tc>
          <w:tcPr>
            <w:tcW w:w="1110" w:type="dxa"/>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10</w:t>
            </w:r>
          </w:p>
        </w:tc>
        <w:tc>
          <w:tcPr>
            <w:tcW w:w="102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≥95%</w:t>
            </w:r>
          </w:p>
        </w:tc>
        <w:tc>
          <w:tcPr>
            <w:tcW w:w="105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10</w:t>
            </w:r>
          </w:p>
        </w:tc>
      </w:tr>
      <w:tr>
        <w:tblPrEx>
          <w:tblCellMar>
            <w:top w:w="0" w:type="dxa"/>
            <w:left w:w="108" w:type="dxa"/>
            <w:bottom w:w="0" w:type="dxa"/>
            <w:right w:w="108" w:type="dxa"/>
          </w:tblCellMar>
        </w:tblPrEx>
        <w:trPr>
          <w:trHeight w:val="178" w:hRule="atLeast"/>
        </w:trPr>
        <w:tc>
          <w:tcPr>
            <w:tcW w:w="126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b/>
                <w:bCs/>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2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81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0"/>
                <w:szCs w:val="20"/>
                <w:u w:val="none"/>
                <w:lang w:val="en-US" w:eastAsia="zh-CN" w:bidi="ar"/>
              </w:rPr>
              <w:t>管理效率</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110" w:type="dxa"/>
            <w:tcBorders>
              <w:top w:val="single" w:color="000000" w:sz="4" w:space="0"/>
              <w:left w:val="single" w:color="auto"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c>
          <w:tcPr>
            <w:tcW w:w="102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优</w:t>
            </w:r>
          </w:p>
        </w:tc>
        <w:tc>
          <w:tcPr>
            <w:tcW w:w="105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108" w:type="dxa"/>
            <w:bottom w:w="0" w:type="dxa"/>
            <w:right w:w="108" w:type="dxa"/>
          </w:tblCellMar>
        </w:tblPrEx>
        <w:trPr>
          <w:trHeight w:val="330" w:hRule="atLeast"/>
        </w:trPr>
        <w:tc>
          <w:tcPr>
            <w:tcW w:w="4296" w:type="dxa"/>
            <w:gridSpan w:val="3"/>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snapToGrid/>
              <w:spacing w:line="560" w:lineRule="exact"/>
              <w:jc w:val="center"/>
              <w:textAlignment w:val="center"/>
              <w:rPr>
                <w:rFonts w:hint="eastAsia" w:ascii="方正仿宋_GBK" w:hAnsi="方正仿宋_GBK" w:eastAsia="方正仿宋_GBK" w:cs="方正仿宋_GBK"/>
                <w:b/>
                <w:bCs/>
                <w:i w:val="0"/>
                <w:iCs w:val="0"/>
                <w:color w:val="000000"/>
                <w:sz w:val="20"/>
                <w:szCs w:val="20"/>
                <w:u w:val="none"/>
              </w:rPr>
            </w:pPr>
            <w:r>
              <w:rPr>
                <w:rFonts w:hint="eastAsia" w:ascii="方正仿宋_GBK" w:hAnsi="方正仿宋_GBK" w:eastAsia="方正仿宋_GBK" w:cs="方正仿宋_GBK"/>
                <w:b/>
                <w:bCs/>
                <w:i w:val="0"/>
                <w:iCs w:val="0"/>
                <w:color w:val="000000"/>
                <w:kern w:val="0"/>
                <w:sz w:val="20"/>
                <w:szCs w:val="20"/>
                <w:u w:val="none"/>
                <w:lang w:val="en-US" w:eastAsia="zh-CN" w:bidi="ar"/>
              </w:rPr>
              <w:t>分值合计：</w:t>
            </w:r>
          </w:p>
        </w:tc>
        <w:tc>
          <w:tcPr>
            <w:tcW w:w="1080"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000000"/>
                <w:sz w:val="20"/>
                <w:szCs w:val="20"/>
                <w:u w:val="none"/>
              </w:rPr>
            </w:pPr>
          </w:p>
        </w:tc>
        <w:tc>
          <w:tcPr>
            <w:tcW w:w="11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default" w:ascii="方正仿宋_GBK" w:hAnsi="方正仿宋_GBK" w:eastAsia="方正仿宋_GBK" w:cs="方正仿宋_GBK"/>
                <w:i w:val="0"/>
                <w:iCs w:val="0"/>
                <w:color w:val="000000"/>
                <w:sz w:val="20"/>
                <w:szCs w:val="20"/>
                <w:u w:val="none"/>
                <w:lang w:val="en-US" w:eastAsia="zh-CN"/>
              </w:rPr>
            </w:pPr>
            <w:r>
              <w:rPr>
                <w:rFonts w:hint="eastAsia" w:ascii="方正仿宋_GBK" w:hAnsi="方正仿宋_GBK" w:eastAsia="方正仿宋_GBK" w:cs="方正仿宋_GBK"/>
                <w:i w:val="0"/>
                <w:iCs w:val="0"/>
                <w:color w:val="000000"/>
                <w:sz w:val="20"/>
                <w:szCs w:val="20"/>
                <w:u w:val="none"/>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jc w:val="both"/>
              <w:rPr>
                <w:rFonts w:hint="eastAsia" w:ascii="方正仿宋_GBK" w:hAnsi="方正仿宋_GBK" w:eastAsia="方正仿宋_GBK" w:cs="方正仿宋_GBK"/>
                <w:i w:val="0"/>
                <w:iCs w:val="0"/>
                <w:color w:val="auto"/>
                <w:sz w:val="20"/>
                <w:szCs w:val="20"/>
                <w:highlight w:val="none"/>
                <w:u w:val="none"/>
              </w:rPr>
            </w:pPr>
          </w:p>
        </w:tc>
        <w:tc>
          <w:tcPr>
            <w:tcW w:w="105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snapToGrid/>
              <w:spacing w:line="560" w:lineRule="exact"/>
              <w:rPr>
                <w:rFonts w:hint="default" w:ascii="方正仿宋_GBK" w:hAnsi="方正仿宋_GBK" w:eastAsia="方正仿宋_GBK" w:cs="方正仿宋_GBK"/>
                <w:i w:val="0"/>
                <w:iCs w:val="0"/>
                <w:color w:val="auto"/>
                <w:sz w:val="20"/>
                <w:szCs w:val="20"/>
                <w:highlight w:val="none"/>
                <w:u w:val="none"/>
                <w:lang w:val="en-US" w:eastAsia="zh-CN"/>
              </w:rPr>
            </w:pPr>
            <w:r>
              <w:rPr>
                <w:rFonts w:hint="eastAsia" w:ascii="方正仿宋_GBK" w:hAnsi="方正仿宋_GBK" w:cs="方正仿宋_GBK"/>
                <w:i w:val="0"/>
                <w:iCs w:val="0"/>
                <w:color w:val="auto"/>
                <w:sz w:val="20"/>
                <w:szCs w:val="20"/>
                <w:highlight w:val="none"/>
                <w:u w:val="none"/>
                <w:lang w:val="en-US" w:eastAsia="zh-CN"/>
              </w:rPr>
              <w:t>99.1</w:t>
            </w:r>
          </w:p>
        </w:tc>
      </w:tr>
      <w:tr>
        <w:tblPrEx>
          <w:tblCellMar>
            <w:top w:w="0" w:type="dxa"/>
            <w:left w:w="108" w:type="dxa"/>
            <w:bottom w:w="0" w:type="dxa"/>
            <w:right w:w="108" w:type="dxa"/>
          </w:tblCellMar>
        </w:tblPrEx>
        <w:trPr>
          <w:trHeight w:val="415" w:hRule="atLeast"/>
        </w:trPr>
        <w:tc>
          <w:tcPr>
            <w:tcW w:w="2481" w:type="dxa"/>
            <w:gridSpan w:val="2"/>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left"/>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单位负责人：</w:t>
            </w:r>
          </w:p>
        </w:tc>
        <w:tc>
          <w:tcPr>
            <w:tcW w:w="1815" w:type="dxa"/>
            <w:tcBorders>
              <w:top w:val="nil"/>
              <w:left w:val="nil"/>
              <w:bottom w:val="nil"/>
              <w:right w:val="nil"/>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填表人：</w:t>
            </w:r>
          </w:p>
        </w:tc>
        <w:tc>
          <w:tcPr>
            <w:tcW w:w="1080" w:type="dxa"/>
            <w:tcBorders>
              <w:top w:val="nil"/>
              <w:left w:val="nil"/>
              <w:bottom w:val="nil"/>
              <w:right w:val="nil"/>
            </w:tcBorders>
            <w:noWrap w:val="0"/>
            <w:vAlign w:val="center"/>
          </w:tcPr>
          <w:p>
            <w:pPr>
              <w:keepNext w:val="0"/>
              <w:keepLines w:val="0"/>
              <w:pageBreakBefore w:val="0"/>
              <w:widowControl/>
              <w:suppressLineNumbers w:val="0"/>
              <w:kinsoku/>
              <w:wordWrap/>
              <w:overflowPunct/>
              <w:topLinePunct w:val="0"/>
              <w:bidi w:val="0"/>
              <w:snapToGrid/>
              <w:spacing w:line="560" w:lineRule="exact"/>
              <w:jc w:val="left"/>
              <w:textAlignment w:val="center"/>
              <w:rPr>
                <w:rFonts w:hint="eastAsia" w:ascii="方正仿宋_GBK" w:hAnsi="方正仿宋_GBK" w:eastAsia="方正仿宋_GBK" w:cs="方正仿宋_GBK"/>
                <w:i w:val="0"/>
                <w:iCs w:val="0"/>
                <w:color w:val="000000"/>
                <w:sz w:val="20"/>
                <w:szCs w:val="20"/>
                <w:u w:val="none"/>
              </w:rPr>
            </w:pPr>
          </w:p>
        </w:tc>
        <w:tc>
          <w:tcPr>
            <w:tcW w:w="3180" w:type="dxa"/>
            <w:gridSpan w:val="3"/>
            <w:tcBorders>
              <w:top w:val="nil"/>
              <w:left w:val="nil"/>
              <w:bottom w:val="nil"/>
              <w:right w:val="nil"/>
            </w:tcBorders>
            <w:noWrap w:val="0"/>
            <w:vAlign w:val="center"/>
          </w:tcPr>
          <w:p>
            <w:pPr>
              <w:keepNext w:val="0"/>
              <w:keepLines w:val="0"/>
              <w:pageBreakBefore w:val="0"/>
              <w:kinsoku/>
              <w:wordWrap/>
              <w:overflowPunct/>
              <w:topLinePunct w:val="0"/>
              <w:bidi w:val="0"/>
              <w:snapToGrid/>
              <w:spacing w:line="560" w:lineRule="exact"/>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填表日期：</w:t>
            </w:r>
          </w:p>
        </w:tc>
      </w:tr>
    </w:tbl>
    <w:p/>
    <w:p>
      <w:pPr>
        <w:pStyle w:val="2"/>
      </w:pPr>
    </w:p>
    <w:p/>
    <w:p>
      <w:pPr>
        <w:pStyle w:val="2"/>
      </w:pPr>
    </w:p>
    <w:p>
      <w:pPr>
        <w:keepNext w:val="0"/>
        <w:keepLines w:val="0"/>
        <w:pageBreakBefore w:val="0"/>
        <w:kinsoku/>
        <w:wordWrap/>
        <w:overflowPunct/>
        <w:topLinePunct w:val="0"/>
        <w:bidi w:val="0"/>
        <w:snapToGrid/>
        <w:spacing w:line="560" w:lineRule="exact"/>
        <w:rPr>
          <w:rFonts w:hint="eastAsia"/>
        </w:rPr>
      </w:pPr>
    </w:p>
    <w:p>
      <w:pPr>
        <w:pStyle w:val="2"/>
        <w:keepNext w:val="0"/>
        <w:keepLines w:val="0"/>
        <w:pageBreakBefore w:val="0"/>
        <w:kinsoku/>
        <w:wordWrap/>
        <w:overflowPunct/>
        <w:topLinePunct w:val="0"/>
        <w:bidi w:val="0"/>
        <w:snapToGrid/>
        <w:spacing w:line="560" w:lineRule="exact"/>
        <w:rPr>
          <w:rFonts w:hint="eastAsia"/>
        </w:rPr>
      </w:pPr>
    </w:p>
    <w:p>
      <w:pPr>
        <w:keepNext w:val="0"/>
        <w:keepLines w:val="0"/>
        <w:pageBreakBefore w:val="0"/>
        <w:kinsoku/>
        <w:wordWrap/>
        <w:overflowPunct/>
        <w:topLinePunct w:val="0"/>
        <w:bidi w:val="0"/>
        <w:snapToGrid/>
        <w:spacing w:line="560" w:lineRule="exact"/>
        <w:rPr>
          <w:rFonts w:hint="eastAsia"/>
        </w:rPr>
      </w:pPr>
    </w:p>
    <w:p>
      <w:pPr>
        <w:pStyle w:val="2"/>
        <w:keepNext w:val="0"/>
        <w:keepLines w:val="0"/>
        <w:pageBreakBefore w:val="0"/>
        <w:kinsoku/>
        <w:wordWrap/>
        <w:overflowPunct/>
        <w:topLinePunct w:val="0"/>
        <w:bidi w:val="0"/>
        <w:snapToGrid/>
        <w:spacing w:line="560" w:lineRule="exact"/>
        <w:jc w:val="both"/>
      </w:pPr>
    </w:p>
    <w:p>
      <w:pPr>
        <w:keepNext w:val="0"/>
        <w:keepLines w:val="0"/>
        <w:pageBreakBefore w:val="0"/>
        <w:kinsoku/>
        <w:wordWrap/>
        <w:overflowPunct/>
        <w:topLinePunct w:val="0"/>
        <w:bidi w:val="0"/>
        <w:snapToGrid/>
        <w:spacing w:line="560" w:lineRule="exact"/>
      </w:pPr>
    </w:p>
    <w:sectPr>
      <w:headerReference r:id="rId3" w:type="default"/>
      <w:footerReference r:id="rId5" w:type="default"/>
      <w:headerReference r:id="rId4" w:type="even"/>
      <w:footerReference r:id="rId6" w:type="even"/>
      <w:pgSz w:w="11906" w:h="16838"/>
      <w:pgMar w:top="2098" w:right="1531" w:bottom="1985" w:left="1531" w:header="851" w:footer="147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w:t>
    </w:r>
    <w:r>
      <w:rPr>
        <w:kern w:val="0"/>
        <w:sz w:val="28"/>
      </w:rPr>
      <w:fldChar w:fldCharType="end"/>
    </w:r>
    <w:r>
      <w:rPr>
        <w:kern w:val="0"/>
        <w:sz w:val="28"/>
      </w:rPr>
      <w:t xml:space="preserve"> </w:t>
    </w:r>
    <w:r>
      <w:rPr>
        <w:rStyle w:val="7"/>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2</w:t>
    </w:r>
    <w:r>
      <w:rPr>
        <w:kern w:val="0"/>
        <w:sz w:val="28"/>
      </w:rPr>
      <w:fldChar w:fldCharType="end"/>
    </w:r>
    <w:r>
      <w:rPr>
        <w:kern w:val="0"/>
        <w:sz w:val="28"/>
      </w:rPr>
      <w:t xml:space="preserve"> </w:t>
    </w:r>
    <w:r>
      <w:rPr>
        <w:rStyle w:val="7"/>
        <w:rFonts w:hint="eastAsia"/>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5631E"/>
    <w:multiLevelType w:val="singleLevel"/>
    <w:tmpl w:val="EBD5631E"/>
    <w:lvl w:ilvl="0" w:tentative="0">
      <w:start w:val="2"/>
      <w:numFmt w:val="chineseCounting"/>
      <w:suff w:val="nothing"/>
      <w:lvlText w:val="（%1）"/>
      <w:lvlJc w:val="left"/>
      <w:rPr>
        <w:rFonts w:hint="eastAsia"/>
      </w:rPr>
    </w:lvl>
  </w:abstractNum>
  <w:abstractNum w:abstractNumId="1">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4OTJkYmFkMjIwNWJmZmRmOWY3MWFkZDAyZmY4NDYifQ=="/>
  </w:docVars>
  <w:rsids>
    <w:rsidRoot w:val="562B1582"/>
    <w:rsid w:val="0127766D"/>
    <w:rsid w:val="1B970EB9"/>
    <w:rsid w:val="1F603328"/>
    <w:rsid w:val="23337245"/>
    <w:rsid w:val="2A393C34"/>
    <w:rsid w:val="329F1920"/>
    <w:rsid w:val="38636052"/>
    <w:rsid w:val="3D3449AD"/>
    <w:rsid w:val="408B435E"/>
    <w:rsid w:val="41FB3C7F"/>
    <w:rsid w:val="541315EC"/>
    <w:rsid w:val="562B1582"/>
    <w:rsid w:val="574D5321"/>
    <w:rsid w:val="58EA5E03"/>
    <w:rsid w:val="5A957ADB"/>
    <w:rsid w:val="65980A92"/>
    <w:rsid w:val="668D02FD"/>
    <w:rsid w:val="66AB7EB0"/>
    <w:rsid w:val="6B44662E"/>
    <w:rsid w:val="6FFFB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character" w:styleId="7">
    <w:name w:val="page number"/>
    <w:basedOn w:val="6"/>
    <w:qFormat/>
    <w:uiPriority w:val="0"/>
  </w:style>
  <w:style w:type="character" w:customStyle="1" w:styleId="8">
    <w:name w:val="font81"/>
    <w:basedOn w:val="6"/>
    <w:qFormat/>
    <w:uiPriority w:val="0"/>
    <w:rPr>
      <w:rFonts w:ascii="Calibri" w:hAnsi="Calibri" w:eastAsia="宋体" w:cs="Calibri"/>
      <w:color w:val="000000"/>
      <w:sz w:val="21"/>
      <w:szCs w:val="21"/>
      <w:u w:val="none"/>
    </w:rPr>
  </w:style>
  <w:style w:type="character" w:customStyle="1" w:styleId="9">
    <w:name w:val="font31"/>
    <w:basedOn w:val="6"/>
    <w:qFormat/>
    <w:uiPriority w:val="0"/>
    <w:rPr>
      <w:rFonts w:hint="eastAsia" w:ascii="宋体" w:hAnsi="宋体" w:eastAsia="宋体" w:cs="宋体"/>
      <w:color w:val="000000"/>
      <w:sz w:val="21"/>
      <w:szCs w:val="21"/>
      <w:u w:val="none"/>
    </w:rPr>
  </w:style>
  <w:style w:type="character" w:customStyle="1" w:styleId="10">
    <w:name w:val="font91"/>
    <w:basedOn w:val="6"/>
    <w:qFormat/>
    <w:uiPriority w:val="0"/>
    <w:rPr>
      <w:rFonts w:hint="eastAsia" w:ascii="方正仿宋_GBK" w:hAnsi="方正仿宋_GBK" w:eastAsia="方正仿宋_GBK" w:cs="方正仿宋_GBK"/>
      <w:color w:val="000000"/>
      <w:sz w:val="22"/>
      <w:szCs w:val="22"/>
      <w:u w:val="none"/>
    </w:rPr>
  </w:style>
  <w:style w:type="character" w:customStyle="1" w:styleId="11">
    <w:name w:val="font51"/>
    <w:basedOn w:val="6"/>
    <w:qFormat/>
    <w:uiPriority w:val="0"/>
    <w:rPr>
      <w:rFonts w:hint="eastAsia"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4914</Words>
  <Characters>5135</Characters>
  <Lines>0</Lines>
  <Paragraphs>0</Paragraphs>
  <TotalTime>1</TotalTime>
  <ScaleCrop>false</ScaleCrop>
  <LinksUpToDate>false</LinksUpToDate>
  <CharactersWithSpaces>5156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2023-01-03T15:04:00Z</dcterms:created>
  <dc:creator>奉节办公室</dc:creator>
  <cp:lastModifiedBy>guest</cp:lastModifiedBy>
  <dcterms:modified xsi:type="dcterms:W3CDTF">2024-09-25T11:15:49Z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585E9ABD13884ECAB95D07FF19B75E36</vt:lpwstr>
  </property>
</Properties>
</file>