
<file path=[Content_Types].xml><?xml version="1.0" encoding="utf-8"?>
<Types xmlns="http://schemas.openxmlformats.org/package/2006/content-types">
  <Default Extension="xml" ContentType="application/xml"/>
  <Default Extension="emf" ContentType="image/x-e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e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360" w:lineRule="auto"/>
        <w:ind w:firstLine="0" w:firstLineChars="0"/>
        <w:jc w:val="center"/>
        <w:rPr>
          <w:rFonts w:eastAsia="黑体"/>
          <w:sz w:val="44"/>
          <w:szCs w:val="44"/>
        </w:rPr>
      </w:pPr>
    </w:p>
    <w:p>
      <w:pPr>
        <w:pStyle w:val="2"/>
        <w:ind w:firstLine="880"/>
        <w:rPr>
          <w:rFonts w:eastAsia="黑体"/>
          <w:sz w:val="44"/>
          <w:szCs w:val="44"/>
        </w:rPr>
      </w:pPr>
    </w:p>
    <w:p>
      <w:pPr>
        <w:ind w:firstLine="560"/>
      </w:pPr>
    </w:p>
    <w:p>
      <w:pPr>
        <w:snapToGrid w:val="0"/>
        <w:spacing w:line="360" w:lineRule="auto"/>
        <w:ind w:firstLine="0" w:firstLineChars="0"/>
        <w:jc w:val="center"/>
        <w:rPr>
          <w:rFonts w:eastAsia="黑体"/>
          <w:sz w:val="44"/>
          <w:szCs w:val="44"/>
        </w:rPr>
      </w:pPr>
      <w:r>
        <w:rPr>
          <w:rFonts w:hint="eastAsia" w:eastAsia="黑体"/>
          <w:sz w:val="44"/>
          <w:szCs w:val="44"/>
        </w:rPr>
        <w:t>奉节县国民经济和</w:t>
      </w:r>
    </w:p>
    <w:p>
      <w:pPr>
        <w:snapToGrid w:val="0"/>
        <w:spacing w:line="360" w:lineRule="auto"/>
        <w:ind w:firstLine="0" w:firstLineChars="0"/>
        <w:jc w:val="center"/>
        <w:rPr>
          <w:rFonts w:eastAsia="黑体"/>
          <w:sz w:val="44"/>
          <w:szCs w:val="44"/>
        </w:rPr>
      </w:pPr>
      <w:r>
        <w:rPr>
          <w:rFonts w:hint="eastAsia" w:eastAsia="黑体"/>
          <w:sz w:val="44"/>
          <w:szCs w:val="44"/>
        </w:rPr>
        <w:t>社会发展第十四个五年规划和</w:t>
      </w:r>
    </w:p>
    <w:p>
      <w:pPr>
        <w:snapToGrid w:val="0"/>
        <w:spacing w:line="360" w:lineRule="auto"/>
        <w:ind w:firstLine="0" w:firstLineChars="0"/>
        <w:jc w:val="center"/>
        <w:rPr>
          <w:rFonts w:eastAsia="黑体"/>
          <w:sz w:val="44"/>
          <w:szCs w:val="44"/>
        </w:rPr>
      </w:pPr>
      <w:r>
        <w:rPr>
          <w:rFonts w:hint="eastAsia" w:eastAsia="黑体"/>
          <w:sz w:val="44"/>
          <w:szCs w:val="44"/>
        </w:rPr>
        <w:t>二〇三五年远景目标纲要</w:t>
      </w:r>
    </w:p>
    <w:p>
      <w:pPr>
        <w:snapToGrid w:val="0"/>
        <w:spacing w:line="360" w:lineRule="auto"/>
        <w:ind w:firstLine="883"/>
        <w:jc w:val="center"/>
        <w:rPr>
          <w:rFonts w:eastAsia="宋体"/>
          <w:b/>
          <w:sz w:val="44"/>
          <w:szCs w:val="44"/>
        </w:rPr>
      </w:pPr>
    </w:p>
    <w:p>
      <w:pPr>
        <w:snapToGrid w:val="0"/>
        <w:spacing w:line="360" w:lineRule="auto"/>
        <w:ind w:firstLine="883"/>
        <w:jc w:val="center"/>
        <w:rPr>
          <w:rFonts w:eastAsia="宋体"/>
          <w:b/>
          <w:sz w:val="44"/>
          <w:szCs w:val="44"/>
        </w:rPr>
      </w:pPr>
    </w:p>
    <w:p>
      <w:pPr>
        <w:snapToGrid w:val="0"/>
        <w:spacing w:line="360" w:lineRule="auto"/>
        <w:ind w:firstLine="883"/>
        <w:jc w:val="center"/>
        <w:rPr>
          <w:rFonts w:eastAsia="宋体"/>
          <w:b/>
          <w:sz w:val="44"/>
          <w:szCs w:val="44"/>
        </w:rPr>
      </w:pPr>
    </w:p>
    <w:p>
      <w:pPr>
        <w:snapToGrid w:val="0"/>
        <w:spacing w:line="360" w:lineRule="auto"/>
        <w:ind w:firstLine="883"/>
        <w:jc w:val="center"/>
        <w:rPr>
          <w:rFonts w:eastAsia="宋体"/>
          <w:b/>
          <w:sz w:val="44"/>
          <w:szCs w:val="44"/>
        </w:rPr>
      </w:pPr>
    </w:p>
    <w:p>
      <w:pPr>
        <w:snapToGrid w:val="0"/>
        <w:spacing w:line="360" w:lineRule="auto"/>
        <w:ind w:firstLine="883"/>
        <w:jc w:val="center"/>
        <w:rPr>
          <w:rFonts w:eastAsia="宋体"/>
          <w:b/>
          <w:sz w:val="44"/>
          <w:szCs w:val="44"/>
        </w:rPr>
      </w:pPr>
    </w:p>
    <w:p>
      <w:pPr>
        <w:snapToGrid w:val="0"/>
        <w:spacing w:line="360" w:lineRule="auto"/>
        <w:ind w:firstLine="883"/>
        <w:jc w:val="center"/>
        <w:rPr>
          <w:rFonts w:eastAsia="宋体"/>
          <w:b/>
          <w:sz w:val="44"/>
          <w:szCs w:val="44"/>
        </w:rPr>
      </w:pPr>
    </w:p>
    <w:p>
      <w:pPr>
        <w:snapToGrid w:val="0"/>
        <w:spacing w:line="360" w:lineRule="auto"/>
        <w:ind w:firstLine="883"/>
        <w:jc w:val="center"/>
        <w:rPr>
          <w:rFonts w:eastAsia="宋体"/>
          <w:b/>
          <w:sz w:val="44"/>
          <w:szCs w:val="44"/>
        </w:rPr>
      </w:pPr>
    </w:p>
    <w:p>
      <w:pPr>
        <w:snapToGrid w:val="0"/>
        <w:spacing w:line="360" w:lineRule="auto"/>
        <w:ind w:firstLine="0" w:firstLineChars="0"/>
        <w:jc w:val="center"/>
        <w:rPr>
          <w:sz w:val="32"/>
          <w:szCs w:val="32"/>
        </w:rPr>
      </w:pPr>
      <w:r>
        <w:rPr>
          <w:rFonts w:hint="eastAsia"/>
          <w:sz w:val="32"/>
          <w:szCs w:val="32"/>
        </w:rPr>
        <w:t>奉节县人民政府</w:t>
      </w:r>
    </w:p>
    <w:p>
      <w:pPr>
        <w:pStyle w:val="26"/>
        <w:spacing w:after="0"/>
        <w:ind w:left="0" w:leftChars="0" w:firstLine="0" w:firstLineChars="0"/>
        <w:jc w:val="center"/>
        <w:rPr>
          <w:rFonts w:eastAsia="黑体"/>
          <w:b/>
          <w:sz w:val="48"/>
        </w:rPr>
      </w:pPr>
      <w:r>
        <w:rPr>
          <w:rFonts w:hint="eastAsia"/>
          <w:sz w:val="32"/>
          <w:szCs w:val="32"/>
        </w:rPr>
        <w:t>2021年</w:t>
      </w:r>
      <w:r>
        <w:rPr>
          <w:sz w:val="32"/>
          <w:szCs w:val="32"/>
        </w:rPr>
        <w:t>4</w:t>
      </w:r>
      <w:r>
        <w:rPr>
          <w:rFonts w:hint="eastAsia"/>
          <w:sz w:val="32"/>
          <w:szCs w:val="32"/>
        </w:rPr>
        <w:t>月</w:t>
      </w:r>
    </w:p>
    <w:p>
      <w:pPr>
        <w:pStyle w:val="26"/>
        <w:ind w:left="560" w:firstLine="964"/>
        <w:rPr>
          <w:rFonts w:eastAsia="黑体"/>
          <w:b/>
          <w:sz w:val="48"/>
        </w:rPr>
        <w:sectPr>
          <w:headerReference r:id="rId7" w:type="first"/>
          <w:footerReference r:id="rId10" w:type="first"/>
          <w:headerReference r:id="rId5" w:type="default"/>
          <w:footerReference r:id="rId8" w:type="default"/>
          <w:headerReference r:id="rId6" w:type="even"/>
          <w:footerReference r:id="rId9" w:type="even"/>
          <w:pgSz w:w="11906" w:h="16838"/>
          <w:pgMar w:top="1984" w:right="1531" w:bottom="1531" w:left="1531" w:header="851" w:footer="1191" w:gutter="0"/>
          <w:cols w:space="720" w:num="1"/>
          <w:docGrid w:type="lines" w:linePitch="312" w:charSpace="0"/>
        </w:sectPr>
      </w:pPr>
    </w:p>
    <w:sdt>
      <w:sdtPr>
        <w:rPr>
          <w:rFonts w:hint="eastAsia" w:ascii="方正小标宋_GBK" w:hAnsi="方正小标宋_GBK" w:eastAsia="方正小标宋_GBK" w:cs="方正小标宋_GBK"/>
          <w:sz w:val="44"/>
          <w:szCs w:val="44"/>
        </w:rPr>
        <w:id w:val="147466761"/>
      </w:sdtPr>
      <w:sdtEndPr>
        <w:rPr>
          <w:rFonts w:hint="eastAsia" w:ascii="黑体" w:hAnsi="黑体" w:eastAsia="黑体" w:cs="黑体"/>
          <w:sz w:val="32"/>
          <w:szCs w:val="32"/>
        </w:rPr>
      </w:sdtEndPr>
      <w:sdtContent>
        <w:p>
          <w:pPr>
            <w:ind w:firstLine="0" w:firstLineChars="0"/>
            <w:jc w:val="center"/>
            <w:rPr>
              <w:rFonts w:ascii="黑体" w:hAnsi="黑体" w:eastAsia="黑体" w:cs="黑体"/>
              <w:sz w:val="32"/>
              <w:szCs w:val="32"/>
            </w:rPr>
          </w:pPr>
          <w:r>
            <w:rPr>
              <w:rFonts w:hint="eastAsia" w:ascii="黑体" w:hAnsi="黑体" w:eastAsia="黑体" w:cs="黑体"/>
              <w:sz w:val="32"/>
              <w:szCs w:val="32"/>
            </w:rPr>
            <w:t>目  录</w:t>
          </w:r>
        </w:p>
      </w:sdtContent>
    </w:sdt>
    <w:p>
      <w:pPr>
        <w:pStyle w:val="19"/>
        <w:tabs>
          <w:tab w:val="right" w:leader="dot" w:pos="8844"/>
        </w:tabs>
      </w:pPr>
      <w:r>
        <w:rPr>
          <w:sz w:val="28"/>
          <w:szCs w:val="28"/>
        </w:rPr>
        <w:fldChar w:fldCharType="begin"/>
      </w:r>
      <w:r>
        <w:rPr>
          <w:sz w:val="28"/>
          <w:szCs w:val="28"/>
        </w:rPr>
        <w:instrText xml:space="preserve">TOC \o "1-3" \h \u </w:instrText>
      </w:r>
      <w:r>
        <w:rPr>
          <w:sz w:val="28"/>
          <w:szCs w:val="28"/>
        </w:rPr>
        <w:fldChar w:fldCharType="separate"/>
      </w:r>
      <w:r>
        <w:fldChar w:fldCharType="begin"/>
      </w:r>
      <w:r>
        <w:instrText xml:space="preserve"> HYPERLINK \l "_Toc21823" </w:instrText>
      </w:r>
      <w:r>
        <w:fldChar w:fldCharType="separate"/>
      </w:r>
      <w:r>
        <w:rPr>
          <w:rFonts w:hint="eastAsia" w:ascii="黑体" w:hAnsi="黑体" w:cs="黑体"/>
        </w:rPr>
        <w:t>第一篇  开启社会主义现代化建设新征程</w:t>
      </w:r>
      <w:r>
        <w:tab/>
      </w:r>
      <w:r>
        <w:fldChar w:fldCharType="begin"/>
      </w:r>
      <w:r>
        <w:instrText xml:space="preserve"> PAGEREF _Toc21823 </w:instrText>
      </w:r>
      <w:r>
        <w:fldChar w:fldCharType="separate"/>
      </w:r>
      <w:r>
        <w:t>1</w:t>
      </w:r>
      <w:r>
        <w:fldChar w:fldCharType="end"/>
      </w:r>
      <w:r>
        <w:fldChar w:fldCharType="end"/>
      </w:r>
    </w:p>
    <w:p>
      <w:pPr>
        <w:pStyle w:val="22"/>
        <w:tabs>
          <w:tab w:val="right" w:leader="dot" w:pos="8844"/>
        </w:tabs>
        <w:ind w:left="560" w:firstLine="562"/>
      </w:pPr>
      <w:r>
        <w:fldChar w:fldCharType="begin"/>
      </w:r>
      <w:r>
        <w:instrText xml:space="preserve"> HYPERLINK \l "_Toc22044" </w:instrText>
      </w:r>
      <w:r>
        <w:fldChar w:fldCharType="separate"/>
      </w:r>
      <w:r>
        <w:rPr>
          <w:rFonts w:hint="eastAsia"/>
        </w:rPr>
        <w:t>第一章  “十四五”时期我县经济社会发展的总体形势</w:t>
      </w:r>
      <w:r>
        <w:tab/>
      </w:r>
      <w:r>
        <w:fldChar w:fldCharType="begin"/>
      </w:r>
      <w:r>
        <w:instrText xml:space="preserve"> PAGEREF _Toc22044 </w:instrText>
      </w:r>
      <w:r>
        <w:fldChar w:fldCharType="separate"/>
      </w:r>
      <w:r>
        <w:t>1</w:t>
      </w:r>
      <w:r>
        <w:fldChar w:fldCharType="end"/>
      </w:r>
      <w:r>
        <w:fldChar w:fldCharType="end"/>
      </w:r>
    </w:p>
    <w:p>
      <w:pPr>
        <w:pStyle w:val="14"/>
        <w:tabs>
          <w:tab w:val="right" w:leader="dot" w:pos="8844"/>
        </w:tabs>
        <w:ind w:left="1120" w:firstLine="560"/>
      </w:pPr>
      <w:r>
        <w:fldChar w:fldCharType="begin"/>
      </w:r>
      <w:r>
        <w:instrText xml:space="preserve"> HYPERLINK \l "_Toc22075" </w:instrText>
      </w:r>
      <w:r>
        <w:fldChar w:fldCharType="separate"/>
      </w:r>
      <w:r>
        <w:rPr>
          <w:rFonts w:hint="eastAsia" w:ascii="仿宋_GB2312" w:hAnsi="仿宋_GB2312" w:cs="仿宋_GB2312"/>
        </w:rPr>
        <w:t>第一节  决胜全面建成小康社会取得决定性成就</w:t>
      </w:r>
      <w:r>
        <w:tab/>
      </w:r>
      <w:r>
        <w:fldChar w:fldCharType="begin"/>
      </w:r>
      <w:r>
        <w:instrText xml:space="preserve"> PAGEREF _Toc22075 </w:instrText>
      </w:r>
      <w:r>
        <w:fldChar w:fldCharType="separate"/>
      </w:r>
      <w:r>
        <w:t>1</w:t>
      </w:r>
      <w:r>
        <w:fldChar w:fldCharType="end"/>
      </w:r>
      <w:r>
        <w:fldChar w:fldCharType="end"/>
      </w:r>
    </w:p>
    <w:p>
      <w:pPr>
        <w:pStyle w:val="14"/>
        <w:tabs>
          <w:tab w:val="right" w:leader="dot" w:pos="8844"/>
        </w:tabs>
        <w:ind w:left="1120" w:firstLine="560"/>
      </w:pPr>
      <w:r>
        <w:fldChar w:fldCharType="begin"/>
      </w:r>
      <w:r>
        <w:instrText xml:space="preserve"> HYPERLINK \l "_Toc2987" </w:instrText>
      </w:r>
      <w:r>
        <w:fldChar w:fldCharType="separate"/>
      </w:r>
      <w:r>
        <w:rPr>
          <w:rFonts w:hint="eastAsia" w:ascii="仿宋_GB2312" w:hAnsi="仿宋_GB2312" w:cs="仿宋_GB2312"/>
        </w:rPr>
        <w:t>第二节  机遇和挑战</w:t>
      </w:r>
      <w:r>
        <w:tab/>
      </w:r>
      <w:r>
        <w:fldChar w:fldCharType="begin"/>
      </w:r>
      <w:r>
        <w:instrText xml:space="preserve"> PAGEREF _Toc2987 </w:instrText>
      </w:r>
      <w:r>
        <w:fldChar w:fldCharType="separate"/>
      </w:r>
      <w:r>
        <w:t>4</w:t>
      </w:r>
      <w:r>
        <w:fldChar w:fldCharType="end"/>
      </w:r>
      <w:r>
        <w:fldChar w:fldCharType="end"/>
      </w:r>
    </w:p>
    <w:p>
      <w:pPr>
        <w:pStyle w:val="14"/>
        <w:tabs>
          <w:tab w:val="right" w:leader="dot" w:pos="8844"/>
        </w:tabs>
        <w:ind w:left="1120" w:firstLine="560"/>
      </w:pPr>
      <w:r>
        <w:fldChar w:fldCharType="begin"/>
      </w:r>
      <w:r>
        <w:instrText xml:space="preserve"> HYPERLINK \l "_Toc20519" </w:instrText>
      </w:r>
      <w:r>
        <w:fldChar w:fldCharType="separate"/>
      </w:r>
      <w:r>
        <w:rPr>
          <w:rFonts w:hint="eastAsia" w:ascii="仿宋_GB2312" w:hAnsi="仿宋_GB2312" w:cs="仿宋_GB2312"/>
        </w:rPr>
        <w:t>第三节  优势和突破</w:t>
      </w:r>
      <w:r>
        <w:tab/>
      </w:r>
      <w:r>
        <w:fldChar w:fldCharType="begin"/>
      </w:r>
      <w:r>
        <w:instrText xml:space="preserve"> PAGEREF _Toc20519 </w:instrText>
      </w:r>
      <w:r>
        <w:fldChar w:fldCharType="separate"/>
      </w:r>
      <w:r>
        <w:t>6</w:t>
      </w:r>
      <w:r>
        <w:fldChar w:fldCharType="end"/>
      </w:r>
      <w:r>
        <w:fldChar w:fldCharType="end"/>
      </w:r>
    </w:p>
    <w:p>
      <w:pPr>
        <w:pStyle w:val="22"/>
        <w:tabs>
          <w:tab w:val="right" w:leader="dot" w:pos="8844"/>
        </w:tabs>
        <w:ind w:left="560" w:firstLine="562"/>
      </w:pPr>
      <w:r>
        <w:fldChar w:fldCharType="begin"/>
      </w:r>
      <w:r>
        <w:instrText xml:space="preserve"> HYPERLINK \l "_Toc445" </w:instrText>
      </w:r>
      <w:r>
        <w:fldChar w:fldCharType="separate"/>
      </w:r>
      <w:r>
        <w:rPr>
          <w:rFonts w:hint="eastAsia"/>
        </w:rPr>
        <w:t>第二章  指导思想和原则</w:t>
      </w:r>
      <w:r>
        <w:tab/>
      </w:r>
      <w:r>
        <w:fldChar w:fldCharType="begin"/>
      </w:r>
      <w:r>
        <w:instrText xml:space="preserve"> PAGEREF _Toc445 </w:instrText>
      </w:r>
      <w:r>
        <w:fldChar w:fldCharType="separate"/>
      </w:r>
      <w:r>
        <w:t>7</w:t>
      </w:r>
      <w:r>
        <w:fldChar w:fldCharType="end"/>
      </w:r>
      <w:r>
        <w:fldChar w:fldCharType="end"/>
      </w:r>
    </w:p>
    <w:p>
      <w:pPr>
        <w:pStyle w:val="14"/>
        <w:tabs>
          <w:tab w:val="right" w:leader="dot" w:pos="8844"/>
        </w:tabs>
        <w:ind w:left="1120" w:firstLine="560"/>
      </w:pPr>
      <w:r>
        <w:fldChar w:fldCharType="begin"/>
      </w:r>
      <w:r>
        <w:instrText xml:space="preserve"> HYPERLINK \l "_Toc10124" </w:instrText>
      </w:r>
      <w:r>
        <w:fldChar w:fldCharType="separate"/>
      </w:r>
      <w:r>
        <w:rPr>
          <w:rFonts w:hint="eastAsia" w:ascii="仿宋_GB2312" w:hAnsi="仿宋_GB2312" w:cs="仿宋_GB2312"/>
        </w:rPr>
        <w:t>第一节  指导思想</w:t>
      </w:r>
      <w:r>
        <w:tab/>
      </w:r>
      <w:r>
        <w:fldChar w:fldCharType="begin"/>
      </w:r>
      <w:r>
        <w:instrText xml:space="preserve"> PAGEREF _Toc10124 </w:instrText>
      </w:r>
      <w:r>
        <w:fldChar w:fldCharType="separate"/>
      </w:r>
      <w:r>
        <w:t>7</w:t>
      </w:r>
      <w:r>
        <w:fldChar w:fldCharType="end"/>
      </w:r>
      <w:r>
        <w:fldChar w:fldCharType="end"/>
      </w:r>
    </w:p>
    <w:p>
      <w:pPr>
        <w:pStyle w:val="14"/>
        <w:tabs>
          <w:tab w:val="right" w:leader="dot" w:pos="8844"/>
        </w:tabs>
        <w:ind w:left="1120" w:firstLine="560"/>
      </w:pPr>
      <w:r>
        <w:fldChar w:fldCharType="begin"/>
      </w:r>
      <w:r>
        <w:instrText xml:space="preserve"> HYPERLINK \l "_Toc8026" </w:instrText>
      </w:r>
      <w:r>
        <w:fldChar w:fldCharType="separate"/>
      </w:r>
      <w:r>
        <w:rPr>
          <w:rFonts w:hint="eastAsia" w:ascii="仿宋_GB2312" w:hAnsi="仿宋_GB2312" w:cs="仿宋_GB2312"/>
        </w:rPr>
        <w:t>第二节  基本原则</w:t>
      </w:r>
      <w:r>
        <w:tab/>
      </w:r>
      <w:r>
        <w:fldChar w:fldCharType="begin"/>
      </w:r>
      <w:r>
        <w:instrText xml:space="preserve"> PAGEREF _Toc8026 </w:instrText>
      </w:r>
      <w:r>
        <w:fldChar w:fldCharType="separate"/>
      </w:r>
      <w:r>
        <w:t>8</w:t>
      </w:r>
      <w:r>
        <w:fldChar w:fldCharType="end"/>
      </w:r>
      <w:r>
        <w:fldChar w:fldCharType="end"/>
      </w:r>
    </w:p>
    <w:p>
      <w:pPr>
        <w:pStyle w:val="22"/>
        <w:tabs>
          <w:tab w:val="right" w:leader="dot" w:pos="8844"/>
        </w:tabs>
        <w:ind w:left="560" w:firstLine="562"/>
      </w:pPr>
      <w:r>
        <w:fldChar w:fldCharType="begin"/>
      </w:r>
      <w:r>
        <w:instrText xml:space="preserve"> HYPERLINK \l "_Toc29037" </w:instrText>
      </w:r>
      <w:r>
        <w:fldChar w:fldCharType="separate"/>
      </w:r>
      <w:r>
        <w:rPr>
          <w:rFonts w:hint="eastAsia"/>
        </w:rPr>
        <w:t>第三章</w:t>
      </w:r>
      <w:r>
        <w:t xml:space="preserve">  </w:t>
      </w:r>
      <w:r>
        <w:rPr>
          <w:rFonts w:hint="eastAsia"/>
        </w:rPr>
        <w:t>定位和布局</w:t>
      </w:r>
      <w:r>
        <w:tab/>
      </w:r>
      <w:r>
        <w:fldChar w:fldCharType="begin"/>
      </w:r>
      <w:r>
        <w:instrText xml:space="preserve"> PAGEREF _Toc29037 </w:instrText>
      </w:r>
      <w:r>
        <w:fldChar w:fldCharType="separate"/>
      </w:r>
      <w:r>
        <w:t>10</w:t>
      </w:r>
      <w:r>
        <w:fldChar w:fldCharType="end"/>
      </w:r>
      <w:r>
        <w:fldChar w:fldCharType="end"/>
      </w:r>
    </w:p>
    <w:p>
      <w:pPr>
        <w:pStyle w:val="14"/>
        <w:tabs>
          <w:tab w:val="right" w:leader="dot" w:pos="8844"/>
        </w:tabs>
        <w:ind w:left="1120" w:firstLine="560"/>
      </w:pPr>
      <w:r>
        <w:fldChar w:fldCharType="begin"/>
      </w:r>
      <w:r>
        <w:instrText xml:space="preserve"> HYPERLINK \l "_Toc30903" </w:instrText>
      </w:r>
      <w:r>
        <w:fldChar w:fldCharType="separate"/>
      </w:r>
      <w:r>
        <w:rPr>
          <w:rFonts w:hint="eastAsia" w:ascii="仿宋_GB2312" w:hAnsi="仿宋_GB2312" w:cs="仿宋_GB2312"/>
        </w:rPr>
        <w:t>第一节  发展定位</w:t>
      </w:r>
      <w:r>
        <w:tab/>
      </w:r>
      <w:r>
        <w:fldChar w:fldCharType="begin"/>
      </w:r>
      <w:r>
        <w:instrText xml:space="preserve"> PAGEREF _Toc30903 </w:instrText>
      </w:r>
      <w:r>
        <w:fldChar w:fldCharType="separate"/>
      </w:r>
      <w:r>
        <w:t>10</w:t>
      </w:r>
      <w:r>
        <w:fldChar w:fldCharType="end"/>
      </w:r>
      <w:r>
        <w:fldChar w:fldCharType="end"/>
      </w:r>
    </w:p>
    <w:p>
      <w:pPr>
        <w:pStyle w:val="14"/>
        <w:tabs>
          <w:tab w:val="right" w:leader="dot" w:pos="8844"/>
        </w:tabs>
        <w:ind w:left="1120" w:firstLine="560"/>
      </w:pPr>
      <w:r>
        <w:fldChar w:fldCharType="begin"/>
      </w:r>
      <w:r>
        <w:instrText xml:space="preserve"> HYPERLINK \l "_Toc31794" </w:instrText>
      </w:r>
      <w:r>
        <w:fldChar w:fldCharType="separate"/>
      </w:r>
      <w:r>
        <w:rPr>
          <w:rFonts w:hint="eastAsia" w:ascii="仿宋_GB2312" w:hAnsi="仿宋_GB2312" w:cs="仿宋_GB2312"/>
        </w:rPr>
        <w:t>第二节  战略布局</w:t>
      </w:r>
      <w:r>
        <w:tab/>
      </w:r>
      <w:r>
        <w:fldChar w:fldCharType="begin"/>
      </w:r>
      <w:r>
        <w:instrText xml:space="preserve"> PAGEREF _Toc31794 </w:instrText>
      </w:r>
      <w:r>
        <w:fldChar w:fldCharType="separate"/>
      </w:r>
      <w:r>
        <w:t>11</w:t>
      </w:r>
      <w:r>
        <w:fldChar w:fldCharType="end"/>
      </w:r>
      <w:r>
        <w:fldChar w:fldCharType="end"/>
      </w:r>
    </w:p>
    <w:p>
      <w:pPr>
        <w:pStyle w:val="14"/>
        <w:tabs>
          <w:tab w:val="right" w:leader="dot" w:pos="8844"/>
        </w:tabs>
        <w:ind w:left="1120" w:firstLine="560"/>
      </w:pPr>
      <w:r>
        <w:fldChar w:fldCharType="begin"/>
      </w:r>
      <w:r>
        <w:instrText xml:space="preserve"> HYPERLINK \l "_Toc28122" </w:instrText>
      </w:r>
      <w:r>
        <w:fldChar w:fldCharType="separate"/>
      </w:r>
      <w:r>
        <w:rPr>
          <w:rFonts w:hint="eastAsia" w:ascii="仿宋_GB2312" w:hAnsi="仿宋_GB2312" w:cs="仿宋_GB2312"/>
        </w:rPr>
        <w:t>第三节  交通布局</w:t>
      </w:r>
      <w:r>
        <w:tab/>
      </w:r>
      <w:r>
        <w:fldChar w:fldCharType="begin"/>
      </w:r>
      <w:r>
        <w:instrText xml:space="preserve"> PAGEREF _Toc28122 </w:instrText>
      </w:r>
      <w:r>
        <w:fldChar w:fldCharType="separate"/>
      </w:r>
      <w:r>
        <w:t>14</w:t>
      </w:r>
      <w:r>
        <w:fldChar w:fldCharType="end"/>
      </w:r>
      <w:r>
        <w:fldChar w:fldCharType="end"/>
      </w:r>
    </w:p>
    <w:p>
      <w:pPr>
        <w:pStyle w:val="22"/>
        <w:tabs>
          <w:tab w:val="right" w:leader="dot" w:pos="8844"/>
        </w:tabs>
        <w:ind w:left="560" w:firstLine="562"/>
      </w:pPr>
      <w:r>
        <w:fldChar w:fldCharType="begin"/>
      </w:r>
      <w:r>
        <w:instrText xml:space="preserve"> HYPERLINK \l "_Toc20731" </w:instrText>
      </w:r>
      <w:r>
        <w:fldChar w:fldCharType="separate"/>
      </w:r>
      <w:r>
        <w:rPr>
          <w:rFonts w:hint="eastAsia"/>
        </w:rPr>
        <w:t>第四章  发展目标</w:t>
      </w:r>
      <w:r>
        <w:tab/>
      </w:r>
      <w:r>
        <w:fldChar w:fldCharType="begin"/>
      </w:r>
      <w:r>
        <w:instrText xml:space="preserve"> PAGEREF _Toc20731 </w:instrText>
      </w:r>
      <w:r>
        <w:fldChar w:fldCharType="separate"/>
      </w:r>
      <w:r>
        <w:t>16</w:t>
      </w:r>
      <w:r>
        <w:fldChar w:fldCharType="end"/>
      </w:r>
      <w:r>
        <w:fldChar w:fldCharType="end"/>
      </w:r>
    </w:p>
    <w:p>
      <w:pPr>
        <w:pStyle w:val="14"/>
        <w:tabs>
          <w:tab w:val="right" w:leader="dot" w:pos="8844"/>
        </w:tabs>
        <w:ind w:left="1120" w:firstLine="560"/>
      </w:pPr>
      <w:r>
        <w:fldChar w:fldCharType="begin"/>
      </w:r>
      <w:r>
        <w:instrText xml:space="preserve"> HYPERLINK \l "_Toc7737" </w:instrText>
      </w:r>
      <w:r>
        <w:fldChar w:fldCharType="separate"/>
      </w:r>
      <w:r>
        <w:rPr>
          <w:rFonts w:hint="eastAsia" w:ascii="仿宋_GB2312" w:hAnsi="仿宋_GB2312" w:cs="仿宋_GB2312"/>
        </w:rPr>
        <w:t>第一节  “十四五”发展目标</w:t>
      </w:r>
      <w:r>
        <w:tab/>
      </w:r>
      <w:r>
        <w:fldChar w:fldCharType="begin"/>
      </w:r>
      <w:r>
        <w:instrText xml:space="preserve"> PAGEREF _Toc7737 </w:instrText>
      </w:r>
      <w:r>
        <w:fldChar w:fldCharType="separate"/>
      </w:r>
      <w:r>
        <w:t>16</w:t>
      </w:r>
      <w:r>
        <w:fldChar w:fldCharType="end"/>
      </w:r>
      <w:r>
        <w:fldChar w:fldCharType="end"/>
      </w:r>
    </w:p>
    <w:p>
      <w:pPr>
        <w:pStyle w:val="14"/>
        <w:tabs>
          <w:tab w:val="right" w:leader="dot" w:pos="8844"/>
        </w:tabs>
        <w:ind w:left="1120" w:firstLine="560"/>
      </w:pPr>
      <w:r>
        <w:fldChar w:fldCharType="begin"/>
      </w:r>
      <w:r>
        <w:instrText xml:space="preserve"> HYPERLINK \l "_Toc13776" </w:instrText>
      </w:r>
      <w:r>
        <w:fldChar w:fldCharType="separate"/>
      </w:r>
      <w:r>
        <w:rPr>
          <w:rFonts w:hint="eastAsia" w:ascii="仿宋_GB2312" w:hAnsi="仿宋_GB2312" w:cs="仿宋_GB2312"/>
        </w:rPr>
        <w:t>第二节  二〇三五年远景目标</w:t>
      </w:r>
      <w:r>
        <w:tab/>
      </w:r>
      <w:r>
        <w:fldChar w:fldCharType="begin"/>
      </w:r>
      <w:r>
        <w:instrText xml:space="preserve"> PAGEREF _Toc13776 </w:instrText>
      </w:r>
      <w:r>
        <w:fldChar w:fldCharType="separate"/>
      </w:r>
      <w:r>
        <w:t>20</w:t>
      </w:r>
      <w:r>
        <w:fldChar w:fldCharType="end"/>
      </w:r>
      <w:r>
        <w:fldChar w:fldCharType="end"/>
      </w:r>
    </w:p>
    <w:p>
      <w:pPr>
        <w:pStyle w:val="19"/>
        <w:tabs>
          <w:tab w:val="right" w:leader="dot" w:pos="8844"/>
        </w:tabs>
      </w:pPr>
      <w:r>
        <w:fldChar w:fldCharType="begin"/>
      </w:r>
      <w:r>
        <w:instrText xml:space="preserve"> HYPERLINK \l "_Toc1923" </w:instrText>
      </w:r>
      <w:r>
        <w:fldChar w:fldCharType="separate"/>
      </w:r>
      <w:r>
        <w:rPr>
          <w:rFonts w:hint="eastAsia" w:ascii="黑体" w:hAnsi="黑体" w:cs="黑体"/>
        </w:rPr>
        <w:t>第二篇  坚持创新驱动发展，深化国家创新型县建设</w:t>
      </w:r>
      <w:r>
        <w:tab/>
      </w:r>
      <w:r>
        <w:fldChar w:fldCharType="begin"/>
      </w:r>
      <w:r>
        <w:instrText xml:space="preserve"> PAGEREF _Toc1923 </w:instrText>
      </w:r>
      <w:r>
        <w:fldChar w:fldCharType="separate"/>
      </w:r>
      <w:r>
        <w:t>21</w:t>
      </w:r>
      <w:r>
        <w:fldChar w:fldCharType="end"/>
      </w:r>
      <w:r>
        <w:fldChar w:fldCharType="end"/>
      </w:r>
    </w:p>
    <w:p>
      <w:pPr>
        <w:pStyle w:val="22"/>
        <w:tabs>
          <w:tab w:val="right" w:leader="dot" w:pos="8844"/>
        </w:tabs>
        <w:ind w:left="560" w:firstLine="562"/>
      </w:pPr>
      <w:r>
        <w:fldChar w:fldCharType="begin"/>
      </w:r>
      <w:r>
        <w:instrText xml:space="preserve"> HYPERLINK \l "_Toc17845" </w:instrText>
      </w:r>
      <w:r>
        <w:fldChar w:fldCharType="separate"/>
      </w:r>
      <w:r>
        <w:rPr>
          <w:rFonts w:hint="eastAsia"/>
        </w:rPr>
        <w:t>第五章  深化创新型县建设</w:t>
      </w:r>
      <w:r>
        <w:tab/>
      </w:r>
      <w:r>
        <w:fldChar w:fldCharType="begin"/>
      </w:r>
      <w:r>
        <w:instrText xml:space="preserve"> PAGEREF _Toc17845 </w:instrText>
      </w:r>
      <w:r>
        <w:fldChar w:fldCharType="separate"/>
      </w:r>
      <w:r>
        <w:t>21</w:t>
      </w:r>
      <w:r>
        <w:fldChar w:fldCharType="end"/>
      </w:r>
      <w:r>
        <w:fldChar w:fldCharType="end"/>
      </w:r>
    </w:p>
    <w:p>
      <w:pPr>
        <w:pStyle w:val="14"/>
        <w:tabs>
          <w:tab w:val="right" w:leader="dot" w:pos="8844"/>
        </w:tabs>
        <w:ind w:left="1120" w:firstLine="560"/>
      </w:pPr>
      <w:r>
        <w:fldChar w:fldCharType="begin"/>
      </w:r>
      <w:r>
        <w:instrText xml:space="preserve"> HYPERLINK \l "_Toc15153" </w:instrText>
      </w:r>
      <w:r>
        <w:fldChar w:fldCharType="separate"/>
      </w:r>
      <w:r>
        <w:rPr>
          <w:rFonts w:hint="eastAsia" w:ascii="仿宋_GB2312" w:hAnsi="仿宋_GB2312" w:cs="仿宋_GB2312"/>
        </w:rPr>
        <w:t>第一节  巩固提升区域创新能级</w:t>
      </w:r>
      <w:r>
        <w:tab/>
      </w:r>
      <w:r>
        <w:fldChar w:fldCharType="begin"/>
      </w:r>
      <w:r>
        <w:instrText xml:space="preserve"> PAGEREF _Toc15153 </w:instrText>
      </w:r>
      <w:r>
        <w:fldChar w:fldCharType="separate"/>
      </w:r>
      <w:r>
        <w:t>21</w:t>
      </w:r>
      <w:r>
        <w:fldChar w:fldCharType="end"/>
      </w:r>
      <w:r>
        <w:fldChar w:fldCharType="end"/>
      </w:r>
    </w:p>
    <w:p>
      <w:pPr>
        <w:pStyle w:val="14"/>
        <w:tabs>
          <w:tab w:val="right" w:leader="dot" w:pos="8844"/>
        </w:tabs>
        <w:ind w:left="1120" w:firstLine="560"/>
      </w:pPr>
      <w:r>
        <w:fldChar w:fldCharType="begin"/>
      </w:r>
      <w:r>
        <w:instrText xml:space="preserve"> HYPERLINK \l "_Toc11446" </w:instrText>
      </w:r>
      <w:r>
        <w:fldChar w:fldCharType="separate"/>
      </w:r>
      <w:r>
        <w:rPr>
          <w:rFonts w:hint="eastAsia" w:ascii="仿宋_GB2312" w:hAnsi="仿宋_GB2312" w:cs="仿宋_GB2312"/>
        </w:rPr>
        <w:t>第二节  构建生态文明建设创新体系</w:t>
      </w:r>
      <w:r>
        <w:tab/>
      </w:r>
      <w:r>
        <w:fldChar w:fldCharType="begin"/>
      </w:r>
      <w:r>
        <w:instrText xml:space="preserve"> PAGEREF _Toc11446 </w:instrText>
      </w:r>
      <w:r>
        <w:fldChar w:fldCharType="separate"/>
      </w:r>
      <w:r>
        <w:t>22</w:t>
      </w:r>
      <w:r>
        <w:fldChar w:fldCharType="end"/>
      </w:r>
      <w:r>
        <w:fldChar w:fldCharType="end"/>
      </w:r>
    </w:p>
    <w:p>
      <w:pPr>
        <w:pStyle w:val="22"/>
        <w:tabs>
          <w:tab w:val="right" w:leader="dot" w:pos="8844"/>
        </w:tabs>
        <w:ind w:left="560" w:firstLine="562"/>
      </w:pPr>
      <w:r>
        <w:fldChar w:fldCharType="begin"/>
      </w:r>
      <w:r>
        <w:instrText xml:space="preserve"> HYPERLINK \l "_Toc31664" </w:instrText>
      </w:r>
      <w:r>
        <w:fldChar w:fldCharType="separate"/>
      </w:r>
      <w:r>
        <w:rPr>
          <w:rFonts w:hint="eastAsia"/>
        </w:rPr>
        <w:t>第六章  加快培育创新力量</w:t>
      </w:r>
      <w:r>
        <w:tab/>
      </w:r>
      <w:r>
        <w:fldChar w:fldCharType="begin"/>
      </w:r>
      <w:r>
        <w:instrText xml:space="preserve"> PAGEREF _Toc31664 </w:instrText>
      </w:r>
      <w:r>
        <w:fldChar w:fldCharType="separate"/>
      </w:r>
      <w:r>
        <w:t>23</w:t>
      </w:r>
      <w:r>
        <w:fldChar w:fldCharType="end"/>
      </w:r>
      <w:r>
        <w:fldChar w:fldCharType="end"/>
      </w:r>
    </w:p>
    <w:p>
      <w:pPr>
        <w:pStyle w:val="14"/>
        <w:tabs>
          <w:tab w:val="right" w:leader="dot" w:pos="8844"/>
        </w:tabs>
        <w:ind w:left="1120" w:firstLine="560"/>
      </w:pPr>
      <w:r>
        <w:fldChar w:fldCharType="begin"/>
      </w:r>
      <w:r>
        <w:instrText xml:space="preserve"> HYPERLINK \l "_Toc6102" </w:instrText>
      </w:r>
      <w:r>
        <w:fldChar w:fldCharType="separate"/>
      </w:r>
      <w:r>
        <w:rPr>
          <w:rFonts w:hint="eastAsia" w:ascii="仿宋_GB2312" w:hAnsi="仿宋_GB2312" w:cs="仿宋_GB2312"/>
        </w:rPr>
        <w:t>第一节  强化企业创新主体地位</w:t>
      </w:r>
      <w:r>
        <w:tab/>
      </w:r>
      <w:r>
        <w:fldChar w:fldCharType="begin"/>
      </w:r>
      <w:r>
        <w:instrText xml:space="preserve"> PAGEREF _Toc6102 </w:instrText>
      </w:r>
      <w:r>
        <w:fldChar w:fldCharType="separate"/>
      </w:r>
      <w:r>
        <w:t>23</w:t>
      </w:r>
      <w:r>
        <w:fldChar w:fldCharType="end"/>
      </w:r>
      <w:r>
        <w:fldChar w:fldCharType="end"/>
      </w:r>
    </w:p>
    <w:p>
      <w:pPr>
        <w:pStyle w:val="14"/>
        <w:tabs>
          <w:tab w:val="right" w:leader="dot" w:pos="8844"/>
        </w:tabs>
        <w:ind w:left="1120" w:firstLine="560"/>
      </w:pPr>
      <w:r>
        <w:fldChar w:fldCharType="begin"/>
      </w:r>
      <w:r>
        <w:instrText xml:space="preserve"> HYPERLINK \l "_Toc3348" </w:instrText>
      </w:r>
      <w:r>
        <w:fldChar w:fldCharType="separate"/>
      </w:r>
      <w:r>
        <w:rPr>
          <w:rFonts w:hint="eastAsia" w:ascii="仿宋_GB2312" w:hAnsi="仿宋_GB2312" w:cs="仿宋_GB2312"/>
        </w:rPr>
        <w:t>第二节  打造高水平科技创新平台</w:t>
      </w:r>
      <w:r>
        <w:tab/>
      </w:r>
      <w:r>
        <w:fldChar w:fldCharType="begin"/>
      </w:r>
      <w:r>
        <w:instrText xml:space="preserve"> PAGEREF _Toc3348 </w:instrText>
      </w:r>
      <w:r>
        <w:fldChar w:fldCharType="separate"/>
      </w:r>
      <w:r>
        <w:t>23</w:t>
      </w:r>
      <w:r>
        <w:fldChar w:fldCharType="end"/>
      </w:r>
      <w:r>
        <w:fldChar w:fldCharType="end"/>
      </w:r>
    </w:p>
    <w:p>
      <w:pPr>
        <w:pStyle w:val="22"/>
        <w:tabs>
          <w:tab w:val="right" w:leader="dot" w:pos="8844"/>
        </w:tabs>
        <w:ind w:left="560" w:firstLine="562"/>
      </w:pPr>
      <w:r>
        <w:fldChar w:fldCharType="begin"/>
      </w:r>
      <w:r>
        <w:instrText xml:space="preserve"> HYPERLINK \l "_Toc24947" </w:instrText>
      </w:r>
      <w:r>
        <w:fldChar w:fldCharType="separate"/>
      </w:r>
      <w:r>
        <w:rPr>
          <w:rFonts w:hint="eastAsia"/>
        </w:rPr>
        <w:t>第七章  激发人才创新活力</w:t>
      </w:r>
      <w:r>
        <w:tab/>
      </w:r>
      <w:r>
        <w:fldChar w:fldCharType="begin"/>
      </w:r>
      <w:r>
        <w:instrText xml:space="preserve"> PAGEREF _Toc24947 </w:instrText>
      </w:r>
      <w:r>
        <w:fldChar w:fldCharType="separate"/>
      </w:r>
      <w:r>
        <w:t>24</w:t>
      </w:r>
      <w:r>
        <w:fldChar w:fldCharType="end"/>
      </w:r>
      <w:r>
        <w:fldChar w:fldCharType="end"/>
      </w:r>
    </w:p>
    <w:p>
      <w:pPr>
        <w:pStyle w:val="14"/>
        <w:tabs>
          <w:tab w:val="right" w:leader="dot" w:pos="8844"/>
        </w:tabs>
        <w:ind w:left="1120" w:firstLine="560"/>
      </w:pPr>
      <w:r>
        <w:fldChar w:fldCharType="begin"/>
      </w:r>
      <w:r>
        <w:instrText xml:space="preserve"> HYPERLINK \l "_Toc21631" </w:instrText>
      </w:r>
      <w:r>
        <w:fldChar w:fldCharType="separate"/>
      </w:r>
      <w:r>
        <w:rPr>
          <w:rFonts w:hint="eastAsia" w:ascii="仿宋_GB2312" w:hAnsi="仿宋_GB2312" w:cs="仿宋_GB2312"/>
        </w:rPr>
        <w:t>第一节  深化人才机制改革</w:t>
      </w:r>
      <w:r>
        <w:tab/>
      </w:r>
      <w:r>
        <w:fldChar w:fldCharType="begin"/>
      </w:r>
      <w:r>
        <w:instrText xml:space="preserve"> PAGEREF _Toc21631 </w:instrText>
      </w:r>
      <w:r>
        <w:fldChar w:fldCharType="separate"/>
      </w:r>
      <w:r>
        <w:t>24</w:t>
      </w:r>
      <w:r>
        <w:fldChar w:fldCharType="end"/>
      </w:r>
      <w:r>
        <w:fldChar w:fldCharType="end"/>
      </w:r>
    </w:p>
    <w:p>
      <w:pPr>
        <w:pStyle w:val="14"/>
        <w:tabs>
          <w:tab w:val="right" w:leader="dot" w:pos="8844"/>
        </w:tabs>
        <w:ind w:left="1120" w:firstLine="560"/>
      </w:pPr>
      <w:r>
        <w:fldChar w:fldCharType="begin"/>
      </w:r>
      <w:r>
        <w:instrText xml:space="preserve"> HYPERLINK \l "_Toc17813" </w:instrText>
      </w:r>
      <w:r>
        <w:fldChar w:fldCharType="separate"/>
      </w:r>
      <w:r>
        <w:rPr>
          <w:rFonts w:hint="eastAsia" w:ascii="仿宋_GB2312" w:hAnsi="仿宋_GB2312" w:cs="仿宋_GB2312"/>
        </w:rPr>
        <w:t>第二节  促进人才引进集聚</w:t>
      </w:r>
      <w:r>
        <w:tab/>
      </w:r>
      <w:r>
        <w:fldChar w:fldCharType="begin"/>
      </w:r>
      <w:r>
        <w:instrText xml:space="preserve"> PAGEREF _Toc17813 </w:instrText>
      </w:r>
      <w:r>
        <w:fldChar w:fldCharType="separate"/>
      </w:r>
      <w:r>
        <w:t>25</w:t>
      </w:r>
      <w:r>
        <w:fldChar w:fldCharType="end"/>
      </w:r>
      <w:r>
        <w:fldChar w:fldCharType="end"/>
      </w:r>
    </w:p>
    <w:p>
      <w:pPr>
        <w:pStyle w:val="22"/>
        <w:tabs>
          <w:tab w:val="right" w:leader="dot" w:pos="8844"/>
        </w:tabs>
        <w:ind w:left="560" w:firstLine="562"/>
      </w:pPr>
      <w:r>
        <w:fldChar w:fldCharType="begin"/>
      </w:r>
      <w:r>
        <w:instrText xml:space="preserve"> HYPERLINK \l "_Toc914" </w:instrText>
      </w:r>
      <w:r>
        <w:fldChar w:fldCharType="separate"/>
      </w:r>
      <w:r>
        <w:rPr>
          <w:rFonts w:hint="eastAsia"/>
        </w:rPr>
        <w:t>第八章  完善科技创新体制机制</w:t>
      </w:r>
      <w:r>
        <w:tab/>
      </w:r>
      <w:r>
        <w:fldChar w:fldCharType="begin"/>
      </w:r>
      <w:r>
        <w:instrText xml:space="preserve"> PAGEREF _Toc914 </w:instrText>
      </w:r>
      <w:r>
        <w:fldChar w:fldCharType="separate"/>
      </w:r>
      <w:r>
        <w:t>26</w:t>
      </w:r>
      <w:r>
        <w:fldChar w:fldCharType="end"/>
      </w:r>
      <w:r>
        <w:fldChar w:fldCharType="end"/>
      </w:r>
    </w:p>
    <w:p>
      <w:pPr>
        <w:pStyle w:val="14"/>
        <w:tabs>
          <w:tab w:val="right" w:leader="dot" w:pos="8844"/>
        </w:tabs>
        <w:ind w:left="1120" w:firstLine="560"/>
      </w:pPr>
      <w:r>
        <w:fldChar w:fldCharType="begin"/>
      </w:r>
      <w:r>
        <w:instrText xml:space="preserve"> HYPERLINK \l "_Toc1552" </w:instrText>
      </w:r>
      <w:r>
        <w:fldChar w:fldCharType="separate"/>
      </w:r>
      <w:r>
        <w:rPr>
          <w:rFonts w:hint="eastAsia" w:ascii="仿宋_GB2312" w:hAnsi="仿宋_GB2312" w:cs="仿宋_GB2312"/>
        </w:rPr>
        <w:t>第一节  深化科技创新机制改革</w:t>
      </w:r>
      <w:r>
        <w:tab/>
      </w:r>
      <w:r>
        <w:fldChar w:fldCharType="begin"/>
      </w:r>
      <w:r>
        <w:instrText xml:space="preserve"> PAGEREF _Toc1552 </w:instrText>
      </w:r>
      <w:r>
        <w:fldChar w:fldCharType="separate"/>
      </w:r>
      <w:r>
        <w:t>26</w:t>
      </w:r>
      <w:r>
        <w:fldChar w:fldCharType="end"/>
      </w:r>
      <w:r>
        <w:fldChar w:fldCharType="end"/>
      </w:r>
    </w:p>
    <w:p>
      <w:pPr>
        <w:pStyle w:val="14"/>
        <w:tabs>
          <w:tab w:val="right" w:leader="dot" w:pos="8844"/>
        </w:tabs>
        <w:ind w:left="1120" w:firstLine="560"/>
      </w:pPr>
      <w:r>
        <w:fldChar w:fldCharType="begin"/>
      </w:r>
      <w:r>
        <w:instrText xml:space="preserve"> HYPERLINK \l "_Toc14502" </w:instrText>
      </w:r>
      <w:r>
        <w:fldChar w:fldCharType="separate"/>
      </w:r>
      <w:r>
        <w:rPr>
          <w:rFonts w:hint="eastAsia" w:ascii="仿宋_GB2312" w:hAnsi="仿宋_GB2312" w:cs="仿宋_GB2312"/>
        </w:rPr>
        <w:t>第二节  营造良好创新创业氛围</w:t>
      </w:r>
      <w:r>
        <w:tab/>
      </w:r>
      <w:r>
        <w:fldChar w:fldCharType="begin"/>
      </w:r>
      <w:r>
        <w:instrText xml:space="preserve"> PAGEREF _Toc14502 </w:instrText>
      </w:r>
      <w:r>
        <w:fldChar w:fldCharType="separate"/>
      </w:r>
      <w:r>
        <w:t>26</w:t>
      </w:r>
      <w:r>
        <w:fldChar w:fldCharType="end"/>
      </w:r>
      <w:r>
        <w:fldChar w:fldCharType="end"/>
      </w:r>
    </w:p>
    <w:p>
      <w:pPr>
        <w:pStyle w:val="19"/>
        <w:tabs>
          <w:tab w:val="right" w:leader="dot" w:pos="8844"/>
        </w:tabs>
      </w:pPr>
      <w:r>
        <w:fldChar w:fldCharType="begin"/>
      </w:r>
      <w:r>
        <w:instrText xml:space="preserve"> HYPERLINK \l "_Toc25697" </w:instrText>
      </w:r>
      <w:r>
        <w:fldChar w:fldCharType="separate"/>
      </w:r>
      <w:r>
        <w:rPr>
          <w:rFonts w:hint="eastAsia" w:ascii="黑体" w:hAnsi="黑体" w:cs="黑体"/>
        </w:rPr>
        <w:t>第三篇  着力生态文明建设，打造渝东北三峡库区生态屏障共建示范区</w:t>
      </w:r>
      <w:r>
        <w:tab/>
      </w:r>
      <w:r>
        <w:fldChar w:fldCharType="begin"/>
      </w:r>
      <w:r>
        <w:instrText xml:space="preserve"> PAGEREF _Toc25697 </w:instrText>
      </w:r>
      <w:r>
        <w:fldChar w:fldCharType="separate"/>
      </w:r>
      <w:r>
        <w:t>28</w:t>
      </w:r>
      <w:r>
        <w:fldChar w:fldCharType="end"/>
      </w:r>
      <w:r>
        <w:fldChar w:fldCharType="end"/>
      </w:r>
    </w:p>
    <w:p>
      <w:pPr>
        <w:pStyle w:val="22"/>
        <w:tabs>
          <w:tab w:val="right" w:leader="dot" w:pos="8844"/>
        </w:tabs>
        <w:ind w:left="560" w:firstLine="562"/>
      </w:pPr>
      <w:r>
        <w:fldChar w:fldCharType="begin"/>
      </w:r>
      <w:r>
        <w:instrText xml:space="preserve"> HYPERLINK \l "_Toc423" </w:instrText>
      </w:r>
      <w:r>
        <w:fldChar w:fldCharType="separate"/>
      </w:r>
      <w:r>
        <w:rPr>
          <w:rFonts w:hint="eastAsia"/>
        </w:rPr>
        <w:t>第九章  筑牢长江上游重要的生态屏障</w:t>
      </w:r>
      <w:r>
        <w:tab/>
      </w:r>
      <w:r>
        <w:fldChar w:fldCharType="begin"/>
      </w:r>
      <w:r>
        <w:instrText xml:space="preserve"> PAGEREF _Toc423 </w:instrText>
      </w:r>
      <w:r>
        <w:fldChar w:fldCharType="separate"/>
      </w:r>
      <w:r>
        <w:t>28</w:t>
      </w:r>
      <w:r>
        <w:fldChar w:fldCharType="end"/>
      </w:r>
      <w:r>
        <w:fldChar w:fldCharType="end"/>
      </w:r>
    </w:p>
    <w:p>
      <w:pPr>
        <w:pStyle w:val="14"/>
        <w:tabs>
          <w:tab w:val="right" w:leader="dot" w:pos="8844"/>
        </w:tabs>
        <w:ind w:left="1120" w:firstLine="560"/>
      </w:pPr>
      <w:r>
        <w:fldChar w:fldCharType="begin"/>
      </w:r>
      <w:r>
        <w:instrText xml:space="preserve"> HYPERLINK \l "_Toc18339" </w:instrText>
      </w:r>
      <w:r>
        <w:fldChar w:fldCharType="separate"/>
      </w:r>
      <w:r>
        <w:rPr>
          <w:rFonts w:hint="eastAsia" w:ascii="仿宋_GB2312" w:hAnsi="仿宋_GB2312" w:cs="仿宋_GB2312"/>
        </w:rPr>
        <w:t>第一节  优化生态空间格局</w:t>
      </w:r>
      <w:r>
        <w:tab/>
      </w:r>
      <w:r>
        <w:fldChar w:fldCharType="begin"/>
      </w:r>
      <w:r>
        <w:instrText xml:space="preserve"> PAGEREF _Toc18339 </w:instrText>
      </w:r>
      <w:r>
        <w:fldChar w:fldCharType="separate"/>
      </w:r>
      <w:r>
        <w:t>28</w:t>
      </w:r>
      <w:r>
        <w:fldChar w:fldCharType="end"/>
      </w:r>
      <w:r>
        <w:fldChar w:fldCharType="end"/>
      </w:r>
    </w:p>
    <w:p>
      <w:pPr>
        <w:pStyle w:val="14"/>
        <w:tabs>
          <w:tab w:val="right" w:leader="dot" w:pos="8844"/>
        </w:tabs>
        <w:ind w:left="1120" w:firstLine="560"/>
      </w:pPr>
      <w:r>
        <w:fldChar w:fldCharType="begin"/>
      </w:r>
      <w:r>
        <w:instrText xml:space="preserve"> HYPERLINK \l "_Toc24246" </w:instrText>
      </w:r>
      <w:r>
        <w:fldChar w:fldCharType="separate"/>
      </w:r>
      <w:r>
        <w:rPr>
          <w:rFonts w:hint="eastAsia" w:ascii="仿宋_GB2312" w:hAnsi="仿宋_GB2312" w:cs="仿宋_GB2312"/>
        </w:rPr>
        <w:t>第二节  严格自然保护地管控</w:t>
      </w:r>
      <w:r>
        <w:tab/>
      </w:r>
      <w:r>
        <w:fldChar w:fldCharType="begin"/>
      </w:r>
      <w:r>
        <w:instrText xml:space="preserve"> PAGEREF _Toc24246 </w:instrText>
      </w:r>
      <w:r>
        <w:fldChar w:fldCharType="separate"/>
      </w:r>
      <w:r>
        <w:t>30</w:t>
      </w:r>
      <w:r>
        <w:fldChar w:fldCharType="end"/>
      </w:r>
      <w:r>
        <w:fldChar w:fldCharType="end"/>
      </w:r>
    </w:p>
    <w:p>
      <w:pPr>
        <w:pStyle w:val="14"/>
        <w:tabs>
          <w:tab w:val="right" w:leader="dot" w:pos="8844"/>
        </w:tabs>
        <w:ind w:left="1120" w:firstLine="560"/>
      </w:pPr>
      <w:r>
        <w:fldChar w:fldCharType="begin"/>
      </w:r>
      <w:r>
        <w:instrText xml:space="preserve"> HYPERLINK \l "_Toc22298" </w:instrText>
      </w:r>
      <w:r>
        <w:fldChar w:fldCharType="separate"/>
      </w:r>
      <w:r>
        <w:rPr>
          <w:rFonts w:hint="eastAsia" w:ascii="仿宋_GB2312" w:hAnsi="仿宋_GB2312" w:cs="仿宋_GB2312"/>
        </w:rPr>
        <w:t>第三节  加强自然生态系统保护</w:t>
      </w:r>
      <w:r>
        <w:tab/>
      </w:r>
      <w:r>
        <w:fldChar w:fldCharType="begin"/>
      </w:r>
      <w:r>
        <w:instrText xml:space="preserve"> PAGEREF _Toc22298 </w:instrText>
      </w:r>
      <w:r>
        <w:fldChar w:fldCharType="separate"/>
      </w:r>
      <w:r>
        <w:t>30</w:t>
      </w:r>
      <w:r>
        <w:fldChar w:fldCharType="end"/>
      </w:r>
      <w:r>
        <w:fldChar w:fldCharType="end"/>
      </w:r>
    </w:p>
    <w:p>
      <w:pPr>
        <w:pStyle w:val="14"/>
        <w:tabs>
          <w:tab w:val="right" w:leader="dot" w:pos="8844"/>
        </w:tabs>
        <w:ind w:left="1120" w:firstLine="560"/>
      </w:pPr>
      <w:r>
        <w:fldChar w:fldCharType="begin"/>
      </w:r>
      <w:r>
        <w:instrText xml:space="preserve"> HYPERLINK \l "_Toc2824" </w:instrText>
      </w:r>
      <w:r>
        <w:fldChar w:fldCharType="separate"/>
      </w:r>
      <w:r>
        <w:rPr>
          <w:rFonts w:hint="eastAsia" w:ascii="仿宋_GB2312" w:hAnsi="仿宋_GB2312" w:cs="仿宋_GB2312"/>
        </w:rPr>
        <w:t>第四节  深入推进生态修复</w:t>
      </w:r>
      <w:r>
        <w:tab/>
      </w:r>
      <w:r>
        <w:fldChar w:fldCharType="begin"/>
      </w:r>
      <w:r>
        <w:instrText xml:space="preserve"> PAGEREF _Toc2824 </w:instrText>
      </w:r>
      <w:r>
        <w:fldChar w:fldCharType="separate"/>
      </w:r>
      <w:r>
        <w:t>30</w:t>
      </w:r>
      <w:r>
        <w:fldChar w:fldCharType="end"/>
      </w:r>
      <w:r>
        <w:fldChar w:fldCharType="end"/>
      </w:r>
    </w:p>
    <w:p>
      <w:pPr>
        <w:pStyle w:val="14"/>
        <w:tabs>
          <w:tab w:val="right" w:leader="dot" w:pos="8844"/>
        </w:tabs>
        <w:ind w:left="1120" w:firstLine="560"/>
      </w:pPr>
      <w:r>
        <w:fldChar w:fldCharType="begin"/>
      </w:r>
      <w:r>
        <w:instrText xml:space="preserve"> HYPERLINK \l "_Toc22049" </w:instrText>
      </w:r>
      <w:r>
        <w:fldChar w:fldCharType="separate"/>
      </w:r>
      <w:r>
        <w:rPr>
          <w:rFonts w:hint="eastAsia" w:ascii="仿宋_GB2312" w:hAnsi="仿宋_GB2312" w:cs="仿宋_GB2312"/>
        </w:rPr>
        <w:t>第五节  加强</w:t>
      </w:r>
      <w:r>
        <w:rPr>
          <w:rFonts w:ascii="仿宋_GB2312" w:hAnsi="仿宋_GB2312" w:cs="仿宋_GB2312"/>
        </w:rPr>
        <w:t>地质灾害防治</w:t>
      </w:r>
      <w:r>
        <w:tab/>
      </w:r>
      <w:r>
        <w:fldChar w:fldCharType="begin"/>
      </w:r>
      <w:r>
        <w:instrText xml:space="preserve"> PAGEREF _Toc22049 </w:instrText>
      </w:r>
      <w:r>
        <w:fldChar w:fldCharType="separate"/>
      </w:r>
      <w:r>
        <w:t>31</w:t>
      </w:r>
      <w:r>
        <w:fldChar w:fldCharType="end"/>
      </w:r>
      <w:r>
        <w:fldChar w:fldCharType="end"/>
      </w:r>
    </w:p>
    <w:p>
      <w:pPr>
        <w:pStyle w:val="14"/>
        <w:tabs>
          <w:tab w:val="right" w:leader="dot" w:pos="8844"/>
        </w:tabs>
        <w:ind w:left="1120" w:firstLine="560"/>
      </w:pPr>
      <w:r>
        <w:fldChar w:fldCharType="begin"/>
      </w:r>
      <w:r>
        <w:instrText xml:space="preserve"> HYPERLINK \l "_Toc17821" </w:instrText>
      </w:r>
      <w:r>
        <w:fldChar w:fldCharType="separate"/>
      </w:r>
      <w:r>
        <w:rPr>
          <w:rFonts w:hint="eastAsia" w:ascii="仿宋_GB2312" w:hAnsi="仿宋_GB2312" w:cs="仿宋_GB2312"/>
        </w:rPr>
        <w:t>第六节  夯实生态安全防线</w:t>
      </w:r>
      <w:r>
        <w:tab/>
      </w:r>
      <w:r>
        <w:fldChar w:fldCharType="begin"/>
      </w:r>
      <w:r>
        <w:instrText xml:space="preserve"> PAGEREF _Toc17821 </w:instrText>
      </w:r>
      <w:r>
        <w:fldChar w:fldCharType="separate"/>
      </w:r>
      <w:r>
        <w:t>31</w:t>
      </w:r>
      <w:r>
        <w:fldChar w:fldCharType="end"/>
      </w:r>
      <w:r>
        <w:fldChar w:fldCharType="end"/>
      </w:r>
    </w:p>
    <w:p>
      <w:pPr>
        <w:pStyle w:val="22"/>
        <w:tabs>
          <w:tab w:val="right" w:leader="dot" w:pos="8844"/>
        </w:tabs>
        <w:ind w:left="560" w:firstLine="562"/>
      </w:pPr>
      <w:r>
        <w:fldChar w:fldCharType="begin"/>
      </w:r>
      <w:r>
        <w:instrText xml:space="preserve"> HYPERLINK \l "_Toc13440" </w:instrText>
      </w:r>
      <w:r>
        <w:fldChar w:fldCharType="separate"/>
      </w:r>
      <w:r>
        <w:rPr>
          <w:rFonts w:hint="eastAsia"/>
        </w:rPr>
        <w:t>第十章  持续改善生态环境质量</w:t>
      </w:r>
      <w:r>
        <w:tab/>
      </w:r>
      <w:r>
        <w:fldChar w:fldCharType="begin"/>
      </w:r>
      <w:r>
        <w:instrText xml:space="preserve"> PAGEREF _Toc13440 </w:instrText>
      </w:r>
      <w:r>
        <w:fldChar w:fldCharType="separate"/>
      </w:r>
      <w:r>
        <w:t>33</w:t>
      </w:r>
      <w:r>
        <w:fldChar w:fldCharType="end"/>
      </w:r>
      <w:r>
        <w:fldChar w:fldCharType="end"/>
      </w:r>
    </w:p>
    <w:p>
      <w:pPr>
        <w:pStyle w:val="14"/>
        <w:tabs>
          <w:tab w:val="right" w:leader="dot" w:pos="8844"/>
        </w:tabs>
        <w:ind w:left="1120" w:firstLine="560"/>
      </w:pPr>
      <w:r>
        <w:fldChar w:fldCharType="begin"/>
      </w:r>
      <w:r>
        <w:instrText xml:space="preserve"> HYPERLINK \l "_Toc24768" </w:instrText>
      </w:r>
      <w:r>
        <w:fldChar w:fldCharType="separate"/>
      </w:r>
      <w:r>
        <w:rPr>
          <w:rFonts w:hint="eastAsia" w:ascii="仿宋_GB2312" w:hAnsi="仿宋_GB2312" w:cs="仿宋_GB2312"/>
        </w:rPr>
        <w:t>第一节  精准施策改善大气环境质量</w:t>
      </w:r>
      <w:r>
        <w:tab/>
      </w:r>
      <w:r>
        <w:fldChar w:fldCharType="begin"/>
      </w:r>
      <w:r>
        <w:instrText xml:space="preserve"> PAGEREF _Toc24768 </w:instrText>
      </w:r>
      <w:r>
        <w:fldChar w:fldCharType="separate"/>
      </w:r>
      <w:r>
        <w:t>33</w:t>
      </w:r>
      <w:r>
        <w:fldChar w:fldCharType="end"/>
      </w:r>
      <w:r>
        <w:fldChar w:fldCharType="end"/>
      </w:r>
    </w:p>
    <w:p>
      <w:pPr>
        <w:pStyle w:val="14"/>
        <w:tabs>
          <w:tab w:val="right" w:leader="dot" w:pos="8844"/>
        </w:tabs>
        <w:ind w:left="1120" w:firstLine="560"/>
      </w:pPr>
      <w:r>
        <w:fldChar w:fldCharType="begin"/>
      </w:r>
      <w:r>
        <w:instrText xml:space="preserve"> HYPERLINK \l "_Toc7796" </w:instrText>
      </w:r>
      <w:r>
        <w:fldChar w:fldCharType="separate"/>
      </w:r>
      <w:r>
        <w:rPr>
          <w:rFonts w:hint="eastAsia" w:ascii="仿宋_GB2312" w:hAnsi="仿宋_GB2312" w:cs="仿宋_GB2312"/>
        </w:rPr>
        <w:t>第二节  系统治理改善水环境质量</w:t>
      </w:r>
      <w:r>
        <w:tab/>
      </w:r>
      <w:r>
        <w:fldChar w:fldCharType="begin"/>
      </w:r>
      <w:r>
        <w:instrText xml:space="preserve"> PAGEREF _Toc7796 </w:instrText>
      </w:r>
      <w:r>
        <w:fldChar w:fldCharType="separate"/>
      </w:r>
      <w:r>
        <w:t>34</w:t>
      </w:r>
      <w:r>
        <w:fldChar w:fldCharType="end"/>
      </w:r>
      <w:r>
        <w:fldChar w:fldCharType="end"/>
      </w:r>
    </w:p>
    <w:p>
      <w:pPr>
        <w:pStyle w:val="14"/>
        <w:tabs>
          <w:tab w:val="right" w:leader="dot" w:pos="8844"/>
        </w:tabs>
        <w:ind w:left="1120" w:firstLine="560"/>
      </w:pPr>
      <w:r>
        <w:fldChar w:fldCharType="begin"/>
      </w:r>
      <w:r>
        <w:instrText xml:space="preserve"> HYPERLINK \l "_Toc22127" </w:instrText>
      </w:r>
      <w:r>
        <w:fldChar w:fldCharType="separate"/>
      </w:r>
      <w:r>
        <w:rPr>
          <w:rFonts w:hint="eastAsia" w:ascii="仿宋_GB2312" w:hAnsi="仿宋_GB2312" w:cs="仿宋_GB2312"/>
        </w:rPr>
        <w:t>第三节  加强噪声管控</w:t>
      </w:r>
      <w:r>
        <w:tab/>
      </w:r>
      <w:r>
        <w:fldChar w:fldCharType="begin"/>
      </w:r>
      <w:r>
        <w:instrText xml:space="preserve"> PAGEREF _Toc22127 </w:instrText>
      </w:r>
      <w:r>
        <w:fldChar w:fldCharType="separate"/>
      </w:r>
      <w:r>
        <w:t>34</w:t>
      </w:r>
      <w:r>
        <w:fldChar w:fldCharType="end"/>
      </w:r>
      <w:r>
        <w:fldChar w:fldCharType="end"/>
      </w:r>
    </w:p>
    <w:p>
      <w:pPr>
        <w:pStyle w:val="14"/>
        <w:tabs>
          <w:tab w:val="right" w:leader="dot" w:pos="8844"/>
        </w:tabs>
        <w:ind w:left="1120" w:firstLine="560"/>
      </w:pPr>
      <w:r>
        <w:fldChar w:fldCharType="begin"/>
      </w:r>
      <w:r>
        <w:instrText xml:space="preserve"> HYPERLINK \l "_Toc29164" </w:instrText>
      </w:r>
      <w:r>
        <w:fldChar w:fldCharType="separate"/>
      </w:r>
      <w:r>
        <w:rPr>
          <w:rFonts w:hint="eastAsia" w:ascii="仿宋_GB2312" w:hAnsi="仿宋_GB2312" w:cs="仿宋_GB2312"/>
        </w:rPr>
        <w:t>第四节  严格管控提升土壤环境质量</w:t>
      </w:r>
      <w:r>
        <w:tab/>
      </w:r>
      <w:r>
        <w:fldChar w:fldCharType="begin"/>
      </w:r>
      <w:r>
        <w:instrText xml:space="preserve"> PAGEREF _Toc29164 </w:instrText>
      </w:r>
      <w:r>
        <w:fldChar w:fldCharType="separate"/>
      </w:r>
      <w:r>
        <w:t>35</w:t>
      </w:r>
      <w:r>
        <w:fldChar w:fldCharType="end"/>
      </w:r>
      <w:r>
        <w:fldChar w:fldCharType="end"/>
      </w:r>
    </w:p>
    <w:p>
      <w:pPr>
        <w:pStyle w:val="14"/>
        <w:tabs>
          <w:tab w:val="right" w:leader="dot" w:pos="8844"/>
        </w:tabs>
        <w:ind w:left="1120" w:firstLine="560"/>
      </w:pPr>
      <w:r>
        <w:fldChar w:fldCharType="begin"/>
      </w:r>
      <w:r>
        <w:instrText xml:space="preserve"> HYPERLINK \l "_Toc20763" </w:instrText>
      </w:r>
      <w:r>
        <w:fldChar w:fldCharType="separate"/>
      </w:r>
      <w:r>
        <w:rPr>
          <w:rFonts w:hint="eastAsia" w:ascii="仿宋_GB2312" w:hAnsi="仿宋_GB2312" w:cs="仿宋_GB2312"/>
        </w:rPr>
        <w:t>第五节  加快“无废奉节”建设</w:t>
      </w:r>
      <w:r>
        <w:tab/>
      </w:r>
      <w:r>
        <w:fldChar w:fldCharType="begin"/>
      </w:r>
      <w:r>
        <w:instrText xml:space="preserve"> PAGEREF _Toc20763 </w:instrText>
      </w:r>
      <w:r>
        <w:fldChar w:fldCharType="separate"/>
      </w:r>
      <w:r>
        <w:t>35</w:t>
      </w:r>
      <w:r>
        <w:fldChar w:fldCharType="end"/>
      </w:r>
      <w:r>
        <w:fldChar w:fldCharType="end"/>
      </w:r>
    </w:p>
    <w:p>
      <w:pPr>
        <w:pStyle w:val="22"/>
        <w:tabs>
          <w:tab w:val="right" w:leader="dot" w:pos="8844"/>
        </w:tabs>
        <w:ind w:left="560" w:firstLine="562"/>
      </w:pPr>
      <w:r>
        <w:fldChar w:fldCharType="begin"/>
      </w:r>
      <w:r>
        <w:instrText xml:space="preserve"> HYPERLINK \l "_Toc27341" </w:instrText>
      </w:r>
      <w:r>
        <w:fldChar w:fldCharType="separate"/>
      </w:r>
      <w:r>
        <w:rPr>
          <w:rFonts w:hint="eastAsia"/>
        </w:rPr>
        <w:t>第十一章  加快推进绿色低碳发展</w:t>
      </w:r>
      <w:r>
        <w:tab/>
      </w:r>
      <w:r>
        <w:fldChar w:fldCharType="begin"/>
      </w:r>
      <w:r>
        <w:instrText xml:space="preserve"> PAGEREF _Toc27341 </w:instrText>
      </w:r>
      <w:r>
        <w:fldChar w:fldCharType="separate"/>
      </w:r>
      <w:r>
        <w:t>36</w:t>
      </w:r>
      <w:r>
        <w:fldChar w:fldCharType="end"/>
      </w:r>
      <w:r>
        <w:fldChar w:fldCharType="end"/>
      </w:r>
    </w:p>
    <w:p>
      <w:pPr>
        <w:pStyle w:val="14"/>
        <w:tabs>
          <w:tab w:val="right" w:leader="dot" w:pos="8844"/>
        </w:tabs>
        <w:ind w:left="1120" w:firstLine="560"/>
      </w:pPr>
      <w:r>
        <w:fldChar w:fldCharType="begin"/>
      </w:r>
      <w:r>
        <w:instrText xml:space="preserve"> HYPERLINK \l "_Toc21350" </w:instrText>
      </w:r>
      <w:r>
        <w:fldChar w:fldCharType="separate"/>
      </w:r>
      <w:r>
        <w:rPr>
          <w:rFonts w:hint="eastAsia" w:ascii="仿宋_GB2312" w:hAnsi="仿宋_GB2312" w:cs="仿宋_GB2312"/>
        </w:rPr>
        <w:t>第一节  深化绿色创新驱动</w:t>
      </w:r>
      <w:r>
        <w:tab/>
      </w:r>
      <w:r>
        <w:fldChar w:fldCharType="begin"/>
      </w:r>
      <w:r>
        <w:instrText xml:space="preserve"> PAGEREF _Toc21350 </w:instrText>
      </w:r>
      <w:r>
        <w:fldChar w:fldCharType="separate"/>
      </w:r>
      <w:r>
        <w:t>36</w:t>
      </w:r>
      <w:r>
        <w:fldChar w:fldCharType="end"/>
      </w:r>
      <w:r>
        <w:fldChar w:fldCharType="end"/>
      </w:r>
    </w:p>
    <w:p>
      <w:pPr>
        <w:pStyle w:val="14"/>
        <w:tabs>
          <w:tab w:val="right" w:leader="dot" w:pos="8844"/>
        </w:tabs>
        <w:ind w:left="1120" w:firstLine="560"/>
      </w:pPr>
      <w:r>
        <w:fldChar w:fldCharType="begin"/>
      </w:r>
      <w:r>
        <w:instrText xml:space="preserve"> HYPERLINK \l "_Toc9790" </w:instrText>
      </w:r>
      <w:r>
        <w:fldChar w:fldCharType="separate"/>
      </w:r>
      <w:r>
        <w:rPr>
          <w:rFonts w:hint="eastAsia" w:ascii="仿宋_GB2312" w:hAnsi="仿宋_GB2312" w:cs="仿宋_GB2312"/>
        </w:rPr>
        <w:t>第二节  大力发展低碳经济</w:t>
      </w:r>
      <w:r>
        <w:tab/>
      </w:r>
      <w:r>
        <w:fldChar w:fldCharType="begin"/>
      </w:r>
      <w:r>
        <w:instrText xml:space="preserve"> PAGEREF _Toc9790 </w:instrText>
      </w:r>
      <w:r>
        <w:fldChar w:fldCharType="separate"/>
      </w:r>
      <w:r>
        <w:t>37</w:t>
      </w:r>
      <w:r>
        <w:fldChar w:fldCharType="end"/>
      </w:r>
      <w:r>
        <w:fldChar w:fldCharType="end"/>
      </w:r>
    </w:p>
    <w:p>
      <w:pPr>
        <w:pStyle w:val="14"/>
        <w:tabs>
          <w:tab w:val="right" w:leader="dot" w:pos="8844"/>
        </w:tabs>
        <w:ind w:left="1120" w:firstLine="560"/>
      </w:pPr>
      <w:r>
        <w:fldChar w:fldCharType="begin"/>
      </w:r>
      <w:r>
        <w:instrText xml:space="preserve"> HYPERLINK \l "_Toc16067" </w:instrText>
      </w:r>
      <w:r>
        <w:fldChar w:fldCharType="separate"/>
      </w:r>
      <w:r>
        <w:rPr>
          <w:rFonts w:hint="eastAsia" w:ascii="仿宋_GB2312" w:hAnsi="仿宋_GB2312" w:cs="仿宋_GB2312"/>
        </w:rPr>
        <w:t>第三节  严格生态环境准入</w:t>
      </w:r>
      <w:r>
        <w:tab/>
      </w:r>
      <w:r>
        <w:fldChar w:fldCharType="begin"/>
      </w:r>
      <w:r>
        <w:instrText xml:space="preserve"> PAGEREF _Toc16067 </w:instrText>
      </w:r>
      <w:r>
        <w:fldChar w:fldCharType="separate"/>
      </w:r>
      <w:r>
        <w:t>37</w:t>
      </w:r>
      <w:r>
        <w:fldChar w:fldCharType="end"/>
      </w:r>
      <w:r>
        <w:fldChar w:fldCharType="end"/>
      </w:r>
    </w:p>
    <w:p>
      <w:pPr>
        <w:pStyle w:val="22"/>
        <w:tabs>
          <w:tab w:val="right" w:leader="dot" w:pos="8844"/>
        </w:tabs>
        <w:ind w:left="560" w:firstLine="562"/>
      </w:pPr>
      <w:r>
        <w:fldChar w:fldCharType="begin"/>
      </w:r>
      <w:r>
        <w:instrText xml:space="preserve"> HYPERLINK \l "_Toc23868" </w:instrText>
      </w:r>
      <w:r>
        <w:fldChar w:fldCharType="separate"/>
      </w:r>
      <w:r>
        <w:rPr>
          <w:rFonts w:hint="eastAsia"/>
        </w:rPr>
        <w:t>第十二章  全面提高资源利用效率</w:t>
      </w:r>
      <w:r>
        <w:tab/>
      </w:r>
      <w:r>
        <w:fldChar w:fldCharType="begin"/>
      </w:r>
      <w:r>
        <w:instrText xml:space="preserve"> PAGEREF _Toc23868 </w:instrText>
      </w:r>
      <w:r>
        <w:fldChar w:fldCharType="separate"/>
      </w:r>
      <w:r>
        <w:t>38</w:t>
      </w:r>
      <w:r>
        <w:fldChar w:fldCharType="end"/>
      </w:r>
      <w:r>
        <w:fldChar w:fldCharType="end"/>
      </w:r>
    </w:p>
    <w:p>
      <w:pPr>
        <w:pStyle w:val="14"/>
        <w:tabs>
          <w:tab w:val="right" w:leader="dot" w:pos="8844"/>
        </w:tabs>
        <w:ind w:left="1120" w:firstLine="560"/>
      </w:pPr>
      <w:r>
        <w:fldChar w:fldCharType="begin"/>
      </w:r>
      <w:r>
        <w:instrText xml:space="preserve"> HYPERLINK \l "_Toc14375" </w:instrText>
      </w:r>
      <w:r>
        <w:fldChar w:fldCharType="separate"/>
      </w:r>
      <w:r>
        <w:rPr>
          <w:rFonts w:hint="eastAsia" w:ascii="仿宋_GB2312" w:hAnsi="仿宋_GB2312" w:cs="仿宋_GB2312"/>
        </w:rPr>
        <w:t>第一节  完善循环经济体系</w:t>
      </w:r>
      <w:r>
        <w:tab/>
      </w:r>
      <w:r>
        <w:fldChar w:fldCharType="begin"/>
      </w:r>
      <w:r>
        <w:instrText xml:space="preserve"> PAGEREF _Toc14375 </w:instrText>
      </w:r>
      <w:r>
        <w:fldChar w:fldCharType="separate"/>
      </w:r>
      <w:r>
        <w:t>38</w:t>
      </w:r>
      <w:r>
        <w:fldChar w:fldCharType="end"/>
      </w:r>
      <w:r>
        <w:fldChar w:fldCharType="end"/>
      </w:r>
    </w:p>
    <w:p>
      <w:pPr>
        <w:pStyle w:val="14"/>
        <w:tabs>
          <w:tab w:val="right" w:leader="dot" w:pos="8844"/>
        </w:tabs>
        <w:ind w:left="1120" w:firstLine="560"/>
      </w:pPr>
      <w:r>
        <w:fldChar w:fldCharType="begin"/>
      </w:r>
      <w:r>
        <w:instrText xml:space="preserve"> HYPERLINK \l "_Toc30998" </w:instrText>
      </w:r>
      <w:r>
        <w:fldChar w:fldCharType="separate"/>
      </w:r>
      <w:r>
        <w:rPr>
          <w:rFonts w:hint="eastAsia" w:ascii="仿宋_GB2312" w:hAnsi="仿宋_GB2312" w:cs="仿宋_GB2312"/>
        </w:rPr>
        <w:t>第二节  提升能源利用效率</w:t>
      </w:r>
      <w:r>
        <w:tab/>
      </w:r>
      <w:r>
        <w:fldChar w:fldCharType="begin"/>
      </w:r>
      <w:r>
        <w:instrText xml:space="preserve"> PAGEREF _Toc30998 </w:instrText>
      </w:r>
      <w:r>
        <w:fldChar w:fldCharType="separate"/>
      </w:r>
      <w:r>
        <w:t>38</w:t>
      </w:r>
      <w:r>
        <w:fldChar w:fldCharType="end"/>
      </w:r>
      <w:r>
        <w:fldChar w:fldCharType="end"/>
      </w:r>
    </w:p>
    <w:p>
      <w:pPr>
        <w:pStyle w:val="14"/>
        <w:tabs>
          <w:tab w:val="right" w:leader="dot" w:pos="8844"/>
        </w:tabs>
        <w:ind w:left="1120" w:firstLine="560"/>
      </w:pPr>
      <w:r>
        <w:fldChar w:fldCharType="begin"/>
      </w:r>
      <w:r>
        <w:instrText xml:space="preserve"> HYPERLINK \l "_Toc9001" </w:instrText>
      </w:r>
      <w:r>
        <w:fldChar w:fldCharType="separate"/>
      </w:r>
      <w:r>
        <w:rPr>
          <w:rFonts w:hint="eastAsia" w:ascii="仿宋_GB2312" w:hAnsi="仿宋_GB2312" w:cs="仿宋_GB2312"/>
        </w:rPr>
        <w:t>第三节  加强水资源节约</w:t>
      </w:r>
      <w:r>
        <w:tab/>
      </w:r>
      <w:r>
        <w:fldChar w:fldCharType="begin"/>
      </w:r>
      <w:r>
        <w:instrText xml:space="preserve"> PAGEREF _Toc9001 </w:instrText>
      </w:r>
      <w:r>
        <w:fldChar w:fldCharType="separate"/>
      </w:r>
      <w:r>
        <w:t>38</w:t>
      </w:r>
      <w:r>
        <w:fldChar w:fldCharType="end"/>
      </w:r>
      <w:r>
        <w:fldChar w:fldCharType="end"/>
      </w:r>
    </w:p>
    <w:p>
      <w:pPr>
        <w:pStyle w:val="14"/>
        <w:tabs>
          <w:tab w:val="right" w:leader="dot" w:pos="8844"/>
        </w:tabs>
        <w:ind w:left="1120" w:firstLine="560"/>
      </w:pPr>
      <w:r>
        <w:fldChar w:fldCharType="begin"/>
      </w:r>
      <w:r>
        <w:instrText xml:space="preserve"> HYPERLINK \l "_Toc30846" </w:instrText>
      </w:r>
      <w:r>
        <w:fldChar w:fldCharType="separate"/>
      </w:r>
      <w:r>
        <w:rPr>
          <w:rFonts w:hint="eastAsia" w:ascii="仿宋_GB2312" w:hAnsi="仿宋_GB2312" w:cs="仿宋_GB2312"/>
        </w:rPr>
        <w:t>第四节  集约利用土地</w:t>
      </w:r>
      <w:r>
        <w:tab/>
      </w:r>
      <w:r>
        <w:fldChar w:fldCharType="begin"/>
      </w:r>
      <w:r>
        <w:instrText xml:space="preserve"> PAGEREF _Toc30846 </w:instrText>
      </w:r>
      <w:r>
        <w:fldChar w:fldCharType="separate"/>
      </w:r>
      <w:r>
        <w:t>39</w:t>
      </w:r>
      <w:r>
        <w:fldChar w:fldCharType="end"/>
      </w:r>
      <w:r>
        <w:fldChar w:fldCharType="end"/>
      </w:r>
    </w:p>
    <w:p>
      <w:pPr>
        <w:pStyle w:val="22"/>
        <w:tabs>
          <w:tab w:val="right" w:leader="dot" w:pos="8844"/>
        </w:tabs>
        <w:ind w:left="560" w:firstLine="562"/>
      </w:pPr>
      <w:r>
        <w:fldChar w:fldCharType="begin"/>
      </w:r>
      <w:r>
        <w:instrText xml:space="preserve"> HYPERLINK \l "_Toc28486" </w:instrText>
      </w:r>
      <w:r>
        <w:fldChar w:fldCharType="separate"/>
      </w:r>
      <w:r>
        <w:rPr>
          <w:rFonts w:hint="eastAsia"/>
        </w:rPr>
        <w:t>第十三章  深化生态文明体制改革</w:t>
      </w:r>
      <w:r>
        <w:tab/>
      </w:r>
      <w:r>
        <w:fldChar w:fldCharType="begin"/>
      </w:r>
      <w:r>
        <w:instrText xml:space="preserve"> PAGEREF _Toc28486 </w:instrText>
      </w:r>
      <w:r>
        <w:fldChar w:fldCharType="separate"/>
      </w:r>
      <w:r>
        <w:t>39</w:t>
      </w:r>
      <w:r>
        <w:fldChar w:fldCharType="end"/>
      </w:r>
      <w:r>
        <w:fldChar w:fldCharType="end"/>
      </w:r>
    </w:p>
    <w:p>
      <w:pPr>
        <w:pStyle w:val="14"/>
        <w:tabs>
          <w:tab w:val="right" w:leader="dot" w:pos="8844"/>
        </w:tabs>
        <w:ind w:left="1120" w:firstLine="560"/>
      </w:pPr>
      <w:r>
        <w:fldChar w:fldCharType="begin"/>
      </w:r>
      <w:r>
        <w:instrText xml:space="preserve"> HYPERLINK \l "_Toc4679" </w:instrText>
      </w:r>
      <w:r>
        <w:fldChar w:fldCharType="separate"/>
      </w:r>
      <w:r>
        <w:rPr>
          <w:rFonts w:hint="eastAsia" w:ascii="仿宋_GB2312" w:hAnsi="仿宋_GB2312" w:cs="仿宋_GB2312"/>
        </w:rPr>
        <w:t>第一节  健全环境风险防控体系</w:t>
      </w:r>
      <w:r>
        <w:tab/>
      </w:r>
      <w:r>
        <w:fldChar w:fldCharType="begin"/>
      </w:r>
      <w:r>
        <w:instrText xml:space="preserve"> PAGEREF _Toc4679 </w:instrText>
      </w:r>
      <w:r>
        <w:fldChar w:fldCharType="separate"/>
      </w:r>
      <w:r>
        <w:t>39</w:t>
      </w:r>
      <w:r>
        <w:fldChar w:fldCharType="end"/>
      </w:r>
      <w:r>
        <w:fldChar w:fldCharType="end"/>
      </w:r>
    </w:p>
    <w:p>
      <w:pPr>
        <w:pStyle w:val="14"/>
        <w:tabs>
          <w:tab w:val="right" w:leader="dot" w:pos="8844"/>
        </w:tabs>
        <w:ind w:left="1120" w:firstLine="560"/>
      </w:pPr>
      <w:r>
        <w:fldChar w:fldCharType="begin"/>
      </w:r>
      <w:r>
        <w:instrText xml:space="preserve"> HYPERLINK \l "_Toc4134" </w:instrText>
      </w:r>
      <w:r>
        <w:fldChar w:fldCharType="separate"/>
      </w:r>
      <w:r>
        <w:rPr>
          <w:rFonts w:hint="eastAsia" w:ascii="仿宋_GB2312" w:hAnsi="仿宋_GB2312" w:cs="仿宋_GB2312"/>
        </w:rPr>
        <w:t>第二节  优化生态保护市场体系</w:t>
      </w:r>
      <w:r>
        <w:tab/>
      </w:r>
      <w:r>
        <w:fldChar w:fldCharType="begin"/>
      </w:r>
      <w:r>
        <w:instrText xml:space="preserve"> PAGEREF _Toc4134 </w:instrText>
      </w:r>
      <w:r>
        <w:fldChar w:fldCharType="separate"/>
      </w:r>
      <w:r>
        <w:t>40</w:t>
      </w:r>
      <w:r>
        <w:fldChar w:fldCharType="end"/>
      </w:r>
      <w:r>
        <w:fldChar w:fldCharType="end"/>
      </w:r>
    </w:p>
    <w:p>
      <w:pPr>
        <w:pStyle w:val="14"/>
        <w:tabs>
          <w:tab w:val="right" w:leader="dot" w:pos="8844"/>
        </w:tabs>
        <w:ind w:left="1120" w:firstLine="560"/>
      </w:pPr>
      <w:r>
        <w:fldChar w:fldCharType="begin"/>
      </w:r>
      <w:r>
        <w:instrText xml:space="preserve"> HYPERLINK \l "_Toc11030" </w:instrText>
      </w:r>
      <w:r>
        <w:fldChar w:fldCharType="separate"/>
      </w:r>
      <w:r>
        <w:rPr>
          <w:rFonts w:hint="eastAsia" w:ascii="仿宋_GB2312" w:hAnsi="仿宋_GB2312" w:cs="仿宋_GB2312"/>
        </w:rPr>
        <w:t>第三节  完善生态环境治理体系</w:t>
      </w:r>
      <w:r>
        <w:tab/>
      </w:r>
      <w:r>
        <w:fldChar w:fldCharType="begin"/>
      </w:r>
      <w:r>
        <w:instrText xml:space="preserve"> PAGEREF _Toc11030 </w:instrText>
      </w:r>
      <w:r>
        <w:fldChar w:fldCharType="separate"/>
      </w:r>
      <w:r>
        <w:t>40</w:t>
      </w:r>
      <w:r>
        <w:fldChar w:fldCharType="end"/>
      </w:r>
      <w:r>
        <w:fldChar w:fldCharType="end"/>
      </w:r>
    </w:p>
    <w:p>
      <w:pPr>
        <w:pStyle w:val="14"/>
        <w:tabs>
          <w:tab w:val="right" w:leader="dot" w:pos="8844"/>
        </w:tabs>
        <w:ind w:left="1120" w:firstLine="560"/>
      </w:pPr>
      <w:r>
        <w:fldChar w:fldCharType="begin"/>
      </w:r>
      <w:r>
        <w:instrText xml:space="preserve"> HYPERLINK \l "_Toc269" </w:instrText>
      </w:r>
      <w:r>
        <w:fldChar w:fldCharType="separate"/>
      </w:r>
      <w:r>
        <w:rPr>
          <w:rFonts w:hint="eastAsia" w:ascii="仿宋_GB2312" w:hAnsi="仿宋_GB2312" w:cs="仿宋_GB2312"/>
        </w:rPr>
        <w:t>第四节  强化生态环境监管执法体系</w:t>
      </w:r>
      <w:r>
        <w:tab/>
      </w:r>
      <w:r>
        <w:fldChar w:fldCharType="begin"/>
      </w:r>
      <w:r>
        <w:instrText xml:space="preserve"> PAGEREF _Toc269 </w:instrText>
      </w:r>
      <w:r>
        <w:fldChar w:fldCharType="separate"/>
      </w:r>
      <w:r>
        <w:t>41</w:t>
      </w:r>
      <w:r>
        <w:fldChar w:fldCharType="end"/>
      </w:r>
      <w:r>
        <w:fldChar w:fldCharType="end"/>
      </w:r>
    </w:p>
    <w:p>
      <w:pPr>
        <w:pStyle w:val="19"/>
        <w:tabs>
          <w:tab w:val="right" w:leader="dot" w:pos="8844"/>
        </w:tabs>
      </w:pPr>
      <w:r>
        <w:fldChar w:fldCharType="begin"/>
      </w:r>
      <w:r>
        <w:instrText xml:space="preserve"> HYPERLINK \l "_Toc29923" </w:instrText>
      </w:r>
      <w:r>
        <w:fldChar w:fldCharType="separate"/>
      </w:r>
      <w:r>
        <w:rPr>
          <w:rFonts w:hint="eastAsia" w:ascii="黑体" w:hAnsi="黑体" w:cs="黑体"/>
        </w:rPr>
        <w:t>第四篇  积极融入新发展格局，加快建设渝东北三峡库区向东开放先行示范区</w:t>
      </w:r>
      <w:r>
        <w:tab/>
      </w:r>
      <w:r>
        <w:fldChar w:fldCharType="begin"/>
      </w:r>
      <w:r>
        <w:instrText xml:space="preserve"> PAGEREF _Toc29923 </w:instrText>
      </w:r>
      <w:r>
        <w:fldChar w:fldCharType="separate"/>
      </w:r>
      <w:r>
        <w:t>42</w:t>
      </w:r>
      <w:r>
        <w:fldChar w:fldCharType="end"/>
      </w:r>
      <w:r>
        <w:fldChar w:fldCharType="end"/>
      </w:r>
    </w:p>
    <w:p>
      <w:pPr>
        <w:pStyle w:val="22"/>
        <w:tabs>
          <w:tab w:val="right" w:leader="dot" w:pos="8844"/>
        </w:tabs>
        <w:ind w:left="560" w:firstLine="562"/>
      </w:pPr>
      <w:r>
        <w:fldChar w:fldCharType="begin"/>
      </w:r>
      <w:r>
        <w:instrText xml:space="preserve"> HYPERLINK \l "_Toc4255" </w:instrText>
      </w:r>
      <w:r>
        <w:fldChar w:fldCharType="separate"/>
      </w:r>
      <w:r>
        <w:rPr>
          <w:rFonts w:hint="eastAsia"/>
        </w:rPr>
        <w:t>第十四章  构建“一核一圈两片”发展布局</w:t>
      </w:r>
      <w:r>
        <w:tab/>
      </w:r>
      <w:r>
        <w:fldChar w:fldCharType="begin"/>
      </w:r>
      <w:r>
        <w:instrText xml:space="preserve"> PAGEREF _Toc4255 </w:instrText>
      </w:r>
      <w:r>
        <w:fldChar w:fldCharType="separate"/>
      </w:r>
      <w:r>
        <w:t>42</w:t>
      </w:r>
      <w:r>
        <w:fldChar w:fldCharType="end"/>
      </w:r>
      <w:r>
        <w:fldChar w:fldCharType="end"/>
      </w:r>
    </w:p>
    <w:p>
      <w:pPr>
        <w:pStyle w:val="14"/>
        <w:tabs>
          <w:tab w:val="right" w:leader="dot" w:pos="8844"/>
        </w:tabs>
        <w:ind w:left="1120" w:firstLine="560"/>
      </w:pPr>
      <w:r>
        <w:fldChar w:fldCharType="begin"/>
      </w:r>
      <w:r>
        <w:instrText xml:space="preserve"> HYPERLINK \l "_Toc8057" </w:instrText>
      </w:r>
      <w:r>
        <w:fldChar w:fldCharType="separate"/>
      </w:r>
      <w:r>
        <w:rPr>
          <w:rFonts w:hint="eastAsia" w:ascii="仿宋_GB2312" w:hAnsi="仿宋_GB2312" w:cs="仿宋_GB2312"/>
        </w:rPr>
        <w:t>第一节  优化县城发展空间格局</w:t>
      </w:r>
      <w:r>
        <w:tab/>
      </w:r>
      <w:r>
        <w:fldChar w:fldCharType="begin"/>
      </w:r>
      <w:r>
        <w:instrText xml:space="preserve"> PAGEREF _Toc8057 </w:instrText>
      </w:r>
      <w:r>
        <w:fldChar w:fldCharType="separate"/>
      </w:r>
      <w:r>
        <w:t>42</w:t>
      </w:r>
      <w:r>
        <w:fldChar w:fldCharType="end"/>
      </w:r>
      <w:r>
        <w:fldChar w:fldCharType="end"/>
      </w:r>
    </w:p>
    <w:p>
      <w:pPr>
        <w:pStyle w:val="14"/>
        <w:tabs>
          <w:tab w:val="right" w:leader="dot" w:pos="8844"/>
        </w:tabs>
        <w:ind w:left="1120" w:firstLine="560"/>
      </w:pPr>
      <w:r>
        <w:fldChar w:fldCharType="begin"/>
      </w:r>
      <w:r>
        <w:instrText xml:space="preserve"> HYPERLINK \l "_Toc13933" </w:instrText>
      </w:r>
      <w:r>
        <w:fldChar w:fldCharType="separate"/>
      </w:r>
      <w:r>
        <w:rPr>
          <w:rFonts w:hint="eastAsia" w:ascii="仿宋_GB2312" w:hAnsi="仿宋_GB2312" w:cs="仿宋_GB2312"/>
        </w:rPr>
        <w:t>第二节  构建完整城市道路交通体系</w:t>
      </w:r>
      <w:r>
        <w:tab/>
      </w:r>
      <w:r>
        <w:fldChar w:fldCharType="begin"/>
      </w:r>
      <w:r>
        <w:instrText xml:space="preserve"> PAGEREF _Toc13933 </w:instrText>
      </w:r>
      <w:r>
        <w:fldChar w:fldCharType="separate"/>
      </w:r>
      <w:r>
        <w:t>43</w:t>
      </w:r>
      <w:r>
        <w:fldChar w:fldCharType="end"/>
      </w:r>
      <w:r>
        <w:fldChar w:fldCharType="end"/>
      </w:r>
    </w:p>
    <w:p>
      <w:pPr>
        <w:pStyle w:val="14"/>
        <w:tabs>
          <w:tab w:val="right" w:leader="dot" w:pos="8844"/>
        </w:tabs>
        <w:ind w:left="1120" w:firstLine="560"/>
      </w:pPr>
      <w:r>
        <w:fldChar w:fldCharType="begin"/>
      </w:r>
      <w:r>
        <w:instrText xml:space="preserve"> HYPERLINK \l "_Toc10742" </w:instrText>
      </w:r>
      <w:r>
        <w:fldChar w:fldCharType="separate"/>
      </w:r>
      <w:r>
        <w:rPr>
          <w:rFonts w:hint="eastAsia" w:ascii="仿宋_GB2312" w:hAnsi="仿宋_GB2312" w:cs="仿宋_GB2312"/>
        </w:rPr>
        <w:t>第三节  实施城市更新行动</w:t>
      </w:r>
      <w:r>
        <w:tab/>
      </w:r>
      <w:r>
        <w:fldChar w:fldCharType="begin"/>
      </w:r>
      <w:r>
        <w:instrText xml:space="preserve"> PAGEREF _Toc10742 </w:instrText>
      </w:r>
      <w:r>
        <w:fldChar w:fldCharType="separate"/>
      </w:r>
      <w:r>
        <w:t>44</w:t>
      </w:r>
      <w:r>
        <w:fldChar w:fldCharType="end"/>
      </w:r>
      <w:r>
        <w:fldChar w:fldCharType="end"/>
      </w:r>
    </w:p>
    <w:p>
      <w:pPr>
        <w:pStyle w:val="22"/>
        <w:tabs>
          <w:tab w:val="right" w:leader="dot" w:pos="8844"/>
        </w:tabs>
        <w:ind w:left="560" w:firstLine="562"/>
      </w:pPr>
      <w:r>
        <w:fldChar w:fldCharType="begin"/>
      </w:r>
      <w:r>
        <w:instrText xml:space="preserve"> HYPERLINK \l "_Toc23904" </w:instrText>
      </w:r>
      <w:r>
        <w:fldChar w:fldCharType="separate"/>
      </w:r>
      <w:r>
        <w:rPr>
          <w:rFonts w:hint="eastAsia"/>
        </w:rPr>
        <w:t>第十五章  积极融入“一区两群”战略</w:t>
      </w:r>
      <w:r>
        <w:tab/>
      </w:r>
      <w:r>
        <w:fldChar w:fldCharType="begin"/>
      </w:r>
      <w:r>
        <w:instrText xml:space="preserve"> PAGEREF _Toc23904 </w:instrText>
      </w:r>
      <w:r>
        <w:fldChar w:fldCharType="separate"/>
      </w:r>
      <w:r>
        <w:t>47</w:t>
      </w:r>
      <w:r>
        <w:fldChar w:fldCharType="end"/>
      </w:r>
      <w:r>
        <w:fldChar w:fldCharType="end"/>
      </w:r>
    </w:p>
    <w:p>
      <w:pPr>
        <w:pStyle w:val="14"/>
        <w:tabs>
          <w:tab w:val="right" w:leader="dot" w:pos="8844"/>
        </w:tabs>
        <w:ind w:left="1120" w:firstLine="560"/>
      </w:pPr>
      <w:r>
        <w:fldChar w:fldCharType="begin"/>
      </w:r>
      <w:r>
        <w:instrText xml:space="preserve"> HYPERLINK \l "_Toc13190" </w:instrText>
      </w:r>
      <w:r>
        <w:fldChar w:fldCharType="separate"/>
      </w:r>
      <w:r>
        <w:rPr>
          <w:rFonts w:hint="eastAsia" w:ascii="仿宋_GB2312" w:hAnsi="仿宋_GB2312" w:cs="仿宋_GB2312"/>
        </w:rPr>
        <w:t>第一节  推进“奉巫巫”区域城镇群协同发展</w:t>
      </w:r>
      <w:r>
        <w:tab/>
      </w:r>
      <w:r>
        <w:fldChar w:fldCharType="begin"/>
      </w:r>
      <w:r>
        <w:instrText xml:space="preserve"> PAGEREF _Toc13190 </w:instrText>
      </w:r>
      <w:r>
        <w:fldChar w:fldCharType="separate"/>
      </w:r>
      <w:r>
        <w:t>47</w:t>
      </w:r>
      <w:r>
        <w:fldChar w:fldCharType="end"/>
      </w:r>
      <w:r>
        <w:fldChar w:fldCharType="end"/>
      </w:r>
    </w:p>
    <w:p>
      <w:pPr>
        <w:pStyle w:val="14"/>
        <w:tabs>
          <w:tab w:val="right" w:leader="dot" w:pos="8844"/>
        </w:tabs>
        <w:ind w:left="1120" w:firstLine="560"/>
      </w:pPr>
      <w:r>
        <w:fldChar w:fldCharType="begin"/>
      </w:r>
      <w:r>
        <w:instrText xml:space="preserve"> HYPERLINK \l "_Toc20630" </w:instrText>
      </w:r>
      <w:r>
        <w:fldChar w:fldCharType="separate"/>
      </w:r>
      <w:r>
        <w:rPr>
          <w:rFonts w:hint="eastAsia" w:ascii="仿宋_GB2312" w:hAnsi="仿宋_GB2312" w:cs="仿宋_GB2312"/>
        </w:rPr>
        <w:t>第二节  建立健全区域协调发展新机制</w:t>
      </w:r>
      <w:r>
        <w:tab/>
      </w:r>
      <w:r>
        <w:fldChar w:fldCharType="begin"/>
      </w:r>
      <w:r>
        <w:instrText xml:space="preserve"> PAGEREF _Toc20630 </w:instrText>
      </w:r>
      <w:r>
        <w:fldChar w:fldCharType="separate"/>
      </w:r>
      <w:r>
        <w:t>48</w:t>
      </w:r>
      <w:r>
        <w:fldChar w:fldCharType="end"/>
      </w:r>
      <w:r>
        <w:fldChar w:fldCharType="end"/>
      </w:r>
    </w:p>
    <w:p>
      <w:pPr>
        <w:pStyle w:val="22"/>
        <w:tabs>
          <w:tab w:val="right" w:leader="dot" w:pos="8844"/>
        </w:tabs>
        <w:ind w:left="560" w:firstLine="562"/>
      </w:pPr>
      <w:r>
        <w:fldChar w:fldCharType="begin"/>
      </w:r>
      <w:r>
        <w:instrText xml:space="preserve"> HYPERLINK \l "_Toc2253" </w:instrText>
      </w:r>
      <w:r>
        <w:fldChar w:fldCharType="separate"/>
      </w:r>
      <w:r>
        <w:rPr>
          <w:rFonts w:hint="eastAsia"/>
        </w:rPr>
        <w:t>第十六章  积极参与国内国际双循环</w:t>
      </w:r>
      <w:r>
        <w:tab/>
      </w:r>
      <w:r>
        <w:fldChar w:fldCharType="begin"/>
      </w:r>
      <w:r>
        <w:instrText xml:space="preserve"> PAGEREF _Toc2253 </w:instrText>
      </w:r>
      <w:r>
        <w:fldChar w:fldCharType="separate"/>
      </w:r>
      <w:r>
        <w:t>48</w:t>
      </w:r>
      <w:r>
        <w:fldChar w:fldCharType="end"/>
      </w:r>
      <w:r>
        <w:fldChar w:fldCharType="end"/>
      </w:r>
    </w:p>
    <w:p>
      <w:pPr>
        <w:pStyle w:val="14"/>
        <w:tabs>
          <w:tab w:val="right" w:leader="dot" w:pos="8844"/>
        </w:tabs>
        <w:ind w:left="1120" w:firstLine="560"/>
      </w:pPr>
      <w:r>
        <w:fldChar w:fldCharType="begin"/>
      </w:r>
      <w:r>
        <w:instrText xml:space="preserve"> HYPERLINK \l "_Toc10273" </w:instrText>
      </w:r>
      <w:r>
        <w:fldChar w:fldCharType="separate"/>
      </w:r>
      <w:r>
        <w:rPr>
          <w:rFonts w:hint="eastAsia" w:ascii="仿宋_GB2312" w:hAnsi="仿宋_GB2312" w:cs="仿宋_GB2312"/>
        </w:rPr>
        <w:t>第一节  加强与周边地区协调联动</w:t>
      </w:r>
      <w:r>
        <w:tab/>
      </w:r>
      <w:r>
        <w:fldChar w:fldCharType="begin"/>
      </w:r>
      <w:r>
        <w:instrText xml:space="preserve"> PAGEREF _Toc10273 </w:instrText>
      </w:r>
      <w:r>
        <w:fldChar w:fldCharType="separate"/>
      </w:r>
      <w:r>
        <w:t>48</w:t>
      </w:r>
      <w:r>
        <w:fldChar w:fldCharType="end"/>
      </w:r>
      <w:r>
        <w:fldChar w:fldCharType="end"/>
      </w:r>
    </w:p>
    <w:p>
      <w:pPr>
        <w:pStyle w:val="14"/>
        <w:tabs>
          <w:tab w:val="right" w:leader="dot" w:pos="8844"/>
        </w:tabs>
        <w:ind w:left="1120" w:firstLine="560"/>
      </w:pPr>
      <w:r>
        <w:fldChar w:fldCharType="begin"/>
      </w:r>
      <w:r>
        <w:instrText xml:space="preserve"> HYPERLINK \l "_Toc20396" </w:instrText>
      </w:r>
      <w:r>
        <w:fldChar w:fldCharType="separate"/>
      </w:r>
      <w:r>
        <w:rPr>
          <w:rFonts w:hint="eastAsia" w:ascii="仿宋_GB2312" w:hAnsi="仿宋_GB2312" w:cs="仿宋_GB2312"/>
        </w:rPr>
        <w:t>第二节  推动与沿海地区战略互动</w:t>
      </w:r>
      <w:r>
        <w:tab/>
      </w:r>
      <w:r>
        <w:fldChar w:fldCharType="begin"/>
      </w:r>
      <w:r>
        <w:instrText xml:space="preserve"> PAGEREF _Toc20396 </w:instrText>
      </w:r>
      <w:r>
        <w:fldChar w:fldCharType="separate"/>
      </w:r>
      <w:r>
        <w:t>49</w:t>
      </w:r>
      <w:r>
        <w:fldChar w:fldCharType="end"/>
      </w:r>
      <w:r>
        <w:fldChar w:fldCharType="end"/>
      </w:r>
    </w:p>
    <w:p>
      <w:pPr>
        <w:pStyle w:val="14"/>
        <w:tabs>
          <w:tab w:val="right" w:leader="dot" w:pos="8844"/>
        </w:tabs>
        <w:ind w:left="1120" w:firstLine="560"/>
      </w:pPr>
      <w:r>
        <w:fldChar w:fldCharType="begin"/>
      </w:r>
      <w:r>
        <w:instrText xml:space="preserve"> HYPERLINK \l "_Toc28711" </w:instrText>
      </w:r>
      <w:r>
        <w:fldChar w:fldCharType="separate"/>
      </w:r>
      <w:r>
        <w:rPr>
          <w:rFonts w:hint="eastAsia" w:ascii="仿宋_GB2312" w:hAnsi="仿宋_GB2312" w:cs="仿宋_GB2312"/>
        </w:rPr>
        <w:t>第三节  强化中外人文领域交流</w:t>
      </w:r>
      <w:r>
        <w:tab/>
      </w:r>
      <w:r>
        <w:fldChar w:fldCharType="begin"/>
      </w:r>
      <w:r>
        <w:instrText xml:space="preserve"> PAGEREF _Toc28711 </w:instrText>
      </w:r>
      <w:r>
        <w:fldChar w:fldCharType="separate"/>
      </w:r>
      <w:r>
        <w:t>49</w:t>
      </w:r>
      <w:r>
        <w:fldChar w:fldCharType="end"/>
      </w:r>
      <w:r>
        <w:fldChar w:fldCharType="end"/>
      </w:r>
    </w:p>
    <w:p>
      <w:pPr>
        <w:pStyle w:val="14"/>
        <w:tabs>
          <w:tab w:val="right" w:leader="dot" w:pos="8844"/>
        </w:tabs>
        <w:ind w:left="1120" w:firstLine="560"/>
      </w:pPr>
      <w:r>
        <w:fldChar w:fldCharType="begin"/>
      </w:r>
      <w:r>
        <w:instrText xml:space="preserve"> HYPERLINK \l "_Toc4688" </w:instrText>
      </w:r>
      <w:r>
        <w:fldChar w:fldCharType="separate"/>
      </w:r>
      <w:r>
        <w:rPr>
          <w:rFonts w:hint="eastAsia" w:ascii="仿宋_GB2312" w:hAnsi="仿宋_GB2312" w:cs="仿宋_GB2312"/>
        </w:rPr>
        <w:t>第四节  提升开放型经济水平</w:t>
      </w:r>
      <w:r>
        <w:tab/>
      </w:r>
      <w:r>
        <w:fldChar w:fldCharType="begin"/>
      </w:r>
      <w:r>
        <w:instrText xml:space="preserve"> PAGEREF _Toc4688 </w:instrText>
      </w:r>
      <w:r>
        <w:fldChar w:fldCharType="separate"/>
      </w:r>
      <w:r>
        <w:t>50</w:t>
      </w:r>
      <w:r>
        <w:fldChar w:fldCharType="end"/>
      </w:r>
      <w:r>
        <w:fldChar w:fldCharType="end"/>
      </w:r>
    </w:p>
    <w:p>
      <w:pPr>
        <w:pStyle w:val="22"/>
        <w:tabs>
          <w:tab w:val="right" w:leader="dot" w:pos="8844"/>
        </w:tabs>
        <w:ind w:left="560" w:firstLine="562"/>
      </w:pPr>
      <w:r>
        <w:fldChar w:fldCharType="begin"/>
      </w:r>
      <w:r>
        <w:instrText xml:space="preserve"> HYPERLINK \l "_Toc1597" </w:instrText>
      </w:r>
      <w:r>
        <w:fldChar w:fldCharType="separate"/>
      </w:r>
      <w:r>
        <w:rPr>
          <w:rFonts w:hint="eastAsia"/>
        </w:rPr>
        <w:t>第十七章  着力建设区域性消费中心城市</w:t>
      </w:r>
      <w:r>
        <w:tab/>
      </w:r>
      <w:r>
        <w:fldChar w:fldCharType="begin"/>
      </w:r>
      <w:r>
        <w:instrText xml:space="preserve"> PAGEREF _Toc1597 </w:instrText>
      </w:r>
      <w:r>
        <w:fldChar w:fldCharType="separate"/>
      </w:r>
      <w:r>
        <w:t>50</w:t>
      </w:r>
      <w:r>
        <w:fldChar w:fldCharType="end"/>
      </w:r>
      <w:r>
        <w:fldChar w:fldCharType="end"/>
      </w:r>
    </w:p>
    <w:p>
      <w:pPr>
        <w:pStyle w:val="14"/>
        <w:tabs>
          <w:tab w:val="right" w:leader="dot" w:pos="8844"/>
        </w:tabs>
        <w:ind w:left="1120" w:firstLine="560"/>
      </w:pPr>
      <w:r>
        <w:fldChar w:fldCharType="begin"/>
      </w:r>
      <w:r>
        <w:instrText xml:space="preserve"> HYPERLINK \l "_Toc11178" </w:instrText>
      </w:r>
      <w:r>
        <w:fldChar w:fldCharType="separate"/>
      </w:r>
      <w:r>
        <w:rPr>
          <w:rFonts w:hint="eastAsia" w:ascii="仿宋_GB2312" w:hAnsi="仿宋_GB2312" w:cs="仿宋_GB2312"/>
        </w:rPr>
        <w:t>第一节  打造区域性消费平台</w:t>
      </w:r>
      <w:r>
        <w:tab/>
      </w:r>
      <w:r>
        <w:fldChar w:fldCharType="begin"/>
      </w:r>
      <w:r>
        <w:instrText xml:space="preserve"> PAGEREF _Toc11178 </w:instrText>
      </w:r>
      <w:r>
        <w:fldChar w:fldCharType="separate"/>
      </w:r>
      <w:r>
        <w:t>50</w:t>
      </w:r>
      <w:r>
        <w:fldChar w:fldCharType="end"/>
      </w:r>
      <w:r>
        <w:fldChar w:fldCharType="end"/>
      </w:r>
    </w:p>
    <w:p>
      <w:pPr>
        <w:pStyle w:val="14"/>
        <w:tabs>
          <w:tab w:val="right" w:leader="dot" w:pos="8844"/>
        </w:tabs>
        <w:ind w:left="1120" w:firstLine="560"/>
      </w:pPr>
      <w:r>
        <w:fldChar w:fldCharType="begin"/>
      </w:r>
      <w:r>
        <w:instrText xml:space="preserve"> HYPERLINK \l "_Toc18039" </w:instrText>
      </w:r>
      <w:r>
        <w:fldChar w:fldCharType="separate"/>
      </w:r>
      <w:r>
        <w:rPr>
          <w:rFonts w:hint="eastAsia" w:ascii="仿宋_GB2312" w:hAnsi="仿宋_GB2312" w:cs="仿宋_GB2312"/>
        </w:rPr>
        <w:t>第二节  营造良好消费环境</w:t>
      </w:r>
      <w:r>
        <w:tab/>
      </w:r>
      <w:r>
        <w:fldChar w:fldCharType="begin"/>
      </w:r>
      <w:r>
        <w:instrText xml:space="preserve"> PAGEREF _Toc18039 </w:instrText>
      </w:r>
      <w:r>
        <w:fldChar w:fldCharType="separate"/>
      </w:r>
      <w:r>
        <w:t>51</w:t>
      </w:r>
      <w:r>
        <w:fldChar w:fldCharType="end"/>
      </w:r>
      <w:r>
        <w:fldChar w:fldCharType="end"/>
      </w:r>
    </w:p>
    <w:p>
      <w:pPr>
        <w:pStyle w:val="22"/>
        <w:tabs>
          <w:tab w:val="right" w:leader="dot" w:pos="8844"/>
        </w:tabs>
        <w:ind w:left="560" w:firstLine="562"/>
      </w:pPr>
      <w:r>
        <w:fldChar w:fldCharType="begin"/>
      </w:r>
      <w:r>
        <w:instrText xml:space="preserve"> HYPERLINK \l "_Toc26818" </w:instrText>
      </w:r>
      <w:r>
        <w:fldChar w:fldCharType="separate"/>
      </w:r>
      <w:r>
        <w:rPr>
          <w:rFonts w:hint="eastAsia"/>
        </w:rPr>
        <w:t>第十八章  扩大有效投资</w:t>
      </w:r>
      <w:r>
        <w:tab/>
      </w:r>
      <w:r>
        <w:fldChar w:fldCharType="begin"/>
      </w:r>
      <w:r>
        <w:instrText xml:space="preserve"> PAGEREF _Toc26818 </w:instrText>
      </w:r>
      <w:r>
        <w:fldChar w:fldCharType="separate"/>
      </w:r>
      <w:r>
        <w:t>51</w:t>
      </w:r>
      <w:r>
        <w:fldChar w:fldCharType="end"/>
      </w:r>
      <w:r>
        <w:fldChar w:fldCharType="end"/>
      </w:r>
    </w:p>
    <w:p>
      <w:pPr>
        <w:pStyle w:val="14"/>
        <w:tabs>
          <w:tab w:val="right" w:leader="dot" w:pos="8844"/>
        </w:tabs>
        <w:ind w:left="1120" w:firstLine="560"/>
      </w:pPr>
      <w:r>
        <w:fldChar w:fldCharType="begin"/>
      </w:r>
      <w:r>
        <w:instrText xml:space="preserve"> HYPERLINK \l "_Toc11769" </w:instrText>
      </w:r>
      <w:r>
        <w:fldChar w:fldCharType="separate"/>
      </w:r>
      <w:r>
        <w:rPr>
          <w:rFonts w:hint="eastAsia" w:ascii="仿宋_GB2312" w:hAnsi="仿宋_GB2312" w:cs="仿宋_GB2312"/>
        </w:rPr>
        <w:t>第一节  积极拓展投资空间</w:t>
      </w:r>
      <w:r>
        <w:tab/>
      </w:r>
      <w:r>
        <w:fldChar w:fldCharType="begin"/>
      </w:r>
      <w:r>
        <w:instrText xml:space="preserve"> PAGEREF _Toc11769 </w:instrText>
      </w:r>
      <w:r>
        <w:fldChar w:fldCharType="separate"/>
      </w:r>
      <w:r>
        <w:t>52</w:t>
      </w:r>
      <w:r>
        <w:fldChar w:fldCharType="end"/>
      </w:r>
      <w:r>
        <w:fldChar w:fldCharType="end"/>
      </w:r>
    </w:p>
    <w:p>
      <w:pPr>
        <w:pStyle w:val="14"/>
        <w:tabs>
          <w:tab w:val="right" w:leader="dot" w:pos="8844"/>
        </w:tabs>
        <w:ind w:left="1120" w:firstLine="560"/>
      </w:pPr>
      <w:r>
        <w:fldChar w:fldCharType="begin"/>
      </w:r>
      <w:r>
        <w:instrText xml:space="preserve"> HYPERLINK \l "_Toc3458" </w:instrText>
      </w:r>
      <w:r>
        <w:fldChar w:fldCharType="separate"/>
      </w:r>
      <w:r>
        <w:rPr>
          <w:rFonts w:hint="eastAsia" w:ascii="仿宋_GB2312" w:hAnsi="仿宋_GB2312" w:cs="仿宋_GB2312"/>
        </w:rPr>
        <w:t>第二节  深化投融资体制改革创新</w:t>
      </w:r>
      <w:r>
        <w:tab/>
      </w:r>
      <w:r>
        <w:fldChar w:fldCharType="begin"/>
      </w:r>
      <w:r>
        <w:instrText xml:space="preserve"> PAGEREF _Toc3458 </w:instrText>
      </w:r>
      <w:r>
        <w:fldChar w:fldCharType="separate"/>
      </w:r>
      <w:r>
        <w:t>52</w:t>
      </w:r>
      <w:r>
        <w:fldChar w:fldCharType="end"/>
      </w:r>
      <w:r>
        <w:fldChar w:fldCharType="end"/>
      </w:r>
    </w:p>
    <w:p>
      <w:pPr>
        <w:pStyle w:val="19"/>
        <w:tabs>
          <w:tab w:val="right" w:leader="dot" w:pos="8844"/>
        </w:tabs>
      </w:pPr>
      <w:r>
        <w:fldChar w:fldCharType="begin"/>
      </w:r>
      <w:r>
        <w:instrText xml:space="preserve"> HYPERLINK \l "_Toc1805" </w:instrText>
      </w:r>
      <w:r>
        <w:fldChar w:fldCharType="separate"/>
      </w:r>
      <w:r>
        <w:rPr>
          <w:rFonts w:hint="eastAsia" w:ascii="黑体" w:hAnsi="黑体" w:cs="黑体"/>
        </w:rPr>
        <w:t>第五篇  推动基础设施高质量发展，巩固区域性中心地位</w:t>
      </w:r>
      <w:r>
        <w:tab/>
      </w:r>
      <w:r>
        <w:fldChar w:fldCharType="begin"/>
      </w:r>
      <w:r>
        <w:instrText xml:space="preserve"> PAGEREF _Toc1805 </w:instrText>
      </w:r>
      <w:r>
        <w:fldChar w:fldCharType="separate"/>
      </w:r>
      <w:r>
        <w:t>53</w:t>
      </w:r>
      <w:r>
        <w:fldChar w:fldCharType="end"/>
      </w:r>
      <w:r>
        <w:fldChar w:fldCharType="end"/>
      </w:r>
    </w:p>
    <w:p>
      <w:pPr>
        <w:pStyle w:val="22"/>
        <w:tabs>
          <w:tab w:val="right" w:leader="dot" w:pos="8844"/>
        </w:tabs>
        <w:ind w:left="560" w:firstLine="562"/>
      </w:pPr>
      <w:r>
        <w:fldChar w:fldCharType="begin"/>
      </w:r>
      <w:r>
        <w:instrText xml:space="preserve"> HYPERLINK \l "_Toc8424" </w:instrText>
      </w:r>
      <w:r>
        <w:fldChar w:fldCharType="separate"/>
      </w:r>
      <w:r>
        <w:rPr>
          <w:rFonts w:hint="eastAsia"/>
        </w:rPr>
        <w:t>第十九章  打造区域性综合交通枢纽</w:t>
      </w:r>
      <w:r>
        <w:tab/>
      </w:r>
      <w:r>
        <w:fldChar w:fldCharType="begin"/>
      </w:r>
      <w:r>
        <w:instrText xml:space="preserve"> PAGEREF _Toc8424 </w:instrText>
      </w:r>
      <w:r>
        <w:fldChar w:fldCharType="separate"/>
      </w:r>
      <w:r>
        <w:t>53</w:t>
      </w:r>
      <w:r>
        <w:fldChar w:fldCharType="end"/>
      </w:r>
      <w:r>
        <w:fldChar w:fldCharType="end"/>
      </w:r>
    </w:p>
    <w:p>
      <w:pPr>
        <w:pStyle w:val="14"/>
        <w:tabs>
          <w:tab w:val="right" w:leader="dot" w:pos="8844"/>
        </w:tabs>
        <w:ind w:left="1120" w:firstLine="560"/>
      </w:pPr>
      <w:r>
        <w:fldChar w:fldCharType="begin"/>
      </w:r>
      <w:r>
        <w:instrText xml:space="preserve"> HYPERLINK \l "_Toc4884" </w:instrText>
      </w:r>
      <w:r>
        <w:fldChar w:fldCharType="separate"/>
      </w:r>
      <w:r>
        <w:rPr>
          <w:rFonts w:hint="eastAsia" w:ascii="仿宋_GB2312" w:hAnsi="仿宋_GB2312" w:cs="仿宋_GB2312"/>
        </w:rPr>
        <w:t>第一节  构建现代综合运输网络</w:t>
      </w:r>
      <w:r>
        <w:tab/>
      </w:r>
      <w:r>
        <w:fldChar w:fldCharType="begin"/>
      </w:r>
      <w:r>
        <w:instrText xml:space="preserve"> PAGEREF _Toc4884 </w:instrText>
      </w:r>
      <w:r>
        <w:fldChar w:fldCharType="separate"/>
      </w:r>
      <w:r>
        <w:t>53</w:t>
      </w:r>
      <w:r>
        <w:fldChar w:fldCharType="end"/>
      </w:r>
      <w:r>
        <w:fldChar w:fldCharType="end"/>
      </w:r>
    </w:p>
    <w:p>
      <w:pPr>
        <w:pStyle w:val="14"/>
        <w:tabs>
          <w:tab w:val="right" w:leader="dot" w:pos="8844"/>
        </w:tabs>
        <w:ind w:left="1120" w:firstLine="560"/>
      </w:pPr>
      <w:r>
        <w:fldChar w:fldCharType="begin"/>
      </w:r>
      <w:r>
        <w:instrText xml:space="preserve"> HYPERLINK \l "_Toc17349" </w:instrText>
      </w:r>
      <w:r>
        <w:fldChar w:fldCharType="separate"/>
      </w:r>
      <w:r>
        <w:rPr>
          <w:rFonts w:hint="eastAsia" w:ascii="仿宋_GB2312" w:hAnsi="仿宋_GB2312" w:cs="仿宋_GB2312"/>
        </w:rPr>
        <w:t>第二节  打造现代运输服务体系</w:t>
      </w:r>
      <w:r>
        <w:tab/>
      </w:r>
      <w:r>
        <w:fldChar w:fldCharType="begin"/>
      </w:r>
      <w:r>
        <w:instrText xml:space="preserve"> PAGEREF _Toc17349 </w:instrText>
      </w:r>
      <w:r>
        <w:fldChar w:fldCharType="separate"/>
      </w:r>
      <w:r>
        <w:t>54</w:t>
      </w:r>
      <w:r>
        <w:fldChar w:fldCharType="end"/>
      </w:r>
      <w:r>
        <w:fldChar w:fldCharType="end"/>
      </w:r>
    </w:p>
    <w:p>
      <w:pPr>
        <w:pStyle w:val="14"/>
        <w:tabs>
          <w:tab w:val="right" w:leader="dot" w:pos="8844"/>
        </w:tabs>
        <w:ind w:left="1120" w:firstLine="560"/>
      </w:pPr>
      <w:r>
        <w:fldChar w:fldCharType="begin"/>
      </w:r>
      <w:r>
        <w:instrText xml:space="preserve"> HYPERLINK \l "_Toc2248" </w:instrText>
      </w:r>
      <w:r>
        <w:fldChar w:fldCharType="separate"/>
      </w:r>
      <w:r>
        <w:rPr>
          <w:rFonts w:hint="eastAsia" w:ascii="仿宋_GB2312" w:hAnsi="仿宋_GB2312" w:cs="仿宋_GB2312"/>
        </w:rPr>
        <w:t>第三节  健全绿色安全发展模式</w:t>
      </w:r>
      <w:r>
        <w:tab/>
      </w:r>
      <w:r>
        <w:fldChar w:fldCharType="begin"/>
      </w:r>
      <w:r>
        <w:instrText xml:space="preserve"> PAGEREF _Toc2248 </w:instrText>
      </w:r>
      <w:r>
        <w:fldChar w:fldCharType="separate"/>
      </w:r>
      <w:r>
        <w:t>55</w:t>
      </w:r>
      <w:r>
        <w:fldChar w:fldCharType="end"/>
      </w:r>
      <w:r>
        <w:fldChar w:fldCharType="end"/>
      </w:r>
    </w:p>
    <w:p>
      <w:pPr>
        <w:pStyle w:val="14"/>
        <w:tabs>
          <w:tab w:val="right" w:leader="dot" w:pos="8844"/>
        </w:tabs>
        <w:ind w:left="1120" w:firstLine="560"/>
      </w:pPr>
      <w:r>
        <w:fldChar w:fldCharType="begin"/>
      </w:r>
      <w:r>
        <w:instrText xml:space="preserve"> HYPERLINK \l "_Toc11886" </w:instrText>
      </w:r>
      <w:r>
        <w:fldChar w:fldCharType="separate"/>
      </w:r>
      <w:r>
        <w:rPr>
          <w:rFonts w:hint="eastAsia" w:ascii="仿宋_GB2312" w:hAnsi="仿宋_GB2312" w:cs="仿宋_GB2312"/>
        </w:rPr>
        <w:t>第四节  推动交通运输深度融合发展</w:t>
      </w:r>
      <w:r>
        <w:tab/>
      </w:r>
      <w:r>
        <w:fldChar w:fldCharType="begin"/>
      </w:r>
      <w:r>
        <w:instrText xml:space="preserve"> PAGEREF _Toc11886 </w:instrText>
      </w:r>
      <w:r>
        <w:fldChar w:fldCharType="separate"/>
      </w:r>
      <w:r>
        <w:t>56</w:t>
      </w:r>
      <w:r>
        <w:fldChar w:fldCharType="end"/>
      </w:r>
      <w:r>
        <w:fldChar w:fldCharType="end"/>
      </w:r>
    </w:p>
    <w:p>
      <w:pPr>
        <w:pStyle w:val="14"/>
        <w:tabs>
          <w:tab w:val="right" w:leader="dot" w:pos="8844"/>
        </w:tabs>
        <w:ind w:left="1120" w:firstLine="560"/>
      </w:pPr>
      <w:r>
        <w:fldChar w:fldCharType="begin"/>
      </w:r>
      <w:r>
        <w:instrText xml:space="preserve"> HYPERLINK \l "_Toc12703" </w:instrText>
      </w:r>
      <w:r>
        <w:fldChar w:fldCharType="separate"/>
      </w:r>
      <w:r>
        <w:rPr>
          <w:rFonts w:hint="eastAsia" w:ascii="仿宋_GB2312" w:hAnsi="仿宋_GB2312" w:cs="仿宋_GB2312"/>
        </w:rPr>
        <w:t>第五节  提高交通运输现代治理能力</w:t>
      </w:r>
      <w:r>
        <w:tab/>
      </w:r>
      <w:r>
        <w:fldChar w:fldCharType="begin"/>
      </w:r>
      <w:r>
        <w:instrText xml:space="preserve"> PAGEREF _Toc12703 </w:instrText>
      </w:r>
      <w:r>
        <w:fldChar w:fldCharType="separate"/>
      </w:r>
      <w:r>
        <w:t>56</w:t>
      </w:r>
      <w:r>
        <w:fldChar w:fldCharType="end"/>
      </w:r>
      <w:r>
        <w:fldChar w:fldCharType="end"/>
      </w:r>
    </w:p>
    <w:p>
      <w:pPr>
        <w:pStyle w:val="22"/>
        <w:tabs>
          <w:tab w:val="right" w:leader="dot" w:pos="8844"/>
        </w:tabs>
        <w:ind w:left="560" w:firstLine="562"/>
      </w:pPr>
      <w:r>
        <w:fldChar w:fldCharType="begin"/>
      </w:r>
      <w:r>
        <w:instrText xml:space="preserve"> HYPERLINK \l "_Toc5392" </w:instrText>
      </w:r>
      <w:r>
        <w:fldChar w:fldCharType="separate"/>
      </w:r>
      <w:r>
        <w:rPr>
          <w:rFonts w:hint="eastAsia"/>
        </w:rPr>
        <w:t>第二十章  建设安全有效的水利体系</w:t>
      </w:r>
      <w:r>
        <w:tab/>
      </w:r>
      <w:r>
        <w:fldChar w:fldCharType="begin"/>
      </w:r>
      <w:r>
        <w:instrText xml:space="preserve"> PAGEREF _Toc5392 </w:instrText>
      </w:r>
      <w:r>
        <w:fldChar w:fldCharType="separate"/>
      </w:r>
      <w:r>
        <w:t>58</w:t>
      </w:r>
      <w:r>
        <w:fldChar w:fldCharType="end"/>
      </w:r>
      <w:r>
        <w:fldChar w:fldCharType="end"/>
      </w:r>
    </w:p>
    <w:p>
      <w:pPr>
        <w:pStyle w:val="14"/>
        <w:tabs>
          <w:tab w:val="right" w:leader="dot" w:pos="8844"/>
        </w:tabs>
        <w:ind w:left="1120" w:firstLine="560"/>
      </w:pPr>
      <w:r>
        <w:fldChar w:fldCharType="begin"/>
      </w:r>
      <w:r>
        <w:instrText xml:space="preserve"> HYPERLINK \l "_Toc1885" </w:instrText>
      </w:r>
      <w:r>
        <w:fldChar w:fldCharType="separate"/>
      </w:r>
      <w:r>
        <w:rPr>
          <w:rFonts w:hint="eastAsia" w:ascii="仿宋_GB2312" w:hAnsi="仿宋_GB2312" w:cs="仿宋_GB2312"/>
        </w:rPr>
        <w:t>第一节  建设高效的水资源配置体系</w:t>
      </w:r>
      <w:r>
        <w:tab/>
      </w:r>
      <w:r>
        <w:fldChar w:fldCharType="begin"/>
      </w:r>
      <w:r>
        <w:instrText xml:space="preserve"> PAGEREF _Toc1885 </w:instrText>
      </w:r>
      <w:r>
        <w:fldChar w:fldCharType="separate"/>
      </w:r>
      <w:r>
        <w:t>58</w:t>
      </w:r>
      <w:r>
        <w:fldChar w:fldCharType="end"/>
      </w:r>
      <w:r>
        <w:fldChar w:fldCharType="end"/>
      </w:r>
    </w:p>
    <w:p>
      <w:pPr>
        <w:pStyle w:val="14"/>
        <w:tabs>
          <w:tab w:val="right" w:leader="dot" w:pos="8844"/>
        </w:tabs>
        <w:ind w:left="1120" w:firstLine="560"/>
      </w:pPr>
      <w:r>
        <w:fldChar w:fldCharType="begin"/>
      </w:r>
      <w:r>
        <w:instrText xml:space="preserve"> HYPERLINK \l "_Toc28550" </w:instrText>
      </w:r>
      <w:r>
        <w:fldChar w:fldCharType="separate"/>
      </w:r>
      <w:r>
        <w:rPr>
          <w:rFonts w:hint="eastAsia" w:ascii="仿宋_GB2312" w:hAnsi="仿宋_GB2312" w:cs="仿宋_GB2312"/>
        </w:rPr>
        <w:t>第二节  建设安全的城乡供水体系</w:t>
      </w:r>
      <w:r>
        <w:tab/>
      </w:r>
      <w:r>
        <w:fldChar w:fldCharType="begin"/>
      </w:r>
      <w:r>
        <w:instrText xml:space="preserve"> PAGEREF _Toc28550 </w:instrText>
      </w:r>
      <w:r>
        <w:fldChar w:fldCharType="separate"/>
      </w:r>
      <w:r>
        <w:t>59</w:t>
      </w:r>
      <w:r>
        <w:fldChar w:fldCharType="end"/>
      </w:r>
      <w:r>
        <w:fldChar w:fldCharType="end"/>
      </w:r>
    </w:p>
    <w:p>
      <w:pPr>
        <w:pStyle w:val="14"/>
        <w:tabs>
          <w:tab w:val="right" w:leader="dot" w:pos="8844"/>
        </w:tabs>
        <w:ind w:left="1120" w:firstLine="560"/>
      </w:pPr>
      <w:r>
        <w:fldChar w:fldCharType="begin"/>
      </w:r>
      <w:r>
        <w:instrText xml:space="preserve"> HYPERLINK \l "_Toc31503" </w:instrText>
      </w:r>
      <w:r>
        <w:fldChar w:fldCharType="separate"/>
      </w:r>
      <w:r>
        <w:rPr>
          <w:rFonts w:hint="eastAsia" w:ascii="仿宋_GB2312" w:hAnsi="仿宋_GB2312" w:cs="仿宋_GB2312"/>
        </w:rPr>
        <w:t>第三节  建设完善的水旱灾害防御体系</w:t>
      </w:r>
      <w:r>
        <w:tab/>
      </w:r>
      <w:r>
        <w:fldChar w:fldCharType="begin"/>
      </w:r>
      <w:r>
        <w:instrText xml:space="preserve"> PAGEREF _Toc31503 </w:instrText>
      </w:r>
      <w:r>
        <w:fldChar w:fldCharType="separate"/>
      </w:r>
      <w:r>
        <w:t>59</w:t>
      </w:r>
      <w:r>
        <w:fldChar w:fldCharType="end"/>
      </w:r>
      <w:r>
        <w:fldChar w:fldCharType="end"/>
      </w:r>
    </w:p>
    <w:p>
      <w:pPr>
        <w:pStyle w:val="14"/>
        <w:tabs>
          <w:tab w:val="right" w:leader="dot" w:pos="8844"/>
        </w:tabs>
        <w:ind w:left="1120" w:firstLine="560"/>
      </w:pPr>
      <w:r>
        <w:fldChar w:fldCharType="begin"/>
      </w:r>
      <w:r>
        <w:instrText xml:space="preserve"> HYPERLINK \l "_Toc18647" </w:instrText>
      </w:r>
      <w:r>
        <w:fldChar w:fldCharType="separate"/>
      </w:r>
      <w:r>
        <w:rPr>
          <w:rFonts w:hint="eastAsia" w:ascii="仿宋_GB2312" w:hAnsi="仿宋_GB2312" w:cs="仿宋_GB2312"/>
        </w:rPr>
        <w:t>第四节  建设健康的水生态安全保障体系</w:t>
      </w:r>
      <w:r>
        <w:tab/>
      </w:r>
      <w:r>
        <w:fldChar w:fldCharType="begin"/>
      </w:r>
      <w:r>
        <w:instrText xml:space="preserve"> PAGEREF _Toc18647 </w:instrText>
      </w:r>
      <w:r>
        <w:fldChar w:fldCharType="separate"/>
      </w:r>
      <w:r>
        <w:t>60</w:t>
      </w:r>
      <w:r>
        <w:fldChar w:fldCharType="end"/>
      </w:r>
      <w:r>
        <w:fldChar w:fldCharType="end"/>
      </w:r>
    </w:p>
    <w:p>
      <w:pPr>
        <w:pStyle w:val="14"/>
        <w:tabs>
          <w:tab w:val="right" w:leader="dot" w:pos="8844"/>
        </w:tabs>
        <w:ind w:left="1120" w:firstLine="560"/>
      </w:pPr>
      <w:r>
        <w:fldChar w:fldCharType="begin"/>
      </w:r>
      <w:r>
        <w:instrText xml:space="preserve"> HYPERLINK \l "_Toc6407" </w:instrText>
      </w:r>
      <w:r>
        <w:fldChar w:fldCharType="separate"/>
      </w:r>
      <w:r>
        <w:rPr>
          <w:rFonts w:hint="eastAsia" w:ascii="仿宋_GB2312" w:hAnsi="仿宋_GB2312" w:cs="仿宋_GB2312"/>
        </w:rPr>
        <w:t>第五节  构建智能化的智慧水利体系</w:t>
      </w:r>
      <w:r>
        <w:tab/>
      </w:r>
      <w:r>
        <w:fldChar w:fldCharType="begin"/>
      </w:r>
      <w:r>
        <w:instrText xml:space="preserve"> PAGEREF _Toc6407 </w:instrText>
      </w:r>
      <w:r>
        <w:fldChar w:fldCharType="separate"/>
      </w:r>
      <w:r>
        <w:t>60</w:t>
      </w:r>
      <w:r>
        <w:fldChar w:fldCharType="end"/>
      </w:r>
      <w:r>
        <w:fldChar w:fldCharType="end"/>
      </w:r>
    </w:p>
    <w:p>
      <w:pPr>
        <w:pStyle w:val="22"/>
        <w:tabs>
          <w:tab w:val="right" w:leader="dot" w:pos="8844"/>
        </w:tabs>
        <w:ind w:left="560" w:firstLine="562"/>
      </w:pPr>
      <w:r>
        <w:fldChar w:fldCharType="begin"/>
      </w:r>
      <w:r>
        <w:instrText xml:space="preserve"> HYPERLINK \l "_Toc7122" </w:instrText>
      </w:r>
      <w:r>
        <w:fldChar w:fldCharType="separate"/>
      </w:r>
      <w:r>
        <w:rPr>
          <w:rFonts w:hint="eastAsia"/>
        </w:rPr>
        <w:t>第二十一章  建设安全可靠的能源保障体系</w:t>
      </w:r>
      <w:r>
        <w:tab/>
      </w:r>
      <w:r>
        <w:fldChar w:fldCharType="begin"/>
      </w:r>
      <w:r>
        <w:instrText xml:space="preserve"> PAGEREF _Toc7122 </w:instrText>
      </w:r>
      <w:r>
        <w:fldChar w:fldCharType="separate"/>
      </w:r>
      <w:r>
        <w:t>61</w:t>
      </w:r>
      <w:r>
        <w:fldChar w:fldCharType="end"/>
      </w:r>
      <w:r>
        <w:fldChar w:fldCharType="end"/>
      </w:r>
    </w:p>
    <w:p>
      <w:pPr>
        <w:pStyle w:val="14"/>
        <w:tabs>
          <w:tab w:val="right" w:leader="dot" w:pos="8844"/>
        </w:tabs>
        <w:ind w:left="1120" w:firstLine="560"/>
      </w:pPr>
      <w:r>
        <w:fldChar w:fldCharType="begin"/>
      </w:r>
      <w:r>
        <w:instrText xml:space="preserve"> HYPERLINK \l "_Toc6545" </w:instrText>
      </w:r>
      <w:r>
        <w:fldChar w:fldCharType="separate"/>
      </w:r>
      <w:r>
        <w:rPr>
          <w:rFonts w:hint="eastAsia" w:ascii="仿宋_GB2312" w:hAnsi="仿宋_GB2312" w:cs="仿宋_GB2312"/>
        </w:rPr>
        <w:t>第一节  打造渝东北绿色能源基地</w:t>
      </w:r>
      <w:r>
        <w:tab/>
      </w:r>
      <w:r>
        <w:fldChar w:fldCharType="begin"/>
      </w:r>
      <w:r>
        <w:instrText xml:space="preserve"> PAGEREF _Toc6545 </w:instrText>
      </w:r>
      <w:r>
        <w:fldChar w:fldCharType="separate"/>
      </w:r>
      <w:r>
        <w:t>61</w:t>
      </w:r>
      <w:r>
        <w:fldChar w:fldCharType="end"/>
      </w:r>
      <w:r>
        <w:fldChar w:fldCharType="end"/>
      </w:r>
    </w:p>
    <w:p>
      <w:pPr>
        <w:pStyle w:val="14"/>
        <w:tabs>
          <w:tab w:val="right" w:leader="dot" w:pos="8844"/>
        </w:tabs>
        <w:ind w:left="1120" w:firstLine="560"/>
      </w:pPr>
      <w:r>
        <w:fldChar w:fldCharType="begin"/>
      </w:r>
      <w:r>
        <w:instrText xml:space="preserve"> HYPERLINK \l "_Toc11617" </w:instrText>
      </w:r>
      <w:r>
        <w:fldChar w:fldCharType="separate"/>
      </w:r>
      <w:r>
        <w:rPr>
          <w:rFonts w:hint="eastAsia" w:ascii="仿宋_GB2312" w:hAnsi="仿宋_GB2312" w:cs="仿宋_GB2312"/>
        </w:rPr>
        <w:t>第二节  加强区域内能源供给保障</w:t>
      </w:r>
      <w:r>
        <w:tab/>
      </w:r>
      <w:r>
        <w:fldChar w:fldCharType="begin"/>
      </w:r>
      <w:r>
        <w:instrText xml:space="preserve"> PAGEREF _Toc11617 </w:instrText>
      </w:r>
      <w:r>
        <w:fldChar w:fldCharType="separate"/>
      </w:r>
      <w:r>
        <w:t>62</w:t>
      </w:r>
      <w:r>
        <w:fldChar w:fldCharType="end"/>
      </w:r>
      <w:r>
        <w:fldChar w:fldCharType="end"/>
      </w:r>
    </w:p>
    <w:p>
      <w:pPr>
        <w:pStyle w:val="22"/>
        <w:tabs>
          <w:tab w:val="right" w:leader="dot" w:pos="8844"/>
        </w:tabs>
        <w:ind w:left="560" w:firstLine="562"/>
      </w:pPr>
      <w:r>
        <w:fldChar w:fldCharType="begin"/>
      </w:r>
      <w:r>
        <w:instrText xml:space="preserve"> HYPERLINK \l "_Toc11385" </w:instrText>
      </w:r>
      <w:r>
        <w:fldChar w:fldCharType="separate"/>
      </w:r>
      <w:r>
        <w:rPr>
          <w:rFonts w:hint="eastAsia"/>
        </w:rPr>
        <w:t>第二十二章  建设智慧高效的新基建体系</w:t>
      </w:r>
      <w:r>
        <w:tab/>
      </w:r>
      <w:r>
        <w:fldChar w:fldCharType="begin"/>
      </w:r>
      <w:r>
        <w:instrText xml:space="preserve"> PAGEREF _Toc11385 </w:instrText>
      </w:r>
      <w:r>
        <w:fldChar w:fldCharType="separate"/>
      </w:r>
      <w:r>
        <w:t>63</w:t>
      </w:r>
      <w:r>
        <w:fldChar w:fldCharType="end"/>
      </w:r>
      <w:r>
        <w:fldChar w:fldCharType="end"/>
      </w:r>
    </w:p>
    <w:p>
      <w:pPr>
        <w:pStyle w:val="14"/>
        <w:tabs>
          <w:tab w:val="right" w:leader="dot" w:pos="8844"/>
        </w:tabs>
        <w:ind w:left="1120" w:firstLine="560"/>
      </w:pPr>
      <w:r>
        <w:fldChar w:fldCharType="begin"/>
      </w:r>
      <w:r>
        <w:instrText xml:space="preserve"> HYPERLINK \l "_Toc6788" </w:instrText>
      </w:r>
      <w:r>
        <w:fldChar w:fldCharType="separate"/>
      </w:r>
      <w:r>
        <w:rPr>
          <w:rFonts w:hint="eastAsia" w:ascii="仿宋_GB2312" w:hAnsi="仿宋_GB2312" w:cs="仿宋_GB2312"/>
        </w:rPr>
        <w:t>第一节  加强通信基础设施建设</w:t>
      </w:r>
      <w:r>
        <w:tab/>
      </w:r>
      <w:r>
        <w:fldChar w:fldCharType="begin"/>
      </w:r>
      <w:r>
        <w:instrText xml:space="preserve"> PAGEREF _Toc6788 </w:instrText>
      </w:r>
      <w:r>
        <w:fldChar w:fldCharType="separate"/>
      </w:r>
      <w:r>
        <w:t>64</w:t>
      </w:r>
      <w:r>
        <w:fldChar w:fldCharType="end"/>
      </w:r>
      <w:r>
        <w:fldChar w:fldCharType="end"/>
      </w:r>
    </w:p>
    <w:p>
      <w:pPr>
        <w:pStyle w:val="14"/>
        <w:tabs>
          <w:tab w:val="right" w:leader="dot" w:pos="8844"/>
        </w:tabs>
        <w:ind w:left="1120" w:firstLine="560"/>
      </w:pPr>
      <w:r>
        <w:fldChar w:fldCharType="begin"/>
      </w:r>
      <w:r>
        <w:instrText xml:space="preserve"> HYPERLINK \l "_Toc32157" </w:instrText>
      </w:r>
      <w:r>
        <w:fldChar w:fldCharType="separate"/>
      </w:r>
      <w:r>
        <w:rPr>
          <w:rFonts w:hint="eastAsia" w:ascii="仿宋_GB2312" w:hAnsi="仿宋_GB2312" w:cs="仿宋_GB2312"/>
        </w:rPr>
        <w:t>第二节  加强网络安全管理和数据开放共享</w:t>
      </w:r>
      <w:r>
        <w:tab/>
      </w:r>
      <w:r>
        <w:fldChar w:fldCharType="begin"/>
      </w:r>
      <w:r>
        <w:instrText xml:space="preserve"> PAGEREF _Toc32157 </w:instrText>
      </w:r>
      <w:r>
        <w:fldChar w:fldCharType="separate"/>
      </w:r>
      <w:r>
        <w:t>64</w:t>
      </w:r>
      <w:r>
        <w:fldChar w:fldCharType="end"/>
      </w:r>
      <w:r>
        <w:fldChar w:fldCharType="end"/>
      </w:r>
    </w:p>
    <w:p>
      <w:pPr>
        <w:pStyle w:val="14"/>
        <w:tabs>
          <w:tab w:val="right" w:leader="dot" w:pos="8844"/>
        </w:tabs>
        <w:ind w:left="1120" w:firstLine="560"/>
      </w:pPr>
      <w:r>
        <w:fldChar w:fldCharType="begin"/>
      </w:r>
      <w:r>
        <w:instrText xml:space="preserve"> HYPERLINK \l "_Toc16148" </w:instrText>
      </w:r>
      <w:r>
        <w:fldChar w:fldCharType="separate"/>
      </w:r>
      <w:r>
        <w:rPr>
          <w:rFonts w:hint="eastAsia" w:ascii="仿宋_GB2312" w:hAnsi="仿宋_GB2312" w:cs="仿宋_GB2312"/>
        </w:rPr>
        <w:t>第三节  推动大数据和智能化应用发展</w:t>
      </w:r>
      <w:r>
        <w:tab/>
      </w:r>
      <w:r>
        <w:fldChar w:fldCharType="begin"/>
      </w:r>
      <w:r>
        <w:instrText xml:space="preserve"> PAGEREF _Toc16148 </w:instrText>
      </w:r>
      <w:r>
        <w:fldChar w:fldCharType="separate"/>
      </w:r>
      <w:r>
        <w:t>65</w:t>
      </w:r>
      <w:r>
        <w:fldChar w:fldCharType="end"/>
      </w:r>
      <w:r>
        <w:fldChar w:fldCharType="end"/>
      </w:r>
    </w:p>
    <w:p>
      <w:pPr>
        <w:pStyle w:val="14"/>
        <w:tabs>
          <w:tab w:val="right" w:leader="dot" w:pos="8844"/>
        </w:tabs>
        <w:ind w:left="1120" w:firstLine="560"/>
      </w:pPr>
      <w:r>
        <w:fldChar w:fldCharType="begin"/>
      </w:r>
      <w:r>
        <w:instrText xml:space="preserve"> HYPERLINK \l "_Toc8984" </w:instrText>
      </w:r>
      <w:r>
        <w:fldChar w:fldCharType="separate"/>
      </w:r>
      <w:r>
        <w:rPr>
          <w:rFonts w:hint="eastAsia" w:ascii="仿宋_GB2312" w:hAnsi="仿宋_GB2312" w:cs="仿宋_GB2312"/>
        </w:rPr>
        <w:t>第四节 推动电动汽车充电基础设施发展</w:t>
      </w:r>
      <w:r>
        <w:tab/>
      </w:r>
      <w:r>
        <w:fldChar w:fldCharType="begin"/>
      </w:r>
      <w:r>
        <w:instrText xml:space="preserve"> PAGEREF _Toc8984 </w:instrText>
      </w:r>
      <w:r>
        <w:fldChar w:fldCharType="separate"/>
      </w:r>
      <w:r>
        <w:t>65</w:t>
      </w:r>
      <w:r>
        <w:fldChar w:fldCharType="end"/>
      </w:r>
      <w:r>
        <w:fldChar w:fldCharType="end"/>
      </w:r>
    </w:p>
    <w:p>
      <w:pPr>
        <w:pStyle w:val="19"/>
        <w:tabs>
          <w:tab w:val="right" w:leader="dot" w:pos="8844"/>
        </w:tabs>
      </w:pPr>
      <w:r>
        <w:fldChar w:fldCharType="begin"/>
      </w:r>
      <w:r>
        <w:instrText xml:space="preserve"> HYPERLINK \l "_Toc964" </w:instrText>
      </w:r>
      <w:r>
        <w:fldChar w:fldCharType="separate"/>
      </w:r>
      <w:r>
        <w:rPr>
          <w:rFonts w:hint="eastAsia" w:ascii="黑体" w:hAnsi="黑体" w:cs="黑体"/>
        </w:rPr>
        <w:t>第六篇  用好生态、人文“两个宝贝”，加快建设长江</w:t>
      </w:r>
      <w:r>
        <w:tab/>
      </w:r>
      <w:r>
        <w:fldChar w:fldCharType="begin"/>
      </w:r>
      <w:r>
        <w:instrText xml:space="preserve"> PAGEREF _Toc964 </w:instrText>
      </w:r>
      <w:r>
        <w:fldChar w:fldCharType="separate"/>
      </w:r>
      <w:r>
        <w:t>67</w:t>
      </w:r>
      <w:r>
        <w:fldChar w:fldCharType="end"/>
      </w:r>
      <w:r>
        <w:fldChar w:fldCharType="end"/>
      </w:r>
    </w:p>
    <w:p>
      <w:pPr>
        <w:pStyle w:val="19"/>
        <w:tabs>
          <w:tab w:val="right" w:leader="dot" w:pos="8844"/>
        </w:tabs>
      </w:pPr>
      <w:r>
        <w:fldChar w:fldCharType="begin"/>
      </w:r>
      <w:r>
        <w:instrText xml:space="preserve"> HYPERLINK \l "_Toc27086" </w:instrText>
      </w:r>
      <w:r>
        <w:fldChar w:fldCharType="separate"/>
      </w:r>
      <w:r>
        <w:rPr>
          <w:rFonts w:hint="eastAsia" w:ascii="黑体" w:hAnsi="黑体" w:cs="黑体"/>
        </w:rPr>
        <w:t>三峡第一旅游目的地</w:t>
      </w:r>
      <w:r>
        <w:tab/>
      </w:r>
      <w:r>
        <w:fldChar w:fldCharType="begin"/>
      </w:r>
      <w:r>
        <w:instrText xml:space="preserve"> PAGEREF _Toc27086 </w:instrText>
      </w:r>
      <w:r>
        <w:fldChar w:fldCharType="separate"/>
      </w:r>
      <w:r>
        <w:t>67</w:t>
      </w:r>
      <w:r>
        <w:fldChar w:fldCharType="end"/>
      </w:r>
      <w:r>
        <w:fldChar w:fldCharType="end"/>
      </w:r>
    </w:p>
    <w:p>
      <w:pPr>
        <w:pStyle w:val="22"/>
        <w:tabs>
          <w:tab w:val="right" w:leader="dot" w:pos="8844"/>
        </w:tabs>
        <w:ind w:left="560" w:firstLine="562"/>
      </w:pPr>
      <w:r>
        <w:fldChar w:fldCharType="begin"/>
      </w:r>
      <w:r>
        <w:instrText xml:space="preserve"> HYPERLINK \l "_Toc21747" </w:instrText>
      </w:r>
      <w:r>
        <w:fldChar w:fldCharType="separate"/>
      </w:r>
      <w:r>
        <w:rPr>
          <w:rFonts w:hint="eastAsia"/>
        </w:rPr>
        <w:t>第二十三章  提高社会文明程度</w:t>
      </w:r>
      <w:r>
        <w:tab/>
      </w:r>
      <w:r>
        <w:fldChar w:fldCharType="begin"/>
      </w:r>
      <w:r>
        <w:instrText xml:space="preserve"> PAGEREF _Toc21747 </w:instrText>
      </w:r>
      <w:r>
        <w:fldChar w:fldCharType="separate"/>
      </w:r>
      <w:r>
        <w:t>67</w:t>
      </w:r>
      <w:r>
        <w:fldChar w:fldCharType="end"/>
      </w:r>
      <w:r>
        <w:fldChar w:fldCharType="end"/>
      </w:r>
    </w:p>
    <w:p>
      <w:pPr>
        <w:pStyle w:val="14"/>
        <w:tabs>
          <w:tab w:val="right" w:leader="dot" w:pos="8844"/>
        </w:tabs>
        <w:ind w:left="1120" w:firstLine="560"/>
      </w:pPr>
      <w:r>
        <w:fldChar w:fldCharType="begin"/>
      </w:r>
      <w:r>
        <w:instrText xml:space="preserve"> HYPERLINK \l "_Toc23399" </w:instrText>
      </w:r>
      <w:r>
        <w:fldChar w:fldCharType="separate"/>
      </w:r>
      <w:r>
        <w:rPr>
          <w:rFonts w:hint="eastAsia" w:ascii="仿宋_GB2312" w:hAnsi="仿宋_GB2312" w:cs="仿宋_GB2312"/>
        </w:rPr>
        <w:t>第一节  推进核心价值观教育常态化、制度化</w:t>
      </w:r>
      <w:r>
        <w:tab/>
      </w:r>
      <w:r>
        <w:fldChar w:fldCharType="begin"/>
      </w:r>
      <w:r>
        <w:instrText xml:space="preserve"> PAGEREF _Toc23399 </w:instrText>
      </w:r>
      <w:r>
        <w:fldChar w:fldCharType="separate"/>
      </w:r>
      <w:r>
        <w:t>67</w:t>
      </w:r>
      <w:r>
        <w:fldChar w:fldCharType="end"/>
      </w:r>
      <w:r>
        <w:fldChar w:fldCharType="end"/>
      </w:r>
    </w:p>
    <w:p>
      <w:pPr>
        <w:pStyle w:val="14"/>
        <w:tabs>
          <w:tab w:val="right" w:leader="dot" w:pos="8844"/>
        </w:tabs>
        <w:ind w:left="1120" w:firstLine="560"/>
      </w:pPr>
      <w:r>
        <w:fldChar w:fldCharType="begin"/>
      </w:r>
      <w:r>
        <w:instrText xml:space="preserve"> HYPERLINK \l "_Toc20818" </w:instrText>
      </w:r>
      <w:r>
        <w:fldChar w:fldCharType="separate"/>
      </w:r>
      <w:r>
        <w:rPr>
          <w:rFonts w:hint="eastAsia" w:ascii="仿宋_GB2312" w:hAnsi="仿宋_GB2312" w:cs="仿宋_GB2312"/>
        </w:rPr>
        <w:t>第二节  加强社会主义精神文明新风尚建设</w:t>
      </w:r>
      <w:r>
        <w:tab/>
      </w:r>
      <w:r>
        <w:fldChar w:fldCharType="begin"/>
      </w:r>
      <w:r>
        <w:instrText xml:space="preserve"> PAGEREF _Toc20818 </w:instrText>
      </w:r>
      <w:r>
        <w:fldChar w:fldCharType="separate"/>
      </w:r>
      <w:r>
        <w:t>68</w:t>
      </w:r>
      <w:r>
        <w:fldChar w:fldCharType="end"/>
      </w:r>
      <w:r>
        <w:fldChar w:fldCharType="end"/>
      </w:r>
    </w:p>
    <w:p>
      <w:pPr>
        <w:pStyle w:val="22"/>
        <w:tabs>
          <w:tab w:val="right" w:leader="dot" w:pos="8844"/>
        </w:tabs>
        <w:ind w:left="560" w:firstLine="562"/>
      </w:pPr>
      <w:r>
        <w:fldChar w:fldCharType="begin"/>
      </w:r>
      <w:r>
        <w:instrText xml:space="preserve"> HYPERLINK \l "_Toc28913" </w:instrText>
      </w:r>
      <w:r>
        <w:fldChar w:fldCharType="separate"/>
      </w:r>
      <w:r>
        <w:rPr>
          <w:rFonts w:hint="eastAsia"/>
        </w:rPr>
        <w:t>第二十四章  建设区域性文体事业高地</w:t>
      </w:r>
      <w:r>
        <w:tab/>
      </w:r>
      <w:r>
        <w:fldChar w:fldCharType="begin"/>
      </w:r>
      <w:r>
        <w:instrText xml:space="preserve"> PAGEREF _Toc28913 </w:instrText>
      </w:r>
      <w:r>
        <w:fldChar w:fldCharType="separate"/>
      </w:r>
      <w:r>
        <w:t>69</w:t>
      </w:r>
      <w:r>
        <w:fldChar w:fldCharType="end"/>
      </w:r>
      <w:r>
        <w:fldChar w:fldCharType="end"/>
      </w:r>
    </w:p>
    <w:p>
      <w:pPr>
        <w:pStyle w:val="14"/>
        <w:tabs>
          <w:tab w:val="right" w:leader="dot" w:pos="8844"/>
        </w:tabs>
        <w:ind w:left="1120" w:firstLine="560"/>
      </w:pPr>
      <w:r>
        <w:fldChar w:fldCharType="begin"/>
      </w:r>
      <w:r>
        <w:instrText xml:space="preserve"> HYPERLINK \l "_Toc30309" </w:instrText>
      </w:r>
      <w:r>
        <w:fldChar w:fldCharType="separate"/>
      </w:r>
      <w:r>
        <w:rPr>
          <w:rFonts w:hint="eastAsia" w:ascii="仿宋_GB2312" w:hAnsi="仿宋_GB2312" w:cs="仿宋_GB2312"/>
        </w:rPr>
        <w:t>第一节  不断繁荣发展区域文化事业</w:t>
      </w:r>
      <w:r>
        <w:tab/>
      </w:r>
      <w:r>
        <w:fldChar w:fldCharType="begin"/>
      </w:r>
      <w:r>
        <w:instrText xml:space="preserve"> PAGEREF _Toc30309 </w:instrText>
      </w:r>
      <w:r>
        <w:fldChar w:fldCharType="separate"/>
      </w:r>
      <w:r>
        <w:t>69</w:t>
      </w:r>
      <w:r>
        <w:fldChar w:fldCharType="end"/>
      </w:r>
      <w:r>
        <w:fldChar w:fldCharType="end"/>
      </w:r>
    </w:p>
    <w:p>
      <w:pPr>
        <w:pStyle w:val="14"/>
        <w:tabs>
          <w:tab w:val="right" w:leader="dot" w:pos="8844"/>
        </w:tabs>
        <w:ind w:left="1120" w:firstLine="560"/>
      </w:pPr>
      <w:r>
        <w:fldChar w:fldCharType="begin"/>
      </w:r>
      <w:r>
        <w:instrText xml:space="preserve"> HYPERLINK \l "_Toc16322" </w:instrText>
      </w:r>
      <w:r>
        <w:fldChar w:fldCharType="separate"/>
      </w:r>
      <w:r>
        <w:rPr>
          <w:rFonts w:hint="eastAsia" w:ascii="仿宋_GB2312" w:hAnsi="仿宋_GB2312" w:cs="仿宋_GB2312"/>
        </w:rPr>
        <w:t>第二节  建设区域性体育事业高地</w:t>
      </w:r>
      <w:r>
        <w:tab/>
      </w:r>
      <w:r>
        <w:fldChar w:fldCharType="begin"/>
      </w:r>
      <w:r>
        <w:instrText xml:space="preserve"> PAGEREF _Toc16322 </w:instrText>
      </w:r>
      <w:r>
        <w:fldChar w:fldCharType="separate"/>
      </w:r>
      <w:r>
        <w:t>70</w:t>
      </w:r>
      <w:r>
        <w:fldChar w:fldCharType="end"/>
      </w:r>
      <w:r>
        <w:fldChar w:fldCharType="end"/>
      </w:r>
    </w:p>
    <w:p>
      <w:pPr>
        <w:pStyle w:val="22"/>
        <w:tabs>
          <w:tab w:val="right" w:leader="dot" w:pos="8844"/>
        </w:tabs>
        <w:ind w:left="560" w:firstLine="562"/>
      </w:pPr>
      <w:r>
        <w:fldChar w:fldCharType="begin"/>
      </w:r>
      <w:r>
        <w:instrText xml:space="preserve"> HYPERLINK \l "_Toc620" </w:instrText>
      </w:r>
      <w:r>
        <w:fldChar w:fldCharType="separate"/>
      </w:r>
      <w:r>
        <w:rPr>
          <w:rFonts w:hint="eastAsia"/>
        </w:rPr>
        <w:t>第二十五章  打造保护传承弘扬长江文化的典范</w:t>
      </w:r>
      <w:r>
        <w:tab/>
      </w:r>
      <w:r>
        <w:fldChar w:fldCharType="begin"/>
      </w:r>
      <w:r>
        <w:instrText xml:space="preserve"> PAGEREF _Toc620 </w:instrText>
      </w:r>
      <w:r>
        <w:fldChar w:fldCharType="separate"/>
      </w:r>
      <w:r>
        <w:t>71</w:t>
      </w:r>
      <w:r>
        <w:fldChar w:fldCharType="end"/>
      </w:r>
      <w:r>
        <w:fldChar w:fldCharType="end"/>
      </w:r>
    </w:p>
    <w:p>
      <w:pPr>
        <w:pStyle w:val="14"/>
        <w:tabs>
          <w:tab w:val="right" w:leader="dot" w:pos="8844"/>
        </w:tabs>
        <w:ind w:left="1120" w:firstLine="560"/>
      </w:pPr>
      <w:r>
        <w:fldChar w:fldCharType="begin"/>
      </w:r>
      <w:r>
        <w:instrText xml:space="preserve"> HYPERLINK \l "_Toc6748" </w:instrText>
      </w:r>
      <w:r>
        <w:fldChar w:fldCharType="separate"/>
      </w:r>
      <w:r>
        <w:t xml:space="preserve">第一节  </w:t>
      </w:r>
      <w:r>
        <w:rPr>
          <w:rFonts w:hint="eastAsia" w:ascii="仿宋_GB2312" w:hAnsi="仿宋_GB2312" w:cs="仿宋_GB2312"/>
        </w:rPr>
        <w:t>塑造“三峡之巅·中华诗城”大文化IP</w:t>
      </w:r>
      <w:r>
        <w:tab/>
      </w:r>
      <w:r>
        <w:fldChar w:fldCharType="begin"/>
      </w:r>
      <w:r>
        <w:instrText xml:space="preserve"> PAGEREF _Toc6748 </w:instrText>
      </w:r>
      <w:r>
        <w:fldChar w:fldCharType="separate"/>
      </w:r>
      <w:r>
        <w:t>71</w:t>
      </w:r>
      <w:r>
        <w:fldChar w:fldCharType="end"/>
      </w:r>
      <w:r>
        <w:fldChar w:fldCharType="end"/>
      </w:r>
    </w:p>
    <w:p>
      <w:pPr>
        <w:pStyle w:val="14"/>
        <w:tabs>
          <w:tab w:val="right" w:leader="dot" w:pos="8844"/>
        </w:tabs>
        <w:ind w:left="1120" w:firstLine="560"/>
      </w:pPr>
      <w:r>
        <w:fldChar w:fldCharType="begin"/>
      </w:r>
      <w:r>
        <w:instrText xml:space="preserve"> HYPERLINK \l "_Toc15928" </w:instrText>
      </w:r>
      <w:r>
        <w:fldChar w:fldCharType="separate"/>
      </w:r>
      <w:r>
        <w:t xml:space="preserve">第二节  </w:t>
      </w:r>
      <w:r>
        <w:rPr>
          <w:rFonts w:hint="eastAsia"/>
        </w:rPr>
        <w:t>留住城市发展的“根”和“魂”</w:t>
      </w:r>
      <w:r>
        <w:tab/>
      </w:r>
      <w:r>
        <w:fldChar w:fldCharType="begin"/>
      </w:r>
      <w:r>
        <w:instrText xml:space="preserve"> PAGEREF _Toc15928 </w:instrText>
      </w:r>
      <w:r>
        <w:fldChar w:fldCharType="separate"/>
      </w:r>
      <w:r>
        <w:t>72</w:t>
      </w:r>
      <w:r>
        <w:fldChar w:fldCharType="end"/>
      </w:r>
      <w:r>
        <w:fldChar w:fldCharType="end"/>
      </w:r>
    </w:p>
    <w:p>
      <w:pPr>
        <w:pStyle w:val="14"/>
        <w:tabs>
          <w:tab w:val="right" w:leader="dot" w:pos="8844"/>
        </w:tabs>
        <w:ind w:left="1120" w:firstLine="560"/>
      </w:pPr>
      <w:r>
        <w:fldChar w:fldCharType="begin"/>
      </w:r>
      <w:r>
        <w:instrText xml:space="preserve"> HYPERLINK \l "_Toc11600" </w:instrText>
      </w:r>
      <w:r>
        <w:fldChar w:fldCharType="separate"/>
      </w:r>
      <w:r>
        <w:t xml:space="preserve">第三节  </w:t>
      </w:r>
      <w:r>
        <w:rPr>
          <w:rFonts w:hint="eastAsia"/>
        </w:rPr>
        <w:t>构建文化创造性发展新图景</w:t>
      </w:r>
      <w:r>
        <w:tab/>
      </w:r>
      <w:r>
        <w:fldChar w:fldCharType="begin"/>
      </w:r>
      <w:r>
        <w:instrText xml:space="preserve"> PAGEREF _Toc11600 </w:instrText>
      </w:r>
      <w:r>
        <w:fldChar w:fldCharType="separate"/>
      </w:r>
      <w:r>
        <w:t>73</w:t>
      </w:r>
      <w:r>
        <w:fldChar w:fldCharType="end"/>
      </w:r>
      <w:r>
        <w:fldChar w:fldCharType="end"/>
      </w:r>
    </w:p>
    <w:p>
      <w:pPr>
        <w:pStyle w:val="22"/>
        <w:tabs>
          <w:tab w:val="right" w:leader="dot" w:pos="8844"/>
        </w:tabs>
        <w:ind w:left="560" w:firstLine="562"/>
      </w:pPr>
      <w:r>
        <w:fldChar w:fldCharType="begin"/>
      </w:r>
      <w:r>
        <w:instrText xml:space="preserve"> HYPERLINK \l "_Toc14066" </w:instrText>
      </w:r>
      <w:r>
        <w:fldChar w:fldCharType="separate"/>
      </w:r>
      <w:r>
        <w:rPr>
          <w:rFonts w:hint="eastAsia"/>
        </w:rPr>
        <w:t>第二十六章  促进文旅融合发展</w:t>
      </w:r>
      <w:r>
        <w:tab/>
      </w:r>
      <w:r>
        <w:fldChar w:fldCharType="begin"/>
      </w:r>
      <w:r>
        <w:instrText xml:space="preserve"> PAGEREF _Toc14066 </w:instrText>
      </w:r>
      <w:r>
        <w:fldChar w:fldCharType="separate"/>
      </w:r>
      <w:r>
        <w:t>73</w:t>
      </w:r>
      <w:r>
        <w:fldChar w:fldCharType="end"/>
      </w:r>
      <w:r>
        <w:fldChar w:fldCharType="end"/>
      </w:r>
    </w:p>
    <w:p>
      <w:pPr>
        <w:pStyle w:val="14"/>
        <w:tabs>
          <w:tab w:val="right" w:leader="dot" w:pos="8844"/>
        </w:tabs>
        <w:ind w:left="1120" w:firstLine="560"/>
      </w:pPr>
      <w:r>
        <w:fldChar w:fldCharType="begin"/>
      </w:r>
      <w:r>
        <w:instrText xml:space="preserve"> HYPERLINK \l "_Toc8321" </w:instrText>
      </w:r>
      <w:r>
        <w:fldChar w:fldCharType="separate"/>
      </w:r>
      <w:r>
        <w:t xml:space="preserve">第一节  </w:t>
      </w:r>
      <w:r>
        <w:rPr>
          <w:rFonts w:hint="eastAsia"/>
        </w:rPr>
        <w:t>构建新型全域旅游发展格局</w:t>
      </w:r>
      <w:r>
        <w:tab/>
      </w:r>
      <w:r>
        <w:fldChar w:fldCharType="begin"/>
      </w:r>
      <w:r>
        <w:instrText xml:space="preserve"> PAGEREF _Toc8321 </w:instrText>
      </w:r>
      <w:r>
        <w:fldChar w:fldCharType="separate"/>
      </w:r>
      <w:r>
        <w:t>74</w:t>
      </w:r>
      <w:r>
        <w:fldChar w:fldCharType="end"/>
      </w:r>
      <w:r>
        <w:fldChar w:fldCharType="end"/>
      </w:r>
    </w:p>
    <w:p>
      <w:pPr>
        <w:pStyle w:val="14"/>
        <w:tabs>
          <w:tab w:val="right" w:leader="dot" w:pos="8844"/>
        </w:tabs>
        <w:ind w:left="1120" w:firstLine="560"/>
      </w:pPr>
      <w:r>
        <w:fldChar w:fldCharType="begin"/>
      </w:r>
      <w:r>
        <w:instrText xml:space="preserve"> HYPERLINK \l "_Toc28389" </w:instrText>
      </w:r>
      <w:r>
        <w:fldChar w:fldCharType="separate"/>
      </w:r>
      <w:r>
        <w:rPr>
          <w:rFonts w:hint="eastAsia"/>
        </w:rPr>
        <w:t>第二节  推进建设一批“硬核”景区</w:t>
      </w:r>
      <w:r>
        <w:tab/>
      </w:r>
      <w:r>
        <w:fldChar w:fldCharType="begin"/>
      </w:r>
      <w:r>
        <w:instrText xml:space="preserve"> PAGEREF _Toc28389 </w:instrText>
      </w:r>
      <w:r>
        <w:fldChar w:fldCharType="separate"/>
      </w:r>
      <w:r>
        <w:t>74</w:t>
      </w:r>
      <w:r>
        <w:fldChar w:fldCharType="end"/>
      </w:r>
      <w:r>
        <w:fldChar w:fldCharType="end"/>
      </w:r>
    </w:p>
    <w:p>
      <w:pPr>
        <w:pStyle w:val="14"/>
        <w:tabs>
          <w:tab w:val="right" w:leader="dot" w:pos="8844"/>
        </w:tabs>
        <w:ind w:left="1120" w:firstLine="560"/>
      </w:pPr>
      <w:r>
        <w:fldChar w:fldCharType="begin"/>
      </w:r>
      <w:r>
        <w:instrText xml:space="preserve"> HYPERLINK \l "_Toc18227" </w:instrText>
      </w:r>
      <w:r>
        <w:fldChar w:fldCharType="separate"/>
      </w:r>
      <w:r>
        <w:t>第</w:t>
      </w:r>
      <w:r>
        <w:rPr>
          <w:rFonts w:hint="eastAsia"/>
        </w:rPr>
        <w:t>三</w:t>
      </w:r>
      <w:r>
        <w:t xml:space="preserve">节  </w:t>
      </w:r>
      <w:r>
        <w:rPr>
          <w:rFonts w:hint="eastAsia"/>
        </w:rPr>
        <w:t>构建“五维一体”文旅产业体系</w:t>
      </w:r>
      <w:r>
        <w:tab/>
      </w:r>
      <w:r>
        <w:fldChar w:fldCharType="begin"/>
      </w:r>
      <w:r>
        <w:instrText xml:space="preserve"> PAGEREF _Toc18227 </w:instrText>
      </w:r>
      <w:r>
        <w:fldChar w:fldCharType="separate"/>
      </w:r>
      <w:r>
        <w:t>75</w:t>
      </w:r>
      <w:r>
        <w:fldChar w:fldCharType="end"/>
      </w:r>
      <w:r>
        <w:fldChar w:fldCharType="end"/>
      </w:r>
    </w:p>
    <w:p>
      <w:pPr>
        <w:pStyle w:val="14"/>
        <w:tabs>
          <w:tab w:val="right" w:leader="dot" w:pos="8844"/>
        </w:tabs>
        <w:ind w:left="1120" w:firstLine="560"/>
      </w:pPr>
      <w:r>
        <w:fldChar w:fldCharType="begin"/>
      </w:r>
      <w:r>
        <w:instrText xml:space="preserve"> HYPERLINK \l "_Toc1480" </w:instrText>
      </w:r>
      <w:r>
        <w:fldChar w:fldCharType="separate"/>
      </w:r>
      <w:r>
        <w:t xml:space="preserve">第四节  </w:t>
      </w:r>
      <w:r>
        <w:rPr>
          <w:rFonts w:hint="eastAsia"/>
        </w:rPr>
        <w:t>加强服务体系提档升级</w:t>
      </w:r>
      <w:r>
        <w:tab/>
      </w:r>
      <w:r>
        <w:fldChar w:fldCharType="begin"/>
      </w:r>
      <w:r>
        <w:instrText xml:space="preserve"> PAGEREF _Toc1480 </w:instrText>
      </w:r>
      <w:r>
        <w:fldChar w:fldCharType="separate"/>
      </w:r>
      <w:r>
        <w:t>76</w:t>
      </w:r>
      <w:r>
        <w:fldChar w:fldCharType="end"/>
      </w:r>
      <w:r>
        <w:fldChar w:fldCharType="end"/>
      </w:r>
    </w:p>
    <w:p>
      <w:pPr>
        <w:pStyle w:val="14"/>
        <w:tabs>
          <w:tab w:val="right" w:leader="dot" w:pos="8844"/>
        </w:tabs>
        <w:ind w:left="1120" w:firstLine="560"/>
      </w:pPr>
      <w:r>
        <w:fldChar w:fldCharType="begin"/>
      </w:r>
      <w:r>
        <w:instrText xml:space="preserve"> HYPERLINK \l "_Toc32194" </w:instrText>
      </w:r>
      <w:r>
        <w:fldChar w:fldCharType="separate"/>
      </w:r>
      <w:r>
        <w:t xml:space="preserve">第五节  </w:t>
      </w:r>
      <w:r>
        <w:rPr>
          <w:rFonts w:hint="eastAsia"/>
        </w:rPr>
        <w:t>推动新媒体营销宣传创新</w:t>
      </w:r>
      <w:r>
        <w:tab/>
      </w:r>
      <w:r>
        <w:fldChar w:fldCharType="begin"/>
      </w:r>
      <w:r>
        <w:instrText xml:space="preserve"> PAGEREF _Toc32194 </w:instrText>
      </w:r>
      <w:r>
        <w:fldChar w:fldCharType="separate"/>
      </w:r>
      <w:r>
        <w:t>76</w:t>
      </w:r>
      <w:r>
        <w:fldChar w:fldCharType="end"/>
      </w:r>
      <w:r>
        <w:fldChar w:fldCharType="end"/>
      </w:r>
    </w:p>
    <w:p>
      <w:pPr>
        <w:pStyle w:val="14"/>
        <w:tabs>
          <w:tab w:val="right" w:leader="dot" w:pos="8844"/>
        </w:tabs>
        <w:ind w:left="1120" w:firstLine="560"/>
      </w:pPr>
      <w:r>
        <w:fldChar w:fldCharType="begin"/>
      </w:r>
      <w:r>
        <w:instrText xml:space="preserve"> HYPERLINK \l "_Toc7190" </w:instrText>
      </w:r>
      <w:r>
        <w:fldChar w:fldCharType="separate"/>
      </w:r>
      <w:r>
        <w:t>第六节  强化区域协同合作</w:t>
      </w:r>
      <w:r>
        <w:rPr>
          <w:rFonts w:hint="eastAsia"/>
        </w:rPr>
        <w:t>升级</w:t>
      </w:r>
      <w:r>
        <w:tab/>
      </w:r>
      <w:r>
        <w:fldChar w:fldCharType="begin"/>
      </w:r>
      <w:r>
        <w:instrText xml:space="preserve"> PAGEREF _Toc7190 </w:instrText>
      </w:r>
      <w:r>
        <w:fldChar w:fldCharType="separate"/>
      </w:r>
      <w:r>
        <w:t>77</w:t>
      </w:r>
      <w:r>
        <w:fldChar w:fldCharType="end"/>
      </w:r>
      <w:r>
        <w:fldChar w:fldCharType="end"/>
      </w:r>
    </w:p>
    <w:p>
      <w:pPr>
        <w:pStyle w:val="19"/>
        <w:tabs>
          <w:tab w:val="right" w:leader="dot" w:pos="8844"/>
        </w:tabs>
      </w:pPr>
      <w:r>
        <w:fldChar w:fldCharType="begin"/>
      </w:r>
      <w:r>
        <w:instrText xml:space="preserve"> HYPERLINK \l "_Toc2561" </w:instrText>
      </w:r>
      <w:r>
        <w:fldChar w:fldCharType="separate"/>
      </w:r>
      <w:r>
        <w:rPr>
          <w:rFonts w:hint="eastAsia" w:ascii="黑体" w:hAnsi="黑体" w:cs="黑体"/>
        </w:rPr>
        <w:t>第七篇  全力推进乡村振兴，加快建设渝东北三峡库区山地特色高效农业示范区</w:t>
      </w:r>
      <w:r>
        <w:tab/>
      </w:r>
      <w:r>
        <w:fldChar w:fldCharType="begin"/>
      </w:r>
      <w:r>
        <w:instrText xml:space="preserve"> PAGEREF _Toc2561 </w:instrText>
      </w:r>
      <w:r>
        <w:fldChar w:fldCharType="separate"/>
      </w:r>
      <w:r>
        <w:t>80</w:t>
      </w:r>
      <w:r>
        <w:fldChar w:fldCharType="end"/>
      </w:r>
      <w:r>
        <w:fldChar w:fldCharType="end"/>
      </w:r>
    </w:p>
    <w:p>
      <w:pPr>
        <w:pStyle w:val="22"/>
        <w:tabs>
          <w:tab w:val="right" w:leader="dot" w:pos="8844"/>
        </w:tabs>
        <w:ind w:left="560" w:firstLine="562"/>
      </w:pPr>
      <w:r>
        <w:fldChar w:fldCharType="begin"/>
      </w:r>
      <w:r>
        <w:instrText xml:space="preserve"> HYPERLINK \l "_Toc4732" </w:instrText>
      </w:r>
      <w:r>
        <w:fldChar w:fldCharType="separate"/>
      </w:r>
      <w:r>
        <w:rPr>
          <w:rFonts w:hint="eastAsia"/>
        </w:rPr>
        <w:t>第二十七章  完善农业特色产业体系</w:t>
      </w:r>
      <w:r>
        <w:tab/>
      </w:r>
      <w:r>
        <w:fldChar w:fldCharType="begin"/>
      </w:r>
      <w:r>
        <w:instrText xml:space="preserve"> PAGEREF _Toc4732 </w:instrText>
      </w:r>
      <w:r>
        <w:fldChar w:fldCharType="separate"/>
      </w:r>
      <w:r>
        <w:t>80</w:t>
      </w:r>
      <w:r>
        <w:fldChar w:fldCharType="end"/>
      </w:r>
      <w:r>
        <w:fldChar w:fldCharType="end"/>
      </w:r>
    </w:p>
    <w:p>
      <w:pPr>
        <w:pStyle w:val="14"/>
        <w:tabs>
          <w:tab w:val="right" w:leader="dot" w:pos="8844"/>
        </w:tabs>
        <w:ind w:left="1120" w:firstLine="560"/>
      </w:pPr>
      <w:r>
        <w:fldChar w:fldCharType="begin"/>
      </w:r>
      <w:r>
        <w:instrText xml:space="preserve"> HYPERLINK \l "_Toc3429" </w:instrText>
      </w:r>
      <w:r>
        <w:fldChar w:fldCharType="separate"/>
      </w:r>
      <w:r>
        <w:t xml:space="preserve">第一节  </w:t>
      </w:r>
      <w:r>
        <w:rPr>
          <w:rFonts w:hint="eastAsia"/>
        </w:rPr>
        <w:t>稳定</w:t>
      </w:r>
      <w:r>
        <w:t>粮食供给</w:t>
      </w:r>
      <w:r>
        <w:tab/>
      </w:r>
      <w:r>
        <w:fldChar w:fldCharType="begin"/>
      </w:r>
      <w:r>
        <w:instrText xml:space="preserve"> PAGEREF _Toc3429 </w:instrText>
      </w:r>
      <w:r>
        <w:fldChar w:fldCharType="separate"/>
      </w:r>
      <w:r>
        <w:t>80</w:t>
      </w:r>
      <w:r>
        <w:fldChar w:fldCharType="end"/>
      </w:r>
      <w:r>
        <w:fldChar w:fldCharType="end"/>
      </w:r>
    </w:p>
    <w:p>
      <w:pPr>
        <w:pStyle w:val="14"/>
        <w:tabs>
          <w:tab w:val="right" w:leader="dot" w:pos="8844"/>
        </w:tabs>
        <w:ind w:left="1120" w:firstLine="560"/>
      </w:pPr>
      <w:r>
        <w:fldChar w:fldCharType="begin"/>
      </w:r>
      <w:r>
        <w:instrText xml:space="preserve"> HYPERLINK \l "_Toc13176" </w:instrText>
      </w:r>
      <w:r>
        <w:fldChar w:fldCharType="separate"/>
      </w:r>
      <w:r>
        <w:rPr>
          <w:rFonts w:hint="eastAsia"/>
        </w:rPr>
        <w:t xml:space="preserve">第二节  </w:t>
      </w:r>
      <w:r>
        <w:t>构建山地特色高效农业体系</w:t>
      </w:r>
      <w:r>
        <w:tab/>
      </w:r>
      <w:r>
        <w:fldChar w:fldCharType="begin"/>
      </w:r>
      <w:r>
        <w:instrText xml:space="preserve"> PAGEREF _Toc13176 </w:instrText>
      </w:r>
      <w:r>
        <w:fldChar w:fldCharType="separate"/>
      </w:r>
      <w:r>
        <w:t>80</w:t>
      </w:r>
      <w:r>
        <w:fldChar w:fldCharType="end"/>
      </w:r>
      <w:r>
        <w:fldChar w:fldCharType="end"/>
      </w:r>
    </w:p>
    <w:p>
      <w:pPr>
        <w:pStyle w:val="14"/>
        <w:tabs>
          <w:tab w:val="right" w:leader="dot" w:pos="8844"/>
        </w:tabs>
        <w:ind w:left="1120" w:firstLine="560"/>
      </w:pPr>
      <w:r>
        <w:fldChar w:fldCharType="begin"/>
      </w:r>
      <w:r>
        <w:instrText xml:space="preserve"> HYPERLINK \l "_Toc9768" </w:instrText>
      </w:r>
      <w:r>
        <w:fldChar w:fldCharType="separate"/>
      </w:r>
      <w:r>
        <w:t>第</w:t>
      </w:r>
      <w:r>
        <w:rPr>
          <w:rFonts w:hint="eastAsia"/>
        </w:rPr>
        <w:t>三</w:t>
      </w:r>
      <w:r>
        <w:t>节  优化农业产业布局</w:t>
      </w:r>
      <w:r>
        <w:tab/>
      </w:r>
      <w:r>
        <w:fldChar w:fldCharType="begin"/>
      </w:r>
      <w:r>
        <w:instrText xml:space="preserve"> PAGEREF _Toc9768 </w:instrText>
      </w:r>
      <w:r>
        <w:fldChar w:fldCharType="separate"/>
      </w:r>
      <w:r>
        <w:t>81</w:t>
      </w:r>
      <w:r>
        <w:fldChar w:fldCharType="end"/>
      </w:r>
      <w:r>
        <w:fldChar w:fldCharType="end"/>
      </w:r>
    </w:p>
    <w:p>
      <w:pPr>
        <w:pStyle w:val="14"/>
        <w:tabs>
          <w:tab w:val="right" w:leader="dot" w:pos="8844"/>
        </w:tabs>
        <w:ind w:left="1120" w:firstLine="560"/>
      </w:pPr>
      <w:r>
        <w:fldChar w:fldCharType="begin"/>
      </w:r>
      <w:r>
        <w:instrText xml:space="preserve"> HYPERLINK \l "_Toc14222" </w:instrText>
      </w:r>
      <w:r>
        <w:fldChar w:fldCharType="separate"/>
      </w:r>
      <w:r>
        <w:t>第</w:t>
      </w:r>
      <w:r>
        <w:rPr>
          <w:rFonts w:hint="eastAsia"/>
        </w:rPr>
        <w:t>四</w:t>
      </w:r>
      <w:r>
        <w:t>节  推进</w:t>
      </w:r>
      <w:r>
        <w:rPr>
          <w:rFonts w:hint="eastAsia"/>
          <w:lang w:eastAsia="zh-CN"/>
        </w:rPr>
        <w:t>一二三产业融合</w:t>
      </w:r>
      <w:r>
        <w:t>发展</w:t>
      </w:r>
      <w:r>
        <w:tab/>
      </w:r>
      <w:r>
        <w:fldChar w:fldCharType="begin"/>
      </w:r>
      <w:r>
        <w:instrText xml:space="preserve"> PAGEREF _Toc14222 </w:instrText>
      </w:r>
      <w:r>
        <w:fldChar w:fldCharType="separate"/>
      </w:r>
      <w:r>
        <w:t>82</w:t>
      </w:r>
      <w:r>
        <w:fldChar w:fldCharType="end"/>
      </w:r>
      <w:r>
        <w:fldChar w:fldCharType="end"/>
      </w:r>
    </w:p>
    <w:p>
      <w:pPr>
        <w:pStyle w:val="14"/>
        <w:tabs>
          <w:tab w:val="right" w:leader="dot" w:pos="8844"/>
        </w:tabs>
        <w:ind w:left="1120" w:firstLine="560"/>
      </w:pPr>
      <w:r>
        <w:fldChar w:fldCharType="begin"/>
      </w:r>
      <w:r>
        <w:instrText xml:space="preserve"> HYPERLINK \l "_Toc15975" </w:instrText>
      </w:r>
      <w:r>
        <w:fldChar w:fldCharType="separate"/>
      </w:r>
      <w:r>
        <w:t>第</w:t>
      </w:r>
      <w:r>
        <w:rPr>
          <w:rFonts w:hint="eastAsia"/>
        </w:rPr>
        <w:t>五</w:t>
      </w:r>
      <w:r>
        <w:t>节  提升农产品市场竞争力</w:t>
      </w:r>
      <w:r>
        <w:tab/>
      </w:r>
      <w:r>
        <w:fldChar w:fldCharType="begin"/>
      </w:r>
      <w:r>
        <w:instrText xml:space="preserve"> PAGEREF _Toc15975 </w:instrText>
      </w:r>
      <w:r>
        <w:fldChar w:fldCharType="separate"/>
      </w:r>
      <w:r>
        <w:t>83</w:t>
      </w:r>
      <w:r>
        <w:fldChar w:fldCharType="end"/>
      </w:r>
      <w:r>
        <w:fldChar w:fldCharType="end"/>
      </w:r>
    </w:p>
    <w:p>
      <w:pPr>
        <w:pStyle w:val="22"/>
        <w:tabs>
          <w:tab w:val="right" w:leader="dot" w:pos="8844"/>
        </w:tabs>
        <w:ind w:left="560" w:firstLine="562"/>
      </w:pPr>
      <w:r>
        <w:fldChar w:fldCharType="begin"/>
      </w:r>
      <w:r>
        <w:instrText xml:space="preserve"> HYPERLINK \l "_Toc21101" </w:instrText>
      </w:r>
      <w:r>
        <w:fldChar w:fldCharType="separate"/>
      </w:r>
      <w:r>
        <w:rPr>
          <w:rFonts w:hint="eastAsia"/>
        </w:rPr>
        <w:t>第二十八章  改善农村人居环境</w:t>
      </w:r>
      <w:r>
        <w:tab/>
      </w:r>
      <w:r>
        <w:fldChar w:fldCharType="begin"/>
      </w:r>
      <w:r>
        <w:instrText xml:space="preserve"> PAGEREF _Toc21101 </w:instrText>
      </w:r>
      <w:r>
        <w:fldChar w:fldCharType="separate"/>
      </w:r>
      <w:r>
        <w:t>85</w:t>
      </w:r>
      <w:r>
        <w:fldChar w:fldCharType="end"/>
      </w:r>
      <w:r>
        <w:fldChar w:fldCharType="end"/>
      </w:r>
    </w:p>
    <w:p>
      <w:pPr>
        <w:pStyle w:val="14"/>
        <w:tabs>
          <w:tab w:val="right" w:leader="dot" w:pos="8844"/>
        </w:tabs>
        <w:ind w:left="1120" w:firstLine="560"/>
      </w:pPr>
      <w:r>
        <w:fldChar w:fldCharType="begin"/>
      </w:r>
      <w:r>
        <w:instrText xml:space="preserve"> HYPERLINK \l "_Toc20378" </w:instrText>
      </w:r>
      <w:r>
        <w:fldChar w:fldCharType="separate"/>
      </w:r>
      <w:r>
        <w:t>第一节  加强农村生活环境改善</w:t>
      </w:r>
      <w:r>
        <w:tab/>
      </w:r>
      <w:r>
        <w:fldChar w:fldCharType="begin"/>
      </w:r>
      <w:r>
        <w:instrText xml:space="preserve"> PAGEREF _Toc20378 </w:instrText>
      </w:r>
      <w:r>
        <w:fldChar w:fldCharType="separate"/>
      </w:r>
      <w:r>
        <w:t>85</w:t>
      </w:r>
      <w:r>
        <w:fldChar w:fldCharType="end"/>
      </w:r>
      <w:r>
        <w:fldChar w:fldCharType="end"/>
      </w:r>
    </w:p>
    <w:p>
      <w:pPr>
        <w:pStyle w:val="14"/>
        <w:tabs>
          <w:tab w:val="right" w:leader="dot" w:pos="8844"/>
        </w:tabs>
        <w:ind w:left="1120" w:firstLine="560"/>
      </w:pPr>
      <w:r>
        <w:fldChar w:fldCharType="begin"/>
      </w:r>
      <w:r>
        <w:instrText xml:space="preserve"> HYPERLINK \l "_Toc21379" </w:instrText>
      </w:r>
      <w:r>
        <w:fldChar w:fldCharType="separate"/>
      </w:r>
      <w:r>
        <w:t>第二节  深化农业面源污染防治</w:t>
      </w:r>
      <w:r>
        <w:tab/>
      </w:r>
      <w:r>
        <w:fldChar w:fldCharType="begin"/>
      </w:r>
      <w:r>
        <w:instrText xml:space="preserve"> PAGEREF _Toc21379 </w:instrText>
      </w:r>
      <w:r>
        <w:fldChar w:fldCharType="separate"/>
      </w:r>
      <w:r>
        <w:t>85</w:t>
      </w:r>
      <w:r>
        <w:fldChar w:fldCharType="end"/>
      </w:r>
      <w:r>
        <w:fldChar w:fldCharType="end"/>
      </w:r>
    </w:p>
    <w:p>
      <w:pPr>
        <w:pStyle w:val="22"/>
        <w:tabs>
          <w:tab w:val="right" w:leader="dot" w:pos="8844"/>
        </w:tabs>
        <w:ind w:left="560" w:firstLine="562"/>
      </w:pPr>
      <w:r>
        <w:fldChar w:fldCharType="begin"/>
      </w:r>
      <w:r>
        <w:instrText xml:space="preserve"> HYPERLINK \l "_Toc8169" </w:instrText>
      </w:r>
      <w:r>
        <w:fldChar w:fldCharType="separate"/>
      </w:r>
      <w:r>
        <w:rPr>
          <w:rFonts w:hint="eastAsia"/>
        </w:rPr>
        <w:t>第二十九章  健全乡村治理新体系</w:t>
      </w:r>
      <w:r>
        <w:tab/>
      </w:r>
      <w:r>
        <w:fldChar w:fldCharType="begin"/>
      </w:r>
      <w:r>
        <w:instrText xml:space="preserve"> PAGEREF _Toc8169 </w:instrText>
      </w:r>
      <w:r>
        <w:fldChar w:fldCharType="separate"/>
      </w:r>
      <w:r>
        <w:t>86</w:t>
      </w:r>
      <w:r>
        <w:fldChar w:fldCharType="end"/>
      </w:r>
      <w:r>
        <w:fldChar w:fldCharType="end"/>
      </w:r>
    </w:p>
    <w:p>
      <w:pPr>
        <w:pStyle w:val="14"/>
        <w:tabs>
          <w:tab w:val="right" w:leader="dot" w:pos="8844"/>
        </w:tabs>
        <w:ind w:left="1120" w:firstLine="560"/>
      </w:pPr>
      <w:r>
        <w:fldChar w:fldCharType="begin"/>
      </w:r>
      <w:r>
        <w:instrText xml:space="preserve"> HYPERLINK \l "_Toc4870" </w:instrText>
      </w:r>
      <w:r>
        <w:fldChar w:fldCharType="separate"/>
      </w:r>
      <w:r>
        <w:t>第一节  完善村民自治机制</w:t>
      </w:r>
      <w:r>
        <w:tab/>
      </w:r>
      <w:r>
        <w:fldChar w:fldCharType="begin"/>
      </w:r>
      <w:r>
        <w:instrText xml:space="preserve"> PAGEREF _Toc4870 </w:instrText>
      </w:r>
      <w:r>
        <w:fldChar w:fldCharType="separate"/>
      </w:r>
      <w:r>
        <w:t>86</w:t>
      </w:r>
      <w:r>
        <w:fldChar w:fldCharType="end"/>
      </w:r>
      <w:r>
        <w:fldChar w:fldCharType="end"/>
      </w:r>
    </w:p>
    <w:p>
      <w:pPr>
        <w:pStyle w:val="14"/>
        <w:tabs>
          <w:tab w:val="right" w:leader="dot" w:pos="8844"/>
        </w:tabs>
        <w:ind w:left="1120" w:firstLine="560"/>
      </w:pPr>
      <w:r>
        <w:fldChar w:fldCharType="begin"/>
      </w:r>
      <w:r>
        <w:instrText xml:space="preserve"> HYPERLINK \l "_Toc20147" </w:instrText>
      </w:r>
      <w:r>
        <w:fldChar w:fldCharType="separate"/>
      </w:r>
      <w:r>
        <w:t>第二节  加强村级权力有效监督</w:t>
      </w:r>
      <w:r>
        <w:tab/>
      </w:r>
      <w:r>
        <w:fldChar w:fldCharType="begin"/>
      </w:r>
      <w:r>
        <w:instrText xml:space="preserve"> PAGEREF _Toc20147 </w:instrText>
      </w:r>
      <w:r>
        <w:fldChar w:fldCharType="separate"/>
      </w:r>
      <w:r>
        <w:t>87</w:t>
      </w:r>
      <w:r>
        <w:fldChar w:fldCharType="end"/>
      </w:r>
      <w:r>
        <w:fldChar w:fldCharType="end"/>
      </w:r>
    </w:p>
    <w:p>
      <w:pPr>
        <w:pStyle w:val="14"/>
        <w:tabs>
          <w:tab w:val="right" w:leader="dot" w:pos="8844"/>
        </w:tabs>
        <w:ind w:left="1120" w:firstLine="560"/>
      </w:pPr>
      <w:r>
        <w:fldChar w:fldCharType="begin"/>
      </w:r>
      <w:r>
        <w:instrText xml:space="preserve"> HYPERLINK \l "_Toc17105" </w:instrText>
      </w:r>
      <w:r>
        <w:fldChar w:fldCharType="separate"/>
      </w:r>
      <w:r>
        <w:t>第三节  提高干部综合领导能力</w:t>
      </w:r>
      <w:r>
        <w:tab/>
      </w:r>
      <w:r>
        <w:fldChar w:fldCharType="begin"/>
      </w:r>
      <w:r>
        <w:instrText xml:space="preserve"> PAGEREF _Toc17105 </w:instrText>
      </w:r>
      <w:r>
        <w:fldChar w:fldCharType="separate"/>
      </w:r>
      <w:r>
        <w:t>87</w:t>
      </w:r>
      <w:r>
        <w:fldChar w:fldCharType="end"/>
      </w:r>
      <w:r>
        <w:fldChar w:fldCharType="end"/>
      </w:r>
    </w:p>
    <w:p>
      <w:pPr>
        <w:pStyle w:val="22"/>
        <w:tabs>
          <w:tab w:val="right" w:leader="dot" w:pos="8844"/>
        </w:tabs>
        <w:ind w:left="560" w:firstLine="562"/>
      </w:pPr>
      <w:r>
        <w:fldChar w:fldCharType="begin"/>
      </w:r>
      <w:r>
        <w:instrText xml:space="preserve"> HYPERLINK \l "_Toc32377" </w:instrText>
      </w:r>
      <w:r>
        <w:fldChar w:fldCharType="separate"/>
      </w:r>
      <w:r>
        <w:rPr>
          <w:rFonts w:hint="eastAsia"/>
        </w:rPr>
        <w:t>第三十章  实现</w:t>
      </w:r>
      <w:r>
        <w:rPr>
          <w:rFonts w:hint="eastAsia"/>
          <w:lang w:eastAsia="zh-CN"/>
        </w:rPr>
        <w:t>巩固拓展脱贫攻坚成果同乡村振兴有效衔接</w:t>
      </w:r>
      <w:r>
        <w:tab/>
      </w:r>
      <w:r>
        <w:fldChar w:fldCharType="begin"/>
      </w:r>
      <w:r>
        <w:instrText xml:space="preserve"> PAGEREF _Toc32377 </w:instrText>
      </w:r>
      <w:r>
        <w:fldChar w:fldCharType="separate"/>
      </w:r>
      <w:r>
        <w:t>88</w:t>
      </w:r>
      <w:r>
        <w:fldChar w:fldCharType="end"/>
      </w:r>
      <w:r>
        <w:fldChar w:fldCharType="end"/>
      </w:r>
    </w:p>
    <w:p>
      <w:pPr>
        <w:pStyle w:val="14"/>
        <w:tabs>
          <w:tab w:val="right" w:leader="dot" w:pos="8844"/>
        </w:tabs>
        <w:ind w:left="1120" w:firstLine="560"/>
      </w:pPr>
      <w:r>
        <w:fldChar w:fldCharType="begin"/>
      </w:r>
      <w:r>
        <w:instrText xml:space="preserve"> HYPERLINK \l "_Toc6953" </w:instrText>
      </w:r>
      <w:r>
        <w:fldChar w:fldCharType="separate"/>
      </w:r>
      <w:r>
        <w:t>第一节  做好脱贫攻坚与乡村振兴有效衔接</w:t>
      </w:r>
      <w:r>
        <w:tab/>
      </w:r>
      <w:r>
        <w:fldChar w:fldCharType="begin"/>
      </w:r>
      <w:r>
        <w:instrText xml:space="preserve"> PAGEREF _Toc6953 </w:instrText>
      </w:r>
      <w:r>
        <w:fldChar w:fldCharType="separate"/>
      </w:r>
      <w:r>
        <w:t>88</w:t>
      </w:r>
      <w:r>
        <w:fldChar w:fldCharType="end"/>
      </w:r>
      <w:r>
        <w:fldChar w:fldCharType="end"/>
      </w:r>
    </w:p>
    <w:p>
      <w:pPr>
        <w:pStyle w:val="14"/>
        <w:tabs>
          <w:tab w:val="right" w:leader="dot" w:pos="8844"/>
        </w:tabs>
        <w:ind w:left="1120" w:firstLine="560"/>
      </w:pPr>
      <w:r>
        <w:fldChar w:fldCharType="begin"/>
      </w:r>
      <w:r>
        <w:instrText xml:space="preserve"> HYPERLINK \l "_Toc20237" </w:instrText>
      </w:r>
      <w:r>
        <w:fldChar w:fldCharType="separate"/>
      </w:r>
      <w:r>
        <w:t>第二节  健全完善防返贫动态监测和帮扶</w:t>
      </w:r>
      <w:r>
        <w:tab/>
      </w:r>
      <w:r>
        <w:fldChar w:fldCharType="begin"/>
      </w:r>
      <w:r>
        <w:instrText xml:space="preserve"> PAGEREF _Toc20237 </w:instrText>
      </w:r>
      <w:r>
        <w:fldChar w:fldCharType="separate"/>
      </w:r>
      <w:r>
        <w:t>89</w:t>
      </w:r>
      <w:r>
        <w:fldChar w:fldCharType="end"/>
      </w:r>
      <w:r>
        <w:fldChar w:fldCharType="end"/>
      </w:r>
    </w:p>
    <w:p>
      <w:pPr>
        <w:pStyle w:val="14"/>
        <w:tabs>
          <w:tab w:val="right" w:leader="dot" w:pos="8844"/>
        </w:tabs>
        <w:ind w:left="1120" w:firstLine="560"/>
      </w:pPr>
      <w:r>
        <w:fldChar w:fldCharType="begin"/>
      </w:r>
      <w:r>
        <w:instrText xml:space="preserve"> HYPERLINK \l "_Toc27319" </w:instrText>
      </w:r>
      <w:r>
        <w:fldChar w:fldCharType="separate"/>
      </w:r>
      <w:r>
        <w:t>第三节  构建市场主导化帮扶体系</w:t>
      </w:r>
      <w:r>
        <w:tab/>
      </w:r>
      <w:r>
        <w:fldChar w:fldCharType="begin"/>
      </w:r>
      <w:r>
        <w:instrText xml:space="preserve"> PAGEREF _Toc27319 </w:instrText>
      </w:r>
      <w:r>
        <w:fldChar w:fldCharType="separate"/>
      </w:r>
      <w:r>
        <w:t>89</w:t>
      </w:r>
      <w:r>
        <w:fldChar w:fldCharType="end"/>
      </w:r>
      <w:r>
        <w:fldChar w:fldCharType="end"/>
      </w:r>
    </w:p>
    <w:p>
      <w:pPr>
        <w:pStyle w:val="22"/>
        <w:tabs>
          <w:tab w:val="right" w:leader="dot" w:pos="8844"/>
        </w:tabs>
        <w:ind w:left="560" w:firstLine="562"/>
      </w:pPr>
      <w:r>
        <w:fldChar w:fldCharType="begin"/>
      </w:r>
      <w:r>
        <w:instrText xml:space="preserve"> HYPERLINK \l "_Toc12841" </w:instrText>
      </w:r>
      <w:r>
        <w:fldChar w:fldCharType="separate"/>
      </w:r>
      <w:r>
        <w:rPr>
          <w:rFonts w:hint="eastAsia"/>
        </w:rPr>
        <w:t>第三十一章  推进以人为核心的奉节特色新型城镇化</w:t>
      </w:r>
      <w:r>
        <w:tab/>
      </w:r>
      <w:r>
        <w:fldChar w:fldCharType="begin"/>
      </w:r>
      <w:r>
        <w:instrText xml:space="preserve"> PAGEREF _Toc12841 </w:instrText>
      </w:r>
      <w:r>
        <w:fldChar w:fldCharType="separate"/>
      </w:r>
      <w:r>
        <w:t>90</w:t>
      </w:r>
      <w:r>
        <w:fldChar w:fldCharType="end"/>
      </w:r>
      <w:r>
        <w:fldChar w:fldCharType="end"/>
      </w:r>
    </w:p>
    <w:p>
      <w:pPr>
        <w:pStyle w:val="14"/>
        <w:tabs>
          <w:tab w:val="right" w:leader="dot" w:pos="8844"/>
        </w:tabs>
        <w:ind w:left="1120" w:firstLine="560"/>
      </w:pPr>
      <w:r>
        <w:fldChar w:fldCharType="begin"/>
      </w:r>
      <w:r>
        <w:instrText xml:space="preserve"> HYPERLINK \l "_Toc2868" </w:instrText>
      </w:r>
      <w:r>
        <w:fldChar w:fldCharType="separate"/>
      </w:r>
      <w:r>
        <w:t>第一节  加快农业转移人口市民化</w:t>
      </w:r>
      <w:r>
        <w:tab/>
      </w:r>
      <w:r>
        <w:fldChar w:fldCharType="begin"/>
      </w:r>
      <w:r>
        <w:instrText xml:space="preserve"> PAGEREF _Toc2868 </w:instrText>
      </w:r>
      <w:r>
        <w:fldChar w:fldCharType="separate"/>
      </w:r>
      <w:r>
        <w:t>90</w:t>
      </w:r>
      <w:r>
        <w:fldChar w:fldCharType="end"/>
      </w:r>
      <w:r>
        <w:fldChar w:fldCharType="end"/>
      </w:r>
    </w:p>
    <w:p>
      <w:pPr>
        <w:pStyle w:val="14"/>
        <w:tabs>
          <w:tab w:val="right" w:leader="dot" w:pos="8844"/>
        </w:tabs>
        <w:ind w:left="1120" w:firstLine="560"/>
      </w:pPr>
      <w:r>
        <w:fldChar w:fldCharType="begin"/>
      </w:r>
      <w:r>
        <w:instrText xml:space="preserve"> HYPERLINK \l "_Toc13792" </w:instrText>
      </w:r>
      <w:r>
        <w:fldChar w:fldCharType="separate"/>
      </w:r>
      <w:r>
        <w:t>第二节  完善提升集镇基础设施</w:t>
      </w:r>
      <w:r>
        <w:tab/>
      </w:r>
      <w:r>
        <w:fldChar w:fldCharType="begin"/>
      </w:r>
      <w:r>
        <w:instrText xml:space="preserve"> PAGEREF _Toc13792 </w:instrText>
      </w:r>
      <w:r>
        <w:fldChar w:fldCharType="separate"/>
      </w:r>
      <w:r>
        <w:t>91</w:t>
      </w:r>
      <w:r>
        <w:fldChar w:fldCharType="end"/>
      </w:r>
      <w:r>
        <w:fldChar w:fldCharType="end"/>
      </w:r>
    </w:p>
    <w:p>
      <w:pPr>
        <w:pStyle w:val="14"/>
        <w:tabs>
          <w:tab w:val="right" w:leader="dot" w:pos="8844"/>
        </w:tabs>
        <w:ind w:left="1120" w:firstLine="560"/>
      </w:pPr>
      <w:r>
        <w:fldChar w:fldCharType="begin"/>
      </w:r>
      <w:r>
        <w:instrText xml:space="preserve"> HYPERLINK \l "_Toc2206" </w:instrText>
      </w:r>
      <w:r>
        <w:fldChar w:fldCharType="separate"/>
      </w:r>
      <w:r>
        <w:t>第三节  统筹城乡一体化发展</w:t>
      </w:r>
      <w:r>
        <w:tab/>
      </w:r>
      <w:r>
        <w:fldChar w:fldCharType="begin"/>
      </w:r>
      <w:r>
        <w:instrText xml:space="preserve"> PAGEREF _Toc2206 </w:instrText>
      </w:r>
      <w:r>
        <w:fldChar w:fldCharType="separate"/>
      </w:r>
      <w:r>
        <w:t>91</w:t>
      </w:r>
      <w:r>
        <w:fldChar w:fldCharType="end"/>
      </w:r>
      <w:r>
        <w:fldChar w:fldCharType="end"/>
      </w:r>
    </w:p>
    <w:p>
      <w:pPr>
        <w:pStyle w:val="19"/>
        <w:tabs>
          <w:tab w:val="right" w:leader="dot" w:pos="8844"/>
        </w:tabs>
      </w:pPr>
      <w:r>
        <w:fldChar w:fldCharType="begin"/>
      </w:r>
      <w:r>
        <w:instrText xml:space="preserve"> HYPERLINK \l "_Toc31631" </w:instrText>
      </w:r>
      <w:r>
        <w:fldChar w:fldCharType="separate"/>
      </w:r>
      <w:r>
        <w:rPr>
          <w:rFonts w:hint="eastAsia" w:ascii="黑体" w:hAnsi="黑体" w:cs="黑体"/>
        </w:rPr>
        <w:t>第八篇  全力推进产业转型升级，加快建设渝东北三峡库区大健康产业发展示范区</w:t>
      </w:r>
      <w:r>
        <w:tab/>
      </w:r>
      <w:r>
        <w:fldChar w:fldCharType="begin"/>
      </w:r>
      <w:r>
        <w:instrText xml:space="preserve"> PAGEREF _Toc31631 </w:instrText>
      </w:r>
      <w:r>
        <w:fldChar w:fldCharType="separate"/>
      </w:r>
      <w:r>
        <w:t>92</w:t>
      </w:r>
      <w:r>
        <w:fldChar w:fldCharType="end"/>
      </w:r>
      <w:r>
        <w:fldChar w:fldCharType="end"/>
      </w:r>
    </w:p>
    <w:p>
      <w:pPr>
        <w:pStyle w:val="22"/>
        <w:tabs>
          <w:tab w:val="right" w:leader="dot" w:pos="8844"/>
        </w:tabs>
        <w:ind w:left="560" w:firstLine="562"/>
      </w:pPr>
      <w:r>
        <w:fldChar w:fldCharType="begin"/>
      </w:r>
      <w:r>
        <w:instrText xml:space="preserve"> HYPERLINK \l "_Toc30447" </w:instrText>
      </w:r>
      <w:r>
        <w:fldChar w:fldCharType="separate"/>
      </w:r>
      <w:r>
        <w:rPr>
          <w:rFonts w:hint="eastAsia"/>
        </w:rPr>
        <w:t>第三十二章  提质发展服务业</w:t>
      </w:r>
      <w:r>
        <w:tab/>
      </w:r>
      <w:r>
        <w:fldChar w:fldCharType="begin"/>
      </w:r>
      <w:r>
        <w:instrText xml:space="preserve"> PAGEREF _Toc30447 </w:instrText>
      </w:r>
      <w:r>
        <w:fldChar w:fldCharType="separate"/>
      </w:r>
      <w:r>
        <w:t>92</w:t>
      </w:r>
      <w:r>
        <w:fldChar w:fldCharType="end"/>
      </w:r>
      <w:r>
        <w:fldChar w:fldCharType="end"/>
      </w:r>
    </w:p>
    <w:p>
      <w:pPr>
        <w:pStyle w:val="14"/>
        <w:tabs>
          <w:tab w:val="right" w:leader="dot" w:pos="8844"/>
        </w:tabs>
        <w:ind w:left="1120" w:firstLine="560"/>
      </w:pPr>
      <w:r>
        <w:fldChar w:fldCharType="begin"/>
      </w:r>
      <w:r>
        <w:instrText xml:space="preserve"> HYPERLINK \l "_Toc1831" </w:instrText>
      </w:r>
      <w:r>
        <w:fldChar w:fldCharType="separate"/>
      </w:r>
      <w:r>
        <w:t xml:space="preserve">第一节  </w:t>
      </w:r>
      <w:r>
        <w:rPr>
          <w:rFonts w:hint="eastAsia"/>
        </w:rPr>
        <w:t>着力增创</w:t>
      </w:r>
      <w:r>
        <w:t>生产性服务业</w:t>
      </w:r>
      <w:r>
        <w:rPr>
          <w:rFonts w:hint="eastAsia"/>
        </w:rPr>
        <w:t>优势</w:t>
      </w:r>
      <w:r>
        <w:tab/>
      </w:r>
      <w:r>
        <w:fldChar w:fldCharType="begin"/>
      </w:r>
      <w:r>
        <w:instrText xml:space="preserve"> PAGEREF _Toc1831 </w:instrText>
      </w:r>
      <w:r>
        <w:fldChar w:fldCharType="separate"/>
      </w:r>
      <w:r>
        <w:t>92</w:t>
      </w:r>
      <w:r>
        <w:fldChar w:fldCharType="end"/>
      </w:r>
      <w:r>
        <w:fldChar w:fldCharType="end"/>
      </w:r>
    </w:p>
    <w:p>
      <w:pPr>
        <w:pStyle w:val="14"/>
        <w:tabs>
          <w:tab w:val="right" w:leader="dot" w:pos="8844"/>
        </w:tabs>
        <w:ind w:left="1120" w:firstLine="560"/>
      </w:pPr>
      <w:r>
        <w:fldChar w:fldCharType="begin"/>
      </w:r>
      <w:r>
        <w:instrText xml:space="preserve"> HYPERLINK \l "_Toc4778" </w:instrText>
      </w:r>
      <w:r>
        <w:fldChar w:fldCharType="separate"/>
      </w:r>
      <w:r>
        <w:t xml:space="preserve">第二节  </w:t>
      </w:r>
      <w:r>
        <w:rPr>
          <w:rFonts w:hint="eastAsia"/>
        </w:rPr>
        <w:t>稳步提升</w:t>
      </w:r>
      <w:r>
        <w:t>生活性服务业品质</w:t>
      </w:r>
      <w:r>
        <w:tab/>
      </w:r>
      <w:r>
        <w:fldChar w:fldCharType="begin"/>
      </w:r>
      <w:r>
        <w:instrText xml:space="preserve"> PAGEREF _Toc4778 </w:instrText>
      </w:r>
      <w:r>
        <w:fldChar w:fldCharType="separate"/>
      </w:r>
      <w:r>
        <w:t>94</w:t>
      </w:r>
      <w:r>
        <w:fldChar w:fldCharType="end"/>
      </w:r>
      <w:r>
        <w:fldChar w:fldCharType="end"/>
      </w:r>
    </w:p>
    <w:p>
      <w:pPr>
        <w:pStyle w:val="14"/>
        <w:tabs>
          <w:tab w:val="right" w:leader="dot" w:pos="8844"/>
        </w:tabs>
        <w:ind w:left="1120" w:firstLine="560"/>
      </w:pPr>
      <w:r>
        <w:fldChar w:fldCharType="begin"/>
      </w:r>
      <w:r>
        <w:instrText xml:space="preserve"> HYPERLINK \l "_Toc12816" </w:instrText>
      </w:r>
      <w:r>
        <w:fldChar w:fldCharType="separate"/>
      </w:r>
      <w:r>
        <w:t xml:space="preserve">第三节  </w:t>
      </w:r>
      <w:r>
        <w:rPr>
          <w:rFonts w:hint="eastAsia"/>
        </w:rPr>
        <w:t>积极</w:t>
      </w:r>
      <w:r>
        <w:t>推动数字经济</w:t>
      </w:r>
      <w:r>
        <w:rPr>
          <w:rFonts w:hint="eastAsia"/>
        </w:rPr>
        <w:t>快速</w:t>
      </w:r>
      <w:r>
        <w:t>发展</w:t>
      </w:r>
      <w:r>
        <w:tab/>
      </w:r>
      <w:r>
        <w:fldChar w:fldCharType="begin"/>
      </w:r>
      <w:r>
        <w:instrText xml:space="preserve"> PAGEREF _Toc12816 </w:instrText>
      </w:r>
      <w:r>
        <w:fldChar w:fldCharType="separate"/>
      </w:r>
      <w:r>
        <w:t>95</w:t>
      </w:r>
      <w:r>
        <w:fldChar w:fldCharType="end"/>
      </w:r>
      <w:r>
        <w:fldChar w:fldCharType="end"/>
      </w:r>
    </w:p>
    <w:p>
      <w:pPr>
        <w:pStyle w:val="22"/>
        <w:tabs>
          <w:tab w:val="right" w:leader="dot" w:pos="8844"/>
        </w:tabs>
        <w:ind w:left="560" w:firstLine="562"/>
      </w:pPr>
      <w:r>
        <w:fldChar w:fldCharType="begin"/>
      </w:r>
      <w:r>
        <w:instrText xml:space="preserve"> HYPERLINK \l "_Toc27327" </w:instrText>
      </w:r>
      <w:r>
        <w:fldChar w:fldCharType="separate"/>
      </w:r>
      <w:r>
        <w:rPr>
          <w:rFonts w:hint="eastAsia"/>
        </w:rPr>
        <w:t>第三十三章  加快生态工业发展</w:t>
      </w:r>
      <w:r>
        <w:tab/>
      </w:r>
      <w:r>
        <w:fldChar w:fldCharType="begin"/>
      </w:r>
      <w:r>
        <w:instrText xml:space="preserve"> PAGEREF _Toc27327 </w:instrText>
      </w:r>
      <w:r>
        <w:fldChar w:fldCharType="separate"/>
      </w:r>
      <w:r>
        <w:t>97</w:t>
      </w:r>
      <w:r>
        <w:fldChar w:fldCharType="end"/>
      </w:r>
      <w:r>
        <w:fldChar w:fldCharType="end"/>
      </w:r>
    </w:p>
    <w:p>
      <w:pPr>
        <w:pStyle w:val="14"/>
        <w:tabs>
          <w:tab w:val="right" w:leader="dot" w:pos="8844"/>
        </w:tabs>
        <w:ind w:left="1120" w:firstLine="560"/>
      </w:pPr>
      <w:r>
        <w:fldChar w:fldCharType="begin"/>
      </w:r>
      <w:r>
        <w:instrText xml:space="preserve"> HYPERLINK \l "_Toc9726" </w:instrText>
      </w:r>
      <w:r>
        <w:fldChar w:fldCharType="separate"/>
      </w:r>
      <w:r>
        <w:t>第一节  优化工业空间布局</w:t>
      </w:r>
      <w:r>
        <w:tab/>
      </w:r>
      <w:r>
        <w:fldChar w:fldCharType="begin"/>
      </w:r>
      <w:r>
        <w:instrText xml:space="preserve"> PAGEREF _Toc9726 </w:instrText>
      </w:r>
      <w:r>
        <w:fldChar w:fldCharType="separate"/>
      </w:r>
      <w:r>
        <w:t>97</w:t>
      </w:r>
      <w:r>
        <w:fldChar w:fldCharType="end"/>
      </w:r>
      <w:r>
        <w:fldChar w:fldCharType="end"/>
      </w:r>
    </w:p>
    <w:p>
      <w:pPr>
        <w:pStyle w:val="14"/>
        <w:tabs>
          <w:tab w:val="right" w:leader="dot" w:pos="8844"/>
        </w:tabs>
        <w:ind w:left="1120" w:firstLine="560"/>
      </w:pPr>
      <w:r>
        <w:fldChar w:fldCharType="begin"/>
      </w:r>
      <w:r>
        <w:instrText xml:space="preserve"> HYPERLINK \l "_Toc1679" </w:instrText>
      </w:r>
      <w:r>
        <w:fldChar w:fldCharType="separate"/>
      </w:r>
      <w:r>
        <w:t>第二节  打造中国西部（重庆）眼镜产业园</w:t>
      </w:r>
      <w:r>
        <w:tab/>
      </w:r>
      <w:r>
        <w:fldChar w:fldCharType="begin"/>
      </w:r>
      <w:r>
        <w:instrText xml:space="preserve"> PAGEREF _Toc1679 </w:instrText>
      </w:r>
      <w:r>
        <w:fldChar w:fldCharType="separate"/>
      </w:r>
      <w:r>
        <w:t>98</w:t>
      </w:r>
      <w:r>
        <w:fldChar w:fldCharType="end"/>
      </w:r>
      <w:r>
        <w:fldChar w:fldCharType="end"/>
      </w:r>
    </w:p>
    <w:p>
      <w:pPr>
        <w:pStyle w:val="14"/>
        <w:tabs>
          <w:tab w:val="right" w:leader="dot" w:pos="8844"/>
        </w:tabs>
        <w:ind w:left="1120" w:firstLine="560"/>
      </w:pPr>
      <w:r>
        <w:fldChar w:fldCharType="begin"/>
      </w:r>
      <w:r>
        <w:instrText xml:space="preserve"> HYPERLINK \l "_Toc10079" </w:instrText>
      </w:r>
      <w:r>
        <w:fldChar w:fldCharType="separate"/>
      </w:r>
      <w:r>
        <w:rPr>
          <w:rFonts w:hint="eastAsia"/>
        </w:rPr>
        <w:t>第三节  打造三峡库区有影响力的特色农产品加工基地</w:t>
      </w:r>
      <w:r>
        <w:tab/>
      </w:r>
      <w:r>
        <w:fldChar w:fldCharType="begin"/>
      </w:r>
      <w:r>
        <w:instrText xml:space="preserve"> PAGEREF _Toc10079 </w:instrText>
      </w:r>
      <w:r>
        <w:fldChar w:fldCharType="separate"/>
      </w:r>
      <w:r>
        <w:t>99</w:t>
      </w:r>
      <w:r>
        <w:fldChar w:fldCharType="end"/>
      </w:r>
      <w:r>
        <w:fldChar w:fldCharType="end"/>
      </w:r>
    </w:p>
    <w:p>
      <w:pPr>
        <w:pStyle w:val="14"/>
        <w:tabs>
          <w:tab w:val="right" w:leader="dot" w:pos="8844"/>
        </w:tabs>
        <w:ind w:left="1120" w:firstLine="560"/>
      </w:pPr>
      <w:r>
        <w:fldChar w:fldCharType="begin"/>
      </w:r>
      <w:r>
        <w:instrText xml:space="preserve"> HYPERLINK \l "_Toc20764" </w:instrText>
      </w:r>
      <w:r>
        <w:fldChar w:fldCharType="separate"/>
      </w:r>
      <w:r>
        <w:rPr>
          <w:rFonts w:hint="eastAsia"/>
        </w:rPr>
        <w:t>第四节  打造节能环保新型材料产业集群</w:t>
      </w:r>
      <w:r>
        <w:tab/>
      </w:r>
      <w:r>
        <w:fldChar w:fldCharType="begin"/>
      </w:r>
      <w:r>
        <w:instrText xml:space="preserve"> PAGEREF _Toc20764 </w:instrText>
      </w:r>
      <w:r>
        <w:fldChar w:fldCharType="separate"/>
      </w:r>
      <w:r>
        <w:t>99</w:t>
      </w:r>
      <w:r>
        <w:fldChar w:fldCharType="end"/>
      </w:r>
      <w:r>
        <w:fldChar w:fldCharType="end"/>
      </w:r>
    </w:p>
    <w:p>
      <w:pPr>
        <w:pStyle w:val="14"/>
        <w:tabs>
          <w:tab w:val="right" w:leader="dot" w:pos="8844"/>
        </w:tabs>
        <w:ind w:left="1120" w:firstLine="560"/>
      </w:pPr>
      <w:r>
        <w:fldChar w:fldCharType="begin"/>
      </w:r>
      <w:r>
        <w:instrText xml:space="preserve"> HYPERLINK \l "_Toc29775" </w:instrText>
      </w:r>
      <w:r>
        <w:fldChar w:fldCharType="separate"/>
      </w:r>
      <w:r>
        <w:rPr>
          <w:rFonts w:hint="eastAsia"/>
        </w:rPr>
        <w:t>第五节  打造三峡库区特色生物制药研发生产基地</w:t>
      </w:r>
      <w:r>
        <w:tab/>
      </w:r>
      <w:r>
        <w:fldChar w:fldCharType="begin"/>
      </w:r>
      <w:r>
        <w:instrText xml:space="preserve"> PAGEREF _Toc29775 </w:instrText>
      </w:r>
      <w:r>
        <w:fldChar w:fldCharType="separate"/>
      </w:r>
      <w:r>
        <w:t>100</w:t>
      </w:r>
      <w:r>
        <w:fldChar w:fldCharType="end"/>
      </w:r>
      <w:r>
        <w:fldChar w:fldCharType="end"/>
      </w:r>
    </w:p>
    <w:p>
      <w:pPr>
        <w:pStyle w:val="14"/>
        <w:tabs>
          <w:tab w:val="right" w:leader="dot" w:pos="8844"/>
        </w:tabs>
        <w:ind w:left="1120" w:firstLine="560"/>
      </w:pPr>
      <w:r>
        <w:fldChar w:fldCharType="begin"/>
      </w:r>
      <w:r>
        <w:instrText xml:space="preserve"> HYPERLINK \l "_Toc6822" </w:instrText>
      </w:r>
      <w:r>
        <w:fldChar w:fldCharType="separate"/>
      </w:r>
      <w:r>
        <w:rPr>
          <w:rFonts w:hint="eastAsia"/>
        </w:rPr>
        <w:t>第六节  打造数字经济发展新高地</w:t>
      </w:r>
      <w:r>
        <w:tab/>
      </w:r>
      <w:r>
        <w:fldChar w:fldCharType="begin"/>
      </w:r>
      <w:r>
        <w:instrText xml:space="preserve"> PAGEREF _Toc6822 </w:instrText>
      </w:r>
      <w:r>
        <w:fldChar w:fldCharType="separate"/>
      </w:r>
      <w:r>
        <w:t>100</w:t>
      </w:r>
      <w:r>
        <w:fldChar w:fldCharType="end"/>
      </w:r>
      <w:r>
        <w:fldChar w:fldCharType="end"/>
      </w:r>
    </w:p>
    <w:p>
      <w:pPr>
        <w:pStyle w:val="14"/>
        <w:tabs>
          <w:tab w:val="right" w:leader="dot" w:pos="8844"/>
        </w:tabs>
        <w:ind w:left="1120" w:firstLine="560"/>
      </w:pPr>
      <w:r>
        <w:fldChar w:fldCharType="begin"/>
      </w:r>
      <w:r>
        <w:instrText xml:space="preserve"> HYPERLINK \l "_Toc25664" </w:instrText>
      </w:r>
      <w:r>
        <w:fldChar w:fldCharType="separate"/>
      </w:r>
      <w:r>
        <w:t>第七节</w:t>
      </w:r>
      <w:r>
        <w:rPr>
          <w:rFonts w:hint="eastAsia"/>
        </w:rPr>
        <w:t xml:space="preserve">  打造西部装配式建筑产业与技术高地</w:t>
      </w:r>
      <w:r>
        <w:tab/>
      </w:r>
      <w:r>
        <w:fldChar w:fldCharType="begin"/>
      </w:r>
      <w:r>
        <w:instrText xml:space="preserve"> PAGEREF _Toc25664 </w:instrText>
      </w:r>
      <w:r>
        <w:fldChar w:fldCharType="separate"/>
      </w:r>
      <w:r>
        <w:t>101</w:t>
      </w:r>
      <w:r>
        <w:fldChar w:fldCharType="end"/>
      </w:r>
      <w:r>
        <w:fldChar w:fldCharType="end"/>
      </w:r>
    </w:p>
    <w:p>
      <w:pPr>
        <w:pStyle w:val="14"/>
        <w:tabs>
          <w:tab w:val="right" w:leader="dot" w:pos="8844"/>
        </w:tabs>
        <w:ind w:left="1120" w:firstLine="560"/>
      </w:pPr>
      <w:r>
        <w:fldChar w:fldCharType="begin"/>
      </w:r>
      <w:r>
        <w:instrText xml:space="preserve"> HYPERLINK \l "_Toc19524" </w:instrText>
      </w:r>
      <w:r>
        <w:fldChar w:fldCharType="separate"/>
      </w:r>
      <w:r>
        <w:t>第八节  健全生态工业服务体系</w:t>
      </w:r>
      <w:r>
        <w:tab/>
      </w:r>
      <w:r>
        <w:fldChar w:fldCharType="begin"/>
      </w:r>
      <w:r>
        <w:instrText xml:space="preserve"> PAGEREF _Toc19524 </w:instrText>
      </w:r>
      <w:r>
        <w:fldChar w:fldCharType="separate"/>
      </w:r>
      <w:r>
        <w:t>102</w:t>
      </w:r>
      <w:r>
        <w:fldChar w:fldCharType="end"/>
      </w:r>
      <w:r>
        <w:fldChar w:fldCharType="end"/>
      </w:r>
    </w:p>
    <w:p>
      <w:pPr>
        <w:pStyle w:val="22"/>
        <w:tabs>
          <w:tab w:val="right" w:leader="dot" w:pos="8844"/>
        </w:tabs>
        <w:ind w:left="560" w:firstLine="562"/>
      </w:pPr>
      <w:r>
        <w:fldChar w:fldCharType="begin"/>
      </w:r>
      <w:r>
        <w:instrText xml:space="preserve"> HYPERLINK \l "_Toc5549" </w:instrText>
      </w:r>
      <w:r>
        <w:fldChar w:fldCharType="separate"/>
      </w:r>
      <w:r>
        <w:rPr>
          <w:rFonts w:hint="eastAsia"/>
        </w:rPr>
        <w:t>第三十四章  培育发展大健康产业</w:t>
      </w:r>
      <w:r>
        <w:tab/>
      </w:r>
      <w:r>
        <w:fldChar w:fldCharType="begin"/>
      </w:r>
      <w:r>
        <w:instrText xml:space="preserve"> PAGEREF _Toc5549 </w:instrText>
      </w:r>
      <w:r>
        <w:fldChar w:fldCharType="separate"/>
      </w:r>
      <w:r>
        <w:t>103</w:t>
      </w:r>
      <w:r>
        <w:fldChar w:fldCharType="end"/>
      </w:r>
      <w:r>
        <w:fldChar w:fldCharType="end"/>
      </w:r>
    </w:p>
    <w:p>
      <w:pPr>
        <w:pStyle w:val="14"/>
        <w:tabs>
          <w:tab w:val="right" w:leader="dot" w:pos="8844"/>
        </w:tabs>
        <w:ind w:left="1120" w:firstLine="560"/>
      </w:pPr>
      <w:r>
        <w:fldChar w:fldCharType="begin"/>
      </w:r>
      <w:r>
        <w:instrText xml:space="preserve"> HYPERLINK \l "_Toc1344" </w:instrText>
      </w:r>
      <w:r>
        <w:fldChar w:fldCharType="separate"/>
      </w:r>
      <w:r>
        <w:t>第一节  优化大健康产业布局</w:t>
      </w:r>
      <w:r>
        <w:tab/>
      </w:r>
      <w:r>
        <w:fldChar w:fldCharType="begin"/>
      </w:r>
      <w:r>
        <w:instrText xml:space="preserve"> PAGEREF _Toc1344 </w:instrText>
      </w:r>
      <w:r>
        <w:fldChar w:fldCharType="separate"/>
      </w:r>
      <w:r>
        <w:t>103</w:t>
      </w:r>
      <w:r>
        <w:fldChar w:fldCharType="end"/>
      </w:r>
      <w:r>
        <w:fldChar w:fldCharType="end"/>
      </w:r>
    </w:p>
    <w:p>
      <w:pPr>
        <w:pStyle w:val="14"/>
        <w:tabs>
          <w:tab w:val="right" w:leader="dot" w:pos="8844"/>
        </w:tabs>
        <w:ind w:left="1120" w:firstLine="560"/>
      </w:pPr>
      <w:r>
        <w:fldChar w:fldCharType="begin"/>
      </w:r>
      <w:r>
        <w:instrText xml:space="preserve"> HYPERLINK \l "_Toc8850" </w:instrText>
      </w:r>
      <w:r>
        <w:fldChar w:fldCharType="separate"/>
      </w:r>
      <w:r>
        <w:t>第二节  增强大健康产品供给</w:t>
      </w:r>
      <w:r>
        <w:tab/>
      </w:r>
      <w:r>
        <w:fldChar w:fldCharType="begin"/>
      </w:r>
      <w:r>
        <w:instrText xml:space="preserve"> PAGEREF _Toc8850 </w:instrText>
      </w:r>
      <w:r>
        <w:fldChar w:fldCharType="separate"/>
      </w:r>
      <w:r>
        <w:t>105</w:t>
      </w:r>
      <w:r>
        <w:fldChar w:fldCharType="end"/>
      </w:r>
      <w:r>
        <w:fldChar w:fldCharType="end"/>
      </w:r>
    </w:p>
    <w:p>
      <w:pPr>
        <w:pStyle w:val="14"/>
        <w:tabs>
          <w:tab w:val="right" w:leader="dot" w:pos="8844"/>
        </w:tabs>
        <w:ind w:left="1120" w:firstLine="560"/>
      </w:pPr>
      <w:r>
        <w:fldChar w:fldCharType="begin"/>
      </w:r>
      <w:r>
        <w:instrText xml:space="preserve"> HYPERLINK \l "_Toc22577" </w:instrText>
      </w:r>
      <w:r>
        <w:fldChar w:fldCharType="separate"/>
      </w:r>
      <w:r>
        <w:t>第三节  完善大健康服务体系</w:t>
      </w:r>
      <w:r>
        <w:tab/>
      </w:r>
      <w:r>
        <w:fldChar w:fldCharType="begin"/>
      </w:r>
      <w:r>
        <w:instrText xml:space="preserve"> PAGEREF _Toc22577 </w:instrText>
      </w:r>
      <w:r>
        <w:fldChar w:fldCharType="separate"/>
      </w:r>
      <w:r>
        <w:t>106</w:t>
      </w:r>
      <w:r>
        <w:fldChar w:fldCharType="end"/>
      </w:r>
      <w:r>
        <w:fldChar w:fldCharType="end"/>
      </w:r>
    </w:p>
    <w:p>
      <w:pPr>
        <w:pStyle w:val="19"/>
        <w:tabs>
          <w:tab w:val="right" w:leader="dot" w:pos="8844"/>
        </w:tabs>
      </w:pPr>
      <w:r>
        <w:fldChar w:fldCharType="begin"/>
      </w:r>
      <w:r>
        <w:instrText xml:space="preserve"> HYPERLINK \l "_Toc22912" </w:instrText>
      </w:r>
      <w:r>
        <w:fldChar w:fldCharType="separate"/>
      </w:r>
      <w:r>
        <w:rPr>
          <w:rFonts w:hint="eastAsia" w:ascii="黑体" w:hAnsi="黑体" w:cs="黑体"/>
        </w:rPr>
        <w:t>第九篇  在更高起点推进体制机制改革</w:t>
      </w:r>
      <w:r>
        <w:tab/>
      </w:r>
      <w:r>
        <w:fldChar w:fldCharType="begin"/>
      </w:r>
      <w:r>
        <w:instrText xml:space="preserve"> PAGEREF _Toc22912 </w:instrText>
      </w:r>
      <w:r>
        <w:fldChar w:fldCharType="separate"/>
      </w:r>
      <w:r>
        <w:t>109</w:t>
      </w:r>
      <w:r>
        <w:fldChar w:fldCharType="end"/>
      </w:r>
      <w:r>
        <w:fldChar w:fldCharType="end"/>
      </w:r>
    </w:p>
    <w:p>
      <w:pPr>
        <w:pStyle w:val="22"/>
        <w:tabs>
          <w:tab w:val="right" w:leader="dot" w:pos="8844"/>
        </w:tabs>
        <w:ind w:left="560" w:firstLine="562"/>
      </w:pPr>
      <w:r>
        <w:fldChar w:fldCharType="begin"/>
      </w:r>
      <w:r>
        <w:instrText xml:space="preserve"> HYPERLINK \l "_Toc20026" </w:instrText>
      </w:r>
      <w:r>
        <w:fldChar w:fldCharType="separate"/>
      </w:r>
      <w:r>
        <w:rPr>
          <w:rFonts w:hint="eastAsia"/>
        </w:rPr>
        <w:t>第三十五章  加快政府职能转变，优化营商环境</w:t>
      </w:r>
      <w:r>
        <w:tab/>
      </w:r>
      <w:r>
        <w:fldChar w:fldCharType="begin"/>
      </w:r>
      <w:r>
        <w:instrText xml:space="preserve"> PAGEREF _Toc20026 </w:instrText>
      </w:r>
      <w:r>
        <w:fldChar w:fldCharType="separate"/>
      </w:r>
      <w:r>
        <w:t>109</w:t>
      </w:r>
      <w:r>
        <w:fldChar w:fldCharType="end"/>
      </w:r>
      <w:r>
        <w:fldChar w:fldCharType="end"/>
      </w:r>
    </w:p>
    <w:p>
      <w:pPr>
        <w:pStyle w:val="14"/>
        <w:tabs>
          <w:tab w:val="right" w:leader="dot" w:pos="8844"/>
        </w:tabs>
        <w:ind w:left="1120" w:firstLine="560"/>
      </w:pPr>
      <w:r>
        <w:fldChar w:fldCharType="begin"/>
      </w:r>
      <w:r>
        <w:instrText xml:space="preserve"> HYPERLINK \l "_Toc10380" </w:instrText>
      </w:r>
      <w:r>
        <w:fldChar w:fldCharType="separate"/>
      </w:r>
      <w:r>
        <w:t>第一节  加强政府自身能力建设</w:t>
      </w:r>
      <w:r>
        <w:tab/>
      </w:r>
      <w:r>
        <w:fldChar w:fldCharType="begin"/>
      </w:r>
      <w:r>
        <w:instrText xml:space="preserve"> PAGEREF _Toc10380 </w:instrText>
      </w:r>
      <w:r>
        <w:fldChar w:fldCharType="separate"/>
      </w:r>
      <w:r>
        <w:t>109</w:t>
      </w:r>
      <w:r>
        <w:fldChar w:fldCharType="end"/>
      </w:r>
      <w:r>
        <w:fldChar w:fldCharType="end"/>
      </w:r>
    </w:p>
    <w:p>
      <w:pPr>
        <w:pStyle w:val="14"/>
        <w:tabs>
          <w:tab w:val="right" w:leader="dot" w:pos="8844"/>
        </w:tabs>
        <w:ind w:left="1120" w:firstLine="560"/>
      </w:pPr>
      <w:r>
        <w:fldChar w:fldCharType="begin"/>
      </w:r>
      <w:r>
        <w:instrText xml:space="preserve"> HYPERLINK \l "_Toc18633" </w:instrText>
      </w:r>
      <w:r>
        <w:fldChar w:fldCharType="separate"/>
      </w:r>
      <w:r>
        <w:t>第二节  切实推动民法典全面有效实施</w:t>
      </w:r>
      <w:r>
        <w:tab/>
      </w:r>
      <w:r>
        <w:fldChar w:fldCharType="begin"/>
      </w:r>
      <w:r>
        <w:instrText xml:space="preserve"> PAGEREF _Toc18633 </w:instrText>
      </w:r>
      <w:r>
        <w:fldChar w:fldCharType="separate"/>
      </w:r>
      <w:r>
        <w:t>110</w:t>
      </w:r>
      <w:r>
        <w:fldChar w:fldCharType="end"/>
      </w:r>
      <w:r>
        <w:fldChar w:fldCharType="end"/>
      </w:r>
    </w:p>
    <w:p>
      <w:pPr>
        <w:pStyle w:val="14"/>
        <w:tabs>
          <w:tab w:val="right" w:leader="dot" w:pos="8844"/>
        </w:tabs>
        <w:ind w:left="1120" w:firstLine="560"/>
      </w:pPr>
      <w:r>
        <w:fldChar w:fldCharType="begin"/>
      </w:r>
      <w:r>
        <w:instrText xml:space="preserve"> HYPERLINK \l "_Toc4195" </w:instrText>
      </w:r>
      <w:r>
        <w:fldChar w:fldCharType="separate"/>
      </w:r>
      <w:r>
        <w:t>第三节  持续打造最优营商环境</w:t>
      </w:r>
      <w:r>
        <w:tab/>
      </w:r>
      <w:r>
        <w:fldChar w:fldCharType="begin"/>
      </w:r>
      <w:r>
        <w:instrText xml:space="preserve"> PAGEREF _Toc4195 </w:instrText>
      </w:r>
      <w:r>
        <w:fldChar w:fldCharType="separate"/>
      </w:r>
      <w:r>
        <w:t>110</w:t>
      </w:r>
      <w:r>
        <w:fldChar w:fldCharType="end"/>
      </w:r>
      <w:r>
        <w:fldChar w:fldCharType="end"/>
      </w:r>
    </w:p>
    <w:p>
      <w:pPr>
        <w:pStyle w:val="22"/>
        <w:tabs>
          <w:tab w:val="right" w:leader="dot" w:pos="8844"/>
        </w:tabs>
        <w:ind w:left="560" w:firstLine="562"/>
      </w:pPr>
      <w:r>
        <w:fldChar w:fldCharType="begin"/>
      </w:r>
      <w:r>
        <w:instrText xml:space="preserve"> HYPERLINK \l "_Toc24273" </w:instrText>
      </w:r>
      <w:r>
        <w:fldChar w:fldCharType="separate"/>
      </w:r>
      <w:r>
        <w:rPr>
          <w:rFonts w:hint="eastAsia"/>
        </w:rPr>
        <w:t>第三十六章  建设高标准市场体系，培育市场主体</w:t>
      </w:r>
      <w:r>
        <w:tab/>
      </w:r>
      <w:r>
        <w:fldChar w:fldCharType="begin"/>
      </w:r>
      <w:r>
        <w:instrText xml:space="preserve"> PAGEREF _Toc24273 </w:instrText>
      </w:r>
      <w:r>
        <w:fldChar w:fldCharType="separate"/>
      </w:r>
      <w:r>
        <w:t>111</w:t>
      </w:r>
      <w:r>
        <w:fldChar w:fldCharType="end"/>
      </w:r>
      <w:r>
        <w:fldChar w:fldCharType="end"/>
      </w:r>
    </w:p>
    <w:p>
      <w:pPr>
        <w:pStyle w:val="14"/>
        <w:tabs>
          <w:tab w:val="right" w:leader="dot" w:pos="8844"/>
        </w:tabs>
        <w:ind w:left="1120" w:firstLine="560"/>
      </w:pPr>
      <w:r>
        <w:fldChar w:fldCharType="begin"/>
      </w:r>
      <w:r>
        <w:instrText xml:space="preserve"> HYPERLINK \l "_Toc26951" </w:instrText>
      </w:r>
      <w:r>
        <w:fldChar w:fldCharType="separate"/>
      </w:r>
      <w:r>
        <w:t>第一节  健全社会信用体系</w:t>
      </w:r>
      <w:r>
        <w:tab/>
      </w:r>
      <w:r>
        <w:fldChar w:fldCharType="begin"/>
      </w:r>
      <w:r>
        <w:instrText xml:space="preserve"> PAGEREF _Toc26951 </w:instrText>
      </w:r>
      <w:r>
        <w:fldChar w:fldCharType="separate"/>
      </w:r>
      <w:r>
        <w:t>111</w:t>
      </w:r>
      <w:r>
        <w:fldChar w:fldCharType="end"/>
      </w:r>
      <w:r>
        <w:fldChar w:fldCharType="end"/>
      </w:r>
    </w:p>
    <w:p>
      <w:pPr>
        <w:pStyle w:val="14"/>
        <w:tabs>
          <w:tab w:val="right" w:leader="dot" w:pos="8844"/>
        </w:tabs>
        <w:ind w:left="1120" w:firstLine="560"/>
      </w:pPr>
      <w:r>
        <w:fldChar w:fldCharType="begin"/>
      </w:r>
      <w:r>
        <w:instrText xml:space="preserve"> HYPERLINK \l "_Toc30806" </w:instrText>
      </w:r>
      <w:r>
        <w:fldChar w:fldCharType="separate"/>
      </w:r>
      <w:r>
        <w:t>第二节  完善市场化要素配置机制</w:t>
      </w:r>
      <w:r>
        <w:tab/>
      </w:r>
      <w:r>
        <w:fldChar w:fldCharType="begin"/>
      </w:r>
      <w:r>
        <w:instrText xml:space="preserve"> PAGEREF _Toc30806 </w:instrText>
      </w:r>
      <w:r>
        <w:fldChar w:fldCharType="separate"/>
      </w:r>
      <w:r>
        <w:t>111</w:t>
      </w:r>
      <w:r>
        <w:fldChar w:fldCharType="end"/>
      </w:r>
      <w:r>
        <w:fldChar w:fldCharType="end"/>
      </w:r>
    </w:p>
    <w:p>
      <w:pPr>
        <w:pStyle w:val="22"/>
        <w:tabs>
          <w:tab w:val="right" w:leader="dot" w:pos="8844"/>
        </w:tabs>
        <w:ind w:left="560" w:firstLine="562"/>
      </w:pPr>
      <w:r>
        <w:fldChar w:fldCharType="begin"/>
      </w:r>
      <w:r>
        <w:instrText xml:space="preserve"> HYPERLINK \l "_Toc20682" </w:instrText>
      </w:r>
      <w:r>
        <w:fldChar w:fldCharType="separate"/>
      </w:r>
      <w:r>
        <w:rPr>
          <w:rFonts w:hint="eastAsia"/>
        </w:rPr>
        <w:t>第三十七章  深化国有企业改革，激发市场活力</w:t>
      </w:r>
      <w:r>
        <w:tab/>
      </w:r>
      <w:r>
        <w:fldChar w:fldCharType="begin"/>
      </w:r>
      <w:r>
        <w:instrText xml:space="preserve"> PAGEREF _Toc20682 </w:instrText>
      </w:r>
      <w:r>
        <w:fldChar w:fldCharType="separate"/>
      </w:r>
      <w:r>
        <w:t>112</w:t>
      </w:r>
      <w:r>
        <w:fldChar w:fldCharType="end"/>
      </w:r>
      <w:r>
        <w:fldChar w:fldCharType="end"/>
      </w:r>
    </w:p>
    <w:p>
      <w:pPr>
        <w:pStyle w:val="14"/>
        <w:tabs>
          <w:tab w:val="right" w:leader="dot" w:pos="8844"/>
        </w:tabs>
        <w:ind w:left="1120" w:firstLine="560"/>
      </w:pPr>
      <w:r>
        <w:fldChar w:fldCharType="begin"/>
      </w:r>
      <w:r>
        <w:instrText xml:space="preserve"> HYPERLINK \l "_Toc17336" </w:instrText>
      </w:r>
      <w:r>
        <w:fldChar w:fldCharType="separate"/>
      </w:r>
      <w:r>
        <w:t>第一节  纵深推进国企改革创新</w:t>
      </w:r>
      <w:r>
        <w:tab/>
      </w:r>
      <w:r>
        <w:fldChar w:fldCharType="begin"/>
      </w:r>
      <w:r>
        <w:instrText xml:space="preserve"> PAGEREF _Toc17336 </w:instrText>
      </w:r>
      <w:r>
        <w:fldChar w:fldCharType="separate"/>
      </w:r>
      <w:r>
        <w:t>112</w:t>
      </w:r>
      <w:r>
        <w:fldChar w:fldCharType="end"/>
      </w:r>
      <w:r>
        <w:fldChar w:fldCharType="end"/>
      </w:r>
    </w:p>
    <w:p>
      <w:pPr>
        <w:pStyle w:val="14"/>
        <w:tabs>
          <w:tab w:val="right" w:leader="dot" w:pos="8844"/>
        </w:tabs>
        <w:ind w:left="1120" w:firstLine="560"/>
      </w:pPr>
      <w:r>
        <w:fldChar w:fldCharType="begin"/>
      </w:r>
      <w:r>
        <w:instrText xml:space="preserve"> HYPERLINK \l "_Toc14901" </w:instrText>
      </w:r>
      <w:r>
        <w:fldChar w:fldCharType="separate"/>
      </w:r>
      <w:r>
        <w:t>第二节  建设现代金融服务体系</w:t>
      </w:r>
      <w:r>
        <w:tab/>
      </w:r>
      <w:r>
        <w:fldChar w:fldCharType="begin"/>
      </w:r>
      <w:r>
        <w:instrText xml:space="preserve"> PAGEREF _Toc14901 </w:instrText>
      </w:r>
      <w:r>
        <w:fldChar w:fldCharType="separate"/>
      </w:r>
      <w:r>
        <w:t>113</w:t>
      </w:r>
      <w:r>
        <w:fldChar w:fldCharType="end"/>
      </w:r>
      <w:r>
        <w:fldChar w:fldCharType="end"/>
      </w:r>
    </w:p>
    <w:p>
      <w:pPr>
        <w:pStyle w:val="22"/>
        <w:tabs>
          <w:tab w:val="right" w:leader="dot" w:pos="8844"/>
        </w:tabs>
        <w:ind w:left="560" w:firstLine="562"/>
      </w:pPr>
      <w:r>
        <w:fldChar w:fldCharType="begin"/>
      </w:r>
      <w:r>
        <w:instrText xml:space="preserve"> HYPERLINK \l "_Toc28392" </w:instrText>
      </w:r>
      <w:r>
        <w:fldChar w:fldCharType="separate"/>
      </w:r>
      <w:r>
        <w:rPr>
          <w:rFonts w:hint="eastAsia"/>
        </w:rPr>
        <w:t>第三十八章  全面深化农村改革</w:t>
      </w:r>
      <w:r>
        <w:tab/>
      </w:r>
      <w:r>
        <w:fldChar w:fldCharType="begin"/>
      </w:r>
      <w:r>
        <w:instrText xml:space="preserve"> PAGEREF _Toc28392 </w:instrText>
      </w:r>
      <w:r>
        <w:fldChar w:fldCharType="separate"/>
      </w:r>
      <w:r>
        <w:t>114</w:t>
      </w:r>
      <w:r>
        <w:fldChar w:fldCharType="end"/>
      </w:r>
      <w:r>
        <w:fldChar w:fldCharType="end"/>
      </w:r>
    </w:p>
    <w:p>
      <w:pPr>
        <w:pStyle w:val="14"/>
        <w:tabs>
          <w:tab w:val="right" w:leader="dot" w:pos="8844"/>
        </w:tabs>
        <w:ind w:left="1120" w:firstLine="560"/>
      </w:pPr>
      <w:r>
        <w:fldChar w:fldCharType="begin"/>
      </w:r>
      <w:r>
        <w:instrText xml:space="preserve"> HYPERLINK \l "_Toc21864" </w:instrText>
      </w:r>
      <w:r>
        <w:fldChar w:fldCharType="separate"/>
      </w:r>
      <w:r>
        <w:t>第一节  巩固完善农村基本经营制度</w:t>
      </w:r>
      <w:r>
        <w:tab/>
      </w:r>
      <w:r>
        <w:fldChar w:fldCharType="begin"/>
      </w:r>
      <w:r>
        <w:instrText xml:space="preserve"> PAGEREF _Toc21864 </w:instrText>
      </w:r>
      <w:r>
        <w:fldChar w:fldCharType="separate"/>
      </w:r>
      <w:r>
        <w:t>114</w:t>
      </w:r>
      <w:r>
        <w:fldChar w:fldCharType="end"/>
      </w:r>
      <w:r>
        <w:fldChar w:fldCharType="end"/>
      </w:r>
    </w:p>
    <w:p>
      <w:pPr>
        <w:pStyle w:val="14"/>
        <w:tabs>
          <w:tab w:val="right" w:leader="dot" w:pos="8844"/>
        </w:tabs>
        <w:ind w:left="1120" w:firstLine="560"/>
      </w:pPr>
      <w:r>
        <w:fldChar w:fldCharType="begin"/>
      </w:r>
      <w:r>
        <w:instrText xml:space="preserve"> HYPERLINK \l "_Toc20368" </w:instrText>
      </w:r>
      <w:r>
        <w:fldChar w:fldCharType="separate"/>
      </w:r>
      <w:r>
        <w:t>第二节  深化农村土地制度改革</w:t>
      </w:r>
      <w:r>
        <w:tab/>
      </w:r>
      <w:r>
        <w:fldChar w:fldCharType="begin"/>
      </w:r>
      <w:r>
        <w:instrText xml:space="preserve"> PAGEREF _Toc20368 </w:instrText>
      </w:r>
      <w:r>
        <w:fldChar w:fldCharType="separate"/>
      </w:r>
      <w:r>
        <w:t>114</w:t>
      </w:r>
      <w:r>
        <w:fldChar w:fldCharType="end"/>
      </w:r>
      <w:r>
        <w:fldChar w:fldCharType="end"/>
      </w:r>
    </w:p>
    <w:p>
      <w:pPr>
        <w:pStyle w:val="14"/>
        <w:tabs>
          <w:tab w:val="right" w:leader="dot" w:pos="8844"/>
        </w:tabs>
        <w:ind w:left="1120" w:firstLine="560"/>
      </w:pPr>
      <w:r>
        <w:fldChar w:fldCharType="begin"/>
      </w:r>
      <w:r>
        <w:instrText xml:space="preserve"> HYPERLINK \l "_Toc26066" </w:instrText>
      </w:r>
      <w:r>
        <w:fldChar w:fldCharType="separate"/>
      </w:r>
      <w:r>
        <w:t>第三节  完善农业支持保护制度</w:t>
      </w:r>
      <w:r>
        <w:tab/>
      </w:r>
      <w:r>
        <w:fldChar w:fldCharType="begin"/>
      </w:r>
      <w:r>
        <w:instrText xml:space="preserve"> PAGEREF _Toc26066 </w:instrText>
      </w:r>
      <w:r>
        <w:fldChar w:fldCharType="separate"/>
      </w:r>
      <w:r>
        <w:t>115</w:t>
      </w:r>
      <w:r>
        <w:fldChar w:fldCharType="end"/>
      </w:r>
      <w:r>
        <w:fldChar w:fldCharType="end"/>
      </w:r>
    </w:p>
    <w:p>
      <w:pPr>
        <w:pStyle w:val="14"/>
        <w:tabs>
          <w:tab w:val="right" w:leader="dot" w:pos="8844"/>
        </w:tabs>
        <w:ind w:left="1120" w:firstLine="560"/>
      </w:pPr>
      <w:r>
        <w:fldChar w:fldCharType="begin"/>
      </w:r>
      <w:r>
        <w:instrText xml:space="preserve"> HYPERLINK \l "_Toc11216" </w:instrText>
      </w:r>
      <w:r>
        <w:fldChar w:fldCharType="separate"/>
      </w:r>
      <w:r>
        <w:t>第四节  健全城乡融合发展体制机制</w:t>
      </w:r>
      <w:r>
        <w:tab/>
      </w:r>
      <w:r>
        <w:fldChar w:fldCharType="begin"/>
      </w:r>
      <w:r>
        <w:instrText xml:space="preserve"> PAGEREF _Toc11216 </w:instrText>
      </w:r>
      <w:r>
        <w:fldChar w:fldCharType="separate"/>
      </w:r>
      <w:r>
        <w:t>115</w:t>
      </w:r>
      <w:r>
        <w:fldChar w:fldCharType="end"/>
      </w:r>
      <w:r>
        <w:fldChar w:fldCharType="end"/>
      </w:r>
    </w:p>
    <w:p>
      <w:pPr>
        <w:pStyle w:val="19"/>
        <w:tabs>
          <w:tab w:val="right" w:leader="dot" w:pos="8844"/>
        </w:tabs>
      </w:pPr>
      <w:r>
        <w:fldChar w:fldCharType="begin"/>
      </w:r>
      <w:r>
        <w:instrText xml:space="preserve"> HYPERLINK \l "_Toc15032" </w:instrText>
      </w:r>
      <w:r>
        <w:fldChar w:fldCharType="separate"/>
      </w:r>
      <w:r>
        <w:rPr>
          <w:rFonts w:hint="eastAsia" w:ascii="黑体" w:hAnsi="黑体" w:cs="黑体"/>
        </w:rPr>
        <w:t>第十篇  努力创造高品质生活，提高社会建设水平</w:t>
      </w:r>
      <w:r>
        <w:tab/>
      </w:r>
      <w:r>
        <w:fldChar w:fldCharType="begin"/>
      </w:r>
      <w:r>
        <w:instrText xml:space="preserve"> PAGEREF _Toc15032 </w:instrText>
      </w:r>
      <w:r>
        <w:fldChar w:fldCharType="separate"/>
      </w:r>
      <w:r>
        <w:t>117</w:t>
      </w:r>
      <w:r>
        <w:fldChar w:fldCharType="end"/>
      </w:r>
      <w:r>
        <w:fldChar w:fldCharType="end"/>
      </w:r>
    </w:p>
    <w:p>
      <w:pPr>
        <w:pStyle w:val="22"/>
        <w:tabs>
          <w:tab w:val="right" w:leader="dot" w:pos="8844"/>
        </w:tabs>
        <w:ind w:left="560" w:firstLine="562"/>
      </w:pPr>
      <w:r>
        <w:fldChar w:fldCharType="begin"/>
      </w:r>
      <w:r>
        <w:instrText xml:space="preserve"> HYPERLINK \l "_Toc14797" </w:instrText>
      </w:r>
      <w:r>
        <w:fldChar w:fldCharType="separate"/>
      </w:r>
      <w:r>
        <w:rPr>
          <w:rFonts w:hint="eastAsia"/>
        </w:rPr>
        <w:t>第三十九章  提高人民收入水平</w:t>
      </w:r>
      <w:r>
        <w:tab/>
      </w:r>
      <w:r>
        <w:fldChar w:fldCharType="begin"/>
      </w:r>
      <w:r>
        <w:instrText xml:space="preserve"> PAGEREF _Toc14797 </w:instrText>
      </w:r>
      <w:r>
        <w:fldChar w:fldCharType="separate"/>
      </w:r>
      <w:r>
        <w:t>117</w:t>
      </w:r>
      <w:r>
        <w:fldChar w:fldCharType="end"/>
      </w:r>
      <w:r>
        <w:fldChar w:fldCharType="end"/>
      </w:r>
    </w:p>
    <w:p>
      <w:pPr>
        <w:pStyle w:val="14"/>
        <w:tabs>
          <w:tab w:val="right" w:leader="dot" w:pos="8844"/>
        </w:tabs>
        <w:ind w:left="1120" w:firstLine="560"/>
      </w:pPr>
      <w:r>
        <w:fldChar w:fldCharType="begin"/>
      </w:r>
      <w:r>
        <w:instrText xml:space="preserve"> HYPERLINK \l "_Toc3540" </w:instrText>
      </w:r>
      <w:r>
        <w:fldChar w:fldCharType="separate"/>
      </w:r>
      <w:r>
        <w:t>第一节  完善收入分配机制</w:t>
      </w:r>
      <w:r>
        <w:tab/>
      </w:r>
      <w:r>
        <w:fldChar w:fldCharType="begin"/>
      </w:r>
      <w:r>
        <w:instrText xml:space="preserve"> PAGEREF _Toc3540 </w:instrText>
      </w:r>
      <w:r>
        <w:fldChar w:fldCharType="separate"/>
      </w:r>
      <w:r>
        <w:t>117</w:t>
      </w:r>
      <w:r>
        <w:fldChar w:fldCharType="end"/>
      </w:r>
      <w:r>
        <w:fldChar w:fldCharType="end"/>
      </w:r>
    </w:p>
    <w:p>
      <w:pPr>
        <w:pStyle w:val="14"/>
        <w:tabs>
          <w:tab w:val="right" w:leader="dot" w:pos="8844"/>
        </w:tabs>
        <w:ind w:left="1120" w:firstLine="560"/>
      </w:pPr>
      <w:r>
        <w:fldChar w:fldCharType="begin"/>
      </w:r>
      <w:r>
        <w:instrText xml:space="preserve"> HYPERLINK \l "_Toc24538" </w:instrText>
      </w:r>
      <w:r>
        <w:fldChar w:fldCharType="separate"/>
      </w:r>
      <w:r>
        <w:t>第二节  健全收入保障体制</w:t>
      </w:r>
      <w:r>
        <w:tab/>
      </w:r>
      <w:r>
        <w:fldChar w:fldCharType="begin"/>
      </w:r>
      <w:r>
        <w:instrText xml:space="preserve"> PAGEREF _Toc24538 </w:instrText>
      </w:r>
      <w:r>
        <w:fldChar w:fldCharType="separate"/>
      </w:r>
      <w:r>
        <w:t>117</w:t>
      </w:r>
      <w:r>
        <w:fldChar w:fldCharType="end"/>
      </w:r>
      <w:r>
        <w:fldChar w:fldCharType="end"/>
      </w:r>
    </w:p>
    <w:p>
      <w:pPr>
        <w:pStyle w:val="14"/>
        <w:tabs>
          <w:tab w:val="right" w:leader="dot" w:pos="8844"/>
        </w:tabs>
        <w:ind w:left="1120" w:firstLine="560"/>
      </w:pPr>
      <w:r>
        <w:fldChar w:fldCharType="begin"/>
      </w:r>
      <w:r>
        <w:instrText xml:space="preserve"> HYPERLINK \l "_Toc31149" </w:instrText>
      </w:r>
      <w:r>
        <w:fldChar w:fldCharType="separate"/>
      </w:r>
      <w:r>
        <w:t>第三节  多渠道增加居民收入</w:t>
      </w:r>
      <w:r>
        <w:tab/>
      </w:r>
      <w:r>
        <w:fldChar w:fldCharType="begin"/>
      </w:r>
      <w:r>
        <w:instrText xml:space="preserve"> PAGEREF _Toc31149 </w:instrText>
      </w:r>
      <w:r>
        <w:fldChar w:fldCharType="separate"/>
      </w:r>
      <w:r>
        <w:t>118</w:t>
      </w:r>
      <w:r>
        <w:fldChar w:fldCharType="end"/>
      </w:r>
      <w:r>
        <w:fldChar w:fldCharType="end"/>
      </w:r>
    </w:p>
    <w:p>
      <w:pPr>
        <w:pStyle w:val="22"/>
        <w:tabs>
          <w:tab w:val="right" w:leader="dot" w:pos="8844"/>
        </w:tabs>
        <w:ind w:left="560" w:firstLine="562"/>
      </w:pPr>
      <w:r>
        <w:fldChar w:fldCharType="begin"/>
      </w:r>
      <w:r>
        <w:instrText xml:space="preserve"> HYPERLINK \l "_Toc19955" </w:instrText>
      </w:r>
      <w:r>
        <w:fldChar w:fldCharType="separate"/>
      </w:r>
      <w:r>
        <w:rPr>
          <w:rFonts w:hint="eastAsia"/>
        </w:rPr>
        <w:t>第四十章  落实就业优先政策</w:t>
      </w:r>
      <w:r>
        <w:tab/>
      </w:r>
      <w:r>
        <w:fldChar w:fldCharType="begin"/>
      </w:r>
      <w:r>
        <w:instrText xml:space="preserve"> PAGEREF _Toc19955 </w:instrText>
      </w:r>
      <w:r>
        <w:fldChar w:fldCharType="separate"/>
      </w:r>
      <w:r>
        <w:t>118</w:t>
      </w:r>
      <w:r>
        <w:fldChar w:fldCharType="end"/>
      </w:r>
      <w:r>
        <w:fldChar w:fldCharType="end"/>
      </w:r>
    </w:p>
    <w:p>
      <w:pPr>
        <w:pStyle w:val="14"/>
        <w:tabs>
          <w:tab w:val="right" w:leader="dot" w:pos="8844"/>
        </w:tabs>
        <w:ind w:left="1120" w:firstLine="560"/>
      </w:pPr>
      <w:r>
        <w:fldChar w:fldCharType="begin"/>
      </w:r>
      <w:r>
        <w:instrText xml:space="preserve"> HYPERLINK \l "_Toc14228" </w:instrText>
      </w:r>
      <w:r>
        <w:fldChar w:fldCharType="separate"/>
      </w:r>
      <w:r>
        <w:t>第一节  实施统筹城乡的就业政策</w:t>
      </w:r>
      <w:r>
        <w:tab/>
      </w:r>
      <w:r>
        <w:fldChar w:fldCharType="begin"/>
      </w:r>
      <w:r>
        <w:instrText xml:space="preserve"> PAGEREF _Toc14228 </w:instrText>
      </w:r>
      <w:r>
        <w:fldChar w:fldCharType="separate"/>
      </w:r>
      <w:r>
        <w:t>119</w:t>
      </w:r>
      <w:r>
        <w:fldChar w:fldCharType="end"/>
      </w:r>
      <w:r>
        <w:fldChar w:fldCharType="end"/>
      </w:r>
    </w:p>
    <w:p>
      <w:pPr>
        <w:pStyle w:val="14"/>
        <w:tabs>
          <w:tab w:val="right" w:leader="dot" w:pos="8844"/>
        </w:tabs>
        <w:ind w:left="1120" w:firstLine="560"/>
      </w:pPr>
      <w:r>
        <w:fldChar w:fldCharType="begin"/>
      </w:r>
      <w:r>
        <w:instrText xml:space="preserve"> HYPERLINK \l "_Toc9288" </w:instrText>
      </w:r>
      <w:r>
        <w:fldChar w:fldCharType="separate"/>
      </w:r>
      <w:r>
        <w:t xml:space="preserve">第二节  </w:t>
      </w:r>
      <w:r>
        <w:rPr>
          <w:rFonts w:hint="eastAsia"/>
        </w:rPr>
        <w:t>加强</w:t>
      </w:r>
      <w:r>
        <w:t>职业技能培训和新业态创业就业</w:t>
      </w:r>
      <w:r>
        <w:tab/>
      </w:r>
      <w:r>
        <w:fldChar w:fldCharType="begin"/>
      </w:r>
      <w:r>
        <w:instrText xml:space="preserve"> PAGEREF _Toc9288 </w:instrText>
      </w:r>
      <w:r>
        <w:fldChar w:fldCharType="separate"/>
      </w:r>
      <w:r>
        <w:t>119</w:t>
      </w:r>
      <w:r>
        <w:fldChar w:fldCharType="end"/>
      </w:r>
      <w:r>
        <w:fldChar w:fldCharType="end"/>
      </w:r>
    </w:p>
    <w:p>
      <w:pPr>
        <w:pStyle w:val="14"/>
        <w:tabs>
          <w:tab w:val="right" w:leader="dot" w:pos="8844"/>
        </w:tabs>
        <w:ind w:left="1120" w:firstLine="560"/>
      </w:pPr>
      <w:r>
        <w:fldChar w:fldCharType="begin"/>
      </w:r>
      <w:r>
        <w:instrText xml:space="preserve"> HYPERLINK \l "_Toc2707" </w:instrText>
      </w:r>
      <w:r>
        <w:fldChar w:fldCharType="separate"/>
      </w:r>
      <w:r>
        <w:t>第三节  全方位提升公共就业服务</w:t>
      </w:r>
      <w:r>
        <w:tab/>
      </w:r>
      <w:r>
        <w:fldChar w:fldCharType="begin"/>
      </w:r>
      <w:r>
        <w:instrText xml:space="preserve"> PAGEREF _Toc2707 </w:instrText>
      </w:r>
      <w:r>
        <w:fldChar w:fldCharType="separate"/>
      </w:r>
      <w:r>
        <w:t>120</w:t>
      </w:r>
      <w:r>
        <w:fldChar w:fldCharType="end"/>
      </w:r>
      <w:r>
        <w:fldChar w:fldCharType="end"/>
      </w:r>
    </w:p>
    <w:p>
      <w:pPr>
        <w:pStyle w:val="14"/>
        <w:tabs>
          <w:tab w:val="right" w:leader="dot" w:pos="8844"/>
        </w:tabs>
        <w:ind w:left="1120" w:firstLine="560"/>
      </w:pPr>
      <w:r>
        <w:fldChar w:fldCharType="begin"/>
      </w:r>
      <w:r>
        <w:instrText xml:space="preserve"> HYPERLINK \l "_Toc5871" </w:instrText>
      </w:r>
      <w:r>
        <w:fldChar w:fldCharType="separate"/>
      </w:r>
      <w:r>
        <w:t>第四节  确保劳动关系和谐稳定</w:t>
      </w:r>
      <w:r>
        <w:tab/>
      </w:r>
      <w:r>
        <w:fldChar w:fldCharType="begin"/>
      </w:r>
      <w:r>
        <w:instrText xml:space="preserve"> PAGEREF _Toc5871 </w:instrText>
      </w:r>
      <w:r>
        <w:fldChar w:fldCharType="separate"/>
      </w:r>
      <w:r>
        <w:t>120</w:t>
      </w:r>
      <w:r>
        <w:fldChar w:fldCharType="end"/>
      </w:r>
      <w:r>
        <w:fldChar w:fldCharType="end"/>
      </w:r>
    </w:p>
    <w:p>
      <w:pPr>
        <w:pStyle w:val="22"/>
        <w:tabs>
          <w:tab w:val="right" w:leader="dot" w:pos="8844"/>
        </w:tabs>
        <w:ind w:left="560" w:firstLine="562"/>
      </w:pPr>
      <w:r>
        <w:fldChar w:fldCharType="begin"/>
      </w:r>
      <w:r>
        <w:instrText xml:space="preserve"> HYPERLINK \l "_Toc9940" </w:instrText>
      </w:r>
      <w:r>
        <w:fldChar w:fldCharType="separate"/>
      </w:r>
      <w:r>
        <w:rPr>
          <w:rFonts w:hint="eastAsia"/>
        </w:rPr>
        <w:t>第四十一章  建设现代化教育体系</w:t>
      </w:r>
      <w:r>
        <w:tab/>
      </w:r>
      <w:r>
        <w:fldChar w:fldCharType="begin"/>
      </w:r>
      <w:r>
        <w:instrText xml:space="preserve"> PAGEREF _Toc9940 </w:instrText>
      </w:r>
      <w:r>
        <w:fldChar w:fldCharType="separate"/>
      </w:r>
      <w:r>
        <w:t>121</w:t>
      </w:r>
      <w:r>
        <w:fldChar w:fldCharType="end"/>
      </w:r>
      <w:r>
        <w:fldChar w:fldCharType="end"/>
      </w:r>
    </w:p>
    <w:p>
      <w:pPr>
        <w:pStyle w:val="14"/>
        <w:tabs>
          <w:tab w:val="right" w:leader="dot" w:pos="8844"/>
        </w:tabs>
        <w:ind w:left="1120" w:firstLine="560"/>
      </w:pPr>
      <w:r>
        <w:fldChar w:fldCharType="begin"/>
      </w:r>
      <w:r>
        <w:instrText xml:space="preserve"> HYPERLINK \l "_Toc16425" </w:instrText>
      </w:r>
      <w:r>
        <w:fldChar w:fldCharType="separate"/>
      </w:r>
      <w:r>
        <w:t>第一节  提升全县基础教育水平</w:t>
      </w:r>
      <w:r>
        <w:tab/>
      </w:r>
      <w:r>
        <w:fldChar w:fldCharType="begin"/>
      </w:r>
      <w:r>
        <w:instrText xml:space="preserve"> PAGEREF _Toc16425 </w:instrText>
      </w:r>
      <w:r>
        <w:fldChar w:fldCharType="separate"/>
      </w:r>
      <w:r>
        <w:t>122</w:t>
      </w:r>
      <w:r>
        <w:fldChar w:fldCharType="end"/>
      </w:r>
      <w:r>
        <w:fldChar w:fldCharType="end"/>
      </w:r>
    </w:p>
    <w:p>
      <w:pPr>
        <w:pStyle w:val="14"/>
        <w:tabs>
          <w:tab w:val="right" w:leader="dot" w:pos="8844"/>
        </w:tabs>
        <w:ind w:left="1120" w:firstLine="560"/>
      </w:pPr>
      <w:r>
        <w:fldChar w:fldCharType="begin"/>
      </w:r>
      <w:r>
        <w:instrText xml:space="preserve"> HYPERLINK \l "_Toc8524" </w:instrText>
      </w:r>
      <w:r>
        <w:fldChar w:fldCharType="separate"/>
      </w:r>
      <w:r>
        <w:t>第二节  完善职业教育体系</w:t>
      </w:r>
      <w:r>
        <w:tab/>
      </w:r>
      <w:r>
        <w:fldChar w:fldCharType="begin"/>
      </w:r>
      <w:r>
        <w:instrText xml:space="preserve"> PAGEREF _Toc8524 </w:instrText>
      </w:r>
      <w:r>
        <w:fldChar w:fldCharType="separate"/>
      </w:r>
      <w:r>
        <w:t>122</w:t>
      </w:r>
      <w:r>
        <w:fldChar w:fldCharType="end"/>
      </w:r>
      <w:r>
        <w:fldChar w:fldCharType="end"/>
      </w:r>
    </w:p>
    <w:p>
      <w:pPr>
        <w:pStyle w:val="14"/>
        <w:tabs>
          <w:tab w:val="right" w:leader="dot" w:pos="8844"/>
        </w:tabs>
        <w:ind w:left="1120" w:firstLine="560"/>
      </w:pPr>
      <w:r>
        <w:fldChar w:fldCharType="begin"/>
      </w:r>
      <w:r>
        <w:instrText xml:space="preserve"> HYPERLINK \l "_Toc7658" </w:instrText>
      </w:r>
      <w:r>
        <w:fldChar w:fldCharType="separate"/>
      </w:r>
      <w:r>
        <w:t>第三节  加强教育体系改革</w:t>
      </w:r>
      <w:r>
        <w:tab/>
      </w:r>
      <w:r>
        <w:fldChar w:fldCharType="begin"/>
      </w:r>
      <w:r>
        <w:instrText xml:space="preserve"> PAGEREF _Toc7658 </w:instrText>
      </w:r>
      <w:r>
        <w:fldChar w:fldCharType="separate"/>
      </w:r>
      <w:r>
        <w:t>123</w:t>
      </w:r>
      <w:r>
        <w:fldChar w:fldCharType="end"/>
      </w:r>
      <w:r>
        <w:fldChar w:fldCharType="end"/>
      </w:r>
    </w:p>
    <w:p>
      <w:pPr>
        <w:pStyle w:val="14"/>
        <w:tabs>
          <w:tab w:val="right" w:leader="dot" w:pos="8844"/>
        </w:tabs>
        <w:ind w:left="1120" w:firstLine="560"/>
      </w:pPr>
      <w:r>
        <w:fldChar w:fldCharType="begin"/>
      </w:r>
      <w:r>
        <w:instrText xml:space="preserve"> HYPERLINK \l "_Toc4526" </w:instrText>
      </w:r>
      <w:r>
        <w:fldChar w:fldCharType="separate"/>
      </w:r>
      <w:r>
        <w:t>第四节  打造学习型社会</w:t>
      </w:r>
      <w:r>
        <w:tab/>
      </w:r>
      <w:r>
        <w:fldChar w:fldCharType="begin"/>
      </w:r>
      <w:r>
        <w:instrText xml:space="preserve"> PAGEREF _Toc4526 </w:instrText>
      </w:r>
      <w:r>
        <w:fldChar w:fldCharType="separate"/>
      </w:r>
      <w:r>
        <w:t>123</w:t>
      </w:r>
      <w:r>
        <w:fldChar w:fldCharType="end"/>
      </w:r>
      <w:r>
        <w:fldChar w:fldCharType="end"/>
      </w:r>
    </w:p>
    <w:p>
      <w:pPr>
        <w:pStyle w:val="22"/>
        <w:tabs>
          <w:tab w:val="right" w:leader="dot" w:pos="8844"/>
        </w:tabs>
        <w:ind w:left="560" w:firstLine="562"/>
      </w:pPr>
      <w:r>
        <w:fldChar w:fldCharType="begin"/>
      </w:r>
      <w:r>
        <w:instrText xml:space="preserve"> HYPERLINK \l "_Toc23678" </w:instrText>
      </w:r>
      <w:r>
        <w:fldChar w:fldCharType="separate"/>
      </w:r>
      <w:r>
        <w:rPr>
          <w:rFonts w:hint="eastAsia"/>
        </w:rPr>
        <w:t>第四十二章  健全多层次社会保障体系</w:t>
      </w:r>
      <w:r>
        <w:tab/>
      </w:r>
      <w:r>
        <w:fldChar w:fldCharType="begin"/>
      </w:r>
      <w:r>
        <w:instrText xml:space="preserve"> PAGEREF _Toc23678 </w:instrText>
      </w:r>
      <w:r>
        <w:fldChar w:fldCharType="separate"/>
      </w:r>
      <w:r>
        <w:t>124</w:t>
      </w:r>
      <w:r>
        <w:fldChar w:fldCharType="end"/>
      </w:r>
      <w:r>
        <w:fldChar w:fldCharType="end"/>
      </w:r>
    </w:p>
    <w:p>
      <w:pPr>
        <w:pStyle w:val="14"/>
        <w:tabs>
          <w:tab w:val="right" w:leader="dot" w:pos="8844"/>
        </w:tabs>
        <w:ind w:left="1120" w:firstLine="560"/>
      </w:pPr>
      <w:r>
        <w:fldChar w:fldCharType="begin"/>
      </w:r>
      <w:r>
        <w:instrText xml:space="preserve"> HYPERLINK \l "_Toc8425" </w:instrText>
      </w:r>
      <w:r>
        <w:fldChar w:fldCharType="separate"/>
      </w:r>
      <w:r>
        <w:rPr>
          <w:rFonts w:hint="eastAsia" w:ascii="仿宋_GB2312" w:hAnsi="仿宋_GB2312" w:cs="仿宋_GB2312"/>
        </w:rPr>
        <w:t>第一节  关心关爱重点群体发展</w:t>
      </w:r>
      <w:r>
        <w:tab/>
      </w:r>
      <w:r>
        <w:fldChar w:fldCharType="begin"/>
      </w:r>
      <w:r>
        <w:instrText xml:space="preserve"> PAGEREF _Toc8425 </w:instrText>
      </w:r>
      <w:r>
        <w:fldChar w:fldCharType="separate"/>
      </w:r>
      <w:r>
        <w:t>124</w:t>
      </w:r>
      <w:r>
        <w:fldChar w:fldCharType="end"/>
      </w:r>
      <w:r>
        <w:fldChar w:fldCharType="end"/>
      </w:r>
    </w:p>
    <w:p>
      <w:pPr>
        <w:pStyle w:val="14"/>
        <w:tabs>
          <w:tab w:val="right" w:leader="dot" w:pos="8844"/>
        </w:tabs>
        <w:ind w:left="1120" w:firstLine="560"/>
      </w:pPr>
      <w:r>
        <w:fldChar w:fldCharType="begin"/>
      </w:r>
      <w:r>
        <w:instrText xml:space="preserve"> HYPERLINK \l "_Toc24453" </w:instrText>
      </w:r>
      <w:r>
        <w:fldChar w:fldCharType="separate"/>
      </w:r>
      <w:r>
        <w:t>第</w:t>
      </w:r>
      <w:r>
        <w:rPr>
          <w:rFonts w:hint="eastAsia"/>
        </w:rPr>
        <w:t>二</w:t>
      </w:r>
      <w:r>
        <w:t xml:space="preserve">节  </w:t>
      </w:r>
      <w:r>
        <w:rPr>
          <w:rFonts w:hint="eastAsia"/>
        </w:rPr>
        <w:t>完善社会保险制度体系</w:t>
      </w:r>
      <w:r>
        <w:tab/>
      </w:r>
      <w:r>
        <w:fldChar w:fldCharType="begin"/>
      </w:r>
      <w:r>
        <w:instrText xml:space="preserve"> PAGEREF _Toc24453 </w:instrText>
      </w:r>
      <w:r>
        <w:fldChar w:fldCharType="separate"/>
      </w:r>
      <w:r>
        <w:t>125</w:t>
      </w:r>
      <w:r>
        <w:fldChar w:fldCharType="end"/>
      </w:r>
      <w:r>
        <w:fldChar w:fldCharType="end"/>
      </w:r>
    </w:p>
    <w:p>
      <w:pPr>
        <w:pStyle w:val="14"/>
        <w:tabs>
          <w:tab w:val="right" w:leader="dot" w:pos="8844"/>
        </w:tabs>
        <w:ind w:left="1120" w:firstLine="560"/>
      </w:pPr>
      <w:r>
        <w:fldChar w:fldCharType="begin"/>
      </w:r>
      <w:r>
        <w:instrText xml:space="preserve"> HYPERLINK \l "_Toc17308" </w:instrText>
      </w:r>
      <w:r>
        <w:fldChar w:fldCharType="separate"/>
      </w:r>
      <w:r>
        <w:t>第三节  推进社会救助和福利慈善事业发展</w:t>
      </w:r>
      <w:r>
        <w:tab/>
      </w:r>
      <w:r>
        <w:fldChar w:fldCharType="begin"/>
      </w:r>
      <w:r>
        <w:instrText xml:space="preserve"> PAGEREF _Toc17308 </w:instrText>
      </w:r>
      <w:r>
        <w:fldChar w:fldCharType="separate"/>
      </w:r>
      <w:r>
        <w:t>125</w:t>
      </w:r>
      <w:r>
        <w:fldChar w:fldCharType="end"/>
      </w:r>
      <w:r>
        <w:fldChar w:fldCharType="end"/>
      </w:r>
    </w:p>
    <w:p>
      <w:pPr>
        <w:pStyle w:val="14"/>
        <w:tabs>
          <w:tab w:val="right" w:leader="dot" w:pos="8844"/>
        </w:tabs>
        <w:ind w:left="1120" w:firstLine="560"/>
      </w:pPr>
      <w:r>
        <w:fldChar w:fldCharType="begin"/>
      </w:r>
      <w:r>
        <w:instrText xml:space="preserve"> HYPERLINK \l "_Toc28023" </w:instrText>
      </w:r>
      <w:r>
        <w:fldChar w:fldCharType="separate"/>
      </w:r>
      <w:r>
        <w:rPr>
          <w:rFonts w:hint="eastAsia"/>
        </w:rPr>
        <w:t>第四节</w:t>
      </w:r>
      <w:r>
        <w:t xml:space="preserve"> 保障重点人群就业生活</w:t>
      </w:r>
      <w:r>
        <w:tab/>
      </w:r>
      <w:r>
        <w:fldChar w:fldCharType="begin"/>
      </w:r>
      <w:r>
        <w:instrText xml:space="preserve"> PAGEREF _Toc28023 </w:instrText>
      </w:r>
      <w:r>
        <w:fldChar w:fldCharType="separate"/>
      </w:r>
      <w:r>
        <w:t>126</w:t>
      </w:r>
      <w:r>
        <w:fldChar w:fldCharType="end"/>
      </w:r>
      <w:r>
        <w:fldChar w:fldCharType="end"/>
      </w:r>
    </w:p>
    <w:p>
      <w:pPr>
        <w:pStyle w:val="22"/>
        <w:tabs>
          <w:tab w:val="right" w:leader="dot" w:pos="8844"/>
        </w:tabs>
        <w:ind w:left="560" w:firstLine="562"/>
      </w:pPr>
      <w:r>
        <w:fldChar w:fldCharType="begin"/>
      </w:r>
      <w:r>
        <w:instrText xml:space="preserve"> HYPERLINK \l "_Toc9827" </w:instrText>
      </w:r>
      <w:r>
        <w:fldChar w:fldCharType="separate"/>
      </w:r>
      <w:r>
        <w:rPr>
          <w:rFonts w:hint="eastAsia"/>
        </w:rPr>
        <w:t>第四十三章  打造区域医疗卫生高地</w:t>
      </w:r>
      <w:r>
        <w:tab/>
      </w:r>
      <w:r>
        <w:fldChar w:fldCharType="begin"/>
      </w:r>
      <w:r>
        <w:instrText xml:space="preserve"> PAGEREF _Toc9827 </w:instrText>
      </w:r>
      <w:r>
        <w:fldChar w:fldCharType="separate"/>
      </w:r>
      <w:r>
        <w:t>127</w:t>
      </w:r>
      <w:r>
        <w:fldChar w:fldCharType="end"/>
      </w:r>
      <w:r>
        <w:fldChar w:fldCharType="end"/>
      </w:r>
    </w:p>
    <w:p>
      <w:pPr>
        <w:pStyle w:val="14"/>
        <w:tabs>
          <w:tab w:val="right" w:leader="dot" w:pos="8844"/>
        </w:tabs>
        <w:ind w:left="1120" w:firstLine="560"/>
      </w:pPr>
      <w:r>
        <w:fldChar w:fldCharType="begin"/>
      </w:r>
      <w:r>
        <w:instrText xml:space="preserve"> HYPERLINK \l "_Toc24532" </w:instrText>
      </w:r>
      <w:r>
        <w:fldChar w:fldCharType="separate"/>
      </w:r>
      <w:r>
        <w:t>第一节  持续深化医药卫生体制改革</w:t>
      </w:r>
      <w:r>
        <w:tab/>
      </w:r>
      <w:r>
        <w:fldChar w:fldCharType="begin"/>
      </w:r>
      <w:r>
        <w:instrText xml:space="preserve"> PAGEREF _Toc24532 </w:instrText>
      </w:r>
      <w:r>
        <w:fldChar w:fldCharType="separate"/>
      </w:r>
      <w:r>
        <w:t>127</w:t>
      </w:r>
      <w:r>
        <w:fldChar w:fldCharType="end"/>
      </w:r>
      <w:r>
        <w:fldChar w:fldCharType="end"/>
      </w:r>
    </w:p>
    <w:p>
      <w:pPr>
        <w:pStyle w:val="14"/>
        <w:tabs>
          <w:tab w:val="right" w:leader="dot" w:pos="8844"/>
        </w:tabs>
        <w:ind w:left="1120" w:firstLine="560"/>
      </w:pPr>
      <w:r>
        <w:fldChar w:fldCharType="begin"/>
      </w:r>
      <w:r>
        <w:instrText xml:space="preserve"> HYPERLINK \l "_Toc12241" </w:instrText>
      </w:r>
      <w:r>
        <w:fldChar w:fldCharType="separate"/>
      </w:r>
      <w:r>
        <w:t>第二节  全面提升医疗服务能力</w:t>
      </w:r>
      <w:r>
        <w:tab/>
      </w:r>
      <w:r>
        <w:fldChar w:fldCharType="begin"/>
      </w:r>
      <w:r>
        <w:instrText xml:space="preserve"> PAGEREF _Toc12241 </w:instrText>
      </w:r>
      <w:r>
        <w:fldChar w:fldCharType="separate"/>
      </w:r>
      <w:r>
        <w:t>128</w:t>
      </w:r>
      <w:r>
        <w:fldChar w:fldCharType="end"/>
      </w:r>
      <w:r>
        <w:fldChar w:fldCharType="end"/>
      </w:r>
    </w:p>
    <w:p>
      <w:pPr>
        <w:pStyle w:val="14"/>
        <w:tabs>
          <w:tab w:val="right" w:leader="dot" w:pos="8844"/>
        </w:tabs>
        <w:ind w:left="1120" w:firstLine="560"/>
      </w:pPr>
      <w:r>
        <w:fldChar w:fldCharType="begin"/>
      </w:r>
      <w:r>
        <w:instrText xml:space="preserve"> HYPERLINK \l "_Toc4123" </w:instrText>
      </w:r>
      <w:r>
        <w:fldChar w:fldCharType="separate"/>
      </w:r>
      <w:r>
        <w:t>第三节</w:t>
      </w:r>
      <w:r>
        <w:rPr>
          <w:rFonts w:hint="eastAsia"/>
        </w:rPr>
        <w:t xml:space="preserve"> </w:t>
      </w:r>
      <w:r>
        <w:t xml:space="preserve"> 强化医疗服务管理</w:t>
      </w:r>
      <w:r>
        <w:tab/>
      </w:r>
      <w:r>
        <w:fldChar w:fldCharType="begin"/>
      </w:r>
      <w:r>
        <w:instrText xml:space="preserve"> PAGEREF _Toc4123 </w:instrText>
      </w:r>
      <w:r>
        <w:fldChar w:fldCharType="separate"/>
      </w:r>
      <w:r>
        <w:t>129</w:t>
      </w:r>
      <w:r>
        <w:fldChar w:fldCharType="end"/>
      </w:r>
      <w:r>
        <w:fldChar w:fldCharType="end"/>
      </w:r>
    </w:p>
    <w:p>
      <w:pPr>
        <w:pStyle w:val="22"/>
        <w:tabs>
          <w:tab w:val="right" w:leader="dot" w:pos="8844"/>
        </w:tabs>
        <w:ind w:left="560" w:firstLine="562"/>
      </w:pPr>
      <w:r>
        <w:fldChar w:fldCharType="begin"/>
      </w:r>
      <w:r>
        <w:instrText xml:space="preserve"> HYPERLINK \l "_Toc28393" </w:instrText>
      </w:r>
      <w:r>
        <w:fldChar w:fldCharType="separate"/>
      </w:r>
      <w:r>
        <w:rPr>
          <w:rFonts w:hint="eastAsia"/>
        </w:rPr>
        <w:t>第四十四章  落实积极应对人口老龄化国家战略</w:t>
      </w:r>
      <w:r>
        <w:tab/>
      </w:r>
      <w:r>
        <w:fldChar w:fldCharType="begin"/>
      </w:r>
      <w:r>
        <w:instrText xml:space="preserve"> PAGEREF _Toc28393 </w:instrText>
      </w:r>
      <w:r>
        <w:fldChar w:fldCharType="separate"/>
      </w:r>
      <w:r>
        <w:t>130</w:t>
      </w:r>
      <w:r>
        <w:fldChar w:fldCharType="end"/>
      </w:r>
      <w:r>
        <w:fldChar w:fldCharType="end"/>
      </w:r>
    </w:p>
    <w:p>
      <w:pPr>
        <w:pStyle w:val="14"/>
        <w:tabs>
          <w:tab w:val="right" w:leader="dot" w:pos="8844"/>
        </w:tabs>
        <w:ind w:left="1120" w:firstLine="560"/>
      </w:pPr>
      <w:r>
        <w:fldChar w:fldCharType="begin"/>
      </w:r>
      <w:r>
        <w:instrText xml:space="preserve"> HYPERLINK \l "_Toc16941" </w:instrText>
      </w:r>
      <w:r>
        <w:fldChar w:fldCharType="separate"/>
      </w:r>
      <w:r>
        <w:t>第一节  促进人口均衡发展</w:t>
      </w:r>
      <w:r>
        <w:tab/>
      </w:r>
      <w:r>
        <w:fldChar w:fldCharType="begin"/>
      </w:r>
      <w:r>
        <w:instrText xml:space="preserve"> PAGEREF _Toc16941 </w:instrText>
      </w:r>
      <w:r>
        <w:fldChar w:fldCharType="separate"/>
      </w:r>
      <w:r>
        <w:t>130</w:t>
      </w:r>
      <w:r>
        <w:fldChar w:fldCharType="end"/>
      </w:r>
      <w:r>
        <w:fldChar w:fldCharType="end"/>
      </w:r>
    </w:p>
    <w:p>
      <w:pPr>
        <w:pStyle w:val="14"/>
        <w:tabs>
          <w:tab w:val="right" w:leader="dot" w:pos="8844"/>
        </w:tabs>
        <w:ind w:left="1120" w:firstLine="560"/>
      </w:pPr>
      <w:r>
        <w:fldChar w:fldCharType="begin"/>
      </w:r>
      <w:r>
        <w:instrText xml:space="preserve"> HYPERLINK \l "_Toc27978" </w:instrText>
      </w:r>
      <w:r>
        <w:fldChar w:fldCharType="separate"/>
      </w:r>
      <w:r>
        <w:t>第二节  健全养老服务体系</w:t>
      </w:r>
      <w:r>
        <w:tab/>
      </w:r>
      <w:r>
        <w:fldChar w:fldCharType="begin"/>
      </w:r>
      <w:r>
        <w:instrText xml:space="preserve"> PAGEREF _Toc27978 </w:instrText>
      </w:r>
      <w:r>
        <w:fldChar w:fldCharType="separate"/>
      </w:r>
      <w:r>
        <w:t>131</w:t>
      </w:r>
      <w:r>
        <w:fldChar w:fldCharType="end"/>
      </w:r>
      <w:r>
        <w:fldChar w:fldCharType="end"/>
      </w:r>
    </w:p>
    <w:p>
      <w:pPr>
        <w:pStyle w:val="14"/>
        <w:tabs>
          <w:tab w:val="right" w:leader="dot" w:pos="8844"/>
        </w:tabs>
        <w:ind w:left="1120" w:firstLine="560"/>
      </w:pPr>
      <w:r>
        <w:fldChar w:fldCharType="begin"/>
      </w:r>
      <w:r>
        <w:instrText xml:space="preserve"> HYPERLINK \l "_Toc24930" </w:instrText>
      </w:r>
      <w:r>
        <w:fldChar w:fldCharType="separate"/>
      </w:r>
      <w:r>
        <w:t>第三节  积极发展养老产业</w:t>
      </w:r>
      <w:r>
        <w:tab/>
      </w:r>
      <w:r>
        <w:fldChar w:fldCharType="begin"/>
      </w:r>
      <w:r>
        <w:instrText xml:space="preserve"> PAGEREF _Toc24930 </w:instrText>
      </w:r>
      <w:r>
        <w:fldChar w:fldCharType="separate"/>
      </w:r>
      <w:r>
        <w:t>131</w:t>
      </w:r>
      <w:r>
        <w:fldChar w:fldCharType="end"/>
      </w:r>
      <w:r>
        <w:fldChar w:fldCharType="end"/>
      </w:r>
    </w:p>
    <w:p>
      <w:pPr>
        <w:pStyle w:val="22"/>
        <w:tabs>
          <w:tab w:val="right" w:leader="dot" w:pos="8844"/>
        </w:tabs>
        <w:ind w:left="560" w:firstLine="562"/>
      </w:pPr>
      <w:r>
        <w:fldChar w:fldCharType="begin"/>
      </w:r>
      <w:r>
        <w:instrText xml:space="preserve"> HYPERLINK \l "_Toc14401" </w:instrText>
      </w:r>
      <w:r>
        <w:fldChar w:fldCharType="separate"/>
      </w:r>
      <w:r>
        <w:rPr>
          <w:rFonts w:hint="eastAsia"/>
        </w:rPr>
        <w:t>第四十五章  加强和创新社会治理</w:t>
      </w:r>
      <w:r>
        <w:tab/>
      </w:r>
      <w:r>
        <w:fldChar w:fldCharType="begin"/>
      </w:r>
      <w:r>
        <w:instrText xml:space="preserve"> PAGEREF _Toc14401 </w:instrText>
      </w:r>
      <w:r>
        <w:fldChar w:fldCharType="separate"/>
      </w:r>
      <w:r>
        <w:t>132</w:t>
      </w:r>
      <w:r>
        <w:fldChar w:fldCharType="end"/>
      </w:r>
      <w:r>
        <w:fldChar w:fldCharType="end"/>
      </w:r>
    </w:p>
    <w:p>
      <w:pPr>
        <w:pStyle w:val="14"/>
        <w:tabs>
          <w:tab w:val="right" w:leader="dot" w:pos="8844"/>
        </w:tabs>
        <w:ind w:left="1120" w:firstLine="560"/>
      </w:pPr>
      <w:r>
        <w:fldChar w:fldCharType="begin"/>
      </w:r>
      <w:r>
        <w:instrText xml:space="preserve"> HYPERLINK \l "_Toc8161" </w:instrText>
      </w:r>
      <w:r>
        <w:fldChar w:fldCharType="separate"/>
      </w:r>
      <w:r>
        <w:t>第一节  提升政府治理能力</w:t>
      </w:r>
      <w:r>
        <w:tab/>
      </w:r>
      <w:r>
        <w:fldChar w:fldCharType="begin"/>
      </w:r>
      <w:r>
        <w:instrText xml:space="preserve"> PAGEREF _Toc8161 </w:instrText>
      </w:r>
      <w:r>
        <w:fldChar w:fldCharType="separate"/>
      </w:r>
      <w:r>
        <w:t>132</w:t>
      </w:r>
      <w:r>
        <w:fldChar w:fldCharType="end"/>
      </w:r>
      <w:r>
        <w:fldChar w:fldCharType="end"/>
      </w:r>
    </w:p>
    <w:p>
      <w:pPr>
        <w:pStyle w:val="14"/>
        <w:tabs>
          <w:tab w:val="right" w:leader="dot" w:pos="8844"/>
        </w:tabs>
        <w:ind w:left="1120" w:firstLine="560"/>
      </w:pPr>
      <w:r>
        <w:fldChar w:fldCharType="begin"/>
      </w:r>
      <w:r>
        <w:instrText xml:space="preserve"> HYPERLINK \l "_Toc21300" </w:instrText>
      </w:r>
      <w:r>
        <w:fldChar w:fldCharType="separate"/>
      </w:r>
      <w:r>
        <w:t>第二节  加强基层治理体系建设</w:t>
      </w:r>
      <w:r>
        <w:tab/>
      </w:r>
      <w:r>
        <w:fldChar w:fldCharType="begin"/>
      </w:r>
      <w:r>
        <w:instrText xml:space="preserve"> PAGEREF _Toc21300 </w:instrText>
      </w:r>
      <w:r>
        <w:fldChar w:fldCharType="separate"/>
      </w:r>
      <w:r>
        <w:t>133</w:t>
      </w:r>
      <w:r>
        <w:fldChar w:fldCharType="end"/>
      </w:r>
      <w:r>
        <w:fldChar w:fldCharType="end"/>
      </w:r>
    </w:p>
    <w:p>
      <w:pPr>
        <w:pStyle w:val="14"/>
        <w:tabs>
          <w:tab w:val="right" w:leader="dot" w:pos="8844"/>
        </w:tabs>
        <w:ind w:left="1120" w:firstLine="560"/>
      </w:pPr>
      <w:r>
        <w:fldChar w:fldCharType="begin"/>
      </w:r>
      <w:r>
        <w:instrText xml:space="preserve"> HYPERLINK \l "_Toc11730" </w:instrText>
      </w:r>
      <w:r>
        <w:fldChar w:fldCharType="separate"/>
      </w:r>
      <w:r>
        <w:t>第三节  增强社会自我调节能力</w:t>
      </w:r>
      <w:r>
        <w:tab/>
      </w:r>
      <w:r>
        <w:fldChar w:fldCharType="begin"/>
      </w:r>
      <w:r>
        <w:instrText xml:space="preserve"> PAGEREF _Toc11730 </w:instrText>
      </w:r>
      <w:r>
        <w:fldChar w:fldCharType="separate"/>
      </w:r>
      <w:r>
        <w:t>134</w:t>
      </w:r>
      <w:r>
        <w:fldChar w:fldCharType="end"/>
      </w:r>
      <w:r>
        <w:fldChar w:fldCharType="end"/>
      </w:r>
    </w:p>
    <w:p>
      <w:pPr>
        <w:pStyle w:val="19"/>
        <w:tabs>
          <w:tab w:val="right" w:leader="dot" w:pos="8844"/>
        </w:tabs>
      </w:pPr>
      <w:r>
        <w:fldChar w:fldCharType="begin"/>
      </w:r>
      <w:r>
        <w:instrText xml:space="preserve"> HYPERLINK \l "_Toc26277" </w:instrText>
      </w:r>
      <w:r>
        <w:fldChar w:fldCharType="separate"/>
      </w:r>
      <w:r>
        <w:rPr>
          <w:rFonts w:hint="eastAsia" w:ascii="黑体" w:hAnsi="黑体" w:cs="黑体"/>
        </w:rPr>
        <w:t>第十一篇  统筹发展和安全，守住安全发展底线</w:t>
      </w:r>
      <w:r>
        <w:tab/>
      </w:r>
      <w:r>
        <w:fldChar w:fldCharType="begin"/>
      </w:r>
      <w:r>
        <w:instrText xml:space="preserve"> PAGEREF _Toc26277 </w:instrText>
      </w:r>
      <w:r>
        <w:fldChar w:fldCharType="separate"/>
      </w:r>
      <w:r>
        <w:t>135</w:t>
      </w:r>
      <w:r>
        <w:fldChar w:fldCharType="end"/>
      </w:r>
      <w:r>
        <w:fldChar w:fldCharType="end"/>
      </w:r>
    </w:p>
    <w:p>
      <w:pPr>
        <w:pStyle w:val="22"/>
        <w:tabs>
          <w:tab w:val="right" w:leader="dot" w:pos="8844"/>
        </w:tabs>
        <w:ind w:left="560" w:firstLine="562"/>
      </w:pPr>
      <w:r>
        <w:fldChar w:fldCharType="begin"/>
      </w:r>
      <w:r>
        <w:instrText xml:space="preserve"> HYPERLINK \l "_Toc22562" </w:instrText>
      </w:r>
      <w:r>
        <w:fldChar w:fldCharType="separate"/>
      </w:r>
      <w:r>
        <w:rPr>
          <w:rFonts w:hint="eastAsia"/>
        </w:rPr>
        <w:t>第四十六章  加强国家安全体系和能力建设</w:t>
      </w:r>
      <w:r>
        <w:tab/>
      </w:r>
      <w:r>
        <w:fldChar w:fldCharType="begin"/>
      </w:r>
      <w:r>
        <w:instrText xml:space="preserve"> PAGEREF _Toc22562 </w:instrText>
      </w:r>
      <w:r>
        <w:fldChar w:fldCharType="separate"/>
      </w:r>
      <w:r>
        <w:t>135</w:t>
      </w:r>
      <w:r>
        <w:fldChar w:fldCharType="end"/>
      </w:r>
      <w:r>
        <w:fldChar w:fldCharType="end"/>
      </w:r>
    </w:p>
    <w:p>
      <w:pPr>
        <w:pStyle w:val="14"/>
        <w:tabs>
          <w:tab w:val="right" w:leader="dot" w:pos="8844"/>
        </w:tabs>
        <w:ind w:left="1120" w:firstLine="560"/>
      </w:pPr>
      <w:r>
        <w:fldChar w:fldCharType="begin"/>
      </w:r>
      <w:r>
        <w:instrText xml:space="preserve"> HYPERLINK \l "_Toc2245" </w:instrText>
      </w:r>
      <w:r>
        <w:fldChar w:fldCharType="separate"/>
      </w:r>
      <w:r>
        <w:t>第一节  牢固树立总体国家安全观</w:t>
      </w:r>
      <w:r>
        <w:tab/>
      </w:r>
      <w:r>
        <w:fldChar w:fldCharType="begin"/>
      </w:r>
      <w:r>
        <w:instrText xml:space="preserve"> PAGEREF _Toc2245 </w:instrText>
      </w:r>
      <w:r>
        <w:fldChar w:fldCharType="separate"/>
      </w:r>
      <w:r>
        <w:t>135</w:t>
      </w:r>
      <w:r>
        <w:fldChar w:fldCharType="end"/>
      </w:r>
      <w:r>
        <w:fldChar w:fldCharType="end"/>
      </w:r>
    </w:p>
    <w:p>
      <w:pPr>
        <w:pStyle w:val="14"/>
        <w:tabs>
          <w:tab w:val="right" w:leader="dot" w:pos="8844"/>
        </w:tabs>
        <w:ind w:left="1120" w:firstLine="560"/>
      </w:pPr>
      <w:r>
        <w:fldChar w:fldCharType="begin"/>
      </w:r>
      <w:r>
        <w:instrText xml:space="preserve"> HYPERLINK \l "_Toc6874" </w:instrText>
      </w:r>
      <w:r>
        <w:fldChar w:fldCharType="separate"/>
      </w:r>
      <w:r>
        <w:t>第二节  强化使命担当</w:t>
      </w:r>
      <w:r>
        <w:tab/>
      </w:r>
      <w:r>
        <w:fldChar w:fldCharType="begin"/>
      </w:r>
      <w:r>
        <w:instrText xml:space="preserve"> PAGEREF _Toc6874 </w:instrText>
      </w:r>
      <w:r>
        <w:fldChar w:fldCharType="separate"/>
      </w:r>
      <w:r>
        <w:t>135</w:t>
      </w:r>
      <w:r>
        <w:fldChar w:fldCharType="end"/>
      </w:r>
      <w:r>
        <w:fldChar w:fldCharType="end"/>
      </w:r>
    </w:p>
    <w:p>
      <w:pPr>
        <w:pStyle w:val="22"/>
        <w:tabs>
          <w:tab w:val="right" w:leader="dot" w:pos="8844"/>
        </w:tabs>
        <w:ind w:left="560" w:firstLine="562"/>
      </w:pPr>
      <w:r>
        <w:fldChar w:fldCharType="begin"/>
      </w:r>
      <w:r>
        <w:instrText xml:space="preserve"> HYPERLINK \l "_Toc15443" </w:instrText>
      </w:r>
      <w:r>
        <w:fldChar w:fldCharType="separate"/>
      </w:r>
      <w:r>
        <w:rPr>
          <w:rFonts w:hint="eastAsia"/>
        </w:rPr>
        <w:t>第四十七章  坚决维护政治安全</w:t>
      </w:r>
      <w:r>
        <w:tab/>
      </w:r>
      <w:r>
        <w:fldChar w:fldCharType="begin"/>
      </w:r>
      <w:r>
        <w:instrText xml:space="preserve"> PAGEREF _Toc15443 </w:instrText>
      </w:r>
      <w:r>
        <w:fldChar w:fldCharType="separate"/>
      </w:r>
      <w:r>
        <w:t>136</w:t>
      </w:r>
      <w:r>
        <w:fldChar w:fldCharType="end"/>
      </w:r>
      <w:r>
        <w:fldChar w:fldCharType="end"/>
      </w:r>
    </w:p>
    <w:p>
      <w:pPr>
        <w:pStyle w:val="14"/>
        <w:tabs>
          <w:tab w:val="right" w:leader="dot" w:pos="8844"/>
        </w:tabs>
        <w:ind w:left="1120" w:firstLine="560"/>
      </w:pPr>
      <w:r>
        <w:fldChar w:fldCharType="begin"/>
      </w:r>
      <w:r>
        <w:instrText xml:space="preserve"> HYPERLINK \l "_Toc17839" </w:instrText>
      </w:r>
      <w:r>
        <w:fldChar w:fldCharType="separate"/>
      </w:r>
      <w:r>
        <w:t>第一节  扎实做好意识形态工作</w:t>
      </w:r>
      <w:r>
        <w:tab/>
      </w:r>
      <w:r>
        <w:fldChar w:fldCharType="begin"/>
      </w:r>
      <w:r>
        <w:instrText xml:space="preserve"> PAGEREF _Toc17839 </w:instrText>
      </w:r>
      <w:r>
        <w:fldChar w:fldCharType="separate"/>
      </w:r>
      <w:r>
        <w:t>136</w:t>
      </w:r>
      <w:r>
        <w:fldChar w:fldCharType="end"/>
      </w:r>
      <w:r>
        <w:fldChar w:fldCharType="end"/>
      </w:r>
    </w:p>
    <w:p>
      <w:pPr>
        <w:pStyle w:val="14"/>
        <w:tabs>
          <w:tab w:val="right" w:leader="dot" w:pos="8844"/>
        </w:tabs>
        <w:ind w:left="1120" w:firstLine="560"/>
      </w:pPr>
      <w:r>
        <w:fldChar w:fldCharType="begin"/>
      </w:r>
      <w:r>
        <w:instrText xml:space="preserve"> HYPERLINK \l "_Toc16759" </w:instrText>
      </w:r>
      <w:r>
        <w:fldChar w:fldCharType="separate"/>
      </w:r>
      <w:r>
        <w:t>第二节  筑牢政治安全底线</w:t>
      </w:r>
      <w:r>
        <w:tab/>
      </w:r>
      <w:r>
        <w:fldChar w:fldCharType="begin"/>
      </w:r>
      <w:r>
        <w:instrText xml:space="preserve"> PAGEREF _Toc16759 </w:instrText>
      </w:r>
      <w:r>
        <w:fldChar w:fldCharType="separate"/>
      </w:r>
      <w:r>
        <w:t>137</w:t>
      </w:r>
      <w:r>
        <w:fldChar w:fldCharType="end"/>
      </w:r>
      <w:r>
        <w:fldChar w:fldCharType="end"/>
      </w:r>
    </w:p>
    <w:p>
      <w:pPr>
        <w:pStyle w:val="22"/>
        <w:tabs>
          <w:tab w:val="right" w:leader="dot" w:pos="8844"/>
        </w:tabs>
        <w:ind w:left="560" w:firstLine="562"/>
      </w:pPr>
      <w:r>
        <w:fldChar w:fldCharType="begin"/>
      </w:r>
      <w:r>
        <w:instrText xml:space="preserve"> HYPERLINK \l "_Toc8954" </w:instrText>
      </w:r>
      <w:r>
        <w:fldChar w:fldCharType="separate"/>
      </w:r>
      <w:r>
        <w:rPr>
          <w:rFonts w:hint="eastAsia"/>
        </w:rPr>
        <w:t>第四十八章  突出抓好经济安全</w:t>
      </w:r>
      <w:r>
        <w:tab/>
      </w:r>
      <w:r>
        <w:fldChar w:fldCharType="begin"/>
      </w:r>
      <w:r>
        <w:instrText xml:space="preserve"> PAGEREF _Toc8954 </w:instrText>
      </w:r>
      <w:r>
        <w:fldChar w:fldCharType="separate"/>
      </w:r>
      <w:r>
        <w:t>137</w:t>
      </w:r>
      <w:r>
        <w:fldChar w:fldCharType="end"/>
      </w:r>
      <w:r>
        <w:fldChar w:fldCharType="end"/>
      </w:r>
    </w:p>
    <w:p>
      <w:pPr>
        <w:pStyle w:val="14"/>
        <w:tabs>
          <w:tab w:val="right" w:leader="dot" w:pos="8844"/>
        </w:tabs>
        <w:ind w:left="1120" w:firstLine="560"/>
      </w:pPr>
      <w:r>
        <w:fldChar w:fldCharType="begin"/>
      </w:r>
      <w:r>
        <w:instrText xml:space="preserve"> HYPERLINK \l "_Toc27279" </w:instrText>
      </w:r>
      <w:r>
        <w:fldChar w:fldCharType="separate"/>
      </w:r>
      <w:r>
        <w:t>第一节  构建经济安全生产工作格局</w:t>
      </w:r>
      <w:r>
        <w:tab/>
      </w:r>
      <w:r>
        <w:fldChar w:fldCharType="begin"/>
      </w:r>
      <w:r>
        <w:instrText xml:space="preserve"> PAGEREF _Toc27279 </w:instrText>
      </w:r>
      <w:r>
        <w:fldChar w:fldCharType="separate"/>
      </w:r>
      <w:r>
        <w:t>137</w:t>
      </w:r>
      <w:r>
        <w:fldChar w:fldCharType="end"/>
      </w:r>
      <w:r>
        <w:fldChar w:fldCharType="end"/>
      </w:r>
    </w:p>
    <w:p>
      <w:pPr>
        <w:pStyle w:val="14"/>
        <w:tabs>
          <w:tab w:val="right" w:leader="dot" w:pos="8844"/>
        </w:tabs>
        <w:ind w:left="1120" w:firstLine="560"/>
      </w:pPr>
      <w:r>
        <w:fldChar w:fldCharType="begin"/>
      </w:r>
      <w:r>
        <w:instrText xml:space="preserve"> HYPERLINK \l "_Toc20324" </w:instrText>
      </w:r>
      <w:r>
        <w:fldChar w:fldCharType="separate"/>
      </w:r>
      <w:r>
        <w:t>第二节  建立经济安全工作协调机制</w:t>
      </w:r>
      <w:r>
        <w:tab/>
      </w:r>
      <w:r>
        <w:fldChar w:fldCharType="begin"/>
      </w:r>
      <w:r>
        <w:instrText xml:space="preserve"> PAGEREF _Toc20324 </w:instrText>
      </w:r>
      <w:r>
        <w:fldChar w:fldCharType="separate"/>
      </w:r>
      <w:r>
        <w:t>138</w:t>
      </w:r>
      <w:r>
        <w:fldChar w:fldCharType="end"/>
      </w:r>
      <w:r>
        <w:fldChar w:fldCharType="end"/>
      </w:r>
    </w:p>
    <w:p>
      <w:pPr>
        <w:pStyle w:val="22"/>
        <w:tabs>
          <w:tab w:val="right" w:leader="dot" w:pos="8844"/>
        </w:tabs>
        <w:ind w:left="560" w:firstLine="562"/>
      </w:pPr>
      <w:r>
        <w:fldChar w:fldCharType="begin"/>
      </w:r>
      <w:r>
        <w:instrText xml:space="preserve"> HYPERLINK \l "_Toc11869" </w:instrText>
      </w:r>
      <w:r>
        <w:fldChar w:fldCharType="separate"/>
      </w:r>
      <w:r>
        <w:rPr>
          <w:rFonts w:hint="eastAsia"/>
        </w:rPr>
        <w:t>第四十九章  切实保障公共安全</w:t>
      </w:r>
      <w:r>
        <w:tab/>
      </w:r>
      <w:r>
        <w:fldChar w:fldCharType="begin"/>
      </w:r>
      <w:r>
        <w:instrText xml:space="preserve"> PAGEREF _Toc11869 </w:instrText>
      </w:r>
      <w:r>
        <w:fldChar w:fldCharType="separate"/>
      </w:r>
      <w:r>
        <w:t>138</w:t>
      </w:r>
      <w:r>
        <w:fldChar w:fldCharType="end"/>
      </w:r>
      <w:r>
        <w:fldChar w:fldCharType="end"/>
      </w:r>
    </w:p>
    <w:p>
      <w:pPr>
        <w:pStyle w:val="14"/>
        <w:tabs>
          <w:tab w:val="right" w:leader="dot" w:pos="8844"/>
        </w:tabs>
        <w:ind w:left="1120" w:firstLine="560"/>
      </w:pPr>
      <w:r>
        <w:fldChar w:fldCharType="begin"/>
      </w:r>
      <w:r>
        <w:instrText xml:space="preserve"> HYPERLINK \l "_Toc26743" </w:instrText>
      </w:r>
      <w:r>
        <w:fldChar w:fldCharType="separate"/>
      </w:r>
      <w:r>
        <w:t>第一节  提高社会治安防控能力</w:t>
      </w:r>
      <w:r>
        <w:tab/>
      </w:r>
      <w:r>
        <w:fldChar w:fldCharType="begin"/>
      </w:r>
      <w:r>
        <w:instrText xml:space="preserve"> PAGEREF _Toc26743 </w:instrText>
      </w:r>
      <w:r>
        <w:fldChar w:fldCharType="separate"/>
      </w:r>
      <w:r>
        <w:t>139</w:t>
      </w:r>
      <w:r>
        <w:fldChar w:fldCharType="end"/>
      </w:r>
      <w:r>
        <w:fldChar w:fldCharType="end"/>
      </w:r>
    </w:p>
    <w:p>
      <w:pPr>
        <w:pStyle w:val="14"/>
        <w:tabs>
          <w:tab w:val="right" w:leader="dot" w:pos="8844"/>
        </w:tabs>
        <w:ind w:left="1120" w:firstLine="560"/>
      </w:pPr>
      <w:r>
        <w:fldChar w:fldCharType="begin"/>
      </w:r>
      <w:r>
        <w:instrText xml:space="preserve"> HYPERLINK \l "_Toc30410" </w:instrText>
      </w:r>
      <w:r>
        <w:fldChar w:fldCharType="separate"/>
      </w:r>
      <w:r>
        <w:t>第二节  全面加强应急管理</w:t>
      </w:r>
      <w:r>
        <w:tab/>
      </w:r>
      <w:r>
        <w:fldChar w:fldCharType="begin"/>
      </w:r>
      <w:r>
        <w:instrText xml:space="preserve"> PAGEREF _Toc30410 </w:instrText>
      </w:r>
      <w:r>
        <w:fldChar w:fldCharType="separate"/>
      </w:r>
      <w:r>
        <w:t>140</w:t>
      </w:r>
      <w:r>
        <w:fldChar w:fldCharType="end"/>
      </w:r>
      <w:r>
        <w:fldChar w:fldCharType="end"/>
      </w:r>
    </w:p>
    <w:p>
      <w:pPr>
        <w:pStyle w:val="14"/>
        <w:tabs>
          <w:tab w:val="right" w:leader="dot" w:pos="8844"/>
        </w:tabs>
        <w:ind w:left="1120" w:firstLine="560"/>
      </w:pPr>
      <w:r>
        <w:fldChar w:fldCharType="begin"/>
      </w:r>
      <w:r>
        <w:instrText xml:space="preserve"> HYPERLINK \l "_Toc4316" </w:instrText>
      </w:r>
      <w:r>
        <w:fldChar w:fldCharType="separate"/>
      </w:r>
      <w:r>
        <w:t>第三节  完善人民防空应急体系</w:t>
      </w:r>
      <w:r>
        <w:tab/>
      </w:r>
      <w:r>
        <w:fldChar w:fldCharType="begin"/>
      </w:r>
      <w:r>
        <w:instrText xml:space="preserve"> PAGEREF _Toc4316 </w:instrText>
      </w:r>
      <w:r>
        <w:fldChar w:fldCharType="separate"/>
      </w:r>
      <w:r>
        <w:t>141</w:t>
      </w:r>
      <w:r>
        <w:fldChar w:fldCharType="end"/>
      </w:r>
      <w:r>
        <w:fldChar w:fldCharType="end"/>
      </w:r>
    </w:p>
    <w:p>
      <w:pPr>
        <w:pStyle w:val="14"/>
        <w:tabs>
          <w:tab w:val="right" w:leader="dot" w:pos="8844"/>
        </w:tabs>
        <w:ind w:left="1120" w:firstLine="560"/>
      </w:pPr>
      <w:r>
        <w:fldChar w:fldCharType="begin"/>
      </w:r>
      <w:r>
        <w:instrText xml:space="preserve"> HYPERLINK \l "_Toc17080" </w:instrText>
      </w:r>
      <w:r>
        <w:fldChar w:fldCharType="separate"/>
      </w:r>
      <w:r>
        <w:t>第四节  提升风险防范应对能力</w:t>
      </w:r>
      <w:r>
        <w:tab/>
      </w:r>
      <w:r>
        <w:fldChar w:fldCharType="begin"/>
      </w:r>
      <w:r>
        <w:instrText xml:space="preserve"> PAGEREF _Toc17080 </w:instrText>
      </w:r>
      <w:r>
        <w:fldChar w:fldCharType="separate"/>
      </w:r>
      <w:r>
        <w:t>141</w:t>
      </w:r>
      <w:r>
        <w:fldChar w:fldCharType="end"/>
      </w:r>
      <w:r>
        <w:fldChar w:fldCharType="end"/>
      </w:r>
    </w:p>
    <w:p>
      <w:pPr>
        <w:pStyle w:val="14"/>
        <w:tabs>
          <w:tab w:val="right" w:leader="dot" w:pos="8844"/>
        </w:tabs>
        <w:ind w:left="1120" w:firstLine="560"/>
      </w:pPr>
      <w:r>
        <w:fldChar w:fldCharType="begin"/>
      </w:r>
      <w:r>
        <w:instrText xml:space="preserve"> HYPERLINK \l "_Toc32605" </w:instrText>
      </w:r>
      <w:r>
        <w:fldChar w:fldCharType="separate"/>
      </w:r>
      <w:r>
        <w:t>第五节  深化法治政府建设</w:t>
      </w:r>
      <w:r>
        <w:tab/>
      </w:r>
      <w:r>
        <w:fldChar w:fldCharType="begin"/>
      </w:r>
      <w:r>
        <w:instrText xml:space="preserve"> PAGEREF _Toc32605 </w:instrText>
      </w:r>
      <w:r>
        <w:fldChar w:fldCharType="separate"/>
      </w:r>
      <w:r>
        <w:t>141</w:t>
      </w:r>
      <w:r>
        <w:fldChar w:fldCharType="end"/>
      </w:r>
      <w:r>
        <w:fldChar w:fldCharType="end"/>
      </w:r>
    </w:p>
    <w:p>
      <w:pPr>
        <w:pStyle w:val="22"/>
        <w:tabs>
          <w:tab w:val="right" w:leader="dot" w:pos="8844"/>
        </w:tabs>
        <w:ind w:left="560" w:firstLine="562"/>
      </w:pPr>
      <w:r>
        <w:fldChar w:fldCharType="begin"/>
      </w:r>
      <w:r>
        <w:instrText xml:space="preserve"> HYPERLINK \l "_Toc7024" </w:instrText>
      </w:r>
      <w:r>
        <w:fldChar w:fldCharType="separate"/>
      </w:r>
      <w:r>
        <w:rPr>
          <w:rFonts w:hint="eastAsia"/>
        </w:rPr>
        <w:t>第五十章  深化国防动员体系和后备力量建设</w:t>
      </w:r>
      <w:r>
        <w:tab/>
      </w:r>
      <w:r>
        <w:fldChar w:fldCharType="begin"/>
      </w:r>
      <w:r>
        <w:instrText xml:space="preserve"> PAGEREF _Toc7024 </w:instrText>
      </w:r>
      <w:r>
        <w:fldChar w:fldCharType="separate"/>
      </w:r>
      <w:r>
        <w:t>143</w:t>
      </w:r>
      <w:r>
        <w:fldChar w:fldCharType="end"/>
      </w:r>
      <w:r>
        <w:fldChar w:fldCharType="end"/>
      </w:r>
    </w:p>
    <w:p>
      <w:pPr>
        <w:pStyle w:val="14"/>
        <w:tabs>
          <w:tab w:val="right" w:leader="dot" w:pos="8844"/>
        </w:tabs>
        <w:ind w:left="1120" w:firstLine="560"/>
      </w:pPr>
      <w:r>
        <w:fldChar w:fldCharType="begin"/>
      </w:r>
      <w:r>
        <w:instrText xml:space="preserve"> HYPERLINK \l "_Toc8811" </w:instrText>
      </w:r>
      <w:r>
        <w:fldChar w:fldCharType="separate"/>
      </w:r>
      <w:r>
        <w:t>第一节  做好国防动员</w:t>
      </w:r>
      <w:r>
        <w:rPr>
          <w:rFonts w:hint="eastAsia"/>
        </w:rPr>
        <w:t>体系建设</w:t>
      </w:r>
      <w:r>
        <w:tab/>
      </w:r>
      <w:r>
        <w:fldChar w:fldCharType="begin"/>
      </w:r>
      <w:r>
        <w:instrText xml:space="preserve"> PAGEREF _Toc8811 </w:instrText>
      </w:r>
      <w:r>
        <w:fldChar w:fldCharType="separate"/>
      </w:r>
      <w:r>
        <w:t>143</w:t>
      </w:r>
      <w:r>
        <w:fldChar w:fldCharType="end"/>
      </w:r>
      <w:r>
        <w:fldChar w:fldCharType="end"/>
      </w:r>
    </w:p>
    <w:p>
      <w:pPr>
        <w:pStyle w:val="14"/>
        <w:tabs>
          <w:tab w:val="right" w:leader="dot" w:pos="8844"/>
        </w:tabs>
        <w:ind w:left="1120" w:firstLine="560"/>
      </w:pPr>
      <w:r>
        <w:fldChar w:fldCharType="begin"/>
      </w:r>
      <w:r>
        <w:instrText xml:space="preserve"> HYPERLINK \l "_Toc15063" </w:instrText>
      </w:r>
      <w:r>
        <w:fldChar w:fldCharType="separate"/>
      </w:r>
      <w:r>
        <w:t>第二节  完善国防动员军民融合体制机制</w:t>
      </w:r>
      <w:r>
        <w:tab/>
      </w:r>
      <w:r>
        <w:fldChar w:fldCharType="begin"/>
      </w:r>
      <w:r>
        <w:instrText xml:space="preserve"> PAGEREF _Toc15063 </w:instrText>
      </w:r>
      <w:r>
        <w:fldChar w:fldCharType="separate"/>
      </w:r>
      <w:r>
        <w:t>143</w:t>
      </w:r>
      <w:r>
        <w:fldChar w:fldCharType="end"/>
      </w:r>
      <w:r>
        <w:fldChar w:fldCharType="end"/>
      </w:r>
    </w:p>
    <w:p>
      <w:pPr>
        <w:pStyle w:val="19"/>
        <w:tabs>
          <w:tab w:val="right" w:leader="dot" w:pos="8844"/>
        </w:tabs>
      </w:pPr>
      <w:r>
        <w:fldChar w:fldCharType="begin"/>
      </w:r>
      <w:r>
        <w:instrText xml:space="preserve"> HYPERLINK \l "_Toc25229" </w:instrText>
      </w:r>
      <w:r>
        <w:fldChar w:fldCharType="separate"/>
      </w:r>
      <w:r>
        <w:rPr>
          <w:rFonts w:hint="eastAsia" w:ascii="黑体" w:hAnsi="黑体" w:cs="黑体"/>
        </w:rPr>
        <w:t>第十二篇  健全规划的领导和保障机制</w:t>
      </w:r>
      <w:r>
        <w:tab/>
      </w:r>
      <w:r>
        <w:fldChar w:fldCharType="begin"/>
      </w:r>
      <w:r>
        <w:instrText xml:space="preserve"> PAGEREF _Toc25229 </w:instrText>
      </w:r>
      <w:r>
        <w:fldChar w:fldCharType="separate"/>
      </w:r>
      <w:r>
        <w:t>145</w:t>
      </w:r>
      <w:r>
        <w:fldChar w:fldCharType="end"/>
      </w:r>
      <w:r>
        <w:fldChar w:fldCharType="end"/>
      </w:r>
    </w:p>
    <w:p>
      <w:pPr>
        <w:pStyle w:val="22"/>
        <w:tabs>
          <w:tab w:val="right" w:leader="dot" w:pos="8844"/>
        </w:tabs>
        <w:ind w:left="560" w:firstLine="562"/>
      </w:pPr>
      <w:r>
        <w:fldChar w:fldCharType="begin"/>
      </w:r>
      <w:r>
        <w:instrText xml:space="preserve"> HYPERLINK \l "_Toc22890" </w:instrText>
      </w:r>
      <w:r>
        <w:fldChar w:fldCharType="separate"/>
      </w:r>
      <w:r>
        <w:rPr>
          <w:rFonts w:hint="eastAsia"/>
        </w:rPr>
        <w:t>第五十一章  坚持党对经济社会发展的领导</w:t>
      </w:r>
      <w:r>
        <w:tab/>
      </w:r>
      <w:r>
        <w:fldChar w:fldCharType="begin"/>
      </w:r>
      <w:r>
        <w:instrText xml:space="preserve"> PAGEREF _Toc22890 </w:instrText>
      </w:r>
      <w:r>
        <w:fldChar w:fldCharType="separate"/>
      </w:r>
      <w:r>
        <w:t>145</w:t>
      </w:r>
      <w:r>
        <w:fldChar w:fldCharType="end"/>
      </w:r>
      <w:r>
        <w:fldChar w:fldCharType="end"/>
      </w:r>
    </w:p>
    <w:p>
      <w:pPr>
        <w:pStyle w:val="22"/>
        <w:tabs>
          <w:tab w:val="right" w:leader="dot" w:pos="8844"/>
        </w:tabs>
        <w:ind w:left="560" w:firstLine="562"/>
      </w:pPr>
      <w:r>
        <w:fldChar w:fldCharType="begin"/>
      </w:r>
      <w:r>
        <w:instrText xml:space="preserve"> HYPERLINK \l "_Toc10249" </w:instrText>
      </w:r>
      <w:r>
        <w:fldChar w:fldCharType="separate"/>
      </w:r>
      <w:r>
        <w:rPr>
          <w:rFonts w:hint="eastAsia"/>
        </w:rPr>
        <w:t>第五十二章  持续营造风清气正良好政治生态</w:t>
      </w:r>
      <w:r>
        <w:tab/>
      </w:r>
      <w:r>
        <w:fldChar w:fldCharType="begin"/>
      </w:r>
      <w:r>
        <w:instrText xml:space="preserve"> PAGEREF _Toc10249 </w:instrText>
      </w:r>
      <w:r>
        <w:fldChar w:fldCharType="separate"/>
      </w:r>
      <w:r>
        <w:t>145</w:t>
      </w:r>
      <w:r>
        <w:fldChar w:fldCharType="end"/>
      </w:r>
      <w:r>
        <w:fldChar w:fldCharType="end"/>
      </w:r>
    </w:p>
    <w:p>
      <w:pPr>
        <w:pStyle w:val="22"/>
        <w:tabs>
          <w:tab w:val="right" w:leader="dot" w:pos="8844"/>
        </w:tabs>
        <w:ind w:left="560" w:firstLine="562"/>
      </w:pPr>
      <w:r>
        <w:fldChar w:fldCharType="begin"/>
      </w:r>
      <w:r>
        <w:instrText xml:space="preserve"> HYPERLINK \l "_Toc27381" </w:instrText>
      </w:r>
      <w:r>
        <w:fldChar w:fldCharType="separate"/>
      </w:r>
      <w:r>
        <w:rPr>
          <w:rFonts w:hint="eastAsia"/>
        </w:rPr>
        <w:t>第五十三章  建设高素质专业化干部队伍</w:t>
      </w:r>
      <w:r>
        <w:tab/>
      </w:r>
      <w:r>
        <w:fldChar w:fldCharType="begin"/>
      </w:r>
      <w:r>
        <w:instrText xml:space="preserve"> PAGEREF _Toc27381 </w:instrText>
      </w:r>
      <w:r>
        <w:fldChar w:fldCharType="separate"/>
      </w:r>
      <w:r>
        <w:t>146</w:t>
      </w:r>
      <w:r>
        <w:fldChar w:fldCharType="end"/>
      </w:r>
      <w:r>
        <w:fldChar w:fldCharType="end"/>
      </w:r>
    </w:p>
    <w:p>
      <w:pPr>
        <w:pStyle w:val="22"/>
        <w:tabs>
          <w:tab w:val="right" w:leader="dot" w:pos="8844"/>
        </w:tabs>
        <w:ind w:left="560" w:firstLine="562"/>
      </w:pPr>
      <w:r>
        <w:fldChar w:fldCharType="begin"/>
      </w:r>
      <w:r>
        <w:instrText xml:space="preserve"> HYPERLINK \l "_Toc31876" </w:instrText>
      </w:r>
      <w:r>
        <w:fldChar w:fldCharType="separate"/>
      </w:r>
      <w:r>
        <w:rPr>
          <w:rFonts w:hint="eastAsia"/>
        </w:rPr>
        <w:t>第五十四章  推进社会主义政治建设</w:t>
      </w:r>
      <w:r>
        <w:tab/>
      </w:r>
      <w:r>
        <w:fldChar w:fldCharType="begin"/>
      </w:r>
      <w:r>
        <w:instrText xml:space="preserve"> PAGEREF _Toc31876 </w:instrText>
      </w:r>
      <w:r>
        <w:fldChar w:fldCharType="separate"/>
      </w:r>
      <w:r>
        <w:t>147</w:t>
      </w:r>
      <w:r>
        <w:fldChar w:fldCharType="end"/>
      </w:r>
      <w:r>
        <w:fldChar w:fldCharType="end"/>
      </w:r>
    </w:p>
    <w:p>
      <w:pPr>
        <w:pStyle w:val="22"/>
        <w:tabs>
          <w:tab w:val="right" w:leader="dot" w:pos="8844"/>
        </w:tabs>
        <w:ind w:left="560" w:firstLine="562"/>
      </w:pPr>
      <w:r>
        <w:fldChar w:fldCharType="begin"/>
      </w:r>
      <w:r>
        <w:instrText xml:space="preserve"> HYPERLINK \l "_Toc17615" </w:instrText>
      </w:r>
      <w:r>
        <w:fldChar w:fldCharType="separate"/>
      </w:r>
      <w:r>
        <w:rPr>
          <w:rFonts w:hint="eastAsia"/>
        </w:rPr>
        <w:t>第五十五章  健全规划制定和落实工作机制</w:t>
      </w:r>
      <w:r>
        <w:tab/>
      </w:r>
      <w:r>
        <w:fldChar w:fldCharType="begin"/>
      </w:r>
      <w:r>
        <w:instrText xml:space="preserve"> PAGEREF _Toc17615 </w:instrText>
      </w:r>
      <w:r>
        <w:fldChar w:fldCharType="separate"/>
      </w:r>
      <w:r>
        <w:t>147</w:t>
      </w:r>
      <w:r>
        <w:fldChar w:fldCharType="end"/>
      </w:r>
      <w:r>
        <w:fldChar w:fldCharType="end"/>
      </w:r>
    </w:p>
    <w:p>
      <w:pPr>
        <w:pStyle w:val="14"/>
        <w:tabs>
          <w:tab w:val="right" w:leader="dot" w:pos="8844"/>
        </w:tabs>
        <w:ind w:left="1120" w:firstLine="560"/>
      </w:pPr>
      <w:r>
        <w:fldChar w:fldCharType="begin"/>
      </w:r>
      <w:r>
        <w:instrText xml:space="preserve"> HYPERLINK \l "_Toc4403" </w:instrText>
      </w:r>
      <w:r>
        <w:fldChar w:fldCharType="separate"/>
      </w:r>
      <w:r>
        <w:t>第一节  建立统一规划体系</w:t>
      </w:r>
      <w:r>
        <w:tab/>
      </w:r>
      <w:r>
        <w:fldChar w:fldCharType="begin"/>
      </w:r>
      <w:r>
        <w:instrText xml:space="preserve"> PAGEREF _Toc4403 </w:instrText>
      </w:r>
      <w:r>
        <w:fldChar w:fldCharType="separate"/>
      </w:r>
      <w:r>
        <w:t>148</w:t>
      </w:r>
      <w:r>
        <w:fldChar w:fldCharType="end"/>
      </w:r>
      <w:r>
        <w:fldChar w:fldCharType="end"/>
      </w:r>
    </w:p>
    <w:p>
      <w:pPr>
        <w:pStyle w:val="14"/>
        <w:tabs>
          <w:tab w:val="right" w:leader="dot" w:pos="8844"/>
        </w:tabs>
        <w:ind w:left="1120" w:firstLine="560"/>
      </w:pPr>
      <w:r>
        <w:fldChar w:fldCharType="begin"/>
      </w:r>
      <w:r>
        <w:instrText xml:space="preserve"> HYPERLINK \l "_Toc10156" </w:instrText>
      </w:r>
      <w:r>
        <w:fldChar w:fldCharType="separate"/>
      </w:r>
      <w:r>
        <w:t>第二节  落实规划实施主体责任</w:t>
      </w:r>
      <w:r>
        <w:tab/>
      </w:r>
      <w:r>
        <w:fldChar w:fldCharType="begin"/>
      </w:r>
      <w:r>
        <w:instrText xml:space="preserve"> PAGEREF _Toc10156 </w:instrText>
      </w:r>
      <w:r>
        <w:fldChar w:fldCharType="separate"/>
      </w:r>
      <w:r>
        <w:t>148</w:t>
      </w:r>
      <w:r>
        <w:fldChar w:fldCharType="end"/>
      </w:r>
      <w:r>
        <w:fldChar w:fldCharType="end"/>
      </w:r>
    </w:p>
    <w:p>
      <w:pPr>
        <w:pStyle w:val="14"/>
        <w:tabs>
          <w:tab w:val="right" w:leader="dot" w:pos="8844"/>
        </w:tabs>
        <w:ind w:left="1120" w:firstLine="560"/>
      </w:pPr>
      <w:r>
        <w:fldChar w:fldCharType="begin"/>
      </w:r>
      <w:r>
        <w:instrText xml:space="preserve"> HYPERLINK \l "_Toc28421" </w:instrText>
      </w:r>
      <w:r>
        <w:fldChar w:fldCharType="separate"/>
      </w:r>
      <w:r>
        <w:t>第三节  完善规划评估监督机制</w:t>
      </w:r>
      <w:r>
        <w:tab/>
      </w:r>
      <w:r>
        <w:fldChar w:fldCharType="begin"/>
      </w:r>
      <w:r>
        <w:instrText xml:space="preserve"> PAGEREF _Toc28421 </w:instrText>
      </w:r>
      <w:r>
        <w:fldChar w:fldCharType="separate"/>
      </w:r>
      <w:r>
        <w:t>148</w:t>
      </w:r>
      <w:r>
        <w:fldChar w:fldCharType="end"/>
      </w:r>
      <w:r>
        <w:fldChar w:fldCharType="end"/>
      </w:r>
    </w:p>
    <w:p>
      <w:pPr>
        <w:tabs>
          <w:tab w:val="left" w:pos="3742"/>
        </w:tabs>
        <w:ind w:firstLine="0" w:firstLineChars="0"/>
        <w:jc w:val="left"/>
        <w:rPr>
          <w:szCs w:val="28"/>
        </w:rPr>
      </w:pPr>
      <w:r>
        <w:rPr>
          <w:szCs w:val="28"/>
        </w:rPr>
        <w:fldChar w:fldCharType="end"/>
      </w:r>
    </w:p>
    <w:p>
      <w:pPr>
        <w:tabs>
          <w:tab w:val="left" w:pos="3742"/>
        </w:tabs>
        <w:ind w:left="900" w:hanging="900" w:hangingChars="300"/>
        <w:jc w:val="left"/>
        <w:rPr>
          <w:rFonts w:ascii="黑体" w:hAnsi="黑体" w:eastAsia="黑体" w:cs="黑体"/>
          <w:bCs/>
          <w:caps/>
          <w:snapToGrid w:val="0"/>
          <w:sz w:val="30"/>
        </w:rPr>
        <w:sectPr>
          <w:footerReference r:id="rId11" w:type="default"/>
          <w:pgSz w:w="11906" w:h="16838"/>
          <w:pgMar w:top="1984" w:right="1531" w:bottom="1531" w:left="1531" w:header="851" w:footer="1191" w:gutter="0"/>
          <w:pgNumType w:fmt="upperRoman" w:start="1"/>
          <w:cols w:space="720" w:num="1"/>
          <w:docGrid w:type="lines" w:linePitch="312" w:charSpace="0"/>
        </w:sectPr>
      </w:pPr>
      <w:r>
        <w:rPr>
          <w:rFonts w:hint="eastAsia" w:ascii="黑体" w:hAnsi="黑体" w:eastAsia="黑体" w:cs="黑体"/>
          <w:bCs/>
          <w:caps/>
          <w:snapToGrid w:val="0"/>
          <w:sz w:val="30"/>
        </w:rPr>
        <w:t>附件：奉节县国民经济和社会发展第十四个五年规划和2035年远景目标纲要项目库</w:t>
      </w:r>
    </w:p>
    <w:p>
      <w:pPr>
        <w:pStyle w:val="3"/>
        <w:spacing w:before="156" w:beforeLines="50" w:after="156" w:afterLines="50" w:line="560" w:lineRule="exact"/>
        <w:rPr>
          <w:rFonts w:ascii="黑体" w:hAnsi="黑体" w:eastAsia="黑体" w:cs="黑体"/>
          <w:b w:val="0"/>
          <w:bCs/>
        </w:rPr>
      </w:pPr>
      <w:bookmarkStart w:id="0" w:name="_Toc60584669"/>
      <w:bookmarkStart w:id="1" w:name="_Toc19482"/>
      <w:bookmarkStart w:id="2" w:name="_Toc2804"/>
      <w:bookmarkStart w:id="3" w:name="_Toc27041"/>
      <w:bookmarkStart w:id="4" w:name="_Toc26776"/>
      <w:bookmarkStart w:id="5" w:name="_Toc59992960"/>
      <w:bookmarkStart w:id="6" w:name="_Toc18260"/>
      <w:bookmarkStart w:id="7" w:name="_Toc5389"/>
      <w:bookmarkStart w:id="8" w:name="_Toc16080"/>
      <w:bookmarkStart w:id="9" w:name="_Toc21823"/>
      <w:r>
        <w:rPr>
          <w:rFonts w:hint="eastAsia" w:ascii="黑体" w:hAnsi="黑体" w:eastAsia="黑体" w:cs="黑体"/>
          <w:b w:val="0"/>
          <w:bCs/>
        </w:rPr>
        <w:t>第一篇  开启社会主义现代化建设新征程</w:t>
      </w:r>
      <w:bookmarkEnd w:id="0"/>
      <w:bookmarkEnd w:id="1"/>
      <w:bookmarkEnd w:id="2"/>
      <w:bookmarkEnd w:id="3"/>
      <w:bookmarkEnd w:id="4"/>
      <w:bookmarkEnd w:id="5"/>
      <w:bookmarkEnd w:id="6"/>
      <w:bookmarkEnd w:id="7"/>
      <w:bookmarkEnd w:id="8"/>
      <w:bookmarkEnd w:id="9"/>
    </w:p>
    <w:p>
      <w:pPr>
        <w:spacing w:line="560" w:lineRule="exact"/>
        <w:ind w:firstLine="960" w:firstLineChars="300"/>
        <w:rPr>
          <w:rFonts w:ascii="方正仿宋_GBK" w:hAnsi="方正仿宋_GBK" w:eastAsia="方正仿宋_GBK" w:cs="方正仿宋_GBK"/>
          <w:sz w:val="32"/>
          <w:szCs w:val="32"/>
        </w:rPr>
      </w:pPr>
      <w:bookmarkStart w:id="10" w:name="_Toc13457"/>
      <w:r>
        <w:rPr>
          <w:rFonts w:hint="eastAsia" w:ascii="方正仿宋_GBK" w:hAnsi="方正仿宋_GBK" w:eastAsia="方正仿宋_GBK" w:cs="方正仿宋_GBK"/>
          <w:sz w:val="32"/>
          <w:szCs w:val="32"/>
        </w:rPr>
        <w:t>奉节县国民经济和社会发展第十四个五年规划和二〇三五年远景目标纲要，根据《中共奉节县委关于制定奉节县国民经济和社会发展第十四个五年规划和二〇三五年远景目标的建议》编制，主要阐明战略意图、明确政府工作重点、引导规范市场主体行为，是未来十五年全县经济社会发展的宏伟蓝图，是全县各族人民共同奋斗的行动纲领，是政府履行经济调节、市场监管、社会管理、公共服务和环境保护职责的重要依据。</w:t>
      </w:r>
    </w:p>
    <w:bookmarkEnd w:id="10"/>
    <w:p>
      <w:pPr>
        <w:pStyle w:val="4"/>
        <w:spacing w:before="156" w:beforeLines="50" w:after="156" w:afterLines="50" w:line="560" w:lineRule="exact"/>
      </w:pPr>
      <w:bookmarkStart w:id="11" w:name="_Toc9688"/>
      <w:bookmarkStart w:id="12" w:name="_Toc6813"/>
      <w:bookmarkStart w:id="13" w:name="_Toc19264"/>
      <w:bookmarkStart w:id="14" w:name="_Toc26603"/>
      <w:bookmarkStart w:id="15" w:name="_Toc11439"/>
      <w:bookmarkStart w:id="16" w:name="_Toc31403"/>
      <w:bookmarkStart w:id="17" w:name="_Toc59992961"/>
      <w:bookmarkStart w:id="18" w:name="_Toc60584670"/>
      <w:bookmarkStart w:id="19" w:name="_Toc22044"/>
      <w:r>
        <w:rPr>
          <w:rFonts w:hint="eastAsia"/>
          <w:b w:val="0"/>
          <w:bCs w:val="0"/>
          <w:sz w:val="32"/>
        </w:rPr>
        <w:t xml:space="preserve">第一章  </w:t>
      </w:r>
      <w:bookmarkEnd w:id="11"/>
      <w:bookmarkEnd w:id="12"/>
      <w:bookmarkEnd w:id="13"/>
      <w:bookmarkEnd w:id="14"/>
      <w:bookmarkEnd w:id="15"/>
      <w:bookmarkEnd w:id="16"/>
      <w:bookmarkEnd w:id="17"/>
      <w:bookmarkEnd w:id="18"/>
      <w:bookmarkStart w:id="20" w:name="_Toc21275"/>
      <w:r>
        <w:rPr>
          <w:rFonts w:hint="eastAsia"/>
          <w:b w:val="0"/>
          <w:bCs w:val="0"/>
          <w:sz w:val="32"/>
        </w:rPr>
        <w:t>“十四五”时期我县经济社会发展的总体形势</w:t>
      </w:r>
      <w:bookmarkEnd w:id="19"/>
    </w:p>
    <w:p>
      <w:pPr>
        <w:spacing w:line="560" w:lineRule="exact"/>
        <w:ind w:firstLine="640"/>
      </w:pPr>
      <w:r>
        <w:rPr>
          <w:rFonts w:hint="eastAsia"/>
          <w:sz w:val="32"/>
          <w:szCs w:val="32"/>
        </w:rPr>
        <w:t>“十四五”时期是全县谱写高质量发展新篇章、开启社会主义现代化建设新征程的关键时期，要深入贯彻落实中央决策部署、重庆市委工作部署，着眼长远，把握大势，描绘社会主义现代化建设美好蓝图。</w:t>
      </w:r>
    </w:p>
    <w:p>
      <w:pPr>
        <w:pStyle w:val="5"/>
        <w:spacing w:before="62" w:beforeLines="20" w:after="62" w:afterLines="20" w:line="560" w:lineRule="exact"/>
      </w:pPr>
      <w:bookmarkStart w:id="21" w:name="_Toc59992962"/>
      <w:bookmarkStart w:id="22" w:name="_Toc60584671"/>
      <w:bookmarkStart w:id="23" w:name="_Toc19576"/>
      <w:bookmarkStart w:id="24" w:name="_Toc14352"/>
      <w:bookmarkStart w:id="25" w:name="_Toc22075"/>
      <w:bookmarkStart w:id="26" w:name="_Toc10546"/>
      <w:bookmarkStart w:id="27" w:name="_Toc1065"/>
      <w:bookmarkStart w:id="28" w:name="_Toc12428"/>
      <w:r>
        <w:rPr>
          <w:rFonts w:hint="eastAsia" w:ascii="仿宋_GB2312" w:hAnsi="仿宋_GB2312" w:eastAsia="仿宋_GB2312" w:cs="仿宋_GB2312"/>
          <w:sz w:val="32"/>
        </w:rPr>
        <w:t>第一节  决胜全面建成小康社会取得决定性成就</w:t>
      </w:r>
      <w:bookmarkEnd w:id="20"/>
      <w:bookmarkEnd w:id="21"/>
      <w:bookmarkEnd w:id="22"/>
      <w:bookmarkEnd w:id="23"/>
      <w:bookmarkEnd w:id="24"/>
      <w:bookmarkEnd w:id="25"/>
      <w:bookmarkEnd w:id="26"/>
      <w:bookmarkEnd w:id="27"/>
      <w:bookmarkEnd w:id="28"/>
      <w:r>
        <w:t xml:space="preserve"> </w:t>
      </w:r>
    </w:p>
    <w:p>
      <w:pPr>
        <w:spacing w:line="560" w:lineRule="exact"/>
        <w:ind w:firstLine="560" w:firstLineChars="0"/>
        <w:rPr>
          <w:sz w:val="32"/>
          <w:szCs w:val="32"/>
        </w:rPr>
      </w:pPr>
      <w:r>
        <w:rPr>
          <w:rFonts w:hint="eastAsia"/>
          <w:sz w:val="32"/>
          <w:szCs w:val="32"/>
        </w:rPr>
        <w:t>“十三五”时期是奉节县发展进程中极不平凡的五年，特别是党的十九大以来，面对艰巨繁重的改革发展稳定任务、尤其是新冠肺炎疫情的严重冲击，在以习近平同志为核心的党中央坚强领导下，全面贯彻中央决策部署，紧紧围绕把习近平总书记殷殷嘱托全面落实在重庆大地上这条主线，在市委的坚强领导下，把握“打好一场硬仗、用好两个宝贝、做好三件大事、抓好一个根本”和“脱贫攻坚拔掉穷根子、绿色发展探索新路子、党员干部做出好样子”的工作要求，县委带领全县广大干部群众，坚持全域旅游统领、生态产业支撑、新型城镇承载、区域中心带动“四条主线”，围绕把奉节建设成为“长江经济带上的绿色生态强县和区域性功能中心”的总目标，取得了“七大成就”，实现了“两个提升”，地区生产总值突破300亿元大关，奉节经济和社会发展各项事业迈上新台阶。五年来，全县唱响“三峡之巅</w:t>
      </w:r>
      <w:r>
        <w:rPr>
          <w:sz w:val="32"/>
          <w:szCs w:val="32"/>
        </w:rPr>
        <w:t xml:space="preserve"> </w:t>
      </w:r>
      <w:r>
        <w:rPr>
          <w:rFonts w:hint="eastAsia"/>
          <w:sz w:val="32"/>
          <w:szCs w:val="32"/>
        </w:rPr>
        <w:t>诗·橙奉节”核心品牌，国家4A级景区达到6个，《归来三峡》、三峡之巅荣登全市文旅新地标40强，获授全国唯一“中华诗城”称号，提高了奉节知名度和美誉度。郑万高铁即将通车，奉建高速全面开工，铁路、航空实现“零”突破，“34321”综合交通格局初步形成，区域性消费中心城市逐步成熟，凸显了奉节区域中心地位。实施“玉带双珠”工程，城区、景区、园区加速融为一体；实施百万方棚户区改造，城市建成区面积由7.7平方公里增加至14平方公里，城区常住人口由18.9万增加至30万，常住人口城镇化率达到50%，调整国土“三调”与“三区三线”，为发展腾出空间，拓展了城市空间骨架。现行标准下农村贫困人口全部脱贫，高质量摘掉戴了33年的贫困帽子，《“四访”工作规范》成为重庆基层治理首个地方标准，10余项经验被评为全国优秀扶贫案例，荣获2020年全国脱贫攻坚组织创新奖，成为全国脱贫攻坚样板。创新推动生态保护、生态修复、生态治理，深入实施环保“五大行动”，强力推进“绿满夔州·花漾奉节”，森林覆盖率达到6</w:t>
      </w:r>
      <w:r>
        <w:rPr>
          <w:sz w:val="32"/>
          <w:szCs w:val="32"/>
        </w:rPr>
        <w:t>3.0</w:t>
      </w:r>
      <w:r>
        <w:rPr>
          <w:rFonts w:hint="eastAsia"/>
          <w:sz w:val="32"/>
          <w:szCs w:val="32"/>
        </w:rPr>
        <w:t>%，空气质量优良天数达到350天，列为国家创新型县（市）创建县，获得“中国天然氧吧”荣誉称号。关煤矿、兴产业，山地特色高效农业总面积达116万亩，获准创建国家现代农业产业园，工业产业集群雏形初现，生态经济占比达到68%，走出了一条“弃煤启美”蝶变之路。农村“两确权两到位、两集中两转变”和“两进两出”改革深入推进，农村集体产权制度改革成为全国试点县；持续推进优化投资环境“六个一”和“四减”等举措，营商环境持续优化，市场主体增长到6.4万户；调整国企管理机制、盘活国有资产、理顺经营体系，国企改革提升了竞争力；各项改革推进顺利，多项改革成为全国经验。重本上线率和上线人数实现翻番，人均预期寿命等4大主要健康指标圆满实现，城镇新增就业超过6.8万人，城乡居民人均可支配收入比2015年分别增长1万元和0.5万元以上，城乡居民医保、基本养老保险覆盖率均达到95%以上，社会治理体系进一步完善，人民群众满意度显著提升；严格“清晨之问、静夜之思，案无积卷、事不过夜”要求，推行“三察两评一述职”具体举措，持续五年抓好干部作风建设，全县干部守土有责“在岗位”、守土有方“在现场”、守土有效“在状态”，全县政治生态持续向好，干部执行能力有效提升。</w:t>
      </w:r>
      <w:bookmarkStart w:id="1715" w:name="_GoBack"/>
      <w:bookmarkEnd w:id="1715"/>
      <w:r>
        <w:rPr>
          <w:rFonts w:hint="eastAsia"/>
          <w:sz w:val="32"/>
          <w:szCs w:val="32"/>
        </w:rPr>
        <w:t>“十三五”规划目标任务总体完成，三大攻坚战取得决定性进展，“十项行动方案”三年任务总体完成，全面建成小康社会胜利在望，为开启社会主义现代化建设新征程奠定了坚实基础。</w:t>
      </w:r>
    </w:p>
    <w:p>
      <w:pPr>
        <w:spacing w:line="600" w:lineRule="exact"/>
        <w:ind w:firstLine="480"/>
        <w:jc w:val="center"/>
        <w:rPr>
          <w:rFonts w:ascii="方正黑体简体" w:eastAsia="方正黑体简体"/>
          <w:szCs w:val="28"/>
        </w:rPr>
      </w:pPr>
      <w:bookmarkStart w:id="29" w:name="_Toc60584672"/>
      <w:bookmarkStart w:id="30" w:name="_Toc17131"/>
      <w:bookmarkStart w:id="31" w:name="_Toc26385"/>
      <w:bookmarkStart w:id="32" w:name="_Toc59992963"/>
      <w:bookmarkStart w:id="33" w:name="_Toc22000"/>
      <w:bookmarkStart w:id="34" w:name="_Toc18242"/>
      <w:bookmarkStart w:id="35" w:name="_Toc31695"/>
      <w:r>
        <w:rPr>
          <w:rFonts w:hint="eastAsia" w:eastAsia="黑体"/>
          <w:bCs/>
          <w:sz w:val="24"/>
          <w:szCs w:val="24"/>
        </w:rPr>
        <w:t>表1</w:t>
      </w:r>
      <w:r>
        <w:rPr>
          <w:rFonts w:eastAsia="黑体"/>
          <w:bCs/>
          <w:sz w:val="24"/>
          <w:szCs w:val="24"/>
        </w:rPr>
        <w:t xml:space="preserve">-1 </w:t>
      </w:r>
      <w:r>
        <w:rPr>
          <w:rFonts w:hint="eastAsia" w:ascii="黑体" w:hAnsi="黑体" w:eastAsia="黑体" w:cs="黑体"/>
          <w:sz w:val="24"/>
          <w:szCs w:val="24"/>
        </w:rPr>
        <w:t>“十三五”规划主要发展指标完成情况表</w:t>
      </w:r>
    </w:p>
    <w:tbl>
      <w:tblPr>
        <w:tblStyle w:val="27"/>
        <w:tblW w:w="881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15" w:type="dxa"/>
          <w:left w:w="28" w:type="dxa"/>
          <w:bottom w:w="15" w:type="dxa"/>
          <w:right w:w="28" w:type="dxa"/>
        </w:tblCellMar>
      </w:tblPr>
      <w:tblGrid>
        <w:gridCol w:w="692"/>
        <w:gridCol w:w="3692"/>
        <w:gridCol w:w="980"/>
        <w:gridCol w:w="1000"/>
        <w:gridCol w:w="1320"/>
        <w:gridCol w:w="112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5" w:type="dxa"/>
            <w:left w:w="28" w:type="dxa"/>
            <w:bottom w:w="15" w:type="dxa"/>
            <w:right w:w="28" w:type="dxa"/>
          </w:tblCellMar>
        </w:tblPrEx>
        <w:trPr>
          <w:trHeight w:val="20" w:hRule="atLeast"/>
          <w:jc w:val="center"/>
        </w:trPr>
        <w:tc>
          <w:tcPr>
            <w:tcW w:w="692" w:type="dxa"/>
            <w:vAlign w:val="center"/>
          </w:tcPr>
          <w:p>
            <w:pPr>
              <w:widowControl/>
              <w:ind w:firstLine="0" w:firstLineChars="0"/>
              <w:jc w:val="center"/>
              <w:rPr>
                <w:rFonts w:eastAsiaTheme="minorEastAsia"/>
                <w:b/>
                <w:bCs/>
                <w:kern w:val="0"/>
                <w:sz w:val="21"/>
                <w:szCs w:val="21"/>
              </w:rPr>
            </w:pPr>
            <w:r>
              <w:rPr>
                <w:rFonts w:eastAsiaTheme="minorEastAsia"/>
                <w:b/>
                <w:bCs/>
                <w:kern w:val="0"/>
                <w:sz w:val="21"/>
                <w:szCs w:val="21"/>
              </w:rPr>
              <w:t>序号</w:t>
            </w:r>
          </w:p>
        </w:tc>
        <w:tc>
          <w:tcPr>
            <w:tcW w:w="3692" w:type="dxa"/>
            <w:vAlign w:val="center"/>
          </w:tcPr>
          <w:p>
            <w:pPr>
              <w:widowControl/>
              <w:ind w:firstLine="422"/>
              <w:jc w:val="center"/>
              <w:rPr>
                <w:rFonts w:eastAsiaTheme="minorEastAsia"/>
                <w:b/>
                <w:bCs/>
                <w:kern w:val="0"/>
                <w:sz w:val="21"/>
                <w:szCs w:val="21"/>
              </w:rPr>
            </w:pPr>
            <w:r>
              <w:rPr>
                <w:rFonts w:eastAsiaTheme="minorEastAsia"/>
                <w:b/>
                <w:bCs/>
                <w:kern w:val="0"/>
                <w:sz w:val="21"/>
                <w:szCs w:val="21"/>
              </w:rPr>
              <w:t>指标名称</w:t>
            </w:r>
          </w:p>
        </w:tc>
        <w:tc>
          <w:tcPr>
            <w:tcW w:w="980" w:type="dxa"/>
            <w:vAlign w:val="center"/>
          </w:tcPr>
          <w:p>
            <w:pPr>
              <w:widowControl/>
              <w:ind w:firstLine="0" w:firstLineChars="0"/>
              <w:jc w:val="center"/>
              <w:rPr>
                <w:rFonts w:eastAsiaTheme="minorEastAsia"/>
                <w:b/>
                <w:bCs/>
                <w:kern w:val="0"/>
                <w:sz w:val="21"/>
                <w:szCs w:val="21"/>
              </w:rPr>
            </w:pPr>
            <w:r>
              <w:rPr>
                <w:rFonts w:eastAsiaTheme="minorEastAsia"/>
                <w:b/>
                <w:bCs/>
                <w:kern w:val="0"/>
                <w:sz w:val="21"/>
                <w:szCs w:val="21"/>
              </w:rPr>
              <w:t>指标属性</w:t>
            </w:r>
          </w:p>
        </w:tc>
        <w:tc>
          <w:tcPr>
            <w:tcW w:w="1000" w:type="dxa"/>
            <w:vAlign w:val="center"/>
          </w:tcPr>
          <w:p>
            <w:pPr>
              <w:widowControl/>
              <w:ind w:firstLine="0" w:firstLineChars="0"/>
              <w:jc w:val="center"/>
              <w:rPr>
                <w:rFonts w:eastAsiaTheme="minorEastAsia"/>
                <w:b/>
                <w:bCs/>
                <w:kern w:val="0"/>
                <w:sz w:val="21"/>
                <w:szCs w:val="21"/>
              </w:rPr>
            </w:pPr>
            <w:r>
              <w:rPr>
                <w:rFonts w:eastAsiaTheme="minorEastAsia"/>
                <w:b/>
                <w:bCs/>
                <w:kern w:val="0"/>
                <w:sz w:val="21"/>
                <w:szCs w:val="21"/>
              </w:rPr>
              <w:t>2015年</w:t>
            </w:r>
          </w:p>
          <w:p>
            <w:pPr>
              <w:widowControl/>
              <w:ind w:firstLine="0" w:firstLineChars="0"/>
              <w:jc w:val="center"/>
              <w:rPr>
                <w:rFonts w:eastAsiaTheme="minorEastAsia"/>
                <w:b/>
                <w:bCs/>
                <w:kern w:val="0"/>
                <w:sz w:val="21"/>
                <w:szCs w:val="21"/>
              </w:rPr>
            </w:pPr>
            <w:r>
              <w:rPr>
                <w:rFonts w:eastAsiaTheme="minorEastAsia"/>
                <w:b/>
                <w:bCs/>
                <w:kern w:val="0"/>
                <w:sz w:val="21"/>
                <w:szCs w:val="21"/>
              </w:rPr>
              <w:t>基期数</w:t>
            </w:r>
          </w:p>
        </w:tc>
        <w:tc>
          <w:tcPr>
            <w:tcW w:w="1320" w:type="dxa"/>
            <w:vAlign w:val="center"/>
          </w:tcPr>
          <w:p>
            <w:pPr>
              <w:widowControl/>
              <w:ind w:firstLine="0" w:firstLineChars="0"/>
              <w:jc w:val="center"/>
              <w:rPr>
                <w:rFonts w:eastAsiaTheme="minorEastAsia"/>
                <w:b/>
                <w:bCs/>
                <w:sz w:val="21"/>
                <w:szCs w:val="21"/>
              </w:rPr>
            </w:pPr>
            <w:r>
              <w:rPr>
                <w:rFonts w:hint="eastAsia" w:eastAsiaTheme="minorEastAsia"/>
                <w:b/>
                <w:bCs/>
                <w:kern w:val="0"/>
                <w:sz w:val="21"/>
                <w:szCs w:val="21"/>
                <w:lang w:eastAsia="zh-CN"/>
              </w:rPr>
              <w:t>“十三五”规划</w:t>
            </w:r>
            <w:r>
              <w:rPr>
                <w:rFonts w:eastAsiaTheme="minorEastAsia"/>
                <w:b/>
                <w:bCs/>
                <w:kern w:val="0"/>
                <w:sz w:val="21"/>
                <w:szCs w:val="21"/>
              </w:rPr>
              <w:t>目标</w:t>
            </w:r>
          </w:p>
        </w:tc>
        <w:tc>
          <w:tcPr>
            <w:tcW w:w="1126" w:type="dxa"/>
            <w:vAlign w:val="center"/>
          </w:tcPr>
          <w:p>
            <w:pPr>
              <w:widowControl/>
              <w:ind w:firstLine="0" w:firstLineChars="0"/>
              <w:jc w:val="center"/>
              <w:rPr>
                <w:rFonts w:eastAsiaTheme="minorEastAsia"/>
                <w:b/>
                <w:bCs/>
                <w:kern w:val="0"/>
                <w:sz w:val="21"/>
                <w:szCs w:val="21"/>
              </w:rPr>
            </w:pPr>
            <w:r>
              <w:rPr>
                <w:rFonts w:eastAsiaTheme="minorEastAsia"/>
                <w:b/>
                <w:bCs/>
                <w:kern w:val="0"/>
                <w:sz w:val="21"/>
                <w:szCs w:val="21"/>
              </w:rPr>
              <w:t>十三五末</w:t>
            </w:r>
          </w:p>
          <w:p>
            <w:pPr>
              <w:widowControl/>
              <w:ind w:firstLine="0" w:firstLineChars="0"/>
              <w:jc w:val="center"/>
              <w:rPr>
                <w:rFonts w:eastAsiaTheme="minorEastAsia"/>
                <w:b/>
                <w:bCs/>
                <w:kern w:val="0"/>
                <w:sz w:val="21"/>
                <w:szCs w:val="21"/>
              </w:rPr>
            </w:pPr>
            <w:r>
              <w:rPr>
                <w:rFonts w:eastAsiaTheme="minorEastAsia"/>
                <w:b/>
                <w:bCs/>
                <w:kern w:val="0"/>
                <w:sz w:val="21"/>
                <w:szCs w:val="21"/>
              </w:rPr>
              <w:t>完成数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5" w:type="dxa"/>
            <w:left w:w="28" w:type="dxa"/>
            <w:bottom w:w="15" w:type="dxa"/>
            <w:right w:w="28" w:type="dxa"/>
          </w:tblCellMar>
        </w:tblPrEx>
        <w:trPr>
          <w:trHeight w:val="20" w:hRule="atLeast"/>
          <w:jc w:val="center"/>
        </w:trPr>
        <w:tc>
          <w:tcPr>
            <w:tcW w:w="692" w:type="dxa"/>
            <w:vAlign w:val="center"/>
          </w:tcPr>
          <w:p>
            <w:pPr>
              <w:ind w:firstLine="0" w:firstLineChars="0"/>
              <w:jc w:val="center"/>
              <w:rPr>
                <w:rFonts w:eastAsiaTheme="minorEastAsia"/>
                <w:sz w:val="21"/>
                <w:szCs w:val="21"/>
              </w:rPr>
            </w:pPr>
            <w:r>
              <w:rPr>
                <w:rFonts w:eastAsiaTheme="minorEastAsia"/>
                <w:sz w:val="21"/>
                <w:szCs w:val="21"/>
              </w:rPr>
              <w:t>1</w:t>
            </w:r>
          </w:p>
        </w:tc>
        <w:tc>
          <w:tcPr>
            <w:tcW w:w="3692" w:type="dxa"/>
            <w:vAlign w:val="center"/>
          </w:tcPr>
          <w:p>
            <w:pPr>
              <w:widowControl/>
              <w:ind w:firstLine="420"/>
              <w:jc w:val="center"/>
              <w:rPr>
                <w:rFonts w:eastAsiaTheme="minorEastAsia"/>
                <w:kern w:val="0"/>
                <w:sz w:val="21"/>
                <w:szCs w:val="21"/>
              </w:rPr>
            </w:pPr>
            <w:r>
              <w:rPr>
                <w:rFonts w:eastAsiaTheme="minorEastAsia"/>
                <w:kern w:val="0"/>
                <w:sz w:val="21"/>
                <w:szCs w:val="21"/>
              </w:rPr>
              <w:t>地区生产总值年均增速（％）</w:t>
            </w:r>
          </w:p>
        </w:tc>
        <w:tc>
          <w:tcPr>
            <w:tcW w:w="980" w:type="dxa"/>
            <w:vAlign w:val="center"/>
          </w:tcPr>
          <w:p>
            <w:pPr>
              <w:widowControl/>
              <w:ind w:firstLine="0" w:firstLineChars="0"/>
              <w:jc w:val="center"/>
              <w:rPr>
                <w:rFonts w:eastAsiaTheme="minorEastAsia"/>
                <w:kern w:val="0"/>
                <w:sz w:val="21"/>
                <w:szCs w:val="21"/>
              </w:rPr>
            </w:pPr>
            <w:r>
              <w:rPr>
                <w:rFonts w:eastAsiaTheme="minorEastAsia"/>
                <w:kern w:val="0"/>
                <w:sz w:val="21"/>
                <w:szCs w:val="21"/>
              </w:rPr>
              <w:t>预期性</w:t>
            </w:r>
          </w:p>
        </w:tc>
        <w:tc>
          <w:tcPr>
            <w:tcW w:w="1000" w:type="dxa"/>
            <w:vAlign w:val="center"/>
          </w:tcPr>
          <w:p>
            <w:pPr>
              <w:widowControl/>
              <w:ind w:firstLine="420"/>
              <w:jc w:val="center"/>
              <w:rPr>
                <w:rFonts w:eastAsiaTheme="minorEastAsia"/>
                <w:kern w:val="0"/>
                <w:sz w:val="21"/>
                <w:szCs w:val="21"/>
              </w:rPr>
            </w:pPr>
            <w:r>
              <w:rPr>
                <w:rFonts w:eastAsiaTheme="minorEastAsia"/>
                <w:kern w:val="0"/>
                <w:sz w:val="21"/>
                <w:szCs w:val="21"/>
              </w:rPr>
              <w:t>11.</w:t>
            </w:r>
            <w:r>
              <w:rPr>
                <w:rFonts w:hint="eastAsia" w:eastAsiaTheme="minorEastAsia"/>
                <w:kern w:val="0"/>
                <w:sz w:val="21"/>
                <w:szCs w:val="21"/>
              </w:rPr>
              <w:t>4</w:t>
            </w:r>
          </w:p>
        </w:tc>
        <w:tc>
          <w:tcPr>
            <w:tcW w:w="1320" w:type="dxa"/>
            <w:vAlign w:val="center"/>
          </w:tcPr>
          <w:p>
            <w:pPr>
              <w:widowControl/>
              <w:ind w:firstLine="420"/>
              <w:jc w:val="center"/>
              <w:rPr>
                <w:rFonts w:eastAsiaTheme="minorEastAsia"/>
                <w:sz w:val="21"/>
                <w:szCs w:val="21"/>
              </w:rPr>
            </w:pPr>
            <w:r>
              <w:rPr>
                <w:rFonts w:eastAsiaTheme="minorEastAsia"/>
                <w:kern w:val="0"/>
                <w:sz w:val="21"/>
                <w:szCs w:val="21"/>
              </w:rPr>
              <w:t>11.0</w:t>
            </w:r>
          </w:p>
        </w:tc>
        <w:tc>
          <w:tcPr>
            <w:tcW w:w="1126" w:type="dxa"/>
            <w:vAlign w:val="center"/>
          </w:tcPr>
          <w:p>
            <w:pPr>
              <w:widowControl/>
              <w:ind w:firstLine="420"/>
              <w:jc w:val="center"/>
              <w:rPr>
                <w:rFonts w:eastAsiaTheme="minorEastAsia"/>
                <w:kern w:val="0"/>
                <w:sz w:val="21"/>
                <w:szCs w:val="21"/>
              </w:rPr>
            </w:pPr>
            <w:r>
              <w:rPr>
                <w:rFonts w:hint="eastAsia" w:eastAsiaTheme="minorEastAsia"/>
                <w:kern w:val="0"/>
                <w:sz w:val="21"/>
                <w:szCs w:val="21"/>
              </w:rPr>
              <w:t>8.2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5" w:type="dxa"/>
            <w:left w:w="28" w:type="dxa"/>
            <w:bottom w:w="15" w:type="dxa"/>
            <w:right w:w="28" w:type="dxa"/>
          </w:tblCellMar>
        </w:tblPrEx>
        <w:trPr>
          <w:trHeight w:val="20" w:hRule="atLeast"/>
          <w:jc w:val="center"/>
        </w:trPr>
        <w:tc>
          <w:tcPr>
            <w:tcW w:w="692" w:type="dxa"/>
            <w:vAlign w:val="center"/>
          </w:tcPr>
          <w:p>
            <w:pPr>
              <w:ind w:firstLine="0" w:firstLineChars="0"/>
              <w:jc w:val="center"/>
              <w:rPr>
                <w:rFonts w:eastAsiaTheme="minorEastAsia"/>
                <w:sz w:val="21"/>
                <w:szCs w:val="21"/>
              </w:rPr>
            </w:pPr>
            <w:r>
              <w:rPr>
                <w:rFonts w:eastAsiaTheme="minorEastAsia"/>
                <w:sz w:val="21"/>
                <w:szCs w:val="21"/>
              </w:rPr>
              <w:t>2</w:t>
            </w:r>
          </w:p>
        </w:tc>
        <w:tc>
          <w:tcPr>
            <w:tcW w:w="3692" w:type="dxa"/>
            <w:vAlign w:val="center"/>
          </w:tcPr>
          <w:p>
            <w:pPr>
              <w:widowControl/>
              <w:ind w:firstLine="0" w:firstLineChars="0"/>
              <w:jc w:val="center"/>
              <w:rPr>
                <w:rFonts w:eastAsiaTheme="minorEastAsia"/>
                <w:kern w:val="0"/>
                <w:sz w:val="21"/>
                <w:szCs w:val="21"/>
              </w:rPr>
            </w:pPr>
            <w:r>
              <w:rPr>
                <w:rFonts w:eastAsiaTheme="minorEastAsia"/>
                <w:kern w:val="0"/>
                <w:sz w:val="21"/>
                <w:szCs w:val="21"/>
              </w:rPr>
              <w:t>常住居民人均可支配收入年均增速（％）</w:t>
            </w:r>
          </w:p>
        </w:tc>
        <w:tc>
          <w:tcPr>
            <w:tcW w:w="980" w:type="dxa"/>
            <w:vAlign w:val="center"/>
          </w:tcPr>
          <w:p>
            <w:pPr>
              <w:widowControl/>
              <w:ind w:firstLine="0" w:firstLineChars="0"/>
              <w:jc w:val="center"/>
              <w:rPr>
                <w:rFonts w:eastAsiaTheme="minorEastAsia"/>
                <w:kern w:val="0"/>
                <w:sz w:val="21"/>
                <w:szCs w:val="21"/>
              </w:rPr>
            </w:pPr>
            <w:r>
              <w:rPr>
                <w:rFonts w:eastAsiaTheme="minorEastAsia"/>
                <w:kern w:val="0"/>
                <w:sz w:val="21"/>
                <w:szCs w:val="21"/>
              </w:rPr>
              <w:t>预期性</w:t>
            </w:r>
          </w:p>
        </w:tc>
        <w:tc>
          <w:tcPr>
            <w:tcW w:w="1000" w:type="dxa"/>
            <w:vAlign w:val="center"/>
          </w:tcPr>
          <w:p>
            <w:pPr>
              <w:widowControl/>
              <w:ind w:firstLine="420"/>
              <w:jc w:val="center"/>
              <w:rPr>
                <w:rFonts w:eastAsiaTheme="minorEastAsia"/>
                <w:kern w:val="0"/>
                <w:sz w:val="21"/>
                <w:szCs w:val="21"/>
              </w:rPr>
            </w:pPr>
            <w:r>
              <w:rPr>
                <w:rFonts w:eastAsiaTheme="minorEastAsia"/>
                <w:kern w:val="0"/>
                <w:sz w:val="21"/>
                <w:szCs w:val="21"/>
              </w:rPr>
              <w:t>11.</w:t>
            </w:r>
            <w:r>
              <w:rPr>
                <w:rFonts w:hint="eastAsia" w:eastAsiaTheme="minorEastAsia"/>
                <w:kern w:val="0"/>
                <w:sz w:val="21"/>
                <w:szCs w:val="21"/>
              </w:rPr>
              <w:t>6</w:t>
            </w:r>
          </w:p>
        </w:tc>
        <w:tc>
          <w:tcPr>
            <w:tcW w:w="1320" w:type="dxa"/>
            <w:vAlign w:val="center"/>
          </w:tcPr>
          <w:p>
            <w:pPr>
              <w:widowControl/>
              <w:ind w:firstLine="420"/>
              <w:jc w:val="center"/>
              <w:rPr>
                <w:rFonts w:eastAsiaTheme="minorEastAsia"/>
                <w:sz w:val="21"/>
                <w:szCs w:val="21"/>
              </w:rPr>
            </w:pPr>
            <w:r>
              <w:rPr>
                <w:rFonts w:eastAsiaTheme="minorEastAsia"/>
                <w:kern w:val="0"/>
                <w:sz w:val="21"/>
                <w:szCs w:val="21"/>
              </w:rPr>
              <w:t>11.5</w:t>
            </w:r>
          </w:p>
        </w:tc>
        <w:tc>
          <w:tcPr>
            <w:tcW w:w="1126" w:type="dxa"/>
            <w:vAlign w:val="center"/>
          </w:tcPr>
          <w:p>
            <w:pPr>
              <w:widowControl/>
              <w:ind w:firstLine="420"/>
              <w:jc w:val="center"/>
              <w:rPr>
                <w:rFonts w:eastAsiaTheme="minorEastAsia"/>
                <w:kern w:val="0"/>
                <w:sz w:val="21"/>
                <w:szCs w:val="21"/>
              </w:rPr>
            </w:pPr>
            <w:r>
              <w:rPr>
                <w:rFonts w:hint="eastAsia" w:eastAsiaTheme="minorEastAsia"/>
                <w:kern w:val="0"/>
                <w:sz w:val="21"/>
                <w:szCs w:val="21"/>
              </w:rPr>
              <w:t>10.3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5" w:type="dxa"/>
            <w:left w:w="28" w:type="dxa"/>
            <w:bottom w:w="15" w:type="dxa"/>
            <w:right w:w="28" w:type="dxa"/>
          </w:tblCellMar>
        </w:tblPrEx>
        <w:trPr>
          <w:trHeight w:val="20" w:hRule="atLeast"/>
          <w:jc w:val="center"/>
        </w:trPr>
        <w:tc>
          <w:tcPr>
            <w:tcW w:w="692" w:type="dxa"/>
            <w:vAlign w:val="center"/>
          </w:tcPr>
          <w:p>
            <w:pPr>
              <w:ind w:firstLine="0" w:firstLineChars="0"/>
              <w:jc w:val="center"/>
              <w:rPr>
                <w:rFonts w:eastAsiaTheme="minorEastAsia"/>
                <w:sz w:val="21"/>
                <w:szCs w:val="21"/>
              </w:rPr>
            </w:pPr>
            <w:r>
              <w:rPr>
                <w:rFonts w:eastAsiaTheme="minorEastAsia"/>
                <w:sz w:val="21"/>
                <w:szCs w:val="21"/>
              </w:rPr>
              <w:t>3</w:t>
            </w:r>
          </w:p>
        </w:tc>
        <w:tc>
          <w:tcPr>
            <w:tcW w:w="3692" w:type="dxa"/>
            <w:vAlign w:val="center"/>
          </w:tcPr>
          <w:p>
            <w:pPr>
              <w:widowControl/>
              <w:ind w:firstLine="420"/>
              <w:jc w:val="center"/>
              <w:rPr>
                <w:rFonts w:eastAsiaTheme="minorEastAsia"/>
                <w:kern w:val="0"/>
                <w:sz w:val="21"/>
                <w:szCs w:val="21"/>
              </w:rPr>
            </w:pPr>
            <w:r>
              <w:rPr>
                <w:rFonts w:eastAsiaTheme="minorEastAsia"/>
                <w:kern w:val="0"/>
                <w:sz w:val="21"/>
                <w:szCs w:val="21"/>
              </w:rPr>
              <w:t>城乡居民人均可支配收入比</w:t>
            </w:r>
          </w:p>
        </w:tc>
        <w:tc>
          <w:tcPr>
            <w:tcW w:w="980" w:type="dxa"/>
            <w:vAlign w:val="center"/>
          </w:tcPr>
          <w:p>
            <w:pPr>
              <w:widowControl/>
              <w:ind w:firstLine="0" w:firstLineChars="0"/>
              <w:jc w:val="center"/>
              <w:rPr>
                <w:rFonts w:eastAsiaTheme="minorEastAsia"/>
                <w:kern w:val="0"/>
                <w:sz w:val="21"/>
                <w:szCs w:val="21"/>
              </w:rPr>
            </w:pPr>
            <w:r>
              <w:rPr>
                <w:rFonts w:eastAsiaTheme="minorEastAsia"/>
                <w:kern w:val="0"/>
                <w:sz w:val="21"/>
                <w:szCs w:val="21"/>
              </w:rPr>
              <w:t>预期性</w:t>
            </w:r>
          </w:p>
        </w:tc>
        <w:tc>
          <w:tcPr>
            <w:tcW w:w="1000" w:type="dxa"/>
            <w:vAlign w:val="center"/>
          </w:tcPr>
          <w:p>
            <w:pPr>
              <w:widowControl/>
              <w:ind w:firstLine="0" w:firstLineChars="0"/>
              <w:jc w:val="center"/>
              <w:rPr>
                <w:rFonts w:eastAsiaTheme="minorEastAsia"/>
                <w:kern w:val="0"/>
                <w:sz w:val="21"/>
                <w:szCs w:val="21"/>
              </w:rPr>
            </w:pPr>
            <w:r>
              <w:rPr>
                <w:rFonts w:eastAsiaTheme="minorEastAsia"/>
                <w:kern w:val="0"/>
                <w:sz w:val="21"/>
                <w:szCs w:val="21"/>
              </w:rPr>
              <w:t>2.5</w:t>
            </w:r>
            <w:r>
              <w:rPr>
                <w:rFonts w:hint="eastAsia" w:eastAsiaTheme="minorEastAsia"/>
                <w:kern w:val="0"/>
                <w:sz w:val="21"/>
                <w:szCs w:val="21"/>
              </w:rPr>
              <w:t>9</w:t>
            </w:r>
            <w:r>
              <w:rPr>
                <w:rFonts w:eastAsiaTheme="minorEastAsia"/>
                <w:kern w:val="0"/>
                <w:sz w:val="21"/>
                <w:szCs w:val="21"/>
              </w:rPr>
              <w:t>:1</w:t>
            </w:r>
          </w:p>
        </w:tc>
        <w:tc>
          <w:tcPr>
            <w:tcW w:w="1320" w:type="dxa"/>
            <w:vAlign w:val="center"/>
          </w:tcPr>
          <w:p>
            <w:pPr>
              <w:widowControl/>
              <w:ind w:firstLine="420"/>
              <w:jc w:val="center"/>
              <w:rPr>
                <w:rFonts w:eastAsiaTheme="minorEastAsia"/>
                <w:sz w:val="21"/>
                <w:szCs w:val="21"/>
              </w:rPr>
            </w:pPr>
            <w:r>
              <w:rPr>
                <w:rFonts w:eastAsiaTheme="minorEastAsia"/>
                <w:kern w:val="0"/>
                <w:sz w:val="21"/>
                <w:szCs w:val="21"/>
              </w:rPr>
              <w:t>2.3</w:t>
            </w:r>
            <w:r>
              <w:rPr>
                <w:rFonts w:hint="eastAsia" w:eastAsiaTheme="minorEastAsia"/>
                <w:kern w:val="0"/>
                <w:sz w:val="21"/>
                <w:szCs w:val="21"/>
              </w:rPr>
              <w:t>9</w:t>
            </w:r>
            <w:r>
              <w:rPr>
                <w:rFonts w:eastAsiaTheme="minorEastAsia"/>
                <w:kern w:val="0"/>
                <w:sz w:val="21"/>
                <w:szCs w:val="21"/>
              </w:rPr>
              <w:t>:1</w:t>
            </w:r>
          </w:p>
        </w:tc>
        <w:tc>
          <w:tcPr>
            <w:tcW w:w="1126" w:type="dxa"/>
            <w:vAlign w:val="center"/>
          </w:tcPr>
          <w:p>
            <w:pPr>
              <w:widowControl/>
              <w:ind w:firstLine="420"/>
              <w:jc w:val="center"/>
              <w:rPr>
                <w:rFonts w:eastAsiaTheme="minorEastAsia"/>
                <w:kern w:val="0"/>
                <w:sz w:val="21"/>
                <w:szCs w:val="21"/>
              </w:rPr>
            </w:pPr>
            <w:r>
              <w:rPr>
                <w:rFonts w:eastAsiaTheme="minorEastAsia"/>
                <w:kern w:val="0"/>
                <w:sz w:val="21"/>
                <w:szCs w:val="21"/>
              </w:rPr>
              <w:t>2.42:1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5" w:type="dxa"/>
            <w:left w:w="28" w:type="dxa"/>
            <w:bottom w:w="15" w:type="dxa"/>
            <w:right w:w="28" w:type="dxa"/>
          </w:tblCellMar>
        </w:tblPrEx>
        <w:trPr>
          <w:trHeight w:val="20" w:hRule="atLeast"/>
          <w:jc w:val="center"/>
        </w:trPr>
        <w:tc>
          <w:tcPr>
            <w:tcW w:w="692" w:type="dxa"/>
            <w:vAlign w:val="center"/>
          </w:tcPr>
          <w:p>
            <w:pPr>
              <w:ind w:firstLine="0" w:firstLineChars="0"/>
              <w:jc w:val="center"/>
              <w:rPr>
                <w:rFonts w:eastAsiaTheme="minorEastAsia"/>
                <w:sz w:val="21"/>
                <w:szCs w:val="21"/>
              </w:rPr>
            </w:pPr>
            <w:r>
              <w:rPr>
                <w:rFonts w:eastAsiaTheme="minorEastAsia"/>
                <w:sz w:val="21"/>
                <w:szCs w:val="21"/>
              </w:rPr>
              <w:t>4</w:t>
            </w:r>
          </w:p>
        </w:tc>
        <w:tc>
          <w:tcPr>
            <w:tcW w:w="3692" w:type="dxa"/>
            <w:vAlign w:val="center"/>
          </w:tcPr>
          <w:p>
            <w:pPr>
              <w:widowControl/>
              <w:ind w:firstLine="420"/>
              <w:jc w:val="center"/>
              <w:rPr>
                <w:rFonts w:eastAsiaTheme="minorEastAsia"/>
                <w:kern w:val="0"/>
                <w:sz w:val="21"/>
                <w:szCs w:val="21"/>
              </w:rPr>
            </w:pPr>
            <w:r>
              <w:rPr>
                <w:rFonts w:eastAsiaTheme="minorEastAsia"/>
                <w:kern w:val="0"/>
                <w:sz w:val="21"/>
                <w:szCs w:val="21"/>
              </w:rPr>
              <w:t>城镇化率（％）（常住人口）</w:t>
            </w:r>
          </w:p>
        </w:tc>
        <w:tc>
          <w:tcPr>
            <w:tcW w:w="980" w:type="dxa"/>
            <w:vAlign w:val="center"/>
          </w:tcPr>
          <w:p>
            <w:pPr>
              <w:widowControl/>
              <w:ind w:firstLine="0" w:firstLineChars="0"/>
              <w:jc w:val="center"/>
              <w:rPr>
                <w:rFonts w:eastAsiaTheme="minorEastAsia"/>
                <w:kern w:val="0"/>
                <w:sz w:val="21"/>
                <w:szCs w:val="21"/>
              </w:rPr>
            </w:pPr>
            <w:r>
              <w:rPr>
                <w:rFonts w:eastAsiaTheme="minorEastAsia"/>
                <w:kern w:val="0"/>
                <w:sz w:val="21"/>
                <w:szCs w:val="21"/>
              </w:rPr>
              <w:t>预期性</w:t>
            </w:r>
          </w:p>
        </w:tc>
        <w:tc>
          <w:tcPr>
            <w:tcW w:w="1000" w:type="dxa"/>
            <w:vAlign w:val="center"/>
          </w:tcPr>
          <w:p>
            <w:pPr>
              <w:widowControl/>
              <w:ind w:firstLine="420"/>
              <w:jc w:val="center"/>
              <w:rPr>
                <w:rFonts w:eastAsiaTheme="minorEastAsia"/>
                <w:kern w:val="0"/>
                <w:sz w:val="21"/>
                <w:szCs w:val="21"/>
              </w:rPr>
            </w:pPr>
            <w:r>
              <w:rPr>
                <w:rFonts w:eastAsiaTheme="minorEastAsia"/>
                <w:kern w:val="0"/>
                <w:sz w:val="21"/>
                <w:szCs w:val="21"/>
              </w:rPr>
              <w:t>39.4</w:t>
            </w:r>
          </w:p>
        </w:tc>
        <w:tc>
          <w:tcPr>
            <w:tcW w:w="1320" w:type="dxa"/>
            <w:vAlign w:val="center"/>
          </w:tcPr>
          <w:p>
            <w:pPr>
              <w:widowControl/>
              <w:ind w:firstLine="420"/>
              <w:jc w:val="center"/>
              <w:rPr>
                <w:rFonts w:eastAsiaTheme="minorEastAsia"/>
                <w:sz w:val="21"/>
                <w:szCs w:val="21"/>
              </w:rPr>
            </w:pPr>
            <w:r>
              <w:rPr>
                <w:rFonts w:eastAsiaTheme="minorEastAsia"/>
                <w:kern w:val="0"/>
                <w:sz w:val="21"/>
                <w:szCs w:val="21"/>
              </w:rPr>
              <w:t>46.0</w:t>
            </w:r>
          </w:p>
        </w:tc>
        <w:tc>
          <w:tcPr>
            <w:tcW w:w="1126" w:type="dxa"/>
            <w:vAlign w:val="center"/>
          </w:tcPr>
          <w:p>
            <w:pPr>
              <w:widowControl/>
              <w:ind w:firstLine="420"/>
              <w:jc w:val="center"/>
              <w:rPr>
                <w:rFonts w:eastAsiaTheme="minorEastAsia"/>
                <w:kern w:val="0"/>
                <w:sz w:val="21"/>
                <w:szCs w:val="21"/>
              </w:rPr>
            </w:pPr>
            <w:r>
              <w:rPr>
                <w:rFonts w:hint="eastAsia" w:eastAsiaTheme="minorEastAsia"/>
                <w:kern w:val="0"/>
                <w:sz w:val="21"/>
                <w:szCs w:val="21"/>
              </w:rPr>
              <w:t>49.53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5" w:type="dxa"/>
            <w:left w:w="28" w:type="dxa"/>
            <w:bottom w:w="15" w:type="dxa"/>
            <w:right w:w="28" w:type="dxa"/>
          </w:tblCellMar>
        </w:tblPrEx>
        <w:trPr>
          <w:trHeight w:val="20" w:hRule="atLeast"/>
          <w:jc w:val="center"/>
        </w:trPr>
        <w:tc>
          <w:tcPr>
            <w:tcW w:w="692" w:type="dxa"/>
            <w:vAlign w:val="center"/>
          </w:tcPr>
          <w:p>
            <w:pPr>
              <w:ind w:firstLine="0" w:firstLineChars="0"/>
              <w:jc w:val="center"/>
              <w:rPr>
                <w:rFonts w:eastAsiaTheme="minorEastAsia"/>
                <w:sz w:val="21"/>
                <w:szCs w:val="21"/>
              </w:rPr>
            </w:pPr>
            <w:r>
              <w:rPr>
                <w:rFonts w:eastAsiaTheme="minorEastAsia"/>
                <w:sz w:val="21"/>
                <w:szCs w:val="21"/>
              </w:rPr>
              <w:t>5</w:t>
            </w:r>
          </w:p>
        </w:tc>
        <w:tc>
          <w:tcPr>
            <w:tcW w:w="3692" w:type="dxa"/>
            <w:vAlign w:val="center"/>
          </w:tcPr>
          <w:p>
            <w:pPr>
              <w:widowControl/>
              <w:ind w:firstLine="420"/>
              <w:jc w:val="center"/>
              <w:rPr>
                <w:rFonts w:eastAsiaTheme="minorEastAsia"/>
                <w:kern w:val="0"/>
                <w:sz w:val="21"/>
                <w:szCs w:val="21"/>
              </w:rPr>
            </w:pPr>
            <w:r>
              <w:rPr>
                <w:rFonts w:eastAsiaTheme="minorEastAsia"/>
                <w:kern w:val="0"/>
                <w:sz w:val="21"/>
                <w:szCs w:val="21"/>
              </w:rPr>
              <w:t>工业及服务业投资、基础设施投资、房地产及其他投资的比例</w:t>
            </w:r>
          </w:p>
        </w:tc>
        <w:tc>
          <w:tcPr>
            <w:tcW w:w="980" w:type="dxa"/>
            <w:vAlign w:val="center"/>
          </w:tcPr>
          <w:p>
            <w:pPr>
              <w:widowControl/>
              <w:ind w:firstLine="0" w:firstLineChars="0"/>
              <w:jc w:val="center"/>
              <w:rPr>
                <w:rFonts w:eastAsiaTheme="minorEastAsia"/>
                <w:kern w:val="0"/>
                <w:sz w:val="21"/>
                <w:szCs w:val="21"/>
              </w:rPr>
            </w:pPr>
            <w:r>
              <w:rPr>
                <w:rFonts w:eastAsiaTheme="minorEastAsia"/>
                <w:kern w:val="0"/>
                <w:sz w:val="21"/>
                <w:szCs w:val="21"/>
              </w:rPr>
              <w:t>预期性</w:t>
            </w:r>
          </w:p>
        </w:tc>
        <w:tc>
          <w:tcPr>
            <w:tcW w:w="1000" w:type="dxa"/>
            <w:vAlign w:val="center"/>
          </w:tcPr>
          <w:p>
            <w:pPr>
              <w:widowControl/>
              <w:ind w:firstLine="0" w:firstLineChars="0"/>
              <w:jc w:val="center"/>
              <w:rPr>
                <w:rFonts w:eastAsiaTheme="minorEastAsia"/>
                <w:kern w:val="0"/>
                <w:sz w:val="21"/>
                <w:szCs w:val="21"/>
              </w:rPr>
            </w:pPr>
            <w:r>
              <w:rPr>
                <w:rFonts w:eastAsiaTheme="minorEastAsia"/>
                <w:kern w:val="0"/>
                <w:sz w:val="21"/>
                <w:szCs w:val="21"/>
              </w:rPr>
              <w:t>2.8:3.8:3.4</w:t>
            </w:r>
          </w:p>
        </w:tc>
        <w:tc>
          <w:tcPr>
            <w:tcW w:w="1320" w:type="dxa"/>
            <w:vAlign w:val="center"/>
          </w:tcPr>
          <w:p>
            <w:pPr>
              <w:widowControl/>
              <w:ind w:firstLine="0" w:firstLineChars="0"/>
              <w:jc w:val="center"/>
              <w:rPr>
                <w:rFonts w:eastAsiaTheme="minorEastAsia"/>
                <w:sz w:val="21"/>
                <w:szCs w:val="21"/>
              </w:rPr>
            </w:pPr>
            <w:r>
              <w:rPr>
                <w:rFonts w:eastAsiaTheme="minorEastAsia"/>
                <w:kern w:val="0"/>
                <w:sz w:val="21"/>
                <w:szCs w:val="21"/>
              </w:rPr>
              <w:t>4:3.2:2.8</w:t>
            </w:r>
          </w:p>
        </w:tc>
        <w:tc>
          <w:tcPr>
            <w:tcW w:w="1126" w:type="dxa"/>
            <w:vAlign w:val="center"/>
          </w:tcPr>
          <w:p>
            <w:pPr>
              <w:widowControl/>
              <w:ind w:firstLine="0" w:firstLineChars="0"/>
              <w:rPr>
                <w:rFonts w:eastAsiaTheme="minorEastAsia"/>
                <w:kern w:val="0"/>
                <w:sz w:val="21"/>
                <w:szCs w:val="21"/>
              </w:rPr>
            </w:pPr>
            <w:r>
              <w:rPr>
                <w:rFonts w:hint="eastAsia" w:eastAsiaTheme="minorEastAsia"/>
                <w:kern w:val="0"/>
                <w:sz w:val="21"/>
                <w:szCs w:val="21"/>
              </w:rPr>
              <w:t>3</w:t>
            </w:r>
            <w:r>
              <w:rPr>
                <w:rFonts w:eastAsiaTheme="minorEastAsia"/>
                <w:kern w:val="0"/>
                <w:sz w:val="21"/>
                <w:szCs w:val="21"/>
              </w:rPr>
              <w:t>.1：3.6：3.3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5" w:type="dxa"/>
            <w:left w:w="28" w:type="dxa"/>
            <w:bottom w:w="15" w:type="dxa"/>
            <w:right w:w="28" w:type="dxa"/>
          </w:tblCellMar>
        </w:tblPrEx>
        <w:trPr>
          <w:trHeight w:val="20" w:hRule="atLeast"/>
          <w:jc w:val="center"/>
        </w:trPr>
        <w:tc>
          <w:tcPr>
            <w:tcW w:w="692" w:type="dxa"/>
            <w:vAlign w:val="center"/>
          </w:tcPr>
          <w:p>
            <w:pPr>
              <w:ind w:firstLine="0" w:firstLineChars="0"/>
              <w:jc w:val="center"/>
              <w:rPr>
                <w:rFonts w:eastAsiaTheme="minorEastAsia"/>
                <w:sz w:val="21"/>
                <w:szCs w:val="21"/>
              </w:rPr>
            </w:pPr>
            <w:r>
              <w:rPr>
                <w:rFonts w:eastAsiaTheme="minorEastAsia"/>
                <w:sz w:val="21"/>
                <w:szCs w:val="21"/>
              </w:rPr>
              <w:t>6</w:t>
            </w:r>
          </w:p>
        </w:tc>
        <w:tc>
          <w:tcPr>
            <w:tcW w:w="3692" w:type="dxa"/>
            <w:vAlign w:val="center"/>
          </w:tcPr>
          <w:p>
            <w:pPr>
              <w:widowControl/>
              <w:ind w:firstLine="420"/>
              <w:jc w:val="center"/>
              <w:rPr>
                <w:rFonts w:eastAsiaTheme="minorEastAsia"/>
                <w:kern w:val="0"/>
                <w:sz w:val="21"/>
                <w:szCs w:val="21"/>
              </w:rPr>
            </w:pPr>
            <w:r>
              <w:rPr>
                <w:rFonts w:eastAsiaTheme="minorEastAsia"/>
                <w:kern w:val="0"/>
                <w:sz w:val="21"/>
                <w:szCs w:val="21"/>
              </w:rPr>
              <w:t>服务业增加值占GDP比重（％）</w:t>
            </w:r>
          </w:p>
        </w:tc>
        <w:tc>
          <w:tcPr>
            <w:tcW w:w="980" w:type="dxa"/>
            <w:vAlign w:val="center"/>
          </w:tcPr>
          <w:p>
            <w:pPr>
              <w:widowControl/>
              <w:ind w:firstLine="0" w:firstLineChars="0"/>
              <w:jc w:val="center"/>
              <w:rPr>
                <w:rFonts w:eastAsiaTheme="minorEastAsia"/>
                <w:kern w:val="0"/>
                <w:sz w:val="21"/>
                <w:szCs w:val="21"/>
              </w:rPr>
            </w:pPr>
            <w:r>
              <w:rPr>
                <w:rFonts w:eastAsiaTheme="minorEastAsia"/>
                <w:kern w:val="0"/>
                <w:sz w:val="21"/>
                <w:szCs w:val="21"/>
              </w:rPr>
              <w:t>预期性</w:t>
            </w:r>
          </w:p>
        </w:tc>
        <w:tc>
          <w:tcPr>
            <w:tcW w:w="1000" w:type="dxa"/>
            <w:vAlign w:val="center"/>
          </w:tcPr>
          <w:p>
            <w:pPr>
              <w:widowControl/>
              <w:ind w:firstLine="420"/>
              <w:jc w:val="center"/>
              <w:rPr>
                <w:rFonts w:eastAsiaTheme="minorEastAsia"/>
                <w:kern w:val="0"/>
                <w:sz w:val="21"/>
                <w:szCs w:val="21"/>
              </w:rPr>
            </w:pPr>
            <w:r>
              <w:rPr>
                <w:rFonts w:eastAsiaTheme="minorEastAsia"/>
                <w:kern w:val="0"/>
                <w:sz w:val="21"/>
                <w:szCs w:val="21"/>
              </w:rPr>
              <w:t>41.5</w:t>
            </w:r>
          </w:p>
        </w:tc>
        <w:tc>
          <w:tcPr>
            <w:tcW w:w="1320" w:type="dxa"/>
            <w:vAlign w:val="center"/>
          </w:tcPr>
          <w:p>
            <w:pPr>
              <w:widowControl/>
              <w:ind w:firstLine="420"/>
              <w:jc w:val="center"/>
              <w:rPr>
                <w:rFonts w:eastAsiaTheme="minorEastAsia"/>
                <w:sz w:val="21"/>
                <w:szCs w:val="21"/>
              </w:rPr>
            </w:pPr>
            <w:r>
              <w:rPr>
                <w:rFonts w:eastAsiaTheme="minorEastAsia"/>
                <w:kern w:val="0"/>
                <w:sz w:val="21"/>
                <w:szCs w:val="21"/>
              </w:rPr>
              <w:t>45</w:t>
            </w:r>
          </w:p>
        </w:tc>
        <w:tc>
          <w:tcPr>
            <w:tcW w:w="1126" w:type="dxa"/>
            <w:vAlign w:val="center"/>
          </w:tcPr>
          <w:p>
            <w:pPr>
              <w:widowControl/>
              <w:ind w:firstLine="420"/>
              <w:jc w:val="center"/>
              <w:rPr>
                <w:rFonts w:eastAsiaTheme="minorEastAsia"/>
                <w:kern w:val="0"/>
                <w:sz w:val="21"/>
                <w:szCs w:val="21"/>
              </w:rPr>
            </w:pPr>
            <w:r>
              <w:rPr>
                <w:rFonts w:eastAsiaTheme="minorEastAsia"/>
                <w:kern w:val="0"/>
                <w:sz w:val="21"/>
                <w:szCs w:val="21"/>
              </w:rPr>
              <w:t>45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5" w:type="dxa"/>
            <w:left w:w="28" w:type="dxa"/>
            <w:bottom w:w="15" w:type="dxa"/>
            <w:right w:w="28" w:type="dxa"/>
          </w:tblCellMar>
        </w:tblPrEx>
        <w:trPr>
          <w:trHeight w:val="20" w:hRule="atLeast"/>
          <w:jc w:val="center"/>
        </w:trPr>
        <w:tc>
          <w:tcPr>
            <w:tcW w:w="692" w:type="dxa"/>
            <w:vAlign w:val="center"/>
          </w:tcPr>
          <w:p>
            <w:pPr>
              <w:ind w:firstLine="0" w:firstLineChars="0"/>
              <w:jc w:val="center"/>
              <w:rPr>
                <w:rFonts w:eastAsiaTheme="minorEastAsia"/>
                <w:sz w:val="21"/>
                <w:szCs w:val="21"/>
              </w:rPr>
            </w:pPr>
            <w:r>
              <w:rPr>
                <w:rFonts w:eastAsiaTheme="minorEastAsia"/>
                <w:sz w:val="21"/>
                <w:szCs w:val="21"/>
              </w:rPr>
              <w:t>7</w:t>
            </w:r>
          </w:p>
        </w:tc>
        <w:tc>
          <w:tcPr>
            <w:tcW w:w="3692" w:type="dxa"/>
            <w:vAlign w:val="center"/>
          </w:tcPr>
          <w:p>
            <w:pPr>
              <w:widowControl/>
              <w:ind w:firstLine="0" w:firstLineChars="0"/>
              <w:jc w:val="center"/>
              <w:rPr>
                <w:rFonts w:eastAsiaTheme="minorEastAsia"/>
                <w:kern w:val="0"/>
                <w:sz w:val="21"/>
                <w:szCs w:val="21"/>
              </w:rPr>
            </w:pPr>
            <w:r>
              <w:rPr>
                <w:rFonts w:eastAsiaTheme="minorEastAsia"/>
                <w:kern w:val="0"/>
                <w:sz w:val="21"/>
                <w:szCs w:val="21"/>
              </w:rPr>
              <w:t>文化旅游产业增加值占GDP比重（％）</w:t>
            </w:r>
          </w:p>
        </w:tc>
        <w:tc>
          <w:tcPr>
            <w:tcW w:w="980" w:type="dxa"/>
            <w:vAlign w:val="center"/>
          </w:tcPr>
          <w:p>
            <w:pPr>
              <w:widowControl/>
              <w:ind w:firstLine="0" w:firstLineChars="0"/>
              <w:jc w:val="center"/>
              <w:rPr>
                <w:rFonts w:eastAsiaTheme="minorEastAsia"/>
                <w:kern w:val="0"/>
                <w:sz w:val="21"/>
                <w:szCs w:val="21"/>
              </w:rPr>
            </w:pPr>
            <w:r>
              <w:rPr>
                <w:rFonts w:eastAsiaTheme="minorEastAsia"/>
                <w:kern w:val="0"/>
                <w:sz w:val="21"/>
                <w:szCs w:val="21"/>
              </w:rPr>
              <w:t>预期性</w:t>
            </w:r>
          </w:p>
        </w:tc>
        <w:tc>
          <w:tcPr>
            <w:tcW w:w="1000" w:type="dxa"/>
            <w:vAlign w:val="center"/>
          </w:tcPr>
          <w:p>
            <w:pPr>
              <w:widowControl/>
              <w:ind w:firstLine="420"/>
              <w:jc w:val="center"/>
              <w:rPr>
                <w:rFonts w:eastAsiaTheme="minorEastAsia"/>
                <w:kern w:val="0"/>
                <w:sz w:val="21"/>
                <w:szCs w:val="21"/>
              </w:rPr>
            </w:pPr>
            <w:r>
              <w:rPr>
                <w:rFonts w:eastAsiaTheme="minorEastAsia"/>
                <w:kern w:val="0"/>
                <w:sz w:val="21"/>
                <w:szCs w:val="21"/>
              </w:rPr>
              <w:t>6.5</w:t>
            </w:r>
          </w:p>
        </w:tc>
        <w:tc>
          <w:tcPr>
            <w:tcW w:w="1320" w:type="dxa"/>
            <w:vAlign w:val="center"/>
          </w:tcPr>
          <w:p>
            <w:pPr>
              <w:widowControl/>
              <w:ind w:firstLine="420"/>
              <w:jc w:val="center"/>
              <w:rPr>
                <w:rFonts w:eastAsiaTheme="minorEastAsia"/>
                <w:sz w:val="21"/>
                <w:szCs w:val="21"/>
              </w:rPr>
            </w:pPr>
            <w:r>
              <w:rPr>
                <w:rFonts w:eastAsiaTheme="minorEastAsia"/>
                <w:kern w:val="0"/>
                <w:sz w:val="21"/>
                <w:szCs w:val="21"/>
              </w:rPr>
              <w:t>9.5</w:t>
            </w:r>
          </w:p>
        </w:tc>
        <w:tc>
          <w:tcPr>
            <w:tcW w:w="1126" w:type="dxa"/>
            <w:vAlign w:val="center"/>
          </w:tcPr>
          <w:p>
            <w:pPr>
              <w:widowControl/>
              <w:ind w:firstLine="420"/>
              <w:jc w:val="center"/>
              <w:rPr>
                <w:rFonts w:eastAsiaTheme="minorEastAsia"/>
                <w:kern w:val="0"/>
                <w:sz w:val="21"/>
                <w:szCs w:val="21"/>
              </w:rPr>
            </w:pPr>
            <w:r>
              <w:rPr>
                <w:rFonts w:hint="eastAsia" w:eastAsiaTheme="minorEastAsia"/>
                <w:kern w:val="0"/>
                <w:sz w:val="21"/>
                <w:szCs w:val="21"/>
              </w:rPr>
              <w:t>3.6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5" w:type="dxa"/>
            <w:left w:w="28" w:type="dxa"/>
            <w:bottom w:w="15" w:type="dxa"/>
            <w:right w:w="28" w:type="dxa"/>
          </w:tblCellMar>
        </w:tblPrEx>
        <w:trPr>
          <w:trHeight w:val="20" w:hRule="atLeast"/>
          <w:jc w:val="center"/>
        </w:trPr>
        <w:tc>
          <w:tcPr>
            <w:tcW w:w="692" w:type="dxa"/>
            <w:vAlign w:val="center"/>
          </w:tcPr>
          <w:p>
            <w:pPr>
              <w:ind w:firstLine="0" w:firstLineChars="0"/>
              <w:jc w:val="center"/>
              <w:rPr>
                <w:rFonts w:eastAsiaTheme="minorEastAsia"/>
                <w:sz w:val="21"/>
                <w:szCs w:val="21"/>
              </w:rPr>
            </w:pPr>
            <w:r>
              <w:rPr>
                <w:rFonts w:eastAsiaTheme="minorEastAsia"/>
                <w:sz w:val="21"/>
                <w:szCs w:val="21"/>
              </w:rPr>
              <w:t>8</w:t>
            </w:r>
          </w:p>
        </w:tc>
        <w:tc>
          <w:tcPr>
            <w:tcW w:w="3692" w:type="dxa"/>
            <w:vAlign w:val="center"/>
          </w:tcPr>
          <w:p>
            <w:pPr>
              <w:widowControl/>
              <w:ind w:firstLine="420"/>
              <w:jc w:val="center"/>
              <w:rPr>
                <w:rFonts w:eastAsiaTheme="minorEastAsia"/>
                <w:kern w:val="0"/>
                <w:sz w:val="21"/>
                <w:szCs w:val="21"/>
              </w:rPr>
            </w:pPr>
            <w:r>
              <w:rPr>
                <w:rFonts w:eastAsiaTheme="minorEastAsia"/>
                <w:kern w:val="0"/>
                <w:sz w:val="21"/>
                <w:szCs w:val="21"/>
              </w:rPr>
              <w:t>森林增长</w:t>
            </w:r>
          </w:p>
        </w:tc>
        <w:tc>
          <w:tcPr>
            <w:tcW w:w="980" w:type="dxa"/>
            <w:vAlign w:val="center"/>
          </w:tcPr>
          <w:p>
            <w:pPr>
              <w:widowControl/>
              <w:ind w:firstLine="0" w:firstLineChars="0"/>
              <w:jc w:val="center"/>
              <w:rPr>
                <w:rFonts w:eastAsiaTheme="minorEastAsia"/>
                <w:kern w:val="0"/>
                <w:sz w:val="21"/>
                <w:szCs w:val="21"/>
              </w:rPr>
            </w:pPr>
            <w:r>
              <w:rPr>
                <w:rFonts w:eastAsiaTheme="minorEastAsia"/>
                <w:kern w:val="0"/>
                <w:sz w:val="21"/>
                <w:szCs w:val="21"/>
              </w:rPr>
              <w:t>约束性</w:t>
            </w:r>
          </w:p>
        </w:tc>
        <w:tc>
          <w:tcPr>
            <w:tcW w:w="1000" w:type="dxa"/>
            <w:vAlign w:val="center"/>
          </w:tcPr>
          <w:p>
            <w:pPr>
              <w:widowControl/>
              <w:ind w:firstLine="420"/>
              <w:jc w:val="center"/>
              <w:rPr>
                <w:rFonts w:eastAsiaTheme="minorEastAsia"/>
                <w:kern w:val="0"/>
                <w:sz w:val="21"/>
                <w:szCs w:val="21"/>
              </w:rPr>
            </w:pPr>
            <w:r>
              <w:rPr>
                <w:rFonts w:eastAsiaTheme="minorEastAsia"/>
                <w:kern w:val="0"/>
                <w:sz w:val="21"/>
                <w:szCs w:val="21"/>
              </w:rPr>
              <w:t>——</w:t>
            </w:r>
          </w:p>
        </w:tc>
        <w:tc>
          <w:tcPr>
            <w:tcW w:w="1320" w:type="dxa"/>
            <w:vAlign w:val="center"/>
          </w:tcPr>
          <w:p>
            <w:pPr>
              <w:widowControl/>
              <w:ind w:firstLine="420"/>
              <w:jc w:val="center"/>
              <w:rPr>
                <w:rFonts w:eastAsiaTheme="minorEastAsia"/>
                <w:sz w:val="21"/>
                <w:szCs w:val="21"/>
              </w:rPr>
            </w:pPr>
            <w:r>
              <w:rPr>
                <w:rFonts w:eastAsiaTheme="minorEastAsia"/>
                <w:kern w:val="0"/>
                <w:sz w:val="21"/>
                <w:szCs w:val="21"/>
              </w:rPr>
              <w:t>——</w:t>
            </w:r>
          </w:p>
        </w:tc>
        <w:tc>
          <w:tcPr>
            <w:tcW w:w="1126" w:type="dxa"/>
            <w:vAlign w:val="center"/>
          </w:tcPr>
          <w:p>
            <w:pPr>
              <w:widowControl/>
              <w:ind w:firstLine="420"/>
              <w:jc w:val="center"/>
              <w:rPr>
                <w:rFonts w:eastAsiaTheme="minorEastAsia"/>
                <w:kern w:val="0"/>
                <w:sz w:val="21"/>
                <w:szCs w:val="21"/>
              </w:rPr>
            </w:pPr>
            <w:r>
              <w:rPr>
                <w:rFonts w:eastAsiaTheme="minorEastAsia"/>
                <w:kern w:val="0"/>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5" w:type="dxa"/>
            <w:left w:w="28" w:type="dxa"/>
            <w:bottom w:w="15" w:type="dxa"/>
            <w:right w:w="28" w:type="dxa"/>
          </w:tblCellMar>
        </w:tblPrEx>
        <w:trPr>
          <w:trHeight w:val="20" w:hRule="atLeast"/>
          <w:jc w:val="center"/>
        </w:trPr>
        <w:tc>
          <w:tcPr>
            <w:tcW w:w="692" w:type="dxa"/>
            <w:vAlign w:val="center"/>
          </w:tcPr>
          <w:p>
            <w:pPr>
              <w:ind w:firstLine="420"/>
              <w:jc w:val="center"/>
              <w:rPr>
                <w:rFonts w:eastAsiaTheme="minorEastAsia"/>
                <w:sz w:val="21"/>
                <w:szCs w:val="21"/>
              </w:rPr>
            </w:pPr>
          </w:p>
        </w:tc>
        <w:tc>
          <w:tcPr>
            <w:tcW w:w="3692" w:type="dxa"/>
            <w:vAlign w:val="center"/>
          </w:tcPr>
          <w:p>
            <w:pPr>
              <w:widowControl/>
              <w:ind w:firstLine="420"/>
              <w:jc w:val="center"/>
              <w:rPr>
                <w:rFonts w:eastAsiaTheme="minorEastAsia"/>
                <w:kern w:val="0"/>
                <w:sz w:val="21"/>
                <w:szCs w:val="21"/>
              </w:rPr>
            </w:pPr>
            <w:r>
              <w:rPr>
                <w:rFonts w:eastAsiaTheme="minorEastAsia"/>
                <w:kern w:val="0"/>
                <w:sz w:val="21"/>
                <w:szCs w:val="21"/>
              </w:rPr>
              <w:t>#森林覆盖率（％）</w:t>
            </w:r>
          </w:p>
        </w:tc>
        <w:tc>
          <w:tcPr>
            <w:tcW w:w="980" w:type="dxa"/>
            <w:vAlign w:val="center"/>
          </w:tcPr>
          <w:p>
            <w:pPr>
              <w:widowControl/>
              <w:ind w:firstLine="0" w:firstLineChars="0"/>
              <w:jc w:val="center"/>
              <w:rPr>
                <w:rFonts w:eastAsiaTheme="minorEastAsia"/>
                <w:kern w:val="0"/>
                <w:sz w:val="21"/>
                <w:szCs w:val="21"/>
              </w:rPr>
            </w:pPr>
            <w:r>
              <w:rPr>
                <w:rFonts w:eastAsiaTheme="minorEastAsia"/>
                <w:kern w:val="0"/>
                <w:sz w:val="21"/>
                <w:szCs w:val="21"/>
              </w:rPr>
              <w:t>约束性</w:t>
            </w:r>
          </w:p>
        </w:tc>
        <w:tc>
          <w:tcPr>
            <w:tcW w:w="1000" w:type="dxa"/>
            <w:vAlign w:val="center"/>
          </w:tcPr>
          <w:p>
            <w:pPr>
              <w:widowControl/>
              <w:ind w:firstLine="420"/>
              <w:jc w:val="center"/>
              <w:rPr>
                <w:rFonts w:eastAsiaTheme="minorEastAsia"/>
                <w:kern w:val="0"/>
                <w:sz w:val="21"/>
                <w:szCs w:val="21"/>
              </w:rPr>
            </w:pPr>
            <w:r>
              <w:rPr>
                <w:rFonts w:eastAsiaTheme="minorEastAsia"/>
                <w:kern w:val="0"/>
                <w:sz w:val="21"/>
                <w:szCs w:val="21"/>
              </w:rPr>
              <w:t>48</w:t>
            </w:r>
          </w:p>
        </w:tc>
        <w:tc>
          <w:tcPr>
            <w:tcW w:w="1320" w:type="dxa"/>
            <w:vAlign w:val="center"/>
          </w:tcPr>
          <w:p>
            <w:pPr>
              <w:widowControl/>
              <w:ind w:firstLine="420"/>
              <w:jc w:val="center"/>
              <w:rPr>
                <w:rFonts w:eastAsiaTheme="minorEastAsia"/>
                <w:sz w:val="21"/>
                <w:szCs w:val="21"/>
              </w:rPr>
            </w:pPr>
            <w:r>
              <w:rPr>
                <w:rFonts w:eastAsiaTheme="minorEastAsia"/>
                <w:kern w:val="0"/>
                <w:sz w:val="21"/>
                <w:szCs w:val="21"/>
              </w:rPr>
              <w:t>51</w:t>
            </w:r>
          </w:p>
        </w:tc>
        <w:tc>
          <w:tcPr>
            <w:tcW w:w="1126" w:type="dxa"/>
            <w:vAlign w:val="center"/>
          </w:tcPr>
          <w:p>
            <w:pPr>
              <w:widowControl/>
              <w:ind w:firstLine="420"/>
              <w:jc w:val="center"/>
              <w:rPr>
                <w:rFonts w:eastAsiaTheme="minorEastAsia"/>
                <w:kern w:val="0"/>
                <w:sz w:val="21"/>
                <w:szCs w:val="21"/>
              </w:rPr>
            </w:pPr>
            <w:r>
              <w:rPr>
                <w:rFonts w:eastAsiaTheme="minorEastAsia"/>
                <w:kern w:val="0"/>
                <w:sz w:val="21"/>
                <w:szCs w:val="21"/>
              </w:rPr>
              <w:t>63.0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5" w:type="dxa"/>
            <w:left w:w="28" w:type="dxa"/>
            <w:bottom w:w="15" w:type="dxa"/>
            <w:right w:w="28" w:type="dxa"/>
          </w:tblCellMar>
        </w:tblPrEx>
        <w:trPr>
          <w:trHeight w:val="20" w:hRule="atLeast"/>
          <w:jc w:val="center"/>
        </w:trPr>
        <w:tc>
          <w:tcPr>
            <w:tcW w:w="692" w:type="dxa"/>
            <w:vAlign w:val="center"/>
          </w:tcPr>
          <w:p>
            <w:pPr>
              <w:ind w:firstLine="420"/>
              <w:jc w:val="center"/>
              <w:rPr>
                <w:rFonts w:eastAsiaTheme="minorEastAsia"/>
                <w:sz w:val="21"/>
                <w:szCs w:val="21"/>
              </w:rPr>
            </w:pPr>
          </w:p>
        </w:tc>
        <w:tc>
          <w:tcPr>
            <w:tcW w:w="3692" w:type="dxa"/>
            <w:vAlign w:val="center"/>
          </w:tcPr>
          <w:p>
            <w:pPr>
              <w:widowControl/>
              <w:ind w:firstLine="420"/>
              <w:jc w:val="center"/>
              <w:rPr>
                <w:rFonts w:eastAsiaTheme="minorEastAsia"/>
                <w:kern w:val="0"/>
                <w:sz w:val="21"/>
                <w:szCs w:val="21"/>
              </w:rPr>
            </w:pPr>
            <w:r>
              <w:rPr>
                <w:rFonts w:eastAsiaTheme="minorEastAsia"/>
                <w:kern w:val="0"/>
                <w:sz w:val="21"/>
                <w:szCs w:val="21"/>
              </w:rPr>
              <w:t>#森林蓄积量（万立方米）</w:t>
            </w:r>
          </w:p>
        </w:tc>
        <w:tc>
          <w:tcPr>
            <w:tcW w:w="980" w:type="dxa"/>
            <w:vAlign w:val="center"/>
          </w:tcPr>
          <w:p>
            <w:pPr>
              <w:widowControl/>
              <w:ind w:firstLine="0" w:firstLineChars="0"/>
              <w:jc w:val="center"/>
              <w:rPr>
                <w:rFonts w:eastAsiaTheme="minorEastAsia"/>
                <w:kern w:val="0"/>
                <w:sz w:val="21"/>
                <w:szCs w:val="21"/>
              </w:rPr>
            </w:pPr>
            <w:r>
              <w:rPr>
                <w:rFonts w:eastAsiaTheme="minorEastAsia"/>
                <w:kern w:val="0"/>
                <w:sz w:val="21"/>
                <w:szCs w:val="21"/>
              </w:rPr>
              <w:t>约束性</w:t>
            </w:r>
          </w:p>
        </w:tc>
        <w:tc>
          <w:tcPr>
            <w:tcW w:w="1000" w:type="dxa"/>
            <w:vAlign w:val="center"/>
          </w:tcPr>
          <w:p>
            <w:pPr>
              <w:widowControl/>
              <w:ind w:firstLine="420"/>
              <w:jc w:val="center"/>
              <w:rPr>
                <w:rFonts w:eastAsiaTheme="minorEastAsia"/>
                <w:kern w:val="0"/>
                <w:sz w:val="21"/>
                <w:szCs w:val="21"/>
              </w:rPr>
            </w:pPr>
            <w:r>
              <w:rPr>
                <w:rFonts w:eastAsiaTheme="minorEastAsia"/>
                <w:kern w:val="0"/>
                <w:sz w:val="21"/>
                <w:szCs w:val="21"/>
              </w:rPr>
              <w:t>845</w:t>
            </w:r>
          </w:p>
        </w:tc>
        <w:tc>
          <w:tcPr>
            <w:tcW w:w="1320" w:type="dxa"/>
            <w:vAlign w:val="center"/>
          </w:tcPr>
          <w:p>
            <w:pPr>
              <w:widowControl/>
              <w:ind w:firstLine="420"/>
              <w:jc w:val="center"/>
              <w:rPr>
                <w:rFonts w:eastAsiaTheme="minorEastAsia"/>
                <w:sz w:val="21"/>
                <w:szCs w:val="21"/>
              </w:rPr>
            </w:pPr>
            <w:r>
              <w:rPr>
                <w:rFonts w:eastAsiaTheme="minorEastAsia"/>
                <w:kern w:val="0"/>
                <w:sz w:val="21"/>
                <w:szCs w:val="21"/>
              </w:rPr>
              <w:t>900</w:t>
            </w:r>
          </w:p>
        </w:tc>
        <w:tc>
          <w:tcPr>
            <w:tcW w:w="1126" w:type="dxa"/>
            <w:vAlign w:val="center"/>
          </w:tcPr>
          <w:p>
            <w:pPr>
              <w:widowControl/>
              <w:ind w:firstLine="420"/>
              <w:jc w:val="center"/>
              <w:rPr>
                <w:rFonts w:eastAsiaTheme="minorEastAsia"/>
                <w:kern w:val="0"/>
                <w:sz w:val="21"/>
                <w:szCs w:val="21"/>
              </w:rPr>
            </w:pPr>
            <w:r>
              <w:rPr>
                <w:rFonts w:eastAsiaTheme="minorEastAsia"/>
                <w:kern w:val="0"/>
                <w:sz w:val="21"/>
                <w:szCs w:val="21"/>
              </w:rPr>
              <w:t>1000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5" w:type="dxa"/>
            <w:left w:w="28" w:type="dxa"/>
            <w:bottom w:w="15" w:type="dxa"/>
            <w:right w:w="28" w:type="dxa"/>
          </w:tblCellMar>
        </w:tblPrEx>
        <w:trPr>
          <w:trHeight w:val="20" w:hRule="atLeast"/>
          <w:jc w:val="center"/>
        </w:trPr>
        <w:tc>
          <w:tcPr>
            <w:tcW w:w="692" w:type="dxa"/>
            <w:vAlign w:val="center"/>
          </w:tcPr>
          <w:p>
            <w:pPr>
              <w:ind w:firstLine="0" w:firstLineChars="0"/>
              <w:jc w:val="center"/>
              <w:rPr>
                <w:rFonts w:eastAsiaTheme="minorEastAsia"/>
                <w:sz w:val="21"/>
                <w:szCs w:val="21"/>
              </w:rPr>
            </w:pPr>
            <w:r>
              <w:rPr>
                <w:rFonts w:eastAsiaTheme="minorEastAsia"/>
                <w:sz w:val="21"/>
                <w:szCs w:val="21"/>
              </w:rPr>
              <w:t>9</w:t>
            </w:r>
          </w:p>
        </w:tc>
        <w:tc>
          <w:tcPr>
            <w:tcW w:w="3692" w:type="dxa"/>
            <w:vAlign w:val="center"/>
          </w:tcPr>
          <w:p>
            <w:pPr>
              <w:widowControl/>
              <w:ind w:firstLine="420"/>
              <w:jc w:val="center"/>
              <w:rPr>
                <w:rFonts w:eastAsiaTheme="minorEastAsia"/>
                <w:kern w:val="0"/>
                <w:sz w:val="21"/>
                <w:szCs w:val="21"/>
              </w:rPr>
            </w:pPr>
            <w:r>
              <w:rPr>
                <w:rFonts w:eastAsiaTheme="minorEastAsia"/>
                <w:kern w:val="0"/>
                <w:sz w:val="21"/>
                <w:szCs w:val="21"/>
              </w:rPr>
              <w:t>空气质量</w:t>
            </w:r>
          </w:p>
        </w:tc>
        <w:tc>
          <w:tcPr>
            <w:tcW w:w="980" w:type="dxa"/>
            <w:vAlign w:val="center"/>
          </w:tcPr>
          <w:p>
            <w:pPr>
              <w:widowControl/>
              <w:ind w:firstLine="0" w:firstLineChars="0"/>
              <w:jc w:val="center"/>
              <w:rPr>
                <w:rFonts w:eastAsiaTheme="minorEastAsia"/>
                <w:kern w:val="0"/>
                <w:sz w:val="21"/>
                <w:szCs w:val="21"/>
              </w:rPr>
            </w:pPr>
            <w:r>
              <w:rPr>
                <w:rFonts w:eastAsiaTheme="minorEastAsia"/>
                <w:kern w:val="0"/>
                <w:sz w:val="21"/>
                <w:szCs w:val="21"/>
              </w:rPr>
              <w:t>约束性</w:t>
            </w:r>
          </w:p>
        </w:tc>
        <w:tc>
          <w:tcPr>
            <w:tcW w:w="1000" w:type="dxa"/>
            <w:vAlign w:val="center"/>
          </w:tcPr>
          <w:p>
            <w:pPr>
              <w:widowControl/>
              <w:ind w:firstLine="420"/>
              <w:jc w:val="center"/>
              <w:rPr>
                <w:rFonts w:eastAsiaTheme="minorEastAsia"/>
                <w:kern w:val="0"/>
                <w:sz w:val="21"/>
                <w:szCs w:val="21"/>
              </w:rPr>
            </w:pPr>
            <w:r>
              <w:rPr>
                <w:rFonts w:eastAsiaTheme="minorEastAsia"/>
                <w:kern w:val="0"/>
                <w:sz w:val="21"/>
                <w:szCs w:val="21"/>
              </w:rPr>
              <w:t>——</w:t>
            </w:r>
          </w:p>
        </w:tc>
        <w:tc>
          <w:tcPr>
            <w:tcW w:w="1320" w:type="dxa"/>
            <w:vAlign w:val="center"/>
          </w:tcPr>
          <w:p>
            <w:pPr>
              <w:widowControl/>
              <w:ind w:firstLine="420"/>
              <w:jc w:val="center"/>
              <w:rPr>
                <w:rFonts w:eastAsiaTheme="minorEastAsia"/>
                <w:sz w:val="21"/>
                <w:szCs w:val="21"/>
              </w:rPr>
            </w:pPr>
            <w:r>
              <w:rPr>
                <w:rFonts w:eastAsiaTheme="minorEastAsia"/>
                <w:kern w:val="0"/>
                <w:sz w:val="21"/>
                <w:szCs w:val="21"/>
              </w:rPr>
              <w:t>——</w:t>
            </w:r>
          </w:p>
        </w:tc>
        <w:tc>
          <w:tcPr>
            <w:tcW w:w="1126" w:type="dxa"/>
            <w:vAlign w:val="center"/>
          </w:tcPr>
          <w:p>
            <w:pPr>
              <w:widowControl/>
              <w:ind w:firstLine="420"/>
              <w:jc w:val="center"/>
              <w:rPr>
                <w:rFonts w:eastAsiaTheme="minorEastAsia"/>
                <w:kern w:val="0"/>
                <w:sz w:val="21"/>
                <w:szCs w:val="21"/>
              </w:rPr>
            </w:pPr>
            <w:r>
              <w:rPr>
                <w:rFonts w:eastAsiaTheme="minorEastAsia"/>
                <w:kern w:val="0"/>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5" w:type="dxa"/>
            <w:left w:w="28" w:type="dxa"/>
            <w:bottom w:w="15" w:type="dxa"/>
            <w:right w:w="28" w:type="dxa"/>
          </w:tblCellMar>
        </w:tblPrEx>
        <w:trPr>
          <w:trHeight w:val="20" w:hRule="atLeast"/>
          <w:jc w:val="center"/>
        </w:trPr>
        <w:tc>
          <w:tcPr>
            <w:tcW w:w="692" w:type="dxa"/>
            <w:vAlign w:val="center"/>
          </w:tcPr>
          <w:p>
            <w:pPr>
              <w:ind w:firstLine="420"/>
              <w:jc w:val="center"/>
              <w:rPr>
                <w:rFonts w:eastAsiaTheme="minorEastAsia"/>
                <w:sz w:val="21"/>
                <w:szCs w:val="21"/>
              </w:rPr>
            </w:pPr>
          </w:p>
        </w:tc>
        <w:tc>
          <w:tcPr>
            <w:tcW w:w="3692" w:type="dxa"/>
            <w:vAlign w:val="center"/>
          </w:tcPr>
          <w:p>
            <w:pPr>
              <w:widowControl/>
              <w:ind w:firstLine="0" w:firstLineChars="0"/>
              <w:jc w:val="center"/>
              <w:rPr>
                <w:rFonts w:eastAsiaTheme="minorEastAsia"/>
                <w:kern w:val="0"/>
                <w:sz w:val="21"/>
                <w:szCs w:val="21"/>
              </w:rPr>
            </w:pPr>
            <w:r>
              <w:rPr>
                <w:rFonts w:eastAsiaTheme="minorEastAsia"/>
                <w:kern w:val="0"/>
                <w:sz w:val="21"/>
                <w:szCs w:val="21"/>
              </w:rPr>
              <w:t>#城市细颗粒物（PM2.5）浓度下降（％）</w:t>
            </w:r>
          </w:p>
        </w:tc>
        <w:tc>
          <w:tcPr>
            <w:tcW w:w="980" w:type="dxa"/>
            <w:vAlign w:val="center"/>
          </w:tcPr>
          <w:p>
            <w:pPr>
              <w:widowControl/>
              <w:ind w:firstLine="0" w:firstLineChars="0"/>
              <w:jc w:val="center"/>
              <w:rPr>
                <w:rFonts w:eastAsiaTheme="minorEastAsia"/>
                <w:kern w:val="0"/>
                <w:sz w:val="21"/>
                <w:szCs w:val="21"/>
              </w:rPr>
            </w:pPr>
            <w:r>
              <w:rPr>
                <w:rFonts w:eastAsiaTheme="minorEastAsia"/>
                <w:kern w:val="0"/>
                <w:sz w:val="21"/>
                <w:szCs w:val="21"/>
              </w:rPr>
              <w:t>约束性</w:t>
            </w:r>
          </w:p>
        </w:tc>
        <w:tc>
          <w:tcPr>
            <w:tcW w:w="1000" w:type="dxa"/>
            <w:vAlign w:val="center"/>
          </w:tcPr>
          <w:p>
            <w:pPr>
              <w:widowControl/>
              <w:ind w:firstLine="420"/>
              <w:jc w:val="center"/>
              <w:rPr>
                <w:rFonts w:eastAsiaTheme="minorEastAsia"/>
                <w:kern w:val="0"/>
                <w:sz w:val="21"/>
                <w:szCs w:val="21"/>
              </w:rPr>
            </w:pPr>
            <w:r>
              <w:rPr>
                <w:rFonts w:eastAsiaTheme="minorEastAsia"/>
                <w:kern w:val="0"/>
                <w:sz w:val="21"/>
                <w:szCs w:val="21"/>
              </w:rPr>
              <w:t>/</w:t>
            </w:r>
          </w:p>
        </w:tc>
        <w:tc>
          <w:tcPr>
            <w:tcW w:w="1320" w:type="dxa"/>
            <w:vAlign w:val="center"/>
          </w:tcPr>
          <w:p>
            <w:pPr>
              <w:widowControl/>
              <w:ind w:firstLine="420"/>
              <w:jc w:val="center"/>
              <w:rPr>
                <w:rFonts w:eastAsiaTheme="minorEastAsia"/>
                <w:sz w:val="21"/>
                <w:szCs w:val="21"/>
              </w:rPr>
            </w:pPr>
            <w:r>
              <w:rPr>
                <w:rFonts w:eastAsiaTheme="minorEastAsia"/>
                <w:sz w:val="21"/>
                <w:szCs w:val="21"/>
              </w:rPr>
              <w:t>【5】</w:t>
            </w:r>
          </w:p>
        </w:tc>
        <w:tc>
          <w:tcPr>
            <w:tcW w:w="1126" w:type="dxa"/>
            <w:vAlign w:val="center"/>
          </w:tcPr>
          <w:p>
            <w:pPr>
              <w:widowControl/>
              <w:ind w:firstLine="0" w:firstLineChars="0"/>
              <w:jc w:val="center"/>
              <w:rPr>
                <w:rFonts w:eastAsiaTheme="minorEastAsia"/>
                <w:kern w:val="0"/>
                <w:sz w:val="21"/>
                <w:szCs w:val="21"/>
              </w:rPr>
            </w:pPr>
            <w:r>
              <w:rPr>
                <w:rFonts w:eastAsiaTheme="minorEastAsia"/>
                <w:sz w:val="21"/>
                <w:szCs w:val="21"/>
              </w:rPr>
              <w:t>【8.5】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5" w:type="dxa"/>
            <w:left w:w="28" w:type="dxa"/>
            <w:bottom w:w="15" w:type="dxa"/>
            <w:right w:w="28" w:type="dxa"/>
          </w:tblCellMar>
        </w:tblPrEx>
        <w:trPr>
          <w:trHeight w:val="20" w:hRule="atLeast"/>
          <w:jc w:val="center"/>
        </w:trPr>
        <w:tc>
          <w:tcPr>
            <w:tcW w:w="692" w:type="dxa"/>
            <w:vAlign w:val="center"/>
          </w:tcPr>
          <w:p>
            <w:pPr>
              <w:ind w:firstLine="420"/>
              <w:jc w:val="center"/>
              <w:rPr>
                <w:rFonts w:eastAsiaTheme="minorEastAsia"/>
                <w:sz w:val="21"/>
                <w:szCs w:val="21"/>
              </w:rPr>
            </w:pPr>
          </w:p>
        </w:tc>
        <w:tc>
          <w:tcPr>
            <w:tcW w:w="3692" w:type="dxa"/>
            <w:vAlign w:val="center"/>
          </w:tcPr>
          <w:p>
            <w:pPr>
              <w:widowControl/>
              <w:ind w:firstLine="0" w:firstLineChars="0"/>
              <w:jc w:val="center"/>
              <w:rPr>
                <w:rFonts w:eastAsiaTheme="minorEastAsia"/>
                <w:kern w:val="0"/>
                <w:sz w:val="21"/>
                <w:szCs w:val="21"/>
              </w:rPr>
            </w:pPr>
            <w:r>
              <w:rPr>
                <w:rFonts w:eastAsiaTheme="minorEastAsia"/>
                <w:kern w:val="0"/>
                <w:sz w:val="21"/>
                <w:szCs w:val="21"/>
              </w:rPr>
              <w:t>#城市空气质量优良天数比率（％）</w:t>
            </w:r>
          </w:p>
        </w:tc>
        <w:tc>
          <w:tcPr>
            <w:tcW w:w="980" w:type="dxa"/>
            <w:vAlign w:val="center"/>
          </w:tcPr>
          <w:p>
            <w:pPr>
              <w:widowControl/>
              <w:ind w:firstLine="0" w:firstLineChars="0"/>
              <w:jc w:val="center"/>
              <w:rPr>
                <w:rFonts w:eastAsiaTheme="minorEastAsia"/>
                <w:kern w:val="0"/>
                <w:sz w:val="21"/>
                <w:szCs w:val="21"/>
              </w:rPr>
            </w:pPr>
            <w:r>
              <w:rPr>
                <w:rFonts w:eastAsiaTheme="minorEastAsia"/>
                <w:kern w:val="0"/>
                <w:sz w:val="21"/>
                <w:szCs w:val="21"/>
              </w:rPr>
              <w:t>约束性</w:t>
            </w:r>
          </w:p>
        </w:tc>
        <w:tc>
          <w:tcPr>
            <w:tcW w:w="1000" w:type="dxa"/>
            <w:vAlign w:val="center"/>
          </w:tcPr>
          <w:p>
            <w:pPr>
              <w:widowControl/>
              <w:ind w:firstLine="420"/>
              <w:jc w:val="center"/>
              <w:rPr>
                <w:rFonts w:eastAsiaTheme="minorEastAsia"/>
                <w:kern w:val="0"/>
                <w:sz w:val="21"/>
                <w:szCs w:val="21"/>
              </w:rPr>
            </w:pPr>
            <w:r>
              <w:rPr>
                <w:rFonts w:eastAsiaTheme="minorEastAsia"/>
                <w:kern w:val="0"/>
                <w:sz w:val="21"/>
                <w:szCs w:val="21"/>
              </w:rPr>
              <w:t>72</w:t>
            </w:r>
          </w:p>
        </w:tc>
        <w:tc>
          <w:tcPr>
            <w:tcW w:w="1320" w:type="dxa"/>
            <w:vAlign w:val="center"/>
          </w:tcPr>
          <w:p>
            <w:pPr>
              <w:widowControl/>
              <w:ind w:firstLine="420"/>
              <w:jc w:val="center"/>
              <w:rPr>
                <w:rFonts w:eastAsiaTheme="minorEastAsia"/>
                <w:sz w:val="21"/>
                <w:szCs w:val="21"/>
              </w:rPr>
            </w:pPr>
            <w:r>
              <w:rPr>
                <w:rFonts w:eastAsiaTheme="minorEastAsia"/>
                <w:kern w:val="0"/>
                <w:sz w:val="21"/>
                <w:szCs w:val="21"/>
              </w:rPr>
              <w:t>82</w:t>
            </w:r>
          </w:p>
        </w:tc>
        <w:tc>
          <w:tcPr>
            <w:tcW w:w="1126" w:type="dxa"/>
            <w:vAlign w:val="center"/>
          </w:tcPr>
          <w:p>
            <w:pPr>
              <w:widowControl/>
              <w:ind w:firstLine="420"/>
              <w:jc w:val="center"/>
              <w:rPr>
                <w:rFonts w:eastAsiaTheme="minorEastAsia"/>
                <w:kern w:val="0"/>
                <w:sz w:val="21"/>
                <w:szCs w:val="21"/>
              </w:rPr>
            </w:pPr>
            <w:r>
              <w:rPr>
                <w:rFonts w:eastAsiaTheme="minorEastAsia"/>
                <w:kern w:val="0"/>
                <w:sz w:val="21"/>
                <w:szCs w:val="21"/>
              </w:rPr>
              <w:t>96.4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5" w:type="dxa"/>
            <w:left w:w="28" w:type="dxa"/>
            <w:bottom w:w="15" w:type="dxa"/>
            <w:right w:w="28" w:type="dxa"/>
          </w:tblCellMar>
        </w:tblPrEx>
        <w:trPr>
          <w:trHeight w:val="20" w:hRule="atLeast"/>
          <w:jc w:val="center"/>
        </w:trPr>
        <w:tc>
          <w:tcPr>
            <w:tcW w:w="692" w:type="dxa"/>
            <w:vAlign w:val="center"/>
          </w:tcPr>
          <w:p>
            <w:pPr>
              <w:ind w:firstLine="0" w:firstLineChars="0"/>
              <w:jc w:val="center"/>
              <w:rPr>
                <w:rFonts w:eastAsiaTheme="minorEastAsia"/>
                <w:sz w:val="21"/>
                <w:szCs w:val="21"/>
              </w:rPr>
            </w:pPr>
            <w:r>
              <w:rPr>
                <w:rFonts w:eastAsiaTheme="minorEastAsia"/>
                <w:sz w:val="21"/>
                <w:szCs w:val="21"/>
              </w:rPr>
              <w:t>10</w:t>
            </w:r>
          </w:p>
        </w:tc>
        <w:tc>
          <w:tcPr>
            <w:tcW w:w="3692" w:type="dxa"/>
            <w:vAlign w:val="center"/>
          </w:tcPr>
          <w:p>
            <w:pPr>
              <w:widowControl/>
              <w:ind w:firstLine="420"/>
              <w:jc w:val="center"/>
              <w:rPr>
                <w:rFonts w:eastAsiaTheme="minorEastAsia"/>
                <w:kern w:val="0"/>
                <w:sz w:val="21"/>
                <w:szCs w:val="21"/>
              </w:rPr>
            </w:pPr>
            <w:r>
              <w:rPr>
                <w:rFonts w:eastAsiaTheme="minorEastAsia"/>
                <w:kern w:val="0"/>
                <w:sz w:val="21"/>
                <w:szCs w:val="21"/>
              </w:rPr>
              <w:t>长江干流水质（类）</w:t>
            </w:r>
          </w:p>
        </w:tc>
        <w:tc>
          <w:tcPr>
            <w:tcW w:w="980" w:type="dxa"/>
            <w:vAlign w:val="center"/>
          </w:tcPr>
          <w:p>
            <w:pPr>
              <w:widowControl/>
              <w:ind w:firstLine="0" w:firstLineChars="0"/>
              <w:jc w:val="center"/>
              <w:rPr>
                <w:rFonts w:eastAsiaTheme="minorEastAsia"/>
                <w:kern w:val="0"/>
                <w:sz w:val="21"/>
                <w:szCs w:val="21"/>
              </w:rPr>
            </w:pPr>
            <w:r>
              <w:rPr>
                <w:rFonts w:eastAsiaTheme="minorEastAsia"/>
                <w:kern w:val="0"/>
                <w:sz w:val="21"/>
                <w:szCs w:val="21"/>
              </w:rPr>
              <w:t>约束性</w:t>
            </w:r>
          </w:p>
        </w:tc>
        <w:tc>
          <w:tcPr>
            <w:tcW w:w="1000" w:type="dxa"/>
            <w:vAlign w:val="center"/>
          </w:tcPr>
          <w:p>
            <w:pPr>
              <w:widowControl/>
              <w:ind w:firstLine="420"/>
              <w:jc w:val="center"/>
              <w:rPr>
                <w:rFonts w:eastAsiaTheme="minorEastAsia"/>
                <w:kern w:val="0"/>
                <w:sz w:val="21"/>
                <w:szCs w:val="21"/>
              </w:rPr>
            </w:pPr>
            <w:r>
              <w:rPr>
                <w:rFonts w:eastAsiaTheme="minorEastAsia"/>
                <w:kern w:val="0"/>
                <w:sz w:val="21"/>
                <w:szCs w:val="21"/>
              </w:rPr>
              <w:t>Ⅲ</w:t>
            </w:r>
          </w:p>
        </w:tc>
        <w:tc>
          <w:tcPr>
            <w:tcW w:w="1320" w:type="dxa"/>
            <w:vAlign w:val="center"/>
          </w:tcPr>
          <w:p>
            <w:pPr>
              <w:widowControl/>
              <w:ind w:firstLine="420"/>
              <w:jc w:val="center"/>
              <w:rPr>
                <w:rFonts w:eastAsiaTheme="minorEastAsia"/>
                <w:sz w:val="21"/>
                <w:szCs w:val="21"/>
              </w:rPr>
            </w:pPr>
            <w:r>
              <w:rPr>
                <w:rFonts w:eastAsiaTheme="minorEastAsia"/>
                <w:kern w:val="0"/>
                <w:sz w:val="21"/>
                <w:szCs w:val="21"/>
              </w:rPr>
              <w:t>Ⅲ</w:t>
            </w:r>
          </w:p>
        </w:tc>
        <w:tc>
          <w:tcPr>
            <w:tcW w:w="1126" w:type="dxa"/>
            <w:vAlign w:val="center"/>
          </w:tcPr>
          <w:p>
            <w:pPr>
              <w:widowControl/>
              <w:ind w:firstLine="420"/>
              <w:jc w:val="center"/>
              <w:rPr>
                <w:rFonts w:eastAsiaTheme="minorEastAsia"/>
                <w:kern w:val="0"/>
                <w:sz w:val="21"/>
                <w:szCs w:val="21"/>
              </w:rPr>
            </w:pPr>
            <w:r>
              <w:rPr>
                <w:rFonts w:eastAsiaTheme="minorEastAsia"/>
                <w:kern w:val="0"/>
                <w:sz w:val="21"/>
                <w:szCs w:val="21"/>
              </w:rPr>
              <w:t>Ⅲ</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5" w:type="dxa"/>
            <w:left w:w="28" w:type="dxa"/>
            <w:bottom w:w="15" w:type="dxa"/>
            <w:right w:w="28" w:type="dxa"/>
          </w:tblCellMar>
        </w:tblPrEx>
        <w:trPr>
          <w:trHeight w:val="20" w:hRule="atLeast"/>
          <w:jc w:val="center"/>
        </w:trPr>
        <w:tc>
          <w:tcPr>
            <w:tcW w:w="692" w:type="dxa"/>
            <w:vAlign w:val="center"/>
          </w:tcPr>
          <w:p>
            <w:pPr>
              <w:ind w:firstLine="0" w:firstLineChars="0"/>
              <w:jc w:val="center"/>
              <w:rPr>
                <w:rFonts w:eastAsiaTheme="minorEastAsia"/>
                <w:sz w:val="21"/>
                <w:szCs w:val="21"/>
              </w:rPr>
            </w:pPr>
            <w:r>
              <w:rPr>
                <w:rFonts w:eastAsiaTheme="minorEastAsia"/>
                <w:sz w:val="21"/>
                <w:szCs w:val="21"/>
              </w:rPr>
              <w:t>11</w:t>
            </w:r>
          </w:p>
        </w:tc>
        <w:tc>
          <w:tcPr>
            <w:tcW w:w="3692" w:type="dxa"/>
            <w:vAlign w:val="center"/>
          </w:tcPr>
          <w:p>
            <w:pPr>
              <w:widowControl/>
              <w:ind w:firstLine="420"/>
              <w:jc w:val="center"/>
              <w:rPr>
                <w:rFonts w:eastAsiaTheme="minorEastAsia"/>
                <w:kern w:val="0"/>
                <w:sz w:val="21"/>
                <w:szCs w:val="21"/>
              </w:rPr>
            </w:pPr>
            <w:r>
              <w:rPr>
                <w:rFonts w:eastAsiaTheme="minorEastAsia"/>
                <w:kern w:val="0"/>
                <w:sz w:val="21"/>
                <w:szCs w:val="21"/>
              </w:rPr>
              <w:t>主要污染物排放量减少率（％）</w:t>
            </w:r>
          </w:p>
        </w:tc>
        <w:tc>
          <w:tcPr>
            <w:tcW w:w="980" w:type="dxa"/>
            <w:vAlign w:val="center"/>
          </w:tcPr>
          <w:p>
            <w:pPr>
              <w:widowControl/>
              <w:ind w:firstLine="0" w:firstLineChars="0"/>
              <w:jc w:val="center"/>
              <w:rPr>
                <w:rFonts w:eastAsiaTheme="minorEastAsia"/>
                <w:kern w:val="0"/>
                <w:sz w:val="21"/>
                <w:szCs w:val="21"/>
              </w:rPr>
            </w:pPr>
            <w:r>
              <w:rPr>
                <w:rFonts w:eastAsiaTheme="minorEastAsia"/>
                <w:kern w:val="0"/>
                <w:sz w:val="21"/>
                <w:szCs w:val="21"/>
              </w:rPr>
              <w:t>约束性</w:t>
            </w:r>
          </w:p>
        </w:tc>
        <w:tc>
          <w:tcPr>
            <w:tcW w:w="1000" w:type="dxa"/>
            <w:vAlign w:val="center"/>
          </w:tcPr>
          <w:p>
            <w:pPr>
              <w:widowControl/>
              <w:ind w:firstLine="420"/>
              <w:jc w:val="center"/>
              <w:rPr>
                <w:rFonts w:eastAsiaTheme="minorEastAsia"/>
                <w:kern w:val="0"/>
                <w:sz w:val="21"/>
                <w:szCs w:val="21"/>
              </w:rPr>
            </w:pPr>
            <w:r>
              <w:rPr>
                <w:rFonts w:eastAsiaTheme="minorEastAsia"/>
                <w:kern w:val="0"/>
                <w:sz w:val="21"/>
                <w:szCs w:val="21"/>
              </w:rPr>
              <w:t>——</w:t>
            </w:r>
          </w:p>
        </w:tc>
        <w:tc>
          <w:tcPr>
            <w:tcW w:w="1320" w:type="dxa"/>
            <w:vAlign w:val="center"/>
          </w:tcPr>
          <w:p>
            <w:pPr>
              <w:widowControl/>
              <w:ind w:firstLine="420"/>
              <w:jc w:val="center"/>
              <w:rPr>
                <w:rFonts w:eastAsiaTheme="minorEastAsia"/>
                <w:sz w:val="21"/>
                <w:szCs w:val="21"/>
              </w:rPr>
            </w:pPr>
            <w:r>
              <w:rPr>
                <w:rFonts w:eastAsiaTheme="minorEastAsia"/>
                <w:kern w:val="0"/>
                <w:sz w:val="21"/>
                <w:szCs w:val="21"/>
              </w:rPr>
              <w:t>——</w:t>
            </w:r>
          </w:p>
        </w:tc>
        <w:tc>
          <w:tcPr>
            <w:tcW w:w="1126" w:type="dxa"/>
            <w:vAlign w:val="center"/>
          </w:tcPr>
          <w:p>
            <w:pPr>
              <w:widowControl/>
              <w:ind w:firstLine="420"/>
              <w:jc w:val="center"/>
              <w:rPr>
                <w:rFonts w:eastAsiaTheme="minorEastAsia"/>
                <w:kern w:val="0"/>
                <w:sz w:val="21"/>
                <w:szCs w:val="21"/>
              </w:rPr>
            </w:pPr>
            <w:r>
              <w:rPr>
                <w:rFonts w:eastAsiaTheme="minorEastAsia"/>
                <w:kern w:val="0"/>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5" w:type="dxa"/>
            <w:left w:w="28" w:type="dxa"/>
            <w:bottom w:w="15" w:type="dxa"/>
            <w:right w:w="28" w:type="dxa"/>
          </w:tblCellMar>
        </w:tblPrEx>
        <w:trPr>
          <w:trHeight w:val="20" w:hRule="atLeast"/>
          <w:jc w:val="center"/>
        </w:trPr>
        <w:tc>
          <w:tcPr>
            <w:tcW w:w="692" w:type="dxa"/>
            <w:vAlign w:val="center"/>
          </w:tcPr>
          <w:p>
            <w:pPr>
              <w:ind w:firstLine="420"/>
              <w:jc w:val="center"/>
              <w:rPr>
                <w:rFonts w:eastAsiaTheme="minorEastAsia"/>
                <w:sz w:val="21"/>
                <w:szCs w:val="21"/>
              </w:rPr>
            </w:pPr>
          </w:p>
        </w:tc>
        <w:tc>
          <w:tcPr>
            <w:tcW w:w="3692" w:type="dxa"/>
            <w:vAlign w:val="center"/>
          </w:tcPr>
          <w:p>
            <w:pPr>
              <w:widowControl/>
              <w:ind w:firstLine="420"/>
              <w:jc w:val="center"/>
              <w:rPr>
                <w:rFonts w:eastAsiaTheme="minorEastAsia"/>
                <w:kern w:val="0"/>
                <w:sz w:val="21"/>
                <w:szCs w:val="21"/>
              </w:rPr>
            </w:pPr>
            <w:r>
              <w:rPr>
                <w:rFonts w:eastAsiaTheme="minorEastAsia"/>
                <w:kern w:val="0"/>
                <w:sz w:val="21"/>
                <w:szCs w:val="21"/>
              </w:rPr>
              <w:t>#化学需氧量</w:t>
            </w:r>
          </w:p>
        </w:tc>
        <w:tc>
          <w:tcPr>
            <w:tcW w:w="980" w:type="dxa"/>
            <w:vAlign w:val="center"/>
          </w:tcPr>
          <w:p>
            <w:pPr>
              <w:widowControl/>
              <w:ind w:firstLine="0" w:firstLineChars="0"/>
              <w:jc w:val="center"/>
              <w:rPr>
                <w:rFonts w:eastAsiaTheme="minorEastAsia"/>
                <w:kern w:val="0"/>
                <w:sz w:val="21"/>
                <w:szCs w:val="21"/>
              </w:rPr>
            </w:pPr>
            <w:r>
              <w:rPr>
                <w:rFonts w:eastAsiaTheme="minorEastAsia"/>
                <w:kern w:val="0"/>
                <w:sz w:val="21"/>
                <w:szCs w:val="21"/>
              </w:rPr>
              <w:t>约束性</w:t>
            </w:r>
          </w:p>
        </w:tc>
        <w:tc>
          <w:tcPr>
            <w:tcW w:w="1000" w:type="dxa"/>
            <w:vAlign w:val="center"/>
          </w:tcPr>
          <w:p>
            <w:pPr>
              <w:widowControl/>
              <w:ind w:firstLine="0" w:firstLineChars="0"/>
              <w:jc w:val="center"/>
              <w:rPr>
                <w:rFonts w:eastAsiaTheme="minorEastAsia"/>
                <w:kern w:val="0"/>
                <w:sz w:val="21"/>
                <w:szCs w:val="21"/>
              </w:rPr>
            </w:pPr>
            <w:r>
              <w:rPr>
                <w:rFonts w:eastAsiaTheme="minorEastAsia"/>
                <w:kern w:val="0"/>
                <w:sz w:val="21"/>
                <w:szCs w:val="21"/>
              </w:rPr>
              <w:t>【8.37】</w:t>
            </w:r>
          </w:p>
        </w:tc>
        <w:tc>
          <w:tcPr>
            <w:tcW w:w="1320" w:type="dxa"/>
            <w:vAlign w:val="center"/>
          </w:tcPr>
          <w:p>
            <w:pPr>
              <w:widowControl/>
              <w:ind w:firstLine="420"/>
              <w:jc w:val="center"/>
              <w:rPr>
                <w:rFonts w:eastAsiaTheme="minorEastAsia"/>
                <w:sz w:val="21"/>
                <w:szCs w:val="21"/>
              </w:rPr>
            </w:pPr>
            <w:r>
              <w:rPr>
                <w:rFonts w:eastAsiaTheme="minorEastAsia"/>
                <w:sz w:val="21"/>
                <w:szCs w:val="21"/>
              </w:rPr>
              <w:t>【2.17】</w:t>
            </w:r>
          </w:p>
        </w:tc>
        <w:tc>
          <w:tcPr>
            <w:tcW w:w="1126" w:type="dxa"/>
            <w:vAlign w:val="center"/>
          </w:tcPr>
          <w:p>
            <w:pPr>
              <w:widowControl/>
              <w:ind w:firstLine="0" w:firstLineChars="0"/>
              <w:jc w:val="center"/>
              <w:rPr>
                <w:rFonts w:eastAsiaTheme="minorEastAsia"/>
                <w:kern w:val="0"/>
                <w:sz w:val="21"/>
                <w:szCs w:val="21"/>
              </w:rPr>
            </w:pPr>
            <w:r>
              <w:rPr>
                <w:rFonts w:eastAsiaTheme="minorEastAsia"/>
                <w:sz w:val="21"/>
                <w:szCs w:val="21"/>
              </w:rPr>
              <w:t>【</w:t>
            </w:r>
            <w:r>
              <w:rPr>
                <w:rFonts w:eastAsiaTheme="minorEastAsia"/>
                <w:kern w:val="0"/>
                <w:sz w:val="21"/>
                <w:szCs w:val="21"/>
              </w:rPr>
              <w:t>12.6</w:t>
            </w:r>
            <w:r>
              <w:rPr>
                <w:rFonts w:eastAsiaTheme="minorEastAsia"/>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5" w:type="dxa"/>
            <w:left w:w="28" w:type="dxa"/>
            <w:bottom w:w="15" w:type="dxa"/>
            <w:right w:w="28" w:type="dxa"/>
          </w:tblCellMar>
        </w:tblPrEx>
        <w:trPr>
          <w:trHeight w:val="20" w:hRule="atLeast"/>
          <w:jc w:val="center"/>
        </w:trPr>
        <w:tc>
          <w:tcPr>
            <w:tcW w:w="692" w:type="dxa"/>
            <w:vAlign w:val="center"/>
          </w:tcPr>
          <w:p>
            <w:pPr>
              <w:ind w:firstLine="420"/>
              <w:jc w:val="center"/>
              <w:rPr>
                <w:rFonts w:eastAsiaTheme="minorEastAsia"/>
                <w:sz w:val="21"/>
                <w:szCs w:val="21"/>
              </w:rPr>
            </w:pPr>
          </w:p>
        </w:tc>
        <w:tc>
          <w:tcPr>
            <w:tcW w:w="3692" w:type="dxa"/>
            <w:vAlign w:val="center"/>
          </w:tcPr>
          <w:p>
            <w:pPr>
              <w:widowControl/>
              <w:ind w:firstLine="420"/>
              <w:jc w:val="center"/>
              <w:rPr>
                <w:rFonts w:eastAsiaTheme="minorEastAsia"/>
                <w:kern w:val="0"/>
                <w:sz w:val="21"/>
                <w:szCs w:val="21"/>
              </w:rPr>
            </w:pPr>
            <w:r>
              <w:rPr>
                <w:rFonts w:eastAsiaTheme="minorEastAsia"/>
                <w:kern w:val="0"/>
                <w:sz w:val="21"/>
                <w:szCs w:val="21"/>
              </w:rPr>
              <w:t>#二氧化硫</w:t>
            </w:r>
          </w:p>
        </w:tc>
        <w:tc>
          <w:tcPr>
            <w:tcW w:w="980" w:type="dxa"/>
            <w:vAlign w:val="center"/>
          </w:tcPr>
          <w:p>
            <w:pPr>
              <w:widowControl/>
              <w:ind w:firstLine="0" w:firstLineChars="0"/>
              <w:jc w:val="center"/>
              <w:rPr>
                <w:rFonts w:eastAsiaTheme="minorEastAsia"/>
                <w:kern w:val="0"/>
                <w:sz w:val="21"/>
                <w:szCs w:val="21"/>
              </w:rPr>
            </w:pPr>
            <w:r>
              <w:rPr>
                <w:rFonts w:eastAsiaTheme="minorEastAsia"/>
                <w:kern w:val="0"/>
                <w:sz w:val="21"/>
                <w:szCs w:val="21"/>
              </w:rPr>
              <w:t>约束性</w:t>
            </w:r>
          </w:p>
        </w:tc>
        <w:tc>
          <w:tcPr>
            <w:tcW w:w="1000" w:type="dxa"/>
            <w:vAlign w:val="center"/>
          </w:tcPr>
          <w:p>
            <w:pPr>
              <w:widowControl/>
              <w:ind w:firstLine="0" w:firstLineChars="0"/>
              <w:jc w:val="center"/>
              <w:rPr>
                <w:rFonts w:eastAsiaTheme="minorEastAsia"/>
                <w:kern w:val="0"/>
                <w:sz w:val="21"/>
                <w:szCs w:val="21"/>
              </w:rPr>
            </w:pPr>
            <w:r>
              <w:rPr>
                <w:rFonts w:eastAsiaTheme="minorEastAsia"/>
                <w:kern w:val="0"/>
                <w:sz w:val="21"/>
                <w:szCs w:val="21"/>
              </w:rPr>
              <w:t>【7.39】</w:t>
            </w:r>
          </w:p>
        </w:tc>
        <w:tc>
          <w:tcPr>
            <w:tcW w:w="1320" w:type="dxa"/>
            <w:vAlign w:val="center"/>
          </w:tcPr>
          <w:p>
            <w:pPr>
              <w:widowControl/>
              <w:ind w:firstLine="420"/>
              <w:jc w:val="center"/>
              <w:rPr>
                <w:rFonts w:eastAsiaTheme="minorEastAsia"/>
                <w:sz w:val="21"/>
                <w:szCs w:val="21"/>
              </w:rPr>
            </w:pPr>
            <w:r>
              <w:rPr>
                <w:rFonts w:eastAsiaTheme="minorEastAsia"/>
                <w:sz w:val="21"/>
                <w:szCs w:val="21"/>
              </w:rPr>
              <w:t>【12.4】</w:t>
            </w:r>
          </w:p>
        </w:tc>
        <w:tc>
          <w:tcPr>
            <w:tcW w:w="1126" w:type="dxa"/>
            <w:vAlign w:val="center"/>
          </w:tcPr>
          <w:p>
            <w:pPr>
              <w:widowControl/>
              <w:ind w:firstLine="0" w:firstLineChars="0"/>
              <w:jc w:val="center"/>
              <w:rPr>
                <w:rFonts w:eastAsiaTheme="minorEastAsia"/>
                <w:kern w:val="0"/>
                <w:sz w:val="21"/>
                <w:szCs w:val="21"/>
              </w:rPr>
            </w:pPr>
            <w:r>
              <w:rPr>
                <w:rFonts w:eastAsiaTheme="minorEastAsia"/>
                <w:sz w:val="21"/>
                <w:szCs w:val="21"/>
              </w:rPr>
              <w:t>【26.3】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5" w:type="dxa"/>
            <w:left w:w="28" w:type="dxa"/>
            <w:bottom w:w="15" w:type="dxa"/>
            <w:right w:w="28" w:type="dxa"/>
          </w:tblCellMar>
        </w:tblPrEx>
        <w:trPr>
          <w:trHeight w:val="20" w:hRule="atLeast"/>
          <w:jc w:val="center"/>
        </w:trPr>
        <w:tc>
          <w:tcPr>
            <w:tcW w:w="692" w:type="dxa"/>
            <w:vAlign w:val="center"/>
          </w:tcPr>
          <w:p>
            <w:pPr>
              <w:ind w:firstLine="420"/>
              <w:jc w:val="center"/>
              <w:rPr>
                <w:rFonts w:eastAsiaTheme="minorEastAsia"/>
                <w:sz w:val="21"/>
                <w:szCs w:val="21"/>
              </w:rPr>
            </w:pPr>
          </w:p>
        </w:tc>
        <w:tc>
          <w:tcPr>
            <w:tcW w:w="3692" w:type="dxa"/>
            <w:vAlign w:val="center"/>
          </w:tcPr>
          <w:p>
            <w:pPr>
              <w:widowControl/>
              <w:ind w:firstLine="420"/>
              <w:jc w:val="center"/>
              <w:rPr>
                <w:rFonts w:eastAsiaTheme="minorEastAsia"/>
                <w:kern w:val="0"/>
                <w:sz w:val="21"/>
                <w:szCs w:val="21"/>
              </w:rPr>
            </w:pPr>
            <w:r>
              <w:rPr>
                <w:rFonts w:eastAsiaTheme="minorEastAsia"/>
                <w:kern w:val="0"/>
                <w:sz w:val="21"/>
                <w:szCs w:val="21"/>
              </w:rPr>
              <w:t>#氨氮</w:t>
            </w:r>
          </w:p>
        </w:tc>
        <w:tc>
          <w:tcPr>
            <w:tcW w:w="980" w:type="dxa"/>
            <w:vAlign w:val="center"/>
          </w:tcPr>
          <w:p>
            <w:pPr>
              <w:widowControl/>
              <w:ind w:firstLine="0" w:firstLineChars="0"/>
              <w:jc w:val="center"/>
              <w:rPr>
                <w:rFonts w:eastAsiaTheme="minorEastAsia"/>
                <w:kern w:val="0"/>
                <w:sz w:val="21"/>
                <w:szCs w:val="21"/>
              </w:rPr>
            </w:pPr>
            <w:r>
              <w:rPr>
                <w:rFonts w:eastAsiaTheme="minorEastAsia"/>
                <w:kern w:val="0"/>
                <w:sz w:val="21"/>
                <w:szCs w:val="21"/>
              </w:rPr>
              <w:t>约束性</w:t>
            </w:r>
          </w:p>
        </w:tc>
        <w:tc>
          <w:tcPr>
            <w:tcW w:w="1000" w:type="dxa"/>
            <w:vAlign w:val="center"/>
          </w:tcPr>
          <w:p>
            <w:pPr>
              <w:widowControl/>
              <w:ind w:firstLine="0" w:firstLineChars="0"/>
              <w:jc w:val="center"/>
              <w:rPr>
                <w:rFonts w:eastAsiaTheme="minorEastAsia"/>
                <w:kern w:val="0"/>
                <w:sz w:val="21"/>
                <w:szCs w:val="21"/>
              </w:rPr>
            </w:pPr>
            <w:r>
              <w:rPr>
                <w:rFonts w:eastAsiaTheme="minorEastAsia"/>
                <w:kern w:val="0"/>
                <w:sz w:val="21"/>
                <w:szCs w:val="21"/>
              </w:rPr>
              <w:t>【9.42】</w:t>
            </w:r>
          </w:p>
        </w:tc>
        <w:tc>
          <w:tcPr>
            <w:tcW w:w="1320" w:type="dxa"/>
            <w:vAlign w:val="center"/>
          </w:tcPr>
          <w:p>
            <w:pPr>
              <w:widowControl/>
              <w:ind w:firstLine="420"/>
              <w:jc w:val="center"/>
              <w:rPr>
                <w:rFonts w:eastAsiaTheme="minorEastAsia"/>
                <w:sz w:val="21"/>
                <w:szCs w:val="21"/>
              </w:rPr>
            </w:pPr>
            <w:r>
              <w:rPr>
                <w:rFonts w:eastAsiaTheme="minorEastAsia"/>
                <w:sz w:val="21"/>
                <w:szCs w:val="21"/>
              </w:rPr>
              <w:t>【3.06】</w:t>
            </w:r>
          </w:p>
        </w:tc>
        <w:tc>
          <w:tcPr>
            <w:tcW w:w="1126" w:type="dxa"/>
            <w:vAlign w:val="center"/>
          </w:tcPr>
          <w:p>
            <w:pPr>
              <w:widowControl/>
              <w:ind w:firstLine="0" w:firstLineChars="0"/>
              <w:jc w:val="center"/>
              <w:rPr>
                <w:rFonts w:eastAsiaTheme="minorEastAsia"/>
                <w:kern w:val="0"/>
                <w:sz w:val="21"/>
                <w:szCs w:val="21"/>
              </w:rPr>
            </w:pPr>
            <w:r>
              <w:rPr>
                <w:rFonts w:eastAsiaTheme="minorEastAsia"/>
                <w:sz w:val="21"/>
                <w:szCs w:val="21"/>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5" w:type="dxa"/>
            <w:left w:w="28" w:type="dxa"/>
            <w:bottom w:w="15" w:type="dxa"/>
            <w:right w:w="28" w:type="dxa"/>
          </w:tblCellMar>
        </w:tblPrEx>
        <w:trPr>
          <w:trHeight w:val="20" w:hRule="atLeast"/>
          <w:jc w:val="center"/>
        </w:trPr>
        <w:tc>
          <w:tcPr>
            <w:tcW w:w="692" w:type="dxa"/>
            <w:vAlign w:val="center"/>
          </w:tcPr>
          <w:p>
            <w:pPr>
              <w:ind w:firstLine="420"/>
              <w:jc w:val="center"/>
              <w:rPr>
                <w:rFonts w:eastAsiaTheme="minorEastAsia"/>
                <w:sz w:val="21"/>
                <w:szCs w:val="21"/>
              </w:rPr>
            </w:pPr>
          </w:p>
        </w:tc>
        <w:tc>
          <w:tcPr>
            <w:tcW w:w="3692" w:type="dxa"/>
            <w:vAlign w:val="center"/>
          </w:tcPr>
          <w:p>
            <w:pPr>
              <w:widowControl/>
              <w:ind w:firstLine="420"/>
              <w:jc w:val="center"/>
              <w:rPr>
                <w:rFonts w:eastAsiaTheme="minorEastAsia"/>
                <w:kern w:val="0"/>
                <w:sz w:val="21"/>
                <w:szCs w:val="21"/>
              </w:rPr>
            </w:pPr>
            <w:r>
              <w:rPr>
                <w:rFonts w:eastAsiaTheme="minorEastAsia"/>
                <w:kern w:val="0"/>
                <w:sz w:val="21"/>
                <w:szCs w:val="21"/>
              </w:rPr>
              <w:t>#氨氧化物</w:t>
            </w:r>
          </w:p>
        </w:tc>
        <w:tc>
          <w:tcPr>
            <w:tcW w:w="980" w:type="dxa"/>
            <w:vAlign w:val="center"/>
          </w:tcPr>
          <w:p>
            <w:pPr>
              <w:widowControl/>
              <w:ind w:firstLine="0" w:firstLineChars="0"/>
              <w:jc w:val="center"/>
              <w:rPr>
                <w:rFonts w:eastAsiaTheme="minorEastAsia"/>
                <w:kern w:val="0"/>
                <w:sz w:val="21"/>
                <w:szCs w:val="21"/>
              </w:rPr>
            </w:pPr>
            <w:r>
              <w:rPr>
                <w:rFonts w:eastAsiaTheme="minorEastAsia"/>
                <w:kern w:val="0"/>
                <w:sz w:val="21"/>
                <w:szCs w:val="21"/>
              </w:rPr>
              <w:t>约束性</w:t>
            </w:r>
          </w:p>
        </w:tc>
        <w:tc>
          <w:tcPr>
            <w:tcW w:w="1000" w:type="dxa"/>
            <w:vAlign w:val="center"/>
          </w:tcPr>
          <w:p>
            <w:pPr>
              <w:widowControl/>
              <w:ind w:firstLine="0" w:firstLineChars="0"/>
              <w:jc w:val="center"/>
              <w:rPr>
                <w:rFonts w:eastAsiaTheme="minorEastAsia"/>
                <w:kern w:val="0"/>
                <w:sz w:val="21"/>
                <w:szCs w:val="21"/>
              </w:rPr>
            </w:pPr>
            <w:r>
              <w:rPr>
                <w:rFonts w:eastAsiaTheme="minorEastAsia"/>
                <w:kern w:val="0"/>
                <w:sz w:val="21"/>
                <w:szCs w:val="21"/>
              </w:rPr>
              <w:t>【4.0】</w:t>
            </w:r>
          </w:p>
        </w:tc>
        <w:tc>
          <w:tcPr>
            <w:tcW w:w="1320" w:type="dxa"/>
            <w:vAlign w:val="center"/>
          </w:tcPr>
          <w:p>
            <w:pPr>
              <w:widowControl/>
              <w:ind w:firstLine="420"/>
              <w:jc w:val="center"/>
              <w:rPr>
                <w:rFonts w:eastAsiaTheme="minorEastAsia"/>
                <w:sz w:val="21"/>
                <w:szCs w:val="21"/>
              </w:rPr>
            </w:pPr>
            <w:r>
              <w:rPr>
                <w:rFonts w:eastAsiaTheme="minorEastAsia"/>
                <w:sz w:val="21"/>
                <w:szCs w:val="21"/>
              </w:rPr>
              <w:t>【4.12】</w:t>
            </w:r>
          </w:p>
        </w:tc>
        <w:tc>
          <w:tcPr>
            <w:tcW w:w="1126" w:type="dxa"/>
            <w:vAlign w:val="center"/>
          </w:tcPr>
          <w:p>
            <w:pPr>
              <w:widowControl/>
              <w:ind w:firstLine="0" w:firstLineChars="0"/>
              <w:jc w:val="center"/>
              <w:rPr>
                <w:rFonts w:eastAsiaTheme="minorEastAsia"/>
                <w:kern w:val="0"/>
                <w:sz w:val="21"/>
                <w:szCs w:val="21"/>
              </w:rPr>
            </w:pPr>
            <w:r>
              <w:rPr>
                <w:rFonts w:eastAsiaTheme="minorEastAsia"/>
                <w:sz w:val="21"/>
                <w:szCs w:val="21"/>
              </w:rPr>
              <w:t>【32.5】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5" w:type="dxa"/>
            <w:left w:w="28" w:type="dxa"/>
            <w:bottom w:w="15" w:type="dxa"/>
            <w:right w:w="28" w:type="dxa"/>
          </w:tblCellMar>
        </w:tblPrEx>
        <w:trPr>
          <w:trHeight w:val="20" w:hRule="atLeast"/>
          <w:jc w:val="center"/>
        </w:trPr>
        <w:tc>
          <w:tcPr>
            <w:tcW w:w="692" w:type="dxa"/>
            <w:vAlign w:val="center"/>
          </w:tcPr>
          <w:p>
            <w:pPr>
              <w:ind w:firstLine="0" w:firstLineChars="0"/>
              <w:jc w:val="center"/>
              <w:rPr>
                <w:rFonts w:eastAsiaTheme="minorEastAsia"/>
                <w:sz w:val="21"/>
                <w:szCs w:val="21"/>
              </w:rPr>
            </w:pPr>
            <w:r>
              <w:rPr>
                <w:rFonts w:eastAsiaTheme="minorEastAsia"/>
                <w:sz w:val="21"/>
                <w:szCs w:val="21"/>
              </w:rPr>
              <w:t>12</w:t>
            </w:r>
          </w:p>
        </w:tc>
        <w:tc>
          <w:tcPr>
            <w:tcW w:w="3692" w:type="dxa"/>
            <w:vAlign w:val="center"/>
          </w:tcPr>
          <w:p>
            <w:pPr>
              <w:widowControl/>
              <w:ind w:firstLine="0" w:firstLineChars="0"/>
              <w:jc w:val="center"/>
              <w:rPr>
                <w:rFonts w:eastAsiaTheme="minorEastAsia"/>
                <w:kern w:val="0"/>
                <w:sz w:val="21"/>
                <w:szCs w:val="21"/>
              </w:rPr>
            </w:pPr>
            <w:r>
              <w:rPr>
                <w:rFonts w:eastAsiaTheme="minorEastAsia"/>
                <w:kern w:val="0"/>
                <w:sz w:val="21"/>
                <w:szCs w:val="21"/>
              </w:rPr>
              <w:t>单位地区生产总值能耗降低率（％）</w:t>
            </w:r>
          </w:p>
        </w:tc>
        <w:tc>
          <w:tcPr>
            <w:tcW w:w="980" w:type="dxa"/>
            <w:vAlign w:val="center"/>
          </w:tcPr>
          <w:p>
            <w:pPr>
              <w:widowControl/>
              <w:ind w:firstLine="0" w:firstLineChars="0"/>
              <w:jc w:val="center"/>
              <w:rPr>
                <w:rFonts w:eastAsiaTheme="minorEastAsia"/>
                <w:kern w:val="0"/>
                <w:sz w:val="21"/>
                <w:szCs w:val="21"/>
              </w:rPr>
            </w:pPr>
            <w:r>
              <w:rPr>
                <w:rFonts w:eastAsiaTheme="minorEastAsia"/>
                <w:kern w:val="0"/>
                <w:sz w:val="21"/>
                <w:szCs w:val="21"/>
              </w:rPr>
              <w:t>约束性</w:t>
            </w:r>
          </w:p>
        </w:tc>
        <w:tc>
          <w:tcPr>
            <w:tcW w:w="1000" w:type="dxa"/>
            <w:vAlign w:val="center"/>
          </w:tcPr>
          <w:p>
            <w:pPr>
              <w:widowControl/>
              <w:ind w:firstLine="0" w:firstLineChars="0"/>
              <w:jc w:val="center"/>
              <w:rPr>
                <w:rFonts w:eastAsiaTheme="minorEastAsia"/>
                <w:kern w:val="0"/>
                <w:sz w:val="21"/>
                <w:szCs w:val="21"/>
              </w:rPr>
            </w:pPr>
            <w:r>
              <w:rPr>
                <w:rFonts w:eastAsiaTheme="minorEastAsia"/>
                <w:kern w:val="0"/>
                <w:sz w:val="21"/>
                <w:szCs w:val="21"/>
              </w:rPr>
              <w:t>【15.1】</w:t>
            </w:r>
          </w:p>
        </w:tc>
        <w:tc>
          <w:tcPr>
            <w:tcW w:w="1320" w:type="dxa"/>
            <w:vAlign w:val="center"/>
          </w:tcPr>
          <w:p>
            <w:pPr>
              <w:widowControl/>
              <w:ind w:firstLine="420"/>
              <w:jc w:val="center"/>
              <w:rPr>
                <w:rFonts w:eastAsiaTheme="minorEastAsia"/>
                <w:sz w:val="21"/>
                <w:szCs w:val="21"/>
              </w:rPr>
            </w:pPr>
            <w:r>
              <w:rPr>
                <w:rFonts w:eastAsiaTheme="minorEastAsia"/>
                <w:sz w:val="21"/>
                <w:szCs w:val="21"/>
              </w:rPr>
              <w:t>【13】</w:t>
            </w:r>
          </w:p>
        </w:tc>
        <w:tc>
          <w:tcPr>
            <w:tcW w:w="1126" w:type="dxa"/>
            <w:vAlign w:val="center"/>
          </w:tcPr>
          <w:p>
            <w:pPr>
              <w:widowControl/>
              <w:ind w:firstLine="0" w:firstLineChars="0"/>
              <w:rPr>
                <w:rFonts w:eastAsiaTheme="minorEastAsia"/>
                <w:kern w:val="0"/>
                <w:sz w:val="21"/>
                <w:szCs w:val="21"/>
              </w:rPr>
            </w:pPr>
            <w:r>
              <w:rPr>
                <w:rFonts w:hint="eastAsia" w:eastAsiaTheme="minorEastAsia"/>
                <w:sz w:val="21"/>
                <w:szCs w:val="21"/>
              </w:rPr>
              <w:t>　</w:t>
            </w:r>
            <w:r>
              <w:rPr>
                <w:rFonts w:eastAsiaTheme="minorEastAsia"/>
                <w:sz w:val="21"/>
                <w:szCs w:val="21"/>
              </w:rPr>
              <w:t>【</w:t>
            </w:r>
            <w:r>
              <w:rPr>
                <w:rFonts w:hint="eastAsia" w:eastAsiaTheme="minorEastAsia"/>
                <w:sz w:val="21"/>
                <w:szCs w:val="21"/>
              </w:rPr>
              <w:t>21.4</w:t>
            </w:r>
            <w:r>
              <w:rPr>
                <w:rFonts w:eastAsiaTheme="minorEastAsia"/>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5" w:type="dxa"/>
            <w:left w:w="28" w:type="dxa"/>
            <w:bottom w:w="15" w:type="dxa"/>
            <w:right w:w="28" w:type="dxa"/>
          </w:tblCellMar>
        </w:tblPrEx>
        <w:trPr>
          <w:trHeight w:val="20" w:hRule="atLeast"/>
          <w:jc w:val="center"/>
        </w:trPr>
        <w:tc>
          <w:tcPr>
            <w:tcW w:w="692" w:type="dxa"/>
            <w:vAlign w:val="center"/>
          </w:tcPr>
          <w:p>
            <w:pPr>
              <w:ind w:firstLine="0" w:firstLineChars="0"/>
              <w:jc w:val="center"/>
              <w:rPr>
                <w:rFonts w:eastAsiaTheme="minorEastAsia"/>
                <w:sz w:val="21"/>
                <w:szCs w:val="21"/>
              </w:rPr>
            </w:pPr>
            <w:r>
              <w:rPr>
                <w:rFonts w:eastAsiaTheme="minorEastAsia"/>
                <w:sz w:val="21"/>
                <w:szCs w:val="21"/>
              </w:rPr>
              <w:t>13</w:t>
            </w:r>
          </w:p>
        </w:tc>
        <w:tc>
          <w:tcPr>
            <w:tcW w:w="3692" w:type="dxa"/>
            <w:vAlign w:val="center"/>
          </w:tcPr>
          <w:p>
            <w:pPr>
              <w:widowControl/>
              <w:ind w:firstLine="420"/>
              <w:jc w:val="center"/>
              <w:rPr>
                <w:rFonts w:eastAsiaTheme="minorEastAsia"/>
                <w:kern w:val="0"/>
                <w:sz w:val="21"/>
                <w:szCs w:val="21"/>
              </w:rPr>
            </w:pPr>
            <w:r>
              <w:rPr>
                <w:rFonts w:eastAsiaTheme="minorEastAsia"/>
                <w:kern w:val="0"/>
                <w:sz w:val="21"/>
                <w:szCs w:val="21"/>
              </w:rPr>
              <w:t>新增建设用地总量（公顷）</w:t>
            </w:r>
          </w:p>
        </w:tc>
        <w:tc>
          <w:tcPr>
            <w:tcW w:w="980" w:type="dxa"/>
            <w:vAlign w:val="center"/>
          </w:tcPr>
          <w:p>
            <w:pPr>
              <w:widowControl/>
              <w:ind w:firstLine="0" w:firstLineChars="0"/>
              <w:jc w:val="center"/>
              <w:rPr>
                <w:rFonts w:eastAsiaTheme="minorEastAsia"/>
                <w:kern w:val="0"/>
                <w:sz w:val="21"/>
                <w:szCs w:val="21"/>
              </w:rPr>
            </w:pPr>
            <w:r>
              <w:rPr>
                <w:rFonts w:eastAsiaTheme="minorEastAsia"/>
                <w:kern w:val="0"/>
                <w:sz w:val="21"/>
                <w:szCs w:val="21"/>
              </w:rPr>
              <w:t>约束性</w:t>
            </w:r>
          </w:p>
        </w:tc>
        <w:tc>
          <w:tcPr>
            <w:tcW w:w="1000" w:type="dxa"/>
            <w:vAlign w:val="center"/>
          </w:tcPr>
          <w:p>
            <w:pPr>
              <w:widowControl/>
              <w:ind w:firstLine="420"/>
              <w:jc w:val="left"/>
              <w:rPr>
                <w:rFonts w:eastAsiaTheme="minorEastAsia"/>
                <w:kern w:val="0"/>
                <w:sz w:val="21"/>
                <w:szCs w:val="21"/>
              </w:rPr>
            </w:pPr>
            <w:r>
              <w:rPr>
                <w:rFonts w:eastAsiaTheme="minorEastAsia"/>
                <w:kern w:val="0"/>
                <w:sz w:val="21"/>
                <w:szCs w:val="21"/>
              </w:rPr>
              <w:t>120</w:t>
            </w:r>
          </w:p>
        </w:tc>
        <w:tc>
          <w:tcPr>
            <w:tcW w:w="1320" w:type="dxa"/>
            <w:vAlign w:val="center"/>
          </w:tcPr>
          <w:p>
            <w:pPr>
              <w:widowControl/>
              <w:ind w:firstLine="420"/>
              <w:jc w:val="left"/>
              <w:rPr>
                <w:rFonts w:eastAsiaTheme="minorEastAsia"/>
                <w:sz w:val="21"/>
                <w:szCs w:val="21"/>
              </w:rPr>
            </w:pPr>
            <w:r>
              <w:rPr>
                <w:rFonts w:eastAsiaTheme="minorEastAsia"/>
                <w:kern w:val="0"/>
                <w:sz w:val="21"/>
                <w:szCs w:val="21"/>
              </w:rPr>
              <w:t>600</w:t>
            </w:r>
          </w:p>
        </w:tc>
        <w:tc>
          <w:tcPr>
            <w:tcW w:w="1126" w:type="dxa"/>
            <w:vAlign w:val="center"/>
          </w:tcPr>
          <w:p>
            <w:pPr>
              <w:widowControl/>
              <w:ind w:firstLine="420"/>
              <w:jc w:val="center"/>
              <w:rPr>
                <w:rFonts w:eastAsiaTheme="minorEastAsia"/>
                <w:kern w:val="0"/>
                <w:sz w:val="21"/>
                <w:szCs w:val="21"/>
              </w:rPr>
            </w:pPr>
            <w:r>
              <w:rPr>
                <w:rFonts w:eastAsiaTheme="minorEastAsia"/>
                <w:kern w:val="0"/>
                <w:sz w:val="21"/>
                <w:szCs w:val="21"/>
              </w:rPr>
              <w:t>762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5" w:type="dxa"/>
            <w:left w:w="28" w:type="dxa"/>
            <w:bottom w:w="15" w:type="dxa"/>
            <w:right w:w="28" w:type="dxa"/>
          </w:tblCellMar>
        </w:tblPrEx>
        <w:trPr>
          <w:trHeight w:val="20" w:hRule="atLeast"/>
          <w:jc w:val="center"/>
        </w:trPr>
        <w:tc>
          <w:tcPr>
            <w:tcW w:w="692" w:type="dxa"/>
            <w:vAlign w:val="center"/>
          </w:tcPr>
          <w:p>
            <w:pPr>
              <w:ind w:firstLine="0" w:firstLineChars="0"/>
              <w:jc w:val="center"/>
              <w:rPr>
                <w:rFonts w:eastAsiaTheme="minorEastAsia"/>
                <w:sz w:val="21"/>
                <w:szCs w:val="21"/>
              </w:rPr>
            </w:pPr>
            <w:r>
              <w:rPr>
                <w:rFonts w:eastAsiaTheme="minorEastAsia"/>
                <w:sz w:val="21"/>
                <w:szCs w:val="21"/>
              </w:rPr>
              <w:t>14</w:t>
            </w:r>
          </w:p>
        </w:tc>
        <w:tc>
          <w:tcPr>
            <w:tcW w:w="3692" w:type="dxa"/>
            <w:vAlign w:val="center"/>
          </w:tcPr>
          <w:p>
            <w:pPr>
              <w:widowControl/>
              <w:ind w:firstLine="420"/>
              <w:jc w:val="center"/>
              <w:rPr>
                <w:rFonts w:eastAsiaTheme="minorEastAsia"/>
                <w:kern w:val="0"/>
                <w:sz w:val="21"/>
                <w:szCs w:val="21"/>
              </w:rPr>
            </w:pPr>
            <w:r>
              <w:rPr>
                <w:rFonts w:eastAsiaTheme="minorEastAsia"/>
                <w:kern w:val="0"/>
                <w:sz w:val="21"/>
                <w:szCs w:val="21"/>
              </w:rPr>
              <w:t>减少贫困人口数（万人）</w:t>
            </w:r>
          </w:p>
        </w:tc>
        <w:tc>
          <w:tcPr>
            <w:tcW w:w="980" w:type="dxa"/>
            <w:vAlign w:val="center"/>
          </w:tcPr>
          <w:p>
            <w:pPr>
              <w:widowControl/>
              <w:ind w:firstLine="0" w:firstLineChars="0"/>
              <w:jc w:val="center"/>
              <w:rPr>
                <w:rFonts w:eastAsiaTheme="minorEastAsia"/>
                <w:kern w:val="0"/>
                <w:sz w:val="21"/>
                <w:szCs w:val="21"/>
              </w:rPr>
            </w:pPr>
            <w:r>
              <w:rPr>
                <w:rFonts w:eastAsiaTheme="minorEastAsia"/>
                <w:kern w:val="0"/>
                <w:sz w:val="21"/>
                <w:szCs w:val="21"/>
              </w:rPr>
              <w:t>约束性</w:t>
            </w:r>
          </w:p>
        </w:tc>
        <w:tc>
          <w:tcPr>
            <w:tcW w:w="1000" w:type="dxa"/>
            <w:vAlign w:val="center"/>
          </w:tcPr>
          <w:p>
            <w:pPr>
              <w:widowControl/>
              <w:ind w:firstLine="0" w:firstLineChars="0"/>
              <w:jc w:val="center"/>
              <w:rPr>
                <w:rFonts w:eastAsiaTheme="minorEastAsia"/>
                <w:kern w:val="0"/>
                <w:sz w:val="21"/>
                <w:szCs w:val="21"/>
              </w:rPr>
            </w:pPr>
            <w:r>
              <w:rPr>
                <w:rFonts w:eastAsiaTheme="minorEastAsia"/>
                <w:kern w:val="0"/>
                <w:sz w:val="21"/>
                <w:szCs w:val="21"/>
              </w:rPr>
              <w:t>【5.1】</w:t>
            </w:r>
          </w:p>
        </w:tc>
        <w:tc>
          <w:tcPr>
            <w:tcW w:w="1320" w:type="dxa"/>
            <w:vAlign w:val="center"/>
          </w:tcPr>
          <w:p>
            <w:pPr>
              <w:widowControl/>
              <w:ind w:firstLine="420"/>
              <w:jc w:val="center"/>
              <w:rPr>
                <w:rFonts w:eastAsiaTheme="minorEastAsia"/>
                <w:sz w:val="21"/>
                <w:szCs w:val="21"/>
              </w:rPr>
            </w:pPr>
            <w:r>
              <w:rPr>
                <w:rFonts w:eastAsiaTheme="minorEastAsia"/>
                <w:sz w:val="21"/>
                <w:szCs w:val="21"/>
              </w:rPr>
              <w:t>【12.4】</w:t>
            </w:r>
          </w:p>
        </w:tc>
        <w:tc>
          <w:tcPr>
            <w:tcW w:w="1126" w:type="dxa"/>
            <w:vAlign w:val="center"/>
          </w:tcPr>
          <w:p>
            <w:pPr>
              <w:widowControl/>
              <w:ind w:firstLine="0" w:firstLineChars="0"/>
              <w:jc w:val="center"/>
              <w:rPr>
                <w:rFonts w:eastAsiaTheme="minorEastAsia"/>
                <w:kern w:val="0"/>
                <w:sz w:val="21"/>
                <w:szCs w:val="21"/>
              </w:rPr>
            </w:pPr>
            <w:r>
              <w:rPr>
                <w:rFonts w:eastAsiaTheme="minorEastAsia"/>
                <w:kern w:val="0"/>
                <w:sz w:val="21"/>
                <w:szCs w:val="21"/>
              </w:rPr>
              <w:t>【13.9】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5" w:type="dxa"/>
            <w:left w:w="28" w:type="dxa"/>
            <w:bottom w:w="15" w:type="dxa"/>
            <w:right w:w="28" w:type="dxa"/>
          </w:tblCellMar>
        </w:tblPrEx>
        <w:trPr>
          <w:trHeight w:val="20" w:hRule="atLeast"/>
          <w:jc w:val="center"/>
        </w:trPr>
        <w:tc>
          <w:tcPr>
            <w:tcW w:w="692" w:type="dxa"/>
            <w:vAlign w:val="center"/>
          </w:tcPr>
          <w:p>
            <w:pPr>
              <w:ind w:firstLine="0" w:firstLineChars="0"/>
              <w:jc w:val="center"/>
              <w:rPr>
                <w:rFonts w:eastAsiaTheme="minorEastAsia"/>
                <w:sz w:val="21"/>
                <w:szCs w:val="21"/>
              </w:rPr>
            </w:pPr>
            <w:r>
              <w:rPr>
                <w:rFonts w:eastAsiaTheme="minorEastAsia"/>
                <w:sz w:val="21"/>
                <w:szCs w:val="21"/>
              </w:rPr>
              <w:t>15</w:t>
            </w:r>
          </w:p>
        </w:tc>
        <w:tc>
          <w:tcPr>
            <w:tcW w:w="3692" w:type="dxa"/>
            <w:vAlign w:val="center"/>
          </w:tcPr>
          <w:p>
            <w:pPr>
              <w:widowControl/>
              <w:ind w:firstLine="420"/>
              <w:jc w:val="center"/>
              <w:rPr>
                <w:rFonts w:eastAsiaTheme="minorEastAsia"/>
                <w:kern w:val="0"/>
                <w:sz w:val="21"/>
                <w:szCs w:val="21"/>
              </w:rPr>
            </w:pPr>
            <w:r>
              <w:rPr>
                <w:rFonts w:eastAsiaTheme="minorEastAsia"/>
                <w:kern w:val="0"/>
                <w:sz w:val="21"/>
                <w:szCs w:val="21"/>
              </w:rPr>
              <w:t>城镇新增就业人数（万人）</w:t>
            </w:r>
          </w:p>
        </w:tc>
        <w:tc>
          <w:tcPr>
            <w:tcW w:w="980" w:type="dxa"/>
            <w:vAlign w:val="center"/>
          </w:tcPr>
          <w:p>
            <w:pPr>
              <w:widowControl/>
              <w:ind w:firstLine="0" w:firstLineChars="0"/>
              <w:jc w:val="center"/>
              <w:rPr>
                <w:rFonts w:eastAsiaTheme="minorEastAsia"/>
                <w:kern w:val="0"/>
                <w:sz w:val="21"/>
                <w:szCs w:val="21"/>
              </w:rPr>
            </w:pPr>
            <w:r>
              <w:rPr>
                <w:rFonts w:eastAsiaTheme="minorEastAsia"/>
                <w:kern w:val="0"/>
                <w:sz w:val="21"/>
                <w:szCs w:val="21"/>
              </w:rPr>
              <w:t>预期性</w:t>
            </w:r>
          </w:p>
        </w:tc>
        <w:tc>
          <w:tcPr>
            <w:tcW w:w="1000" w:type="dxa"/>
            <w:vAlign w:val="center"/>
          </w:tcPr>
          <w:p>
            <w:pPr>
              <w:widowControl/>
              <w:ind w:firstLine="0" w:firstLineChars="0"/>
              <w:jc w:val="center"/>
              <w:rPr>
                <w:rFonts w:eastAsiaTheme="minorEastAsia"/>
                <w:kern w:val="0"/>
                <w:sz w:val="21"/>
                <w:szCs w:val="21"/>
              </w:rPr>
            </w:pPr>
            <w:r>
              <w:rPr>
                <w:rFonts w:eastAsiaTheme="minorEastAsia"/>
                <w:kern w:val="0"/>
                <w:sz w:val="21"/>
                <w:szCs w:val="21"/>
              </w:rPr>
              <w:t>【0.96】</w:t>
            </w:r>
          </w:p>
        </w:tc>
        <w:tc>
          <w:tcPr>
            <w:tcW w:w="1320" w:type="dxa"/>
            <w:vAlign w:val="center"/>
          </w:tcPr>
          <w:p>
            <w:pPr>
              <w:widowControl/>
              <w:ind w:firstLine="420"/>
              <w:jc w:val="center"/>
              <w:rPr>
                <w:rFonts w:eastAsiaTheme="minorEastAsia"/>
                <w:sz w:val="21"/>
                <w:szCs w:val="21"/>
              </w:rPr>
            </w:pPr>
            <w:r>
              <w:rPr>
                <w:rFonts w:eastAsiaTheme="minorEastAsia"/>
                <w:sz w:val="21"/>
                <w:szCs w:val="21"/>
              </w:rPr>
              <w:t>【3】</w:t>
            </w:r>
          </w:p>
        </w:tc>
        <w:tc>
          <w:tcPr>
            <w:tcW w:w="1126" w:type="dxa"/>
            <w:vAlign w:val="center"/>
          </w:tcPr>
          <w:p>
            <w:pPr>
              <w:widowControl/>
              <w:ind w:firstLine="0" w:firstLineChars="0"/>
              <w:jc w:val="center"/>
              <w:rPr>
                <w:rFonts w:eastAsiaTheme="minorEastAsia"/>
                <w:kern w:val="0"/>
                <w:sz w:val="21"/>
                <w:szCs w:val="21"/>
              </w:rPr>
            </w:pPr>
            <w:r>
              <w:rPr>
                <w:rFonts w:eastAsiaTheme="minorEastAsia"/>
                <w:kern w:val="0"/>
                <w:sz w:val="21"/>
                <w:szCs w:val="21"/>
              </w:rPr>
              <w:t>【6.81】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5" w:type="dxa"/>
            <w:left w:w="28" w:type="dxa"/>
            <w:bottom w:w="15" w:type="dxa"/>
            <w:right w:w="28" w:type="dxa"/>
          </w:tblCellMar>
        </w:tblPrEx>
        <w:trPr>
          <w:trHeight w:val="20" w:hRule="atLeast"/>
          <w:jc w:val="center"/>
        </w:trPr>
        <w:tc>
          <w:tcPr>
            <w:tcW w:w="692" w:type="dxa"/>
            <w:vAlign w:val="center"/>
          </w:tcPr>
          <w:p>
            <w:pPr>
              <w:ind w:firstLine="0" w:firstLineChars="0"/>
              <w:jc w:val="center"/>
              <w:rPr>
                <w:rFonts w:eastAsiaTheme="minorEastAsia"/>
                <w:sz w:val="21"/>
                <w:szCs w:val="21"/>
              </w:rPr>
            </w:pPr>
            <w:r>
              <w:rPr>
                <w:rFonts w:eastAsiaTheme="minorEastAsia"/>
                <w:sz w:val="21"/>
                <w:szCs w:val="21"/>
              </w:rPr>
              <w:t>16</w:t>
            </w:r>
          </w:p>
        </w:tc>
        <w:tc>
          <w:tcPr>
            <w:tcW w:w="3692" w:type="dxa"/>
            <w:vAlign w:val="center"/>
          </w:tcPr>
          <w:p>
            <w:pPr>
              <w:widowControl/>
              <w:ind w:firstLine="0" w:firstLineChars="0"/>
              <w:jc w:val="center"/>
              <w:rPr>
                <w:rFonts w:eastAsiaTheme="minorEastAsia"/>
                <w:kern w:val="0"/>
                <w:sz w:val="21"/>
                <w:szCs w:val="21"/>
              </w:rPr>
            </w:pPr>
            <w:r>
              <w:rPr>
                <w:rFonts w:eastAsiaTheme="minorEastAsia"/>
                <w:kern w:val="0"/>
                <w:sz w:val="21"/>
                <w:szCs w:val="21"/>
              </w:rPr>
              <w:t>劳动年龄人口平均受教育年限（年）</w:t>
            </w:r>
          </w:p>
        </w:tc>
        <w:tc>
          <w:tcPr>
            <w:tcW w:w="980" w:type="dxa"/>
            <w:vAlign w:val="center"/>
          </w:tcPr>
          <w:p>
            <w:pPr>
              <w:widowControl/>
              <w:ind w:firstLine="0" w:firstLineChars="0"/>
              <w:jc w:val="center"/>
              <w:rPr>
                <w:rFonts w:eastAsiaTheme="minorEastAsia"/>
                <w:kern w:val="0"/>
                <w:sz w:val="21"/>
                <w:szCs w:val="21"/>
              </w:rPr>
            </w:pPr>
            <w:r>
              <w:rPr>
                <w:rFonts w:eastAsiaTheme="minorEastAsia"/>
                <w:kern w:val="0"/>
                <w:sz w:val="21"/>
                <w:szCs w:val="21"/>
              </w:rPr>
              <w:t>约束性</w:t>
            </w:r>
          </w:p>
        </w:tc>
        <w:tc>
          <w:tcPr>
            <w:tcW w:w="1000" w:type="dxa"/>
            <w:vAlign w:val="center"/>
          </w:tcPr>
          <w:p>
            <w:pPr>
              <w:widowControl/>
              <w:ind w:firstLine="420"/>
              <w:jc w:val="center"/>
              <w:rPr>
                <w:rFonts w:eastAsiaTheme="minorEastAsia"/>
                <w:kern w:val="0"/>
                <w:sz w:val="21"/>
                <w:szCs w:val="21"/>
              </w:rPr>
            </w:pPr>
            <w:r>
              <w:rPr>
                <w:rFonts w:eastAsiaTheme="minorEastAsia"/>
                <w:kern w:val="0"/>
                <w:sz w:val="21"/>
                <w:szCs w:val="21"/>
              </w:rPr>
              <w:t>10.0</w:t>
            </w:r>
          </w:p>
        </w:tc>
        <w:tc>
          <w:tcPr>
            <w:tcW w:w="1320" w:type="dxa"/>
            <w:vAlign w:val="center"/>
          </w:tcPr>
          <w:p>
            <w:pPr>
              <w:widowControl/>
              <w:ind w:firstLine="420"/>
              <w:jc w:val="center"/>
              <w:rPr>
                <w:rFonts w:eastAsiaTheme="minorEastAsia"/>
                <w:sz w:val="21"/>
                <w:szCs w:val="21"/>
              </w:rPr>
            </w:pPr>
            <w:r>
              <w:rPr>
                <w:rFonts w:eastAsiaTheme="minorEastAsia"/>
                <w:kern w:val="0"/>
                <w:sz w:val="21"/>
                <w:szCs w:val="21"/>
              </w:rPr>
              <w:t>10.5</w:t>
            </w:r>
          </w:p>
        </w:tc>
        <w:tc>
          <w:tcPr>
            <w:tcW w:w="1126" w:type="dxa"/>
            <w:vAlign w:val="center"/>
          </w:tcPr>
          <w:p>
            <w:pPr>
              <w:widowControl/>
              <w:ind w:firstLine="420"/>
              <w:jc w:val="center"/>
              <w:rPr>
                <w:rFonts w:eastAsiaTheme="minorEastAsia"/>
                <w:kern w:val="0"/>
                <w:sz w:val="21"/>
                <w:szCs w:val="21"/>
              </w:rPr>
            </w:pPr>
            <w:r>
              <w:rPr>
                <w:rFonts w:eastAsiaTheme="minorEastAsia"/>
                <w:kern w:val="0"/>
                <w:sz w:val="21"/>
                <w:szCs w:val="21"/>
              </w:rPr>
              <w:t>10.5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5" w:type="dxa"/>
            <w:left w:w="28" w:type="dxa"/>
            <w:bottom w:w="15" w:type="dxa"/>
            <w:right w:w="28" w:type="dxa"/>
          </w:tblCellMar>
        </w:tblPrEx>
        <w:trPr>
          <w:trHeight w:val="20" w:hRule="atLeast"/>
          <w:jc w:val="center"/>
        </w:trPr>
        <w:tc>
          <w:tcPr>
            <w:tcW w:w="692" w:type="dxa"/>
            <w:vAlign w:val="center"/>
          </w:tcPr>
          <w:p>
            <w:pPr>
              <w:ind w:firstLine="0" w:firstLineChars="0"/>
              <w:jc w:val="center"/>
              <w:rPr>
                <w:rFonts w:eastAsiaTheme="minorEastAsia"/>
                <w:sz w:val="21"/>
                <w:szCs w:val="21"/>
              </w:rPr>
            </w:pPr>
            <w:r>
              <w:rPr>
                <w:rFonts w:eastAsiaTheme="minorEastAsia"/>
                <w:sz w:val="21"/>
                <w:szCs w:val="21"/>
              </w:rPr>
              <w:t>17</w:t>
            </w:r>
          </w:p>
        </w:tc>
        <w:tc>
          <w:tcPr>
            <w:tcW w:w="3692" w:type="dxa"/>
            <w:vAlign w:val="center"/>
          </w:tcPr>
          <w:p>
            <w:pPr>
              <w:widowControl/>
              <w:ind w:firstLine="420"/>
              <w:jc w:val="center"/>
              <w:rPr>
                <w:rFonts w:eastAsiaTheme="minorEastAsia"/>
                <w:kern w:val="0"/>
                <w:sz w:val="21"/>
                <w:szCs w:val="21"/>
              </w:rPr>
            </w:pPr>
            <w:r>
              <w:rPr>
                <w:rFonts w:eastAsiaTheme="minorEastAsia"/>
                <w:kern w:val="0"/>
                <w:sz w:val="21"/>
                <w:szCs w:val="21"/>
              </w:rPr>
              <w:t>人口平均预期寿命（岁）</w:t>
            </w:r>
          </w:p>
        </w:tc>
        <w:tc>
          <w:tcPr>
            <w:tcW w:w="980" w:type="dxa"/>
            <w:vAlign w:val="center"/>
          </w:tcPr>
          <w:p>
            <w:pPr>
              <w:widowControl/>
              <w:ind w:firstLine="0" w:firstLineChars="0"/>
              <w:jc w:val="center"/>
              <w:rPr>
                <w:rFonts w:eastAsiaTheme="minorEastAsia"/>
                <w:kern w:val="0"/>
                <w:sz w:val="21"/>
                <w:szCs w:val="21"/>
              </w:rPr>
            </w:pPr>
            <w:r>
              <w:rPr>
                <w:rFonts w:eastAsiaTheme="minorEastAsia"/>
                <w:kern w:val="0"/>
                <w:sz w:val="21"/>
                <w:szCs w:val="21"/>
              </w:rPr>
              <w:t>预期性</w:t>
            </w:r>
          </w:p>
        </w:tc>
        <w:tc>
          <w:tcPr>
            <w:tcW w:w="1000" w:type="dxa"/>
            <w:vAlign w:val="center"/>
          </w:tcPr>
          <w:p>
            <w:pPr>
              <w:widowControl/>
              <w:ind w:firstLine="420"/>
              <w:jc w:val="center"/>
              <w:rPr>
                <w:rFonts w:eastAsiaTheme="minorEastAsia"/>
                <w:kern w:val="0"/>
                <w:sz w:val="21"/>
                <w:szCs w:val="21"/>
              </w:rPr>
            </w:pPr>
            <w:r>
              <w:rPr>
                <w:rFonts w:eastAsiaTheme="minorEastAsia"/>
                <w:kern w:val="0"/>
                <w:sz w:val="21"/>
                <w:szCs w:val="21"/>
              </w:rPr>
              <w:t>75.57</w:t>
            </w:r>
          </w:p>
        </w:tc>
        <w:tc>
          <w:tcPr>
            <w:tcW w:w="1320" w:type="dxa"/>
            <w:vAlign w:val="center"/>
          </w:tcPr>
          <w:p>
            <w:pPr>
              <w:widowControl/>
              <w:ind w:firstLine="420"/>
              <w:jc w:val="center"/>
              <w:rPr>
                <w:rFonts w:eastAsiaTheme="minorEastAsia"/>
                <w:sz w:val="21"/>
                <w:szCs w:val="21"/>
              </w:rPr>
            </w:pPr>
            <w:r>
              <w:rPr>
                <w:rFonts w:eastAsiaTheme="minorEastAsia"/>
                <w:kern w:val="0"/>
                <w:sz w:val="21"/>
                <w:szCs w:val="21"/>
              </w:rPr>
              <w:t>76.37</w:t>
            </w:r>
          </w:p>
        </w:tc>
        <w:tc>
          <w:tcPr>
            <w:tcW w:w="1126" w:type="dxa"/>
            <w:vAlign w:val="center"/>
          </w:tcPr>
          <w:p>
            <w:pPr>
              <w:widowControl/>
              <w:ind w:firstLine="420"/>
              <w:jc w:val="center"/>
              <w:rPr>
                <w:rFonts w:eastAsiaTheme="minorEastAsia"/>
                <w:kern w:val="0"/>
                <w:sz w:val="21"/>
                <w:szCs w:val="21"/>
              </w:rPr>
            </w:pPr>
            <w:r>
              <w:rPr>
                <w:rFonts w:eastAsiaTheme="minorEastAsia"/>
                <w:kern w:val="0"/>
                <w:sz w:val="21"/>
                <w:szCs w:val="21"/>
              </w:rPr>
              <w:t>76.8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5" w:type="dxa"/>
            <w:left w:w="28" w:type="dxa"/>
            <w:bottom w:w="15" w:type="dxa"/>
            <w:right w:w="28" w:type="dxa"/>
          </w:tblCellMar>
        </w:tblPrEx>
        <w:trPr>
          <w:trHeight w:val="20" w:hRule="atLeast"/>
          <w:jc w:val="center"/>
        </w:trPr>
        <w:tc>
          <w:tcPr>
            <w:tcW w:w="692" w:type="dxa"/>
            <w:vAlign w:val="center"/>
          </w:tcPr>
          <w:p>
            <w:pPr>
              <w:ind w:firstLine="0" w:firstLineChars="0"/>
              <w:jc w:val="center"/>
              <w:rPr>
                <w:rFonts w:eastAsiaTheme="minorEastAsia"/>
                <w:sz w:val="21"/>
                <w:szCs w:val="21"/>
              </w:rPr>
            </w:pPr>
            <w:r>
              <w:rPr>
                <w:rFonts w:eastAsiaTheme="minorEastAsia"/>
                <w:sz w:val="21"/>
                <w:szCs w:val="21"/>
              </w:rPr>
              <w:t>18</w:t>
            </w:r>
          </w:p>
        </w:tc>
        <w:tc>
          <w:tcPr>
            <w:tcW w:w="3692" w:type="dxa"/>
            <w:vAlign w:val="center"/>
          </w:tcPr>
          <w:p>
            <w:pPr>
              <w:widowControl/>
              <w:ind w:firstLine="0" w:firstLineChars="0"/>
              <w:jc w:val="center"/>
              <w:rPr>
                <w:rFonts w:eastAsiaTheme="minorEastAsia"/>
                <w:kern w:val="0"/>
                <w:sz w:val="21"/>
                <w:szCs w:val="21"/>
              </w:rPr>
            </w:pPr>
            <w:r>
              <w:rPr>
                <w:rFonts w:eastAsiaTheme="minorEastAsia"/>
                <w:kern w:val="0"/>
                <w:sz w:val="21"/>
                <w:szCs w:val="21"/>
              </w:rPr>
              <w:t>城镇常住人口住房保障覆盖率（％）</w:t>
            </w:r>
          </w:p>
        </w:tc>
        <w:tc>
          <w:tcPr>
            <w:tcW w:w="980" w:type="dxa"/>
            <w:vAlign w:val="center"/>
          </w:tcPr>
          <w:p>
            <w:pPr>
              <w:widowControl/>
              <w:ind w:firstLine="0" w:firstLineChars="0"/>
              <w:jc w:val="center"/>
              <w:rPr>
                <w:rFonts w:eastAsiaTheme="minorEastAsia"/>
                <w:kern w:val="0"/>
                <w:sz w:val="21"/>
                <w:szCs w:val="21"/>
              </w:rPr>
            </w:pPr>
            <w:r>
              <w:rPr>
                <w:rFonts w:eastAsiaTheme="minorEastAsia"/>
                <w:kern w:val="0"/>
                <w:sz w:val="21"/>
                <w:szCs w:val="21"/>
              </w:rPr>
              <w:t>约束性</w:t>
            </w:r>
          </w:p>
        </w:tc>
        <w:tc>
          <w:tcPr>
            <w:tcW w:w="1000" w:type="dxa"/>
            <w:vAlign w:val="center"/>
          </w:tcPr>
          <w:p>
            <w:pPr>
              <w:widowControl/>
              <w:ind w:firstLine="420"/>
              <w:jc w:val="center"/>
              <w:rPr>
                <w:rFonts w:eastAsiaTheme="minorEastAsia"/>
                <w:kern w:val="0"/>
                <w:sz w:val="21"/>
                <w:szCs w:val="21"/>
              </w:rPr>
            </w:pPr>
            <w:r>
              <w:rPr>
                <w:rFonts w:eastAsiaTheme="minorEastAsia"/>
                <w:kern w:val="0"/>
                <w:sz w:val="21"/>
                <w:szCs w:val="21"/>
              </w:rPr>
              <w:t>15</w:t>
            </w:r>
          </w:p>
        </w:tc>
        <w:tc>
          <w:tcPr>
            <w:tcW w:w="1320" w:type="dxa"/>
            <w:vAlign w:val="center"/>
          </w:tcPr>
          <w:p>
            <w:pPr>
              <w:widowControl/>
              <w:ind w:firstLine="420"/>
              <w:jc w:val="center"/>
              <w:rPr>
                <w:rFonts w:eastAsiaTheme="minorEastAsia"/>
                <w:sz w:val="21"/>
                <w:szCs w:val="21"/>
              </w:rPr>
            </w:pPr>
            <w:r>
              <w:rPr>
                <w:rFonts w:eastAsiaTheme="minorEastAsia"/>
                <w:kern w:val="0"/>
                <w:sz w:val="21"/>
                <w:szCs w:val="21"/>
              </w:rPr>
              <w:t>18</w:t>
            </w:r>
          </w:p>
        </w:tc>
        <w:tc>
          <w:tcPr>
            <w:tcW w:w="1126" w:type="dxa"/>
            <w:vAlign w:val="center"/>
          </w:tcPr>
          <w:p>
            <w:pPr>
              <w:widowControl/>
              <w:ind w:firstLine="420"/>
              <w:jc w:val="center"/>
              <w:rPr>
                <w:rFonts w:eastAsiaTheme="minorEastAsia"/>
                <w:kern w:val="0"/>
                <w:sz w:val="21"/>
                <w:szCs w:val="21"/>
              </w:rPr>
            </w:pPr>
            <w:r>
              <w:rPr>
                <w:rFonts w:hint="eastAsia" w:eastAsiaTheme="minorEastAsia"/>
                <w:kern w:val="0"/>
                <w:sz w:val="21"/>
                <w:szCs w:val="21"/>
              </w:rPr>
              <w:t>1</w:t>
            </w:r>
            <w:r>
              <w:rPr>
                <w:rFonts w:eastAsiaTheme="minorEastAsia"/>
                <w:kern w:val="0"/>
                <w:sz w:val="21"/>
                <w:szCs w:val="21"/>
              </w:rPr>
              <w:t>8.6</w:t>
            </w:r>
          </w:p>
        </w:tc>
      </w:tr>
    </w:tbl>
    <w:p>
      <w:pPr>
        <w:ind w:firstLine="560"/>
      </w:pPr>
    </w:p>
    <w:p>
      <w:pPr>
        <w:pStyle w:val="5"/>
        <w:spacing w:before="62" w:beforeLines="20" w:after="62" w:afterLines="20" w:line="560" w:lineRule="exact"/>
        <w:rPr>
          <w:rFonts w:ascii="仿宋_GB2312" w:hAnsi="仿宋_GB2312" w:eastAsia="仿宋_GB2312" w:cs="仿宋_GB2312"/>
          <w:sz w:val="32"/>
        </w:rPr>
      </w:pPr>
      <w:bookmarkStart w:id="36" w:name="_Toc2987"/>
      <w:r>
        <w:rPr>
          <w:rFonts w:hint="eastAsia" w:ascii="仿宋_GB2312" w:hAnsi="仿宋_GB2312" w:eastAsia="仿宋_GB2312" w:cs="仿宋_GB2312"/>
          <w:sz w:val="32"/>
        </w:rPr>
        <w:t>第二节  机遇和挑战</w:t>
      </w:r>
      <w:bookmarkEnd w:id="29"/>
      <w:bookmarkEnd w:id="30"/>
      <w:bookmarkEnd w:id="31"/>
      <w:bookmarkEnd w:id="32"/>
      <w:bookmarkEnd w:id="33"/>
      <w:bookmarkEnd w:id="34"/>
      <w:bookmarkEnd w:id="35"/>
      <w:bookmarkEnd w:id="36"/>
    </w:p>
    <w:p>
      <w:pPr>
        <w:spacing w:line="560" w:lineRule="exact"/>
        <w:ind w:firstLine="640"/>
        <w:rPr>
          <w:sz w:val="32"/>
          <w:szCs w:val="32"/>
        </w:rPr>
      </w:pPr>
      <w:r>
        <w:rPr>
          <w:rFonts w:hint="eastAsia"/>
          <w:sz w:val="32"/>
          <w:szCs w:val="32"/>
        </w:rPr>
        <w:t>“十四五”时期，奉节县发展环境和条件都有新的深刻复杂变化，面临一系列老难题和新挑战。从国际看，当今世界正经历百年未有之大变局，新冠肺炎疫情影响广泛深远，国际环境日趋复杂，经济全球化遭遇逆流，全县发展改革将面临更加复杂的国际环境。从国内看，我国已转向高质量发展阶段，同时，发展不平衡不充分问题仍然突出。从全市看，综合实力和竞争力仍与东部发达地区存在较大差距，基础设施瓶颈依然明显。从奉节县发展看，仍处于欠发达地区、欠发展阶段，经济结构不优、产业支撑仍显乏力，基础设施短板较多，科技创新支撑能力弱，市场主体活力不够，城乡区域发展差距仍然较大，生态环境保护任务艰巨，城镇化推进与空间管控、人口与空间的矛盾尚待解决，民生保障存在不少短板，社会治理有待加强，必须高度重视、切实解决。</w:t>
      </w:r>
    </w:p>
    <w:p>
      <w:pPr>
        <w:spacing w:line="560" w:lineRule="exact"/>
        <w:ind w:firstLine="640"/>
        <w:rPr>
          <w:sz w:val="32"/>
          <w:szCs w:val="32"/>
        </w:rPr>
      </w:pPr>
      <w:r>
        <w:rPr>
          <w:rFonts w:hint="eastAsia"/>
          <w:sz w:val="32"/>
          <w:szCs w:val="32"/>
        </w:rPr>
        <w:t>当前和今后一个时期，我国发展仍然处于重要战略机遇期，继续发展具有多方面优势和条件。以习近平同志为核心的党中央十分关心、高度重视重庆发展，给予有力指导和重大支持，市委市政府主要领导高度关注奉节发展，为我们把脉定向、悉心指导。党中央作出构建以国内大循环为主体、国内国际双循环相互促进的新发展格局的重大决策，研究论证三峡新区发展，共建“一带一路”、长江经济带发展、西部大开发等重大战略深入实施，国家加大对西部地区、秦巴山区、三峡库区重点移民搬迁区等地区的投入，为奉节高质量发展赋予全新优势、创造了更为有利的条件。国家为应对疫情冲击、恢复经济发展出台一系列支持政策，有助于更好地保护和激发各类市场主体活力，巩固经济回升向好势头。新一轮科技革命和产业变革深入发展，有助于推动数字经济和实体经济深度融合，更好地为经济赋能、为生活添彩。成渝地区双城经济圈、“一区两群”建设加快推进，使重庆战略地位凸显、战略空间拓展、战略潜能释放，奉节加快融入全市战略格局将迎来诸多政策利好、投资利好、项目利好，有助于奉节发挥生态、资源、区位、人文“四个优势”，充分释放发展潜能，推动奉节经济社会高质量发展。</w:t>
      </w:r>
    </w:p>
    <w:p>
      <w:pPr>
        <w:spacing w:line="560" w:lineRule="exact"/>
        <w:ind w:firstLine="640"/>
        <w:rPr>
          <w:sz w:val="32"/>
          <w:szCs w:val="32"/>
        </w:rPr>
      </w:pPr>
      <w:r>
        <w:rPr>
          <w:rFonts w:hint="eastAsia"/>
          <w:sz w:val="32"/>
          <w:szCs w:val="32"/>
        </w:rPr>
        <w:t>谋划奉节县“十四五”发展规划和二〇三五年远景目标，要深刻把握中华民族伟大复兴战略全局和世界百年未有之大变局，深刻认识我国社会主要矛盾变化带来的新特征、新要求，深刻认识错综复杂的国际环境带来的新矛盾、新挑战，增强机遇意识和风险意识，保持战略定力，办好自己的事，认识和把握发展规律，实现由注重规模与速度向注重质量与效益的观念转变，发扬斗争精神，树立底线思维，善于在危机中育新机、于变局中开新局，抓住机遇，应对挑战，趋利避害，确保奉节各项事业始终沿着习近平总书记指引的正确方向继续前进。</w:t>
      </w:r>
    </w:p>
    <w:p>
      <w:pPr>
        <w:pStyle w:val="5"/>
        <w:spacing w:before="62" w:beforeLines="20" w:after="62" w:afterLines="20" w:line="560" w:lineRule="exact"/>
        <w:rPr>
          <w:rFonts w:ascii="仿宋_GB2312" w:hAnsi="仿宋_GB2312" w:eastAsia="仿宋_GB2312" w:cs="仿宋_GB2312"/>
          <w:sz w:val="32"/>
        </w:rPr>
      </w:pPr>
      <w:bookmarkStart w:id="37" w:name="_Toc24743"/>
      <w:bookmarkStart w:id="38" w:name="_Toc60584673"/>
      <w:bookmarkStart w:id="39" w:name="_Toc59992964"/>
      <w:bookmarkStart w:id="40" w:name="_Toc20519"/>
      <w:bookmarkStart w:id="41" w:name="_Toc18197"/>
      <w:bookmarkStart w:id="42" w:name="_Toc24248"/>
      <w:bookmarkStart w:id="43" w:name="_Toc1040"/>
      <w:r>
        <w:rPr>
          <w:rFonts w:hint="eastAsia" w:ascii="仿宋_GB2312" w:hAnsi="仿宋_GB2312" w:eastAsia="仿宋_GB2312" w:cs="仿宋_GB2312"/>
          <w:sz w:val="32"/>
        </w:rPr>
        <w:t>第三节  优势和突破</w:t>
      </w:r>
      <w:bookmarkEnd w:id="37"/>
      <w:bookmarkEnd w:id="38"/>
      <w:bookmarkEnd w:id="39"/>
      <w:bookmarkEnd w:id="40"/>
      <w:bookmarkEnd w:id="41"/>
      <w:bookmarkEnd w:id="42"/>
      <w:bookmarkEnd w:id="43"/>
    </w:p>
    <w:p>
      <w:pPr>
        <w:spacing w:line="560" w:lineRule="exact"/>
        <w:ind w:firstLine="640"/>
        <w:rPr>
          <w:sz w:val="32"/>
          <w:szCs w:val="32"/>
        </w:rPr>
      </w:pPr>
      <w:r>
        <w:rPr>
          <w:rFonts w:hint="eastAsia" w:hAnsi="仿宋_GB2312" w:cs="仿宋_GB2312"/>
          <w:sz w:val="32"/>
          <w:szCs w:val="32"/>
        </w:rPr>
        <w:t>结合重庆市区位优势、生态优势、产业优势和体制优势，奉节</w:t>
      </w:r>
      <w:r>
        <w:rPr>
          <w:rFonts w:hint="eastAsia" w:cs="仿宋_GB2312"/>
          <w:sz w:val="32"/>
          <w:szCs w:val="32"/>
        </w:rPr>
        <w:t>“</w:t>
      </w:r>
      <w:r>
        <w:rPr>
          <w:rFonts w:hint="eastAsia" w:hAnsi="仿宋_GB2312" w:cs="仿宋_GB2312"/>
          <w:sz w:val="32"/>
          <w:szCs w:val="32"/>
        </w:rPr>
        <w:t>十四五</w:t>
      </w:r>
      <w:r>
        <w:rPr>
          <w:rFonts w:hint="eastAsia" w:cs="仿宋_GB2312"/>
          <w:sz w:val="32"/>
          <w:szCs w:val="32"/>
        </w:rPr>
        <w:t>”</w:t>
      </w:r>
      <w:r>
        <w:rPr>
          <w:rFonts w:hint="eastAsia" w:hAnsi="仿宋_GB2312" w:cs="仿宋_GB2312"/>
          <w:sz w:val="32"/>
          <w:szCs w:val="32"/>
        </w:rPr>
        <w:t>发展拥有以下四大发展优势。</w:t>
      </w:r>
      <w:r>
        <w:rPr>
          <w:rFonts w:hint="eastAsia" w:hAnsi="仿宋_GB2312" w:cs="仿宋_GB2312"/>
          <w:b/>
          <w:sz w:val="32"/>
          <w:szCs w:val="32"/>
        </w:rPr>
        <w:t>一是生态优势。</w:t>
      </w:r>
      <w:r>
        <w:rPr>
          <w:rFonts w:hint="eastAsia" w:hAnsi="仿宋_GB2312" w:cs="仿宋_GB2312"/>
          <w:sz w:val="32"/>
          <w:szCs w:val="32"/>
        </w:rPr>
        <w:t>奉节县是三峡库区水土保持重点生态功能区，是三峡库区生态屏障区，依托</w:t>
      </w:r>
      <w:r>
        <w:rPr>
          <w:rFonts w:hint="eastAsia" w:cs="仿宋_GB2312"/>
          <w:sz w:val="32"/>
          <w:szCs w:val="32"/>
        </w:rPr>
        <w:t>“</w:t>
      </w:r>
      <w:r>
        <w:rPr>
          <w:rFonts w:hint="eastAsia" w:hAnsi="仿宋_GB2312" w:cs="仿宋_GB2312"/>
          <w:sz w:val="32"/>
          <w:szCs w:val="32"/>
        </w:rPr>
        <w:t>一江五河八地</w:t>
      </w:r>
      <w:r>
        <w:rPr>
          <w:rFonts w:hint="eastAsia" w:cs="仿宋_GB2312"/>
          <w:sz w:val="32"/>
          <w:szCs w:val="32"/>
        </w:rPr>
        <w:t>”</w:t>
      </w:r>
      <w:r>
        <w:rPr>
          <w:rFonts w:hint="eastAsia" w:hAnsi="仿宋_GB2312" w:cs="仿宋_GB2312"/>
          <w:sz w:val="32"/>
          <w:szCs w:val="32"/>
        </w:rPr>
        <w:t>的独特自然禀赋，为奉节县绿色发展奠定了生态基础；</w:t>
      </w:r>
      <w:r>
        <w:rPr>
          <w:rFonts w:hint="eastAsia" w:hAnsi="仿宋_GB2312" w:cs="仿宋_GB2312"/>
          <w:b/>
          <w:sz w:val="32"/>
          <w:szCs w:val="32"/>
        </w:rPr>
        <w:t>二是资源优势。</w:t>
      </w:r>
      <w:r>
        <w:rPr>
          <w:rFonts w:hint="eastAsia" w:hAnsi="仿宋_GB2312" w:cs="仿宋_GB2312"/>
          <w:sz w:val="32"/>
          <w:szCs w:val="32"/>
        </w:rPr>
        <w:t>全县产业基础逐步形成，依托丰富的生态旅游和文化资源，山地特色高效农业、休闲文化旅游、生态环境保护均得到长足发展，为增强内生动力提供了可靠保障；</w:t>
      </w:r>
      <w:r>
        <w:rPr>
          <w:rFonts w:hint="eastAsia" w:hAnsi="仿宋_GB2312" w:cs="仿宋_GB2312"/>
          <w:b/>
          <w:sz w:val="32"/>
          <w:szCs w:val="32"/>
        </w:rPr>
        <w:t>三是区位优势。</w:t>
      </w:r>
      <w:r>
        <w:rPr>
          <w:rFonts w:hint="eastAsia" w:hAnsi="仿宋_GB2312" w:cs="仿宋_GB2312"/>
          <w:sz w:val="32"/>
          <w:szCs w:val="32"/>
        </w:rPr>
        <w:t>作为一带一路沿线城市、长江经济带城市、区域性综合交通枢纽以及三峡门户，为奉节全面融入到区域大环境中打下了基础；</w:t>
      </w:r>
      <w:r>
        <w:rPr>
          <w:rFonts w:hint="eastAsia" w:hAnsi="仿宋_GB2312" w:cs="仿宋_GB2312"/>
          <w:b/>
          <w:sz w:val="32"/>
          <w:szCs w:val="32"/>
        </w:rPr>
        <w:t>四是人文优势。</w:t>
      </w:r>
      <w:r>
        <w:rPr>
          <w:rFonts w:hint="eastAsia" w:hAnsi="仿宋_GB2312" w:cs="仿宋_GB2312"/>
          <w:sz w:val="32"/>
          <w:szCs w:val="32"/>
        </w:rPr>
        <w:t>打响</w:t>
      </w:r>
      <w:r>
        <w:rPr>
          <w:rFonts w:hint="eastAsia" w:cs="仿宋_GB2312"/>
          <w:sz w:val="32"/>
          <w:szCs w:val="32"/>
        </w:rPr>
        <w:t>“</w:t>
      </w:r>
      <w:r>
        <w:rPr>
          <w:rFonts w:hint="eastAsia" w:hAnsi="仿宋_GB2312" w:cs="仿宋_GB2312"/>
          <w:sz w:val="32"/>
          <w:szCs w:val="32"/>
        </w:rPr>
        <w:t>中华诗城</w:t>
      </w:r>
      <w:r>
        <w:rPr>
          <w:rFonts w:hint="eastAsia" w:cs="仿宋_GB2312"/>
          <w:sz w:val="32"/>
          <w:szCs w:val="32"/>
        </w:rPr>
        <w:t>”</w:t>
      </w:r>
      <w:r>
        <w:rPr>
          <w:rFonts w:hint="eastAsia" w:hAnsi="仿宋_GB2312" w:cs="仿宋_GB2312"/>
          <w:sz w:val="32"/>
          <w:szCs w:val="32"/>
        </w:rPr>
        <w:t>和山水文化名城这一世界历史文化名片，传承奉节诗城文化精神，奉节县在文化发掘保护、生态产业开发、生态城乡构建及生态文明建设实践中成绩斐然，为奉节县经济社会高质量发展创造了良好的条件。</w:t>
      </w:r>
    </w:p>
    <w:p>
      <w:pPr>
        <w:spacing w:line="560" w:lineRule="exact"/>
        <w:ind w:firstLine="640"/>
      </w:pPr>
      <w:r>
        <w:rPr>
          <w:rFonts w:hint="eastAsia" w:hAnsi="仿宋_GB2312" w:cs="仿宋_GB2312"/>
          <w:sz w:val="32"/>
          <w:szCs w:val="32"/>
        </w:rPr>
        <w:t>奉节最大的优势是</w:t>
      </w:r>
      <w:r>
        <w:rPr>
          <w:rFonts w:hint="eastAsia" w:hAnsi="仿宋_GB2312" w:cs="仿宋_GB2312"/>
          <w:b/>
          <w:sz w:val="32"/>
          <w:szCs w:val="32"/>
        </w:rPr>
        <w:t>生态和人文</w:t>
      </w:r>
      <w:r>
        <w:rPr>
          <w:rFonts w:hint="eastAsia" w:cs="仿宋_GB2312"/>
          <w:sz w:val="32"/>
          <w:szCs w:val="32"/>
        </w:rPr>
        <w:t>“</w:t>
      </w:r>
      <w:r>
        <w:rPr>
          <w:rFonts w:hint="eastAsia" w:hAnsi="仿宋_GB2312" w:cs="仿宋_GB2312"/>
          <w:sz w:val="32"/>
          <w:szCs w:val="32"/>
        </w:rPr>
        <w:t>两个宝贝</w:t>
      </w:r>
      <w:r>
        <w:rPr>
          <w:rFonts w:hint="eastAsia" w:cs="仿宋_GB2312"/>
          <w:sz w:val="32"/>
          <w:szCs w:val="32"/>
        </w:rPr>
        <w:t>”</w:t>
      </w:r>
      <w:r>
        <w:rPr>
          <w:rFonts w:hint="eastAsia" w:hAnsi="仿宋_GB2312" w:cs="仿宋_GB2312"/>
          <w:sz w:val="32"/>
          <w:szCs w:val="32"/>
        </w:rPr>
        <w:t>，最大的短板是发展空间受限和产业结构不优。当前的关键突破口在于始终坚持奉节建设长江经济带上的绿色生态强县和区域性功能中心的总体目标，落实“巩固、增强、提升、畅通”八字方针，坚持生态优先，补齐短板弱项，提升优势产业水平的思路，努力做到</w:t>
      </w:r>
      <w:r>
        <w:rPr>
          <w:rFonts w:hint="eastAsia" w:cs="仿宋_GB2312"/>
          <w:sz w:val="32"/>
          <w:szCs w:val="32"/>
        </w:rPr>
        <w:t>“</w:t>
      </w:r>
      <w:r>
        <w:rPr>
          <w:rFonts w:hint="eastAsia" w:hAnsi="仿宋_GB2312" w:cs="仿宋_GB2312"/>
          <w:sz w:val="32"/>
          <w:szCs w:val="32"/>
        </w:rPr>
        <w:t>优化空间、借助外力、苦练内功、创新发展</w:t>
      </w:r>
      <w:r>
        <w:rPr>
          <w:rFonts w:hint="eastAsia" w:cs="仿宋_GB2312"/>
          <w:sz w:val="32"/>
          <w:szCs w:val="32"/>
        </w:rPr>
        <w:t>”</w:t>
      </w:r>
      <w:r>
        <w:rPr>
          <w:rFonts w:hint="eastAsia" w:hAnsi="仿宋_GB2312" w:cs="仿宋_GB2312"/>
          <w:sz w:val="32"/>
          <w:szCs w:val="32"/>
        </w:rPr>
        <w:t>。</w:t>
      </w:r>
      <w:r>
        <w:rPr>
          <w:rFonts w:hint="eastAsia" w:cs="仿宋_GB2312"/>
          <w:sz w:val="32"/>
          <w:szCs w:val="32"/>
        </w:rPr>
        <w:t>“</w:t>
      </w:r>
      <w:r>
        <w:rPr>
          <w:rFonts w:hint="eastAsia" w:hAnsi="仿宋_GB2312" w:cs="仿宋_GB2312"/>
          <w:b/>
          <w:sz w:val="32"/>
          <w:szCs w:val="32"/>
        </w:rPr>
        <w:t>优化空间</w:t>
      </w:r>
      <w:r>
        <w:rPr>
          <w:rFonts w:hint="eastAsia" w:cs="仿宋_GB2312"/>
          <w:sz w:val="32"/>
          <w:szCs w:val="32"/>
        </w:rPr>
        <w:t>”—通过大桥、长隧等骨干交通工程优化空间格局，</w:t>
      </w:r>
      <w:r>
        <w:rPr>
          <w:rFonts w:hint="eastAsia" w:hAnsi="仿宋_GB2312" w:cs="仿宋_GB2312"/>
          <w:sz w:val="32"/>
          <w:szCs w:val="32"/>
        </w:rPr>
        <w:t>补齐基础设施和公共服务短板，形成</w:t>
      </w:r>
      <w:r>
        <w:rPr>
          <w:rFonts w:hint="eastAsia" w:cs="仿宋_GB2312"/>
          <w:sz w:val="32"/>
          <w:szCs w:val="32"/>
        </w:rPr>
        <w:t>“</w:t>
      </w:r>
      <w:r>
        <w:rPr>
          <w:rFonts w:hint="eastAsia" w:hAnsi="仿宋_GB2312" w:cs="仿宋_GB2312"/>
          <w:sz w:val="32"/>
          <w:szCs w:val="32"/>
        </w:rPr>
        <w:t>一核一圈两片</w:t>
      </w:r>
      <w:r>
        <w:rPr>
          <w:rFonts w:hint="eastAsia" w:cs="仿宋_GB2312"/>
          <w:sz w:val="32"/>
          <w:szCs w:val="32"/>
        </w:rPr>
        <w:t>”</w:t>
      </w:r>
      <w:r>
        <w:rPr>
          <w:rFonts w:hint="eastAsia" w:hAnsi="仿宋_GB2312" w:cs="仿宋_GB2312"/>
          <w:sz w:val="32"/>
          <w:szCs w:val="32"/>
        </w:rPr>
        <w:t>空间架构。</w:t>
      </w:r>
      <w:r>
        <w:rPr>
          <w:rFonts w:hint="eastAsia" w:cs="仿宋_GB2312"/>
          <w:sz w:val="32"/>
          <w:szCs w:val="32"/>
        </w:rPr>
        <w:t>“</w:t>
      </w:r>
      <w:r>
        <w:rPr>
          <w:rFonts w:hint="eastAsia" w:hAnsi="仿宋_GB2312" w:cs="仿宋_GB2312"/>
          <w:b/>
          <w:sz w:val="32"/>
          <w:szCs w:val="32"/>
        </w:rPr>
        <w:t>借助外力</w:t>
      </w:r>
      <w:r>
        <w:rPr>
          <w:rFonts w:hint="eastAsia" w:cs="仿宋_GB2312"/>
          <w:sz w:val="32"/>
          <w:szCs w:val="32"/>
        </w:rPr>
        <w:t>”—</w:t>
      </w:r>
      <w:r>
        <w:rPr>
          <w:rFonts w:hint="eastAsia" w:hAnsi="仿宋_GB2312" w:cs="仿宋_GB2312"/>
          <w:sz w:val="32"/>
          <w:szCs w:val="32"/>
        </w:rPr>
        <w:t>加大草堂和康乐两个生态工业园组团招商引资、引才引智力度，积极培育市场经济主体。</w:t>
      </w:r>
      <w:r>
        <w:rPr>
          <w:rFonts w:hint="eastAsia" w:cs="仿宋_GB2312"/>
          <w:sz w:val="32"/>
          <w:szCs w:val="32"/>
        </w:rPr>
        <w:t>“</w:t>
      </w:r>
      <w:r>
        <w:rPr>
          <w:rFonts w:hint="eastAsia" w:hAnsi="仿宋_GB2312" w:cs="仿宋_GB2312"/>
          <w:b/>
          <w:sz w:val="32"/>
          <w:szCs w:val="32"/>
        </w:rPr>
        <w:t>苦练内功</w:t>
      </w:r>
      <w:r>
        <w:rPr>
          <w:rFonts w:hint="eastAsia" w:cs="仿宋_GB2312"/>
          <w:sz w:val="32"/>
          <w:szCs w:val="32"/>
        </w:rPr>
        <w:t>”—</w:t>
      </w:r>
      <w:r>
        <w:rPr>
          <w:rFonts w:hint="eastAsia" w:hAnsi="仿宋_GB2312" w:cs="仿宋_GB2312"/>
          <w:sz w:val="32"/>
          <w:szCs w:val="32"/>
        </w:rPr>
        <w:t>加快经济转型，淘汰落后产能，挖掘自身潜力，培育新兴绿色产业，制造业和服务业并举，发挥二产业向两头拓展延伸的联动效应。</w:t>
      </w:r>
      <w:r>
        <w:rPr>
          <w:rFonts w:hint="eastAsia" w:cs="仿宋_GB2312"/>
          <w:sz w:val="32"/>
          <w:szCs w:val="32"/>
        </w:rPr>
        <w:t>“</w:t>
      </w:r>
      <w:r>
        <w:rPr>
          <w:rFonts w:hint="eastAsia" w:hAnsi="仿宋_GB2312" w:cs="仿宋_GB2312"/>
          <w:b/>
          <w:sz w:val="32"/>
          <w:szCs w:val="32"/>
        </w:rPr>
        <w:t>创新发展</w:t>
      </w:r>
      <w:r>
        <w:rPr>
          <w:rFonts w:hint="eastAsia" w:cs="仿宋_GB2312"/>
          <w:sz w:val="32"/>
          <w:szCs w:val="32"/>
        </w:rPr>
        <w:t>”—</w:t>
      </w:r>
      <w:r>
        <w:rPr>
          <w:rFonts w:hint="eastAsia" w:hAnsi="仿宋_GB2312" w:cs="仿宋_GB2312"/>
          <w:sz w:val="32"/>
          <w:szCs w:val="32"/>
        </w:rPr>
        <w:t>不遗余力吸引亟需人才，储备后备人才，构建产业技术创新和技术孵化转化平台</w:t>
      </w:r>
      <w:r>
        <w:rPr>
          <w:rFonts w:hint="eastAsia"/>
          <w:sz w:val="32"/>
          <w:szCs w:val="32"/>
        </w:rPr>
        <w:t>。</w:t>
      </w:r>
    </w:p>
    <w:p>
      <w:pPr>
        <w:pStyle w:val="4"/>
        <w:spacing w:before="156" w:beforeLines="50" w:after="156" w:afterLines="50" w:line="560" w:lineRule="exact"/>
        <w:rPr>
          <w:b w:val="0"/>
          <w:bCs w:val="0"/>
          <w:sz w:val="32"/>
        </w:rPr>
      </w:pPr>
      <w:bookmarkStart w:id="44" w:name="_Toc23666"/>
      <w:bookmarkStart w:id="45" w:name="_Toc27785"/>
      <w:bookmarkStart w:id="46" w:name="_Toc23219"/>
      <w:bookmarkStart w:id="47" w:name="_Toc26608"/>
      <w:bookmarkStart w:id="48" w:name="_Toc25670"/>
      <w:bookmarkStart w:id="49" w:name="_Toc24034"/>
      <w:bookmarkStart w:id="50" w:name="_Toc59992965"/>
      <w:bookmarkStart w:id="51" w:name="_Toc445"/>
      <w:bookmarkStart w:id="52" w:name="_Toc60584674"/>
      <w:bookmarkStart w:id="53" w:name="_Toc29034"/>
      <w:r>
        <w:rPr>
          <w:rFonts w:hint="eastAsia"/>
          <w:b w:val="0"/>
          <w:bCs w:val="0"/>
          <w:sz w:val="32"/>
        </w:rPr>
        <w:t xml:space="preserve">第二章  </w:t>
      </w:r>
      <w:bookmarkEnd w:id="44"/>
      <w:r>
        <w:rPr>
          <w:rFonts w:hint="eastAsia"/>
          <w:b w:val="0"/>
          <w:bCs w:val="0"/>
          <w:sz w:val="32"/>
        </w:rPr>
        <w:t>指导思想</w:t>
      </w:r>
      <w:bookmarkEnd w:id="45"/>
      <w:bookmarkEnd w:id="46"/>
      <w:bookmarkEnd w:id="47"/>
      <w:bookmarkEnd w:id="48"/>
      <w:bookmarkEnd w:id="49"/>
      <w:bookmarkEnd w:id="50"/>
      <w:r>
        <w:rPr>
          <w:rFonts w:hint="eastAsia"/>
          <w:b w:val="0"/>
          <w:bCs w:val="0"/>
          <w:sz w:val="32"/>
        </w:rPr>
        <w:t>和原则</w:t>
      </w:r>
      <w:bookmarkEnd w:id="51"/>
      <w:bookmarkEnd w:id="52"/>
      <w:bookmarkEnd w:id="53"/>
    </w:p>
    <w:p>
      <w:pPr>
        <w:pStyle w:val="5"/>
        <w:spacing w:before="62" w:beforeLines="20" w:after="62" w:afterLines="20" w:line="560" w:lineRule="exact"/>
        <w:rPr>
          <w:rFonts w:ascii="仿宋_GB2312" w:hAnsi="仿宋_GB2312" w:eastAsia="仿宋_GB2312" w:cs="仿宋_GB2312"/>
          <w:sz w:val="32"/>
        </w:rPr>
      </w:pPr>
      <w:bookmarkStart w:id="54" w:name="_Toc22849"/>
      <w:bookmarkStart w:id="55" w:name="_Toc60584675"/>
      <w:bookmarkStart w:id="56" w:name="_Toc10124"/>
      <w:r>
        <w:rPr>
          <w:rFonts w:hint="eastAsia" w:ascii="仿宋_GB2312" w:hAnsi="仿宋_GB2312" w:eastAsia="仿宋_GB2312" w:cs="仿宋_GB2312"/>
          <w:sz w:val="32"/>
        </w:rPr>
        <w:t>第一节  指导思想</w:t>
      </w:r>
      <w:bookmarkEnd w:id="54"/>
      <w:bookmarkEnd w:id="55"/>
      <w:bookmarkEnd w:id="56"/>
    </w:p>
    <w:p>
      <w:pPr>
        <w:spacing w:line="560" w:lineRule="exact"/>
        <w:ind w:firstLine="640"/>
        <w:rPr>
          <w:rFonts w:hAnsi="仿宋_GB2312" w:cs="仿宋_GB2312"/>
          <w:sz w:val="32"/>
          <w:szCs w:val="32"/>
        </w:rPr>
      </w:pPr>
      <w:r>
        <w:rPr>
          <w:rFonts w:hint="eastAsia" w:hAnsi="仿宋_GB2312" w:cs="仿宋_GB2312"/>
          <w:sz w:val="32"/>
          <w:szCs w:val="32"/>
        </w:rPr>
        <w:t>高举中国特色社会主义伟大旗帜，深入贯彻党的十九大和十九届二中、三中、四中、五中全会精神，坚持以马克思列宁主义、毛泽东思想、邓小平理论、“三个代表”重要思想、科学发展观、习近平新时代中国特色社会主义思想为指导，全面贯彻党的基本理论、基本路线、基本方略，统筹推进“五位一体”总体布局，协调推进“四个全面”战略布局，深入贯彻习近平总书记对重庆提出的营造良好政治生态，坚持“两点”定位、“两地”“两高”目标，发挥“三个作用”和推动成渝地区双城经济圈建设等重要指示要求，准确把握新发展阶段，深入践行新发展理念，积极融入新发展格局，坚持稳中求进工作总基调，以推动高质量发展为主题，以深化供给侧结构性改革为主线，以改革创新为根本动力，以满足人民日益增长的美好生活需要为根本目的，围绕“打好一场硬仗、用好两个宝贝、做好三件大事、抓好一个根本”和“脱贫攻坚拔掉穷根子、绿色发展探索新路子、党员干部做出好样子”的工作要求，持续用力、久久为功，一以贯之坚持全域旅游统领、生态产业支撑、新型城镇承载、区域中心带动“四条主线”，打造“一枢纽三中心N高地”，开启美丽经济，建设美丽奉节，朝着建设长江经济带上的绿色生态强县和区域性功能中心阔步前行。</w:t>
      </w:r>
    </w:p>
    <w:p>
      <w:pPr>
        <w:pStyle w:val="5"/>
        <w:spacing w:before="62" w:beforeLines="20" w:after="62" w:afterLines="20" w:line="560" w:lineRule="exact"/>
        <w:rPr>
          <w:rFonts w:ascii="仿宋_GB2312" w:hAnsi="仿宋_GB2312" w:eastAsia="仿宋_GB2312" w:cs="仿宋_GB2312"/>
          <w:sz w:val="32"/>
        </w:rPr>
      </w:pPr>
      <w:bookmarkStart w:id="57" w:name="_Toc8026"/>
      <w:bookmarkStart w:id="58" w:name="_Toc23367"/>
      <w:bookmarkStart w:id="59" w:name="_Toc60584676"/>
      <w:r>
        <w:rPr>
          <w:rFonts w:hint="eastAsia" w:ascii="仿宋_GB2312" w:hAnsi="仿宋_GB2312" w:eastAsia="仿宋_GB2312" w:cs="仿宋_GB2312"/>
          <w:sz w:val="32"/>
        </w:rPr>
        <w:t>第二节  基本原则</w:t>
      </w:r>
      <w:bookmarkEnd w:id="57"/>
      <w:bookmarkEnd w:id="58"/>
      <w:bookmarkEnd w:id="59"/>
      <w:r>
        <w:rPr>
          <w:rFonts w:hint="eastAsia" w:ascii="仿宋_GB2312" w:hAnsi="仿宋_GB2312" w:eastAsia="仿宋_GB2312" w:cs="仿宋_GB2312"/>
          <w:sz w:val="32"/>
        </w:rPr>
        <w:t xml:space="preserve"> </w:t>
      </w:r>
    </w:p>
    <w:p>
      <w:pPr>
        <w:spacing w:line="560" w:lineRule="exact"/>
        <w:ind w:firstLine="640"/>
        <w:rPr>
          <w:sz w:val="32"/>
          <w:szCs w:val="32"/>
        </w:rPr>
      </w:pPr>
      <w:r>
        <w:rPr>
          <w:rFonts w:hint="eastAsia"/>
          <w:sz w:val="32"/>
          <w:szCs w:val="32"/>
        </w:rPr>
        <w:t>全县“十四五”时期必须坚持“发展是第一要务、稳定是第一责任、改革是第一动力、民生是第一目标、党建是第一政绩”的总体要求。严格把握“遵循历史前进逻辑、顺应时代发展潮流、呼应人民群众期待、实现两高目标要求”的总体思路，遵循以下原则：</w:t>
      </w:r>
    </w:p>
    <w:p>
      <w:pPr>
        <w:spacing w:line="560" w:lineRule="exact"/>
        <w:ind w:firstLine="640"/>
        <w:rPr>
          <w:sz w:val="32"/>
          <w:szCs w:val="32"/>
        </w:rPr>
      </w:pPr>
      <w:r>
        <w:rPr>
          <w:rFonts w:hint="eastAsia"/>
          <w:sz w:val="32"/>
          <w:szCs w:val="32"/>
        </w:rPr>
        <w:t>——坚持党的全面领导。坚持和完善党领导经济社会发展的体制机制，坚持和完善中国特色社会主义制度，始终在思想上政治上行动上同以习近平同志为核心的党中央保持高度一致，贯彻市委工作部署，不断提高贯彻新发展理念、构建新发展格局能力和水平，为实现高质量发展提供根本保证。</w:t>
      </w:r>
    </w:p>
    <w:p>
      <w:pPr>
        <w:spacing w:line="560" w:lineRule="exact"/>
        <w:ind w:firstLine="640"/>
        <w:rPr>
          <w:sz w:val="32"/>
          <w:szCs w:val="32"/>
        </w:rPr>
      </w:pPr>
      <w:r>
        <w:rPr>
          <w:rFonts w:hint="eastAsia"/>
          <w:sz w:val="32"/>
          <w:szCs w:val="32"/>
        </w:rPr>
        <w:t>——坚持以人民为中心。坚持人民主体地位，坚持共同富裕方向，始终做到发展为了人民、发展依靠人民、发展成果由人民共享，维护人民根本利益，激发全体人民积极性、主动性、创造性，加大保障和改善民生力度，促进社会公平，增进民生福祉，不断实现人民对美好生活的向往。</w:t>
      </w:r>
    </w:p>
    <w:p>
      <w:pPr>
        <w:spacing w:line="560" w:lineRule="exact"/>
        <w:ind w:firstLine="640"/>
        <w:rPr>
          <w:sz w:val="32"/>
          <w:szCs w:val="32"/>
        </w:rPr>
      </w:pPr>
      <w:r>
        <w:rPr>
          <w:rFonts w:hint="eastAsia"/>
          <w:sz w:val="32"/>
          <w:szCs w:val="32"/>
        </w:rPr>
        <w:t>——坚持新发展理念。把新发展理念贯穿发展全过程和各领域，积极主动融入新发展格局，切实转变发展方式，推动质量变革、效率变革、动力变革，实现更高质量、更有效率、更加公平、更可持续、更为安全的发展。</w:t>
      </w:r>
    </w:p>
    <w:p>
      <w:pPr>
        <w:spacing w:line="560" w:lineRule="exact"/>
        <w:ind w:firstLine="640"/>
        <w:rPr>
          <w:sz w:val="32"/>
          <w:szCs w:val="32"/>
        </w:rPr>
      </w:pPr>
      <w:r>
        <w:rPr>
          <w:rFonts w:hint="eastAsia"/>
          <w:sz w:val="32"/>
          <w:szCs w:val="32"/>
        </w:rPr>
        <w:t>——坚持深化改革开放。坚定不移推进改革，坚定不移扩大开放，加强治理体系和治理能力现代化建设，破除制约高质量发展、高品质生活的体制机制障碍，强化有利于提高资源配置效率、有利于调动全社会积极性的重大改革开放举措，持续增强发展动力和活力。</w:t>
      </w:r>
    </w:p>
    <w:p>
      <w:pPr>
        <w:spacing w:line="560" w:lineRule="exact"/>
        <w:ind w:firstLine="640" w:firstLineChars="0"/>
      </w:pPr>
      <w:r>
        <w:rPr>
          <w:rFonts w:hint="eastAsia"/>
          <w:sz w:val="32"/>
          <w:szCs w:val="32"/>
        </w:rPr>
        <w:t>——坚持系统观念。加强前瞻性思考、全局性谋划、战略性布局、整体性推进，统筹国内国际两个大局，办好发展安全两件大事，更加注重从全局谋划一域、以一域服务全局，着力固根基、扬优势、补短板、强弱项，注重防范化解重大风险挑战，实现发展质量、结构、规模、速度、效益、安全相统一。</w:t>
      </w:r>
    </w:p>
    <w:p>
      <w:pPr>
        <w:pStyle w:val="4"/>
        <w:spacing w:before="156" w:beforeLines="50" w:after="156" w:afterLines="50" w:line="560" w:lineRule="exact"/>
        <w:rPr>
          <w:rFonts w:ascii="Times New Roman" w:hAnsi="Times New Roman" w:cs="Times New Roman"/>
          <w:b w:val="0"/>
          <w:bCs w:val="0"/>
          <w:sz w:val="32"/>
        </w:rPr>
      </w:pPr>
      <w:bookmarkStart w:id="60" w:name="_Toc56242168"/>
      <w:bookmarkStart w:id="61" w:name="_Toc58444240"/>
      <w:bookmarkStart w:id="62" w:name="_Toc60134418"/>
      <w:bookmarkStart w:id="63" w:name="_Toc60584677"/>
      <w:bookmarkStart w:id="64" w:name="_Toc20673"/>
      <w:bookmarkStart w:id="65" w:name="_Toc17909"/>
      <w:bookmarkStart w:id="66" w:name="_Toc29037"/>
      <w:bookmarkStart w:id="67" w:name="_Toc1213"/>
      <w:bookmarkStart w:id="68" w:name="_Toc14946"/>
      <w:bookmarkStart w:id="69" w:name="_Toc26393"/>
      <w:bookmarkStart w:id="70" w:name="_Toc59992970"/>
      <w:bookmarkStart w:id="71" w:name="_Toc5035"/>
      <w:r>
        <w:rPr>
          <w:rFonts w:hint="eastAsia" w:ascii="Times New Roman" w:hAnsi="Times New Roman" w:cs="Times New Roman"/>
          <w:b w:val="0"/>
          <w:bCs w:val="0"/>
          <w:sz w:val="32"/>
        </w:rPr>
        <w:t>第三章</w:t>
      </w:r>
      <w:r>
        <w:rPr>
          <w:rFonts w:ascii="Times New Roman" w:hAnsi="Times New Roman" w:cs="Times New Roman"/>
          <w:b w:val="0"/>
          <w:bCs w:val="0"/>
          <w:sz w:val="32"/>
        </w:rPr>
        <w:t xml:space="preserve">  </w:t>
      </w:r>
      <w:r>
        <w:rPr>
          <w:rFonts w:hint="eastAsia" w:ascii="Times New Roman" w:hAnsi="Times New Roman" w:cs="Times New Roman"/>
          <w:b w:val="0"/>
          <w:bCs w:val="0"/>
          <w:sz w:val="32"/>
        </w:rPr>
        <w:t>定位</w:t>
      </w:r>
      <w:bookmarkEnd w:id="60"/>
      <w:bookmarkEnd w:id="61"/>
      <w:r>
        <w:rPr>
          <w:rFonts w:hint="eastAsia" w:ascii="Times New Roman" w:hAnsi="Times New Roman" w:cs="Times New Roman"/>
          <w:b w:val="0"/>
          <w:bCs w:val="0"/>
          <w:sz w:val="32"/>
        </w:rPr>
        <w:t>和布局</w:t>
      </w:r>
      <w:bookmarkEnd w:id="62"/>
      <w:bookmarkEnd w:id="63"/>
      <w:bookmarkEnd w:id="64"/>
      <w:bookmarkEnd w:id="65"/>
      <w:bookmarkEnd w:id="66"/>
    </w:p>
    <w:p>
      <w:pPr>
        <w:pStyle w:val="5"/>
        <w:spacing w:before="62" w:beforeLines="20" w:after="62" w:afterLines="20" w:line="560" w:lineRule="exact"/>
        <w:rPr>
          <w:rFonts w:ascii="仿宋_GB2312" w:hAnsi="仿宋_GB2312" w:eastAsia="仿宋_GB2312" w:cs="仿宋_GB2312"/>
          <w:sz w:val="32"/>
        </w:rPr>
      </w:pPr>
      <w:bookmarkStart w:id="72" w:name="_Toc23494"/>
      <w:bookmarkStart w:id="73" w:name="_Toc30903"/>
      <w:bookmarkStart w:id="74" w:name="_Toc17698"/>
      <w:bookmarkStart w:id="75" w:name="_Toc60134419"/>
      <w:bookmarkStart w:id="76" w:name="_Toc60584678"/>
      <w:r>
        <w:rPr>
          <w:rFonts w:hint="eastAsia" w:ascii="仿宋_GB2312" w:hAnsi="仿宋_GB2312" w:eastAsia="仿宋_GB2312" w:cs="仿宋_GB2312"/>
          <w:sz w:val="32"/>
        </w:rPr>
        <w:t>第一节  发展定位</w:t>
      </w:r>
      <w:bookmarkEnd w:id="72"/>
      <w:bookmarkEnd w:id="73"/>
      <w:bookmarkEnd w:id="74"/>
      <w:bookmarkEnd w:id="75"/>
      <w:bookmarkEnd w:id="76"/>
      <w:r>
        <w:rPr>
          <w:rFonts w:hint="eastAsia" w:ascii="仿宋_GB2312" w:hAnsi="仿宋_GB2312" w:eastAsia="仿宋_GB2312" w:cs="仿宋_GB2312"/>
          <w:sz w:val="32"/>
        </w:rPr>
        <w:t xml:space="preserve"> </w:t>
      </w:r>
    </w:p>
    <w:p>
      <w:pPr>
        <w:spacing w:line="560" w:lineRule="exact"/>
        <w:ind w:firstLine="560" w:firstLineChars="0"/>
        <w:rPr>
          <w:sz w:val="32"/>
          <w:szCs w:val="32"/>
        </w:rPr>
      </w:pPr>
      <w:r>
        <w:rPr>
          <w:rFonts w:hint="eastAsia"/>
          <w:sz w:val="32"/>
          <w:szCs w:val="32"/>
        </w:rPr>
        <w:t>紧紧围绕渝东北三峡库区生态优先绿色发展示范区总体定位，牢牢守住筑牢长江上游生态屏障底线任务，综合考虑建成长江经济带上的绿色生态强县和区域性功能中心的总体目标，初步确定奉节县发展定位为“四区一地，美丽家园”。</w:t>
      </w:r>
    </w:p>
    <w:p>
      <w:pPr>
        <w:spacing w:line="560" w:lineRule="exact"/>
        <w:ind w:firstLine="640" w:firstLineChars="0"/>
        <w:rPr>
          <w:sz w:val="32"/>
          <w:szCs w:val="32"/>
        </w:rPr>
      </w:pPr>
      <w:r>
        <w:rPr>
          <w:rFonts w:hint="eastAsia"/>
          <w:sz w:val="32"/>
          <w:szCs w:val="32"/>
        </w:rPr>
        <w:t>“生态秀美”的渝东北三峡库区生态屏障共建示范区。围绕建设山清水秀美丽之地，始终把保护和修复长江生态环境摆在压倒性位置，大力实施减载增绿、减排增效、减量增质、减人增容，站好守护长江母亲河的“奉节岗哨”，不让垃圾出夔门、不让污水进长江、不让青山开天窗。</w:t>
      </w:r>
    </w:p>
    <w:p>
      <w:pPr>
        <w:spacing w:line="560" w:lineRule="exact"/>
        <w:ind w:firstLine="640" w:firstLineChars="0"/>
        <w:rPr>
          <w:sz w:val="32"/>
          <w:szCs w:val="32"/>
        </w:rPr>
      </w:pPr>
      <w:r>
        <w:rPr>
          <w:rFonts w:hint="eastAsia"/>
          <w:sz w:val="32"/>
          <w:szCs w:val="32"/>
        </w:rPr>
        <w:t>“生活优美”的渝东北三峡库区大健康产业发展示范区。围绕建设高品质生活宜居地，依托丰富多样的生态康养资源，建设特色城镇，提升人居环境，壮大药养产业，做强健身康体，打通产业链条，推动特色发展，提升生态价值。</w:t>
      </w:r>
    </w:p>
    <w:p>
      <w:pPr>
        <w:spacing w:line="560" w:lineRule="exact"/>
        <w:ind w:firstLine="640" w:firstLineChars="0"/>
        <w:rPr>
          <w:sz w:val="32"/>
          <w:szCs w:val="32"/>
        </w:rPr>
      </w:pPr>
      <w:r>
        <w:rPr>
          <w:rFonts w:hint="eastAsia"/>
          <w:sz w:val="32"/>
          <w:szCs w:val="32"/>
        </w:rPr>
        <w:t>“发展壮美”的渝东北三峡库区向东开放先行示范区。创新推进“奉巫巫”区域一体化协同发展，依托综合交通体系和渝陕鄂现代商贸物流基地的优势，围绕建设改革开放新高地，立足区位优势，拓展通道经济，打造成渝双城经济圈与武汉中部城市群之间的重要节点。</w:t>
      </w:r>
    </w:p>
    <w:p>
      <w:pPr>
        <w:spacing w:line="560" w:lineRule="exact"/>
        <w:ind w:firstLine="640" w:firstLineChars="0"/>
        <w:rPr>
          <w:sz w:val="32"/>
          <w:szCs w:val="32"/>
        </w:rPr>
      </w:pPr>
      <w:r>
        <w:rPr>
          <w:rFonts w:hint="eastAsia"/>
          <w:sz w:val="32"/>
          <w:szCs w:val="32"/>
        </w:rPr>
        <w:t>“乡村丰美”的渝东北三峡库区山地特色高效农业示范区。聚焦现代农业绿色发展先行区，大力发展脐橙、油橄榄、小水果、中药材等优势产业，打造标准农业、品质农业、品牌农业、智慧农业，推动产业生态化和生态产业化，促进</w:t>
      </w:r>
      <w:r>
        <w:rPr>
          <w:rFonts w:hint="eastAsia"/>
          <w:sz w:val="32"/>
          <w:szCs w:val="32"/>
          <w:lang w:eastAsia="zh-CN"/>
        </w:rPr>
        <w:t>一二三产业融合</w:t>
      </w:r>
      <w:r>
        <w:rPr>
          <w:rFonts w:hint="eastAsia"/>
          <w:sz w:val="32"/>
          <w:szCs w:val="32"/>
        </w:rPr>
        <w:t>发展，让绿水青山转化成更多的金山银山。</w:t>
      </w:r>
    </w:p>
    <w:p>
      <w:pPr>
        <w:spacing w:line="560" w:lineRule="exact"/>
        <w:ind w:firstLine="560" w:firstLineChars="0"/>
        <w:rPr>
          <w:sz w:val="32"/>
          <w:szCs w:val="32"/>
        </w:rPr>
      </w:pPr>
      <w:r>
        <w:rPr>
          <w:sz w:val="32"/>
          <w:szCs w:val="32"/>
        </w:rPr>
        <w:t>“</w:t>
      </w:r>
      <w:r>
        <w:rPr>
          <w:rFonts w:hint="eastAsia"/>
          <w:sz w:val="32"/>
          <w:szCs w:val="32"/>
        </w:rPr>
        <w:t>文化和美”的长江三峡第一旅游目的地。聚焦长江三峡国际黄金旅游带核心区和世界级旅游目的地，突出保护好利用好生态和人文“两个宝贝”，做大做响“三峡之巅·诗橙奉节”核心品牌和“中华诗城”这一世界文化名片，打造长江诗词歌赋文化带、巴蜀文化长廊精品带、三峡黄金旅游核心带、三峡原乡特色产业带，推动文化旅游深度融合发展。</w:t>
      </w:r>
    </w:p>
    <w:p>
      <w:pPr>
        <w:spacing w:line="560" w:lineRule="exact"/>
        <w:ind w:firstLine="560" w:firstLineChars="0"/>
        <w:rPr>
          <w:sz w:val="32"/>
          <w:szCs w:val="32"/>
        </w:rPr>
      </w:pPr>
      <w:r>
        <w:rPr>
          <w:rFonts w:hint="eastAsia"/>
          <w:sz w:val="32"/>
          <w:szCs w:val="32"/>
        </w:rPr>
        <w:t>国家美丽山水园林城市宜居新家园。以“促进生产空间集约高效、生活空间宜居适度”为建设目标，加快推进宜居城市建设，补齐城市基础设施和公共服务短板，有序推进老旧小区改造、城市“双修”和减载西移等城市空间品质提升工程，升级城市发展动力承载空间，进一步彰显奉节品位。</w:t>
      </w:r>
    </w:p>
    <w:p>
      <w:pPr>
        <w:pStyle w:val="5"/>
        <w:spacing w:before="62" w:beforeLines="20" w:after="62" w:afterLines="20" w:line="560" w:lineRule="exact"/>
        <w:rPr>
          <w:rFonts w:ascii="仿宋_GB2312" w:hAnsi="仿宋_GB2312" w:eastAsia="仿宋_GB2312" w:cs="仿宋_GB2312"/>
          <w:sz w:val="32"/>
        </w:rPr>
      </w:pPr>
      <w:bookmarkStart w:id="77" w:name="_Toc60584679"/>
      <w:bookmarkStart w:id="78" w:name="_Toc60134420"/>
      <w:bookmarkStart w:id="79" w:name="_Toc31794"/>
      <w:bookmarkStart w:id="80" w:name="_Toc21313"/>
      <w:bookmarkStart w:id="81" w:name="_Toc26082"/>
      <w:r>
        <w:rPr>
          <w:rFonts w:hint="eastAsia" w:ascii="仿宋_GB2312" w:hAnsi="仿宋_GB2312" w:eastAsia="仿宋_GB2312" w:cs="仿宋_GB2312"/>
          <w:sz w:val="32"/>
        </w:rPr>
        <w:t>第二节  战略布局</w:t>
      </w:r>
      <w:bookmarkEnd w:id="77"/>
      <w:bookmarkEnd w:id="78"/>
      <w:bookmarkEnd w:id="79"/>
      <w:bookmarkEnd w:id="80"/>
      <w:bookmarkEnd w:id="81"/>
      <w:r>
        <w:rPr>
          <w:rFonts w:hint="eastAsia" w:ascii="仿宋_GB2312" w:hAnsi="仿宋_GB2312" w:eastAsia="仿宋_GB2312" w:cs="仿宋_GB2312"/>
          <w:sz w:val="32"/>
        </w:rPr>
        <w:t xml:space="preserve"> </w:t>
      </w:r>
    </w:p>
    <w:p>
      <w:pPr>
        <w:spacing w:line="560" w:lineRule="exact"/>
        <w:ind w:firstLine="640"/>
        <w:rPr>
          <w:rFonts w:hAnsi="仿宋_GB2312" w:cs="仿宋_GB2312"/>
          <w:sz w:val="32"/>
          <w:szCs w:val="32"/>
        </w:rPr>
      </w:pPr>
      <w:r>
        <w:rPr>
          <w:rFonts w:hint="eastAsia" w:cs="仿宋_GB2312"/>
          <w:sz w:val="32"/>
          <w:szCs w:val="32"/>
        </w:rPr>
        <w:t>“</w:t>
      </w:r>
      <w:r>
        <w:rPr>
          <w:rFonts w:hint="eastAsia" w:hAnsi="仿宋_GB2312" w:cs="仿宋_GB2312"/>
          <w:sz w:val="32"/>
          <w:szCs w:val="32"/>
        </w:rPr>
        <w:t>十三五</w:t>
      </w:r>
      <w:r>
        <w:rPr>
          <w:rFonts w:hint="eastAsia" w:cs="仿宋_GB2312"/>
          <w:sz w:val="32"/>
          <w:szCs w:val="32"/>
        </w:rPr>
        <w:t>”</w:t>
      </w:r>
      <w:r>
        <w:rPr>
          <w:rFonts w:hint="eastAsia" w:hAnsi="仿宋_GB2312" w:cs="仿宋_GB2312"/>
          <w:sz w:val="32"/>
          <w:szCs w:val="32"/>
        </w:rPr>
        <w:t>期间，县域形成城区、重点镇、一般镇三级城镇结构，城区形成</w:t>
      </w:r>
      <w:r>
        <w:rPr>
          <w:rFonts w:hint="eastAsia" w:cs="仿宋_GB2312"/>
          <w:sz w:val="32"/>
          <w:szCs w:val="32"/>
        </w:rPr>
        <w:t>“</w:t>
      </w:r>
      <w:r>
        <w:rPr>
          <w:rFonts w:hint="eastAsia" w:hAnsi="仿宋_GB2312" w:cs="仿宋_GB2312"/>
          <w:sz w:val="32"/>
          <w:szCs w:val="32"/>
        </w:rPr>
        <w:t>两心三带五组团</w:t>
      </w:r>
      <w:r>
        <w:rPr>
          <w:rFonts w:hint="eastAsia" w:cs="仿宋_GB2312"/>
          <w:sz w:val="32"/>
          <w:szCs w:val="32"/>
        </w:rPr>
        <w:t>”</w:t>
      </w:r>
      <w:r>
        <w:rPr>
          <w:rFonts w:hint="eastAsia" w:hAnsi="仿宋_GB2312" w:cs="仿宋_GB2312"/>
          <w:sz w:val="32"/>
          <w:szCs w:val="32"/>
        </w:rPr>
        <w:t>总体空间格局。与此同时，城区可建设空间规模短板逐步显现，人口密度和开发建设强度双压力逐年增大，地质灾害隐患突出，城市人口规模超过</w:t>
      </w:r>
      <w:r>
        <w:rPr>
          <w:rFonts w:hint="eastAsia" w:cs="仿宋_GB2312"/>
          <w:sz w:val="32"/>
          <w:szCs w:val="32"/>
        </w:rPr>
        <w:t>25</w:t>
      </w:r>
      <w:r>
        <w:rPr>
          <w:rFonts w:hint="eastAsia" w:hAnsi="仿宋_GB2312" w:cs="仿宋_GB2312"/>
          <w:sz w:val="32"/>
          <w:szCs w:val="32"/>
        </w:rPr>
        <w:t>万，人口密度和开发建设强度备受制约。围绕新型城镇化的深入推进要求，亟需拓展城镇建设空间，推动城区、园区、景区、镇区的空间统筹利用，疏解老城人口、集聚新增人口，跳出现有城区，开发新城，寻求替换空间，对老城区人口进行疏解，做大城市格局。</w:t>
      </w:r>
    </w:p>
    <w:p>
      <w:pPr>
        <w:spacing w:line="560" w:lineRule="exact"/>
        <w:ind w:firstLine="560" w:firstLineChars="0"/>
        <w:rPr>
          <w:sz w:val="32"/>
          <w:szCs w:val="32"/>
        </w:rPr>
      </w:pPr>
      <w:r>
        <w:rPr>
          <w:rFonts w:hint="eastAsia"/>
          <w:sz w:val="32"/>
          <w:szCs w:val="32"/>
        </w:rPr>
        <w:t>统筹利用县域空间，在“三区三线”划定基础上，加快实现生产空间集约高效、生活空间宜居适度、生态空间山清水秀，依托四座长江大桥及其向南北两岸延伸的隧道，构建“一核一圈两片”县域空间结构。“一核”即以现有城市规划区为核心，“一圈”即依托规划骨架路网在长江南北两岸形成环梅溪河（公平镇、石岗乡、康乐镇）、墨溪河（五马镇、新民镇、鹤峰乡）河谷地带构建城乡融合发展示范圈；“两片”即乡村振兴示范片和生态康养示范片，其中，北部片区（红土乡、汾河镇、岩湾乡、平安乡、青莲镇、竹园镇、大树镇）建设成为以生态修复为主的乡村振兴示范片，南部片区（吐祥镇、青龙镇、冯坪乡、长安土家族乡、兴隆镇、龙桥土家族乡、太和土家族乡、云雾土家族乡）建设成为以生态保护为主的生态康养示范片。</w:t>
      </w:r>
    </w:p>
    <w:p>
      <w:pPr>
        <w:pStyle w:val="24"/>
        <w:spacing w:beforeAutospacing="0" w:afterAutospacing="0" w:line="360" w:lineRule="auto"/>
        <w:ind w:firstLine="0" w:firstLineChars="0"/>
        <w:jc w:val="center"/>
        <w:rPr>
          <w:rFonts w:cs="仿宋_GB2312"/>
          <w:kern w:val="2"/>
          <w:sz w:val="32"/>
          <w:szCs w:val="32"/>
        </w:rPr>
      </w:pPr>
    </w:p>
    <w:p>
      <w:pPr>
        <w:pStyle w:val="24"/>
        <w:snapToGrid w:val="0"/>
        <w:spacing w:beforeAutospacing="0" w:afterAutospacing="0" w:line="360" w:lineRule="auto"/>
        <w:ind w:firstLine="0" w:firstLineChars="0"/>
        <w:jc w:val="center"/>
      </w:pPr>
      <w:r>
        <w:drawing>
          <wp:inline distT="0" distB="0" distL="0" distR="0">
            <wp:extent cx="5133340" cy="6734175"/>
            <wp:effectExtent l="19050" t="0" r="0" b="0"/>
            <wp:docPr id="1" name="图片 0" descr="微信图片_20210428100631.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0" descr="微信图片_20210428100631.jpg"/>
                    <pic:cNvPicPr>
                      <a:picLocks noChangeAspect="true"/>
                    </pic:cNvPicPr>
                  </pic:nvPicPr>
                  <pic:blipFill>
                    <a:blip r:embed="rId15" cstate="print"/>
                    <a:stretch>
                      <a:fillRect/>
                    </a:stretch>
                  </pic:blipFill>
                  <pic:spPr>
                    <a:xfrm>
                      <a:off x="0" y="0"/>
                      <a:ext cx="5136442" cy="6738240"/>
                    </a:xfrm>
                    <a:prstGeom prst="rect">
                      <a:avLst/>
                    </a:prstGeom>
                  </pic:spPr>
                </pic:pic>
              </a:graphicData>
            </a:graphic>
          </wp:inline>
        </w:drawing>
      </w:r>
    </w:p>
    <w:p>
      <w:pPr>
        <w:tabs>
          <w:tab w:val="left" w:pos="1755"/>
        </w:tabs>
        <w:snapToGrid w:val="0"/>
        <w:ind w:firstLine="0" w:firstLineChars="0"/>
        <w:jc w:val="center"/>
        <w:rPr>
          <w:rFonts w:cs="仿宋_GB2312"/>
          <w:b/>
          <w:bCs/>
          <w:szCs w:val="28"/>
        </w:rPr>
      </w:pPr>
      <w:r>
        <w:rPr>
          <w:rFonts w:hint="eastAsia" w:asciiTheme="minorEastAsia" w:hAnsiTheme="minorEastAsia" w:eastAsiaTheme="minorEastAsia" w:cstheme="minorEastAsia"/>
          <w:b/>
          <w:bCs/>
          <w:szCs w:val="28"/>
        </w:rPr>
        <w:t>图</w:t>
      </w:r>
      <w:r>
        <w:rPr>
          <w:rFonts w:cs="仿宋_GB2312"/>
          <w:b/>
          <w:bCs/>
          <w:szCs w:val="28"/>
        </w:rPr>
        <w:t>1</w:t>
      </w:r>
      <w:r>
        <w:rPr>
          <w:rFonts w:hint="eastAsia" w:cs="仿宋_GB2312"/>
          <w:b/>
          <w:bCs/>
          <w:szCs w:val="28"/>
        </w:rPr>
        <w:t xml:space="preserve">-1 </w:t>
      </w:r>
      <w:r>
        <w:rPr>
          <w:rFonts w:hint="eastAsia" w:asciiTheme="minorEastAsia" w:hAnsiTheme="minorEastAsia" w:eastAsiaTheme="minorEastAsia" w:cstheme="minorEastAsia"/>
          <w:b/>
          <w:bCs/>
          <w:szCs w:val="28"/>
        </w:rPr>
        <w:t>奉节县域空间结构</w:t>
      </w:r>
    </w:p>
    <w:p>
      <w:pPr>
        <w:pStyle w:val="5"/>
        <w:spacing w:before="62" w:beforeLines="20" w:after="62" w:afterLines="20" w:line="560" w:lineRule="exact"/>
        <w:rPr>
          <w:rFonts w:ascii="仿宋_GB2312" w:hAnsi="仿宋_GB2312" w:eastAsia="仿宋_GB2312" w:cs="仿宋_GB2312"/>
          <w:sz w:val="32"/>
        </w:rPr>
        <w:sectPr>
          <w:headerReference r:id="rId12" w:type="default"/>
          <w:footerReference r:id="rId13" w:type="default"/>
          <w:pgSz w:w="11906" w:h="16838"/>
          <w:pgMar w:top="1984" w:right="1531" w:bottom="1531" w:left="1531" w:header="907" w:footer="1191" w:gutter="0"/>
          <w:pgNumType w:start="1"/>
          <w:cols w:space="425" w:num="1"/>
          <w:docGrid w:type="lines" w:linePitch="312" w:charSpace="0"/>
        </w:sectPr>
      </w:pPr>
      <w:bookmarkStart w:id="82" w:name="_Toc60134421"/>
      <w:bookmarkStart w:id="83" w:name="_Toc32224"/>
    </w:p>
    <w:p>
      <w:pPr>
        <w:pStyle w:val="5"/>
        <w:spacing w:before="62" w:beforeLines="20" w:after="62" w:afterLines="20" w:line="560" w:lineRule="exact"/>
      </w:pPr>
      <w:bookmarkStart w:id="84" w:name="_Toc27144"/>
      <w:bookmarkStart w:id="85" w:name="_Toc60584680"/>
      <w:bookmarkStart w:id="86" w:name="_Toc28122"/>
      <w:r>
        <w:rPr>
          <w:rFonts w:hint="eastAsia" w:ascii="仿宋_GB2312" w:hAnsi="仿宋_GB2312" w:eastAsia="仿宋_GB2312" w:cs="仿宋_GB2312"/>
          <w:sz w:val="32"/>
        </w:rPr>
        <w:t>第三节  交通布局</w:t>
      </w:r>
      <w:bookmarkEnd w:id="82"/>
      <w:bookmarkEnd w:id="83"/>
      <w:bookmarkEnd w:id="84"/>
      <w:bookmarkEnd w:id="85"/>
      <w:bookmarkEnd w:id="86"/>
      <w:r>
        <w:rPr>
          <w:rFonts w:eastAsia="黑体"/>
          <w:b w:val="0"/>
          <w:bCs w:val="0"/>
          <w:sz w:val="32"/>
        </w:rPr>
        <w:t xml:space="preserve"> </w:t>
      </w:r>
    </w:p>
    <w:p>
      <w:pPr>
        <w:tabs>
          <w:tab w:val="left" w:pos="1755"/>
        </w:tabs>
        <w:snapToGrid w:val="0"/>
        <w:spacing w:line="560" w:lineRule="exact"/>
        <w:ind w:firstLine="640"/>
        <w:rPr>
          <w:rFonts w:cs="仿宋_GB2312"/>
          <w:sz w:val="32"/>
          <w:szCs w:val="32"/>
        </w:rPr>
      </w:pPr>
      <w:r>
        <w:rPr>
          <w:rFonts w:hint="eastAsia" w:hAnsi="仿宋_GB2312" w:cs="仿宋_GB2312"/>
          <w:sz w:val="32"/>
          <w:szCs w:val="32"/>
        </w:rPr>
        <w:t>构建“三铁五高六港两机一网”的综合立体交通体系。其中，“三铁”为郑万高铁及巫溪支线、安张铁路、沿江铁路，“五高”为G42沪蓉高速、万州至巫山南线高速、寂静互通至南溪高速公路（远期）、G6911安来高速、巫奉利高速，“六港”为夔门重点港、宝塔坪旅游客运作业区、红湾子货运作业区、安坪货运作业区、大溪河货运作业区、危化品作业区，“两机”为巫山旅游支线机场和白帝城、天坑地缝通用机场等两类机场，“一网”为国省干线和农村公路网。</w:t>
      </w:r>
    </w:p>
    <w:p>
      <w:pPr>
        <w:tabs>
          <w:tab w:val="left" w:pos="1755"/>
        </w:tabs>
        <w:snapToGrid w:val="0"/>
        <w:ind w:firstLine="0" w:firstLineChars="0"/>
        <w:jc w:val="center"/>
        <w:rPr>
          <w:rFonts w:cs="仿宋_GB2312"/>
          <w:sz w:val="32"/>
          <w:szCs w:val="32"/>
        </w:rPr>
      </w:pPr>
      <w:r>
        <w:rPr>
          <w:rFonts w:cs="仿宋_GB2312"/>
          <w:sz w:val="32"/>
          <w:szCs w:val="32"/>
        </w:rPr>
        <w:drawing>
          <wp:inline distT="0" distB="0" distL="0" distR="0">
            <wp:extent cx="5457825" cy="7620000"/>
            <wp:effectExtent l="0" t="0" r="9525" b="0"/>
            <wp:docPr id="11"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true"/>
                    </pic:cNvPicPr>
                  </pic:nvPicPr>
                  <pic:blipFill>
                    <a:blip r:embed="rId16" cstate="print">
                      <a:extLst>
                        <a:ext uri="{28A0092B-C50C-407E-A947-70E740481C1C}">
                          <a14:useLocalDpi xmlns:a14="http://schemas.microsoft.com/office/drawing/2010/main" val="false"/>
                        </a:ext>
                      </a:extLst>
                    </a:blip>
                    <a:stretch>
                      <a:fillRect/>
                    </a:stretch>
                  </pic:blipFill>
                  <pic:spPr>
                    <a:xfrm>
                      <a:off x="0" y="0"/>
                      <a:ext cx="5457825" cy="7620000"/>
                    </a:xfrm>
                    <a:prstGeom prst="rect">
                      <a:avLst/>
                    </a:prstGeom>
                  </pic:spPr>
                </pic:pic>
              </a:graphicData>
            </a:graphic>
          </wp:inline>
        </w:drawing>
      </w:r>
    </w:p>
    <w:p>
      <w:pPr>
        <w:tabs>
          <w:tab w:val="left" w:pos="1755"/>
        </w:tabs>
        <w:snapToGrid w:val="0"/>
        <w:ind w:firstLine="562"/>
        <w:jc w:val="center"/>
        <w:rPr>
          <w:rFonts w:asciiTheme="minorEastAsia" w:hAnsiTheme="minorEastAsia" w:eastAsiaTheme="minorEastAsia" w:cstheme="minorEastAsia"/>
          <w:b/>
          <w:bCs/>
          <w:szCs w:val="28"/>
        </w:rPr>
      </w:pPr>
      <w:r>
        <w:rPr>
          <w:rFonts w:hint="eastAsia" w:asciiTheme="minorEastAsia" w:hAnsiTheme="minorEastAsia" w:eastAsiaTheme="minorEastAsia" w:cstheme="minorEastAsia"/>
          <w:b/>
          <w:bCs/>
          <w:szCs w:val="28"/>
        </w:rPr>
        <w:t>图</w:t>
      </w:r>
      <w:r>
        <w:rPr>
          <w:rFonts w:eastAsiaTheme="minorEastAsia"/>
          <w:b/>
          <w:bCs/>
          <w:szCs w:val="28"/>
        </w:rPr>
        <w:t>1-2</w:t>
      </w:r>
      <w:r>
        <w:rPr>
          <w:rFonts w:hint="eastAsia" w:asciiTheme="minorEastAsia" w:hAnsiTheme="minorEastAsia" w:eastAsiaTheme="minorEastAsia" w:cstheme="minorEastAsia"/>
          <w:b/>
          <w:bCs/>
          <w:szCs w:val="28"/>
        </w:rPr>
        <w:t xml:space="preserve"> 奉节县综合交通格局</w:t>
      </w:r>
    </w:p>
    <w:p>
      <w:pPr>
        <w:pStyle w:val="4"/>
        <w:spacing w:line="560" w:lineRule="exact"/>
        <w:ind w:firstLine="640"/>
        <w:rPr>
          <w:sz w:val="32"/>
        </w:rPr>
      </w:pPr>
      <w:bookmarkStart w:id="87" w:name="_Toc6519"/>
      <w:bookmarkStart w:id="88" w:name="_Toc60584681"/>
      <w:bookmarkStart w:id="89" w:name="_Toc20731"/>
      <w:bookmarkStart w:id="90" w:name="_Toc3231"/>
      <w:r>
        <w:rPr>
          <w:rFonts w:hint="eastAsia" w:ascii="Times New Roman" w:hAnsi="Times New Roman" w:cs="Times New Roman"/>
          <w:b w:val="0"/>
          <w:bCs w:val="0"/>
          <w:sz w:val="32"/>
        </w:rPr>
        <w:t>第四章  发展目标</w:t>
      </w:r>
      <w:bookmarkEnd w:id="67"/>
      <w:bookmarkEnd w:id="68"/>
      <w:bookmarkEnd w:id="69"/>
      <w:bookmarkEnd w:id="70"/>
      <w:bookmarkEnd w:id="71"/>
      <w:bookmarkEnd w:id="87"/>
      <w:bookmarkEnd w:id="88"/>
      <w:bookmarkEnd w:id="89"/>
      <w:bookmarkEnd w:id="90"/>
    </w:p>
    <w:p>
      <w:pPr>
        <w:spacing w:line="560" w:lineRule="exact"/>
        <w:ind w:firstLine="640"/>
        <w:rPr>
          <w:sz w:val="32"/>
          <w:szCs w:val="32"/>
        </w:rPr>
      </w:pPr>
      <w:r>
        <w:rPr>
          <w:rFonts w:hint="eastAsia"/>
          <w:sz w:val="32"/>
          <w:szCs w:val="32"/>
        </w:rPr>
        <w:t>对标习近平总书记对重庆作出的系列重要指示和市委市政府对奉节提出的系列要求，充分考虑奉节县发展阶段性特征和未来发展支撑条件，提出“十四五”和二〇三五年远景目标。</w:t>
      </w:r>
    </w:p>
    <w:p>
      <w:pPr>
        <w:pStyle w:val="5"/>
        <w:spacing w:before="62" w:beforeLines="20" w:after="62" w:afterLines="20" w:line="560" w:lineRule="exact"/>
        <w:rPr>
          <w:rFonts w:ascii="仿宋_GB2312" w:hAnsi="仿宋_GB2312" w:eastAsia="仿宋_GB2312" w:cs="仿宋_GB2312"/>
          <w:sz w:val="32"/>
        </w:rPr>
      </w:pPr>
      <w:bookmarkStart w:id="91" w:name="_Toc7737"/>
      <w:bookmarkStart w:id="92" w:name="_Toc9346"/>
      <w:bookmarkStart w:id="93" w:name="_Toc60584682"/>
      <w:bookmarkStart w:id="94" w:name="_Toc59992971"/>
      <w:bookmarkStart w:id="95" w:name="_Toc19023"/>
      <w:bookmarkStart w:id="96" w:name="_Toc4329"/>
      <w:bookmarkStart w:id="97" w:name="_Toc12076"/>
      <w:bookmarkStart w:id="98" w:name="_Toc4223"/>
      <w:r>
        <w:rPr>
          <w:rFonts w:hint="eastAsia" w:ascii="仿宋_GB2312" w:hAnsi="仿宋_GB2312" w:eastAsia="仿宋_GB2312" w:cs="仿宋_GB2312"/>
          <w:sz w:val="32"/>
        </w:rPr>
        <w:t>第一节  “十四五”发展目标</w:t>
      </w:r>
      <w:bookmarkEnd w:id="91"/>
      <w:bookmarkEnd w:id="92"/>
      <w:bookmarkEnd w:id="93"/>
      <w:bookmarkEnd w:id="94"/>
      <w:bookmarkEnd w:id="95"/>
      <w:bookmarkEnd w:id="96"/>
      <w:bookmarkEnd w:id="97"/>
      <w:bookmarkEnd w:id="98"/>
    </w:p>
    <w:p>
      <w:pPr>
        <w:spacing w:line="560" w:lineRule="exact"/>
        <w:ind w:firstLine="640"/>
        <w:rPr>
          <w:sz w:val="32"/>
          <w:szCs w:val="32"/>
        </w:rPr>
      </w:pPr>
      <w:r>
        <w:rPr>
          <w:rFonts w:hint="eastAsia"/>
          <w:sz w:val="32"/>
          <w:szCs w:val="32"/>
        </w:rPr>
        <w:t>今后五年，努力在推进新时代西部大开发发挥支撑作用中有作为、在推进共建“一带一路”发挥带动作用中有突破、在推进长江经济带绿色发展发挥示范作用中当标杆，加快打造“好山好水好风光，有诗有橙有远方”的美丽奉节，建设形成“四区一地，美丽家园”，建设长江经济带上的绿色生态强县和区域性功能中心取得长足进展。</w:t>
      </w:r>
    </w:p>
    <w:p>
      <w:pPr>
        <w:spacing w:line="560" w:lineRule="exact"/>
        <w:ind w:firstLine="640"/>
        <w:rPr>
          <w:sz w:val="32"/>
          <w:szCs w:val="32"/>
        </w:rPr>
      </w:pPr>
      <w:r>
        <w:rPr>
          <w:rFonts w:hint="eastAsia"/>
          <w:sz w:val="32"/>
          <w:szCs w:val="32"/>
        </w:rPr>
        <w:t>——美丽经济取得新成效。在质量效益明显提升的基础上实现经济持续健康发展，生态与人文的增长潜力充分发挥，经济结构更加优化，创新能力显著提升，基础设施联通水平大幅提升。发展成为“世界级旅游目的地、奉节脐橙中国典范、奉节眼镜重庆名片、区域性消费中心城市”，以秀美生态为本底、壮美产业为支撑、丰美乡村为承载、和美人文为动力、优美生活为目标的美丽经济发展体系全面形成。</w:t>
      </w:r>
    </w:p>
    <w:p>
      <w:pPr>
        <w:spacing w:line="560" w:lineRule="exact"/>
        <w:ind w:firstLine="640"/>
        <w:rPr>
          <w:sz w:val="32"/>
          <w:szCs w:val="32"/>
        </w:rPr>
      </w:pPr>
      <w:r>
        <w:rPr>
          <w:rFonts w:hint="eastAsia"/>
          <w:sz w:val="32"/>
          <w:szCs w:val="32"/>
        </w:rPr>
        <w:t>——“向东开放”迈出新步伐。高标准市场体系基本建成，产权制度改革和要素市场化配置改革取得重大进展，制度性交易成本明显降低，公平竞争制度更加健全，营商环境达到先进水平，市场主体更加充满活力。加快融入成渝地区双城经济圈建设和“一区两群”协调发展，推进渝东北三峡库区城镇群特别是“奉巫巫”板块协调发展，建设重庆内陆开放高地通道上的第一站，渝东北商贸物流、旅游集散等区域性功能中心和三峡腹心综合交通枢纽基本建成。</w:t>
      </w:r>
    </w:p>
    <w:p>
      <w:pPr>
        <w:spacing w:line="560" w:lineRule="exact"/>
        <w:ind w:firstLine="640"/>
        <w:rPr>
          <w:sz w:val="32"/>
          <w:szCs w:val="32"/>
        </w:rPr>
      </w:pPr>
      <w:r>
        <w:rPr>
          <w:rFonts w:hint="eastAsia"/>
          <w:sz w:val="32"/>
          <w:szCs w:val="32"/>
        </w:rPr>
        <w:t>——社会文明程度得到新提高。社会主义核心价值观深入人心，人民群众思想道德素质、科学文化素质和身心健康素质明显提高，公共文化服务体系和文化产业体系建设更加健全，人民精神文化生活日益丰富。诗词文化、土家文化等历史文化保护传承利用进一步加强，城市人文内涵更加丰富，全县人民的文化自信进一步增强。</w:t>
      </w:r>
    </w:p>
    <w:p>
      <w:pPr>
        <w:spacing w:line="560" w:lineRule="exact"/>
        <w:ind w:firstLine="640"/>
        <w:rPr>
          <w:sz w:val="32"/>
          <w:szCs w:val="32"/>
        </w:rPr>
      </w:pPr>
      <w:r>
        <w:rPr>
          <w:rFonts w:hint="eastAsia"/>
          <w:sz w:val="32"/>
          <w:szCs w:val="32"/>
        </w:rPr>
        <w:t>——生态文明建设取得新进展。国土空间开发保护格局得到优化，生产生活方式绿色转型成效显著，能源资源配置更加合理、利用效率大幅提高，环境突出问题得到有效解决，生态文明制度体系不断健全，唱响“大长江·美三峡”品牌，守好重庆山清水秀美丽之地最后一关，长江上游重要生态屏障更加牢固。</w:t>
      </w:r>
    </w:p>
    <w:p>
      <w:pPr>
        <w:spacing w:line="560" w:lineRule="exact"/>
        <w:ind w:firstLine="640"/>
        <w:rPr>
          <w:sz w:val="32"/>
          <w:szCs w:val="32"/>
        </w:rPr>
      </w:pPr>
      <w:r>
        <w:rPr>
          <w:rFonts w:hint="eastAsia"/>
          <w:sz w:val="32"/>
          <w:szCs w:val="32"/>
        </w:rPr>
        <w:t>——民生福祉达到新水平。实现更加充分更高质量就业，居民收入增长和经济增长基本同步，分配结构明显改善，教育、医疗、养老等基本公共服务供给更加优质均衡，多层次社会保障体系更加健全，脱贫攻坚成果巩固拓展，乡村振兴战略全面推进，城乡人居环境更加优美，高品质生活实现长足进步。</w:t>
      </w:r>
    </w:p>
    <w:p>
      <w:pPr>
        <w:spacing w:line="560" w:lineRule="exact"/>
        <w:ind w:firstLine="640"/>
      </w:pPr>
      <w:r>
        <w:rPr>
          <w:rFonts w:hint="eastAsia"/>
          <w:sz w:val="32"/>
          <w:szCs w:val="32"/>
        </w:rPr>
        <w:t>——社会治理得到新提升。社会主义民主法治更加健全，社会公平正义进一步彰显，政府作用更好发挥，行政效率和公信力显著提升，社会治理特别是基层治理水平明显提高，防范化解重大风险体制机制不断健全，突发公共事件应急能力显著增强，自然灾害防御能力明显提升，发展安全保障更加有力，平安建设迈出重大步伐。</w:t>
      </w:r>
    </w:p>
    <w:p>
      <w:pPr>
        <w:widowControl/>
        <w:ind w:firstLine="0" w:firstLineChars="0"/>
        <w:contextualSpacing w:val="0"/>
        <w:jc w:val="left"/>
        <w:rPr>
          <w:rFonts w:eastAsia="黑体"/>
          <w:bCs/>
          <w:sz w:val="24"/>
          <w:szCs w:val="24"/>
        </w:rPr>
      </w:pPr>
      <w:r>
        <w:rPr>
          <w:rFonts w:eastAsia="黑体"/>
          <w:bCs/>
          <w:sz w:val="24"/>
          <w:szCs w:val="24"/>
        </w:rPr>
        <w:br w:type="page"/>
      </w:r>
    </w:p>
    <w:p>
      <w:pPr>
        <w:snapToGrid w:val="0"/>
        <w:spacing w:line="560" w:lineRule="exact"/>
        <w:ind w:firstLine="480" w:firstLineChars="0"/>
        <w:jc w:val="center"/>
      </w:pPr>
      <w:r>
        <w:rPr>
          <w:rFonts w:hint="eastAsia" w:eastAsia="黑体"/>
          <w:bCs/>
          <w:sz w:val="24"/>
          <w:szCs w:val="24"/>
        </w:rPr>
        <w:t>表1</w:t>
      </w:r>
      <w:r>
        <w:rPr>
          <w:rFonts w:eastAsia="黑体"/>
          <w:bCs/>
          <w:sz w:val="24"/>
          <w:szCs w:val="24"/>
        </w:rPr>
        <w:t>-2</w:t>
      </w:r>
      <w:r>
        <w:rPr>
          <w:rFonts w:hint="eastAsia" w:eastAsia="黑体"/>
          <w:bCs/>
          <w:sz w:val="24"/>
          <w:szCs w:val="24"/>
        </w:rPr>
        <w:t xml:space="preserve"> 奉节县“十四五”时期高质量发展主要指标</w:t>
      </w:r>
    </w:p>
    <w:tbl>
      <w:tblPr>
        <w:tblStyle w:val="27"/>
        <w:tblW w:w="8664" w:type="dxa"/>
        <w:tblInd w:w="0" w:type="dxa"/>
        <w:tblLayout w:type="fixed"/>
        <w:tblCellMar>
          <w:top w:w="15" w:type="dxa"/>
          <w:left w:w="15" w:type="dxa"/>
          <w:bottom w:w="15" w:type="dxa"/>
          <w:right w:w="15" w:type="dxa"/>
        </w:tblCellMar>
      </w:tblPr>
      <w:tblGrid>
        <w:gridCol w:w="577"/>
        <w:gridCol w:w="4845"/>
        <w:gridCol w:w="988"/>
        <w:gridCol w:w="7"/>
        <w:gridCol w:w="931"/>
        <w:gridCol w:w="8"/>
        <w:gridCol w:w="1308"/>
      </w:tblGrid>
      <w:tr>
        <w:tblPrEx>
          <w:tblCellMar>
            <w:top w:w="15" w:type="dxa"/>
            <w:left w:w="15" w:type="dxa"/>
            <w:bottom w:w="15" w:type="dxa"/>
            <w:right w:w="15" w:type="dxa"/>
          </w:tblCellMar>
        </w:tblPrEx>
        <w:trPr>
          <w:trHeight w:val="1205"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b/>
                <w:sz w:val="24"/>
                <w:szCs w:val="24"/>
              </w:rPr>
            </w:pPr>
            <w:r>
              <w:rPr>
                <w:rFonts w:eastAsiaTheme="minorEastAsia"/>
                <w:b/>
                <w:kern w:val="0"/>
                <w:sz w:val="24"/>
                <w:szCs w:val="24"/>
              </w:rPr>
              <w:t>序号</w:t>
            </w:r>
          </w:p>
        </w:tc>
        <w:tc>
          <w:tcPr>
            <w:tcW w:w="4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b/>
                <w:sz w:val="24"/>
                <w:szCs w:val="24"/>
              </w:rPr>
            </w:pPr>
            <w:r>
              <w:rPr>
                <w:rFonts w:eastAsiaTheme="minorEastAsia"/>
                <w:b/>
                <w:kern w:val="0"/>
                <w:sz w:val="24"/>
                <w:szCs w:val="24"/>
              </w:rPr>
              <w:t>指标名称</w:t>
            </w:r>
          </w:p>
        </w:tc>
        <w:tc>
          <w:tcPr>
            <w:tcW w:w="9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b/>
                <w:sz w:val="24"/>
                <w:szCs w:val="24"/>
              </w:rPr>
            </w:pPr>
            <w:r>
              <w:rPr>
                <w:rFonts w:eastAsiaTheme="minorEastAsia"/>
                <w:b/>
                <w:kern w:val="0"/>
                <w:sz w:val="24"/>
                <w:szCs w:val="24"/>
              </w:rPr>
              <w:t>2020年</w:t>
            </w:r>
            <w:r>
              <w:rPr>
                <w:rFonts w:eastAsiaTheme="minorEastAsia"/>
                <w:b/>
                <w:kern w:val="0"/>
                <w:sz w:val="24"/>
                <w:szCs w:val="24"/>
              </w:rPr>
              <w:br w:type="textWrapping"/>
            </w:r>
          </w:p>
        </w:tc>
        <w:tc>
          <w:tcPr>
            <w:tcW w:w="9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b/>
                <w:sz w:val="24"/>
                <w:szCs w:val="24"/>
              </w:rPr>
            </w:pPr>
            <w:r>
              <w:rPr>
                <w:rFonts w:eastAsiaTheme="minorEastAsia"/>
                <w:b/>
                <w:kern w:val="0"/>
                <w:sz w:val="24"/>
                <w:szCs w:val="24"/>
              </w:rPr>
              <w:t>2025年</w:t>
            </w:r>
          </w:p>
        </w:tc>
        <w:tc>
          <w:tcPr>
            <w:tcW w:w="13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b/>
                <w:sz w:val="24"/>
                <w:szCs w:val="24"/>
              </w:rPr>
            </w:pPr>
            <w:r>
              <w:rPr>
                <w:rFonts w:eastAsiaTheme="minorEastAsia"/>
                <w:b/>
                <w:kern w:val="0"/>
                <w:sz w:val="24"/>
                <w:szCs w:val="24"/>
              </w:rPr>
              <w:t>指标属性</w:t>
            </w:r>
          </w:p>
        </w:tc>
      </w:tr>
      <w:tr>
        <w:tblPrEx>
          <w:tblCellMar>
            <w:top w:w="15" w:type="dxa"/>
            <w:left w:w="15" w:type="dxa"/>
            <w:bottom w:w="15" w:type="dxa"/>
            <w:right w:w="15" w:type="dxa"/>
          </w:tblCellMar>
        </w:tblPrEx>
        <w:trPr>
          <w:trHeight w:val="480"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1</w:t>
            </w:r>
          </w:p>
        </w:tc>
        <w:tc>
          <w:tcPr>
            <w:tcW w:w="4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jc w:val="left"/>
              <w:textAlignment w:val="center"/>
              <w:rPr>
                <w:rFonts w:eastAsiaTheme="minorEastAsia"/>
                <w:sz w:val="22"/>
              </w:rPr>
            </w:pPr>
            <w:r>
              <w:rPr>
                <w:rFonts w:eastAsiaTheme="minorEastAsia"/>
                <w:kern w:val="0"/>
                <w:sz w:val="22"/>
              </w:rPr>
              <w:t>地区生产总值年均增速（%）</w:t>
            </w:r>
          </w:p>
        </w:tc>
        <w:tc>
          <w:tcPr>
            <w:tcW w:w="9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hint="eastAsia" w:eastAsiaTheme="minorEastAsia"/>
                <w:kern w:val="0"/>
                <w:sz w:val="22"/>
              </w:rPr>
              <w:t>8</w:t>
            </w:r>
            <w:r>
              <w:rPr>
                <w:rFonts w:eastAsiaTheme="minorEastAsia"/>
                <w:kern w:val="0"/>
                <w:sz w:val="22"/>
              </w:rPr>
              <w:t>.</w:t>
            </w:r>
            <w:r>
              <w:rPr>
                <w:rFonts w:hint="eastAsia" w:eastAsiaTheme="minorEastAsia"/>
                <w:kern w:val="0"/>
                <w:sz w:val="22"/>
              </w:rPr>
              <w:t>2</w:t>
            </w:r>
            <w:r>
              <w:rPr>
                <w:rFonts w:eastAsiaTheme="minorEastAsia"/>
                <w:kern w:val="0"/>
                <w:sz w:val="22"/>
              </w:rPr>
              <w:t>*</w:t>
            </w:r>
          </w:p>
        </w:tc>
        <w:tc>
          <w:tcPr>
            <w:tcW w:w="9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7.5*</w:t>
            </w:r>
          </w:p>
        </w:tc>
        <w:tc>
          <w:tcPr>
            <w:tcW w:w="13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预期性</w:t>
            </w:r>
          </w:p>
        </w:tc>
      </w:tr>
      <w:tr>
        <w:tblPrEx>
          <w:tblCellMar>
            <w:top w:w="15" w:type="dxa"/>
            <w:left w:w="15" w:type="dxa"/>
            <w:bottom w:w="15" w:type="dxa"/>
            <w:right w:w="15" w:type="dxa"/>
          </w:tblCellMar>
        </w:tblPrEx>
        <w:trPr>
          <w:trHeight w:val="570"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2</w:t>
            </w:r>
          </w:p>
        </w:tc>
        <w:tc>
          <w:tcPr>
            <w:tcW w:w="4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jc w:val="left"/>
              <w:textAlignment w:val="center"/>
              <w:rPr>
                <w:rFonts w:eastAsiaTheme="minorEastAsia"/>
                <w:sz w:val="22"/>
              </w:rPr>
            </w:pPr>
            <w:r>
              <w:rPr>
                <w:rFonts w:eastAsiaTheme="minorEastAsia"/>
                <w:kern w:val="0"/>
                <w:sz w:val="22"/>
              </w:rPr>
              <w:t>人均地区生产总值（万元，2020年价）</w:t>
            </w:r>
          </w:p>
        </w:tc>
        <w:tc>
          <w:tcPr>
            <w:tcW w:w="9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4.</w:t>
            </w:r>
            <w:r>
              <w:rPr>
                <w:rFonts w:hint="eastAsia" w:eastAsiaTheme="minorEastAsia"/>
                <w:kern w:val="0"/>
                <w:sz w:val="22"/>
              </w:rPr>
              <w:t>36</w:t>
            </w:r>
          </w:p>
        </w:tc>
        <w:tc>
          <w:tcPr>
            <w:tcW w:w="9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6</w:t>
            </w:r>
          </w:p>
        </w:tc>
        <w:tc>
          <w:tcPr>
            <w:tcW w:w="13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预期性</w:t>
            </w:r>
          </w:p>
        </w:tc>
      </w:tr>
      <w:tr>
        <w:tblPrEx>
          <w:tblCellMar>
            <w:top w:w="15" w:type="dxa"/>
            <w:left w:w="15" w:type="dxa"/>
            <w:bottom w:w="15" w:type="dxa"/>
            <w:right w:w="15" w:type="dxa"/>
          </w:tblCellMar>
        </w:tblPrEx>
        <w:trPr>
          <w:trHeight w:val="630" w:hRule="atLeast"/>
        </w:trPr>
        <w:tc>
          <w:tcPr>
            <w:tcW w:w="8664"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82"/>
              <w:jc w:val="center"/>
              <w:textAlignment w:val="center"/>
              <w:rPr>
                <w:rFonts w:eastAsiaTheme="minorEastAsia"/>
                <w:b/>
                <w:sz w:val="22"/>
              </w:rPr>
            </w:pPr>
            <w:r>
              <w:rPr>
                <w:rFonts w:eastAsiaTheme="minorEastAsia"/>
                <w:b/>
                <w:kern w:val="0"/>
                <w:sz w:val="24"/>
                <w:szCs w:val="24"/>
              </w:rPr>
              <w:t>一、推动高质量发展</w:t>
            </w:r>
          </w:p>
        </w:tc>
      </w:tr>
      <w:tr>
        <w:tblPrEx>
          <w:tblCellMar>
            <w:top w:w="15" w:type="dxa"/>
            <w:left w:w="15" w:type="dxa"/>
            <w:bottom w:w="15" w:type="dxa"/>
            <w:right w:w="15" w:type="dxa"/>
          </w:tblCellMar>
        </w:tblPrEx>
        <w:trPr>
          <w:trHeight w:val="285"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3</w:t>
            </w:r>
          </w:p>
        </w:tc>
        <w:tc>
          <w:tcPr>
            <w:tcW w:w="4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jc w:val="left"/>
              <w:textAlignment w:val="center"/>
              <w:rPr>
                <w:rFonts w:eastAsiaTheme="minorEastAsia"/>
                <w:sz w:val="22"/>
              </w:rPr>
            </w:pPr>
            <w:r>
              <w:rPr>
                <w:rFonts w:eastAsiaTheme="minorEastAsia"/>
                <w:kern w:val="0"/>
                <w:sz w:val="22"/>
              </w:rPr>
              <w:t>全员劳动生产率（万元/人，2020年价）</w:t>
            </w:r>
          </w:p>
        </w:tc>
        <w:tc>
          <w:tcPr>
            <w:tcW w:w="9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hint="eastAsia" w:eastAsiaTheme="minorEastAsia"/>
                <w:kern w:val="0"/>
                <w:sz w:val="22"/>
              </w:rPr>
              <w:t>6</w:t>
            </w:r>
          </w:p>
        </w:tc>
        <w:tc>
          <w:tcPr>
            <w:tcW w:w="9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9.5</w:t>
            </w:r>
          </w:p>
        </w:tc>
        <w:tc>
          <w:tcPr>
            <w:tcW w:w="13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预期性</w:t>
            </w:r>
          </w:p>
        </w:tc>
      </w:tr>
      <w:tr>
        <w:tblPrEx>
          <w:tblCellMar>
            <w:top w:w="15" w:type="dxa"/>
            <w:left w:w="15" w:type="dxa"/>
            <w:bottom w:w="15" w:type="dxa"/>
            <w:right w:w="15" w:type="dxa"/>
          </w:tblCellMar>
        </w:tblPrEx>
        <w:trPr>
          <w:trHeight w:val="285"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4</w:t>
            </w:r>
          </w:p>
        </w:tc>
        <w:tc>
          <w:tcPr>
            <w:tcW w:w="4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jc w:val="left"/>
              <w:textAlignment w:val="center"/>
              <w:rPr>
                <w:rFonts w:eastAsiaTheme="minorEastAsia"/>
                <w:sz w:val="22"/>
              </w:rPr>
            </w:pPr>
            <w:r>
              <w:rPr>
                <w:rFonts w:eastAsiaTheme="minorEastAsia"/>
                <w:kern w:val="0"/>
                <w:sz w:val="22"/>
              </w:rPr>
              <w:t>研发经费投入强度（%）</w:t>
            </w:r>
          </w:p>
        </w:tc>
        <w:tc>
          <w:tcPr>
            <w:tcW w:w="9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0.4</w:t>
            </w:r>
          </w:p>
        </w:tc>
        <w:tc>
          <w:tcPr>
            <w:tcW w:w="9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0.8</w:t>
            </w:r>
          </w:p>
        </w:tc>
        <w:tc>
          <w:tcPr>
            <w:tcW w:w="13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预期性</w:t>
            </w:r>
          </w:p>
        </w:tc>
      </w:tr>
      <w:tr>
        <w:tblPrEx>
          <w:tblCellMar>
            <w:top w:w="15" w:type="dxa"/>
            <w:left w:w="15" w:type="dxa"/>
            <w:bottom w:w="15" w:type="dxa"/>
            <w:right w:w="15" w:type="dxa"/>
          </w:tblCellMar>
        </w:tblPrEx>
        <w:trPr>
          <w:trHeight w:val="285"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5</w:t>
            </w:r>
          </w:p>
        </w:tc>
        <w:tc>
          <w:tcPr>
            <w:tcW w:w="4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jc w:val="left"/>
              <w:textAlignment w:val="center"/>
              <w:rPr>
                <w:rFonts w:eastAsiaTheme="minorEastAsia"/>
                <w:sz w:val="22"/>
              </w:rPr>
            </w:pPr>
            <w:r>
              <w:rPr>
                <w:rFonts w:eastAsiaTheme="minorEastAsia"/>
                <w:kern w:val="0"/>
                <w:sz w:val="22"/>
              </w:rPr>
              <w:t>数字经济增加值占地区生产总值比重（%）</w:t>
            </w:r>
          </w:p>
        </w:tc>
        <w:tc>
          <w:tcPr>
            <w:tcW w:w="9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1.5</w:t>
            </w:r>
          </w:p>
        </w:tc>
        <w:tc>
          <w:tcPr>
            <w:tcW w:w="9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10</w:t>
            </w:r>
          </w:p>
        </w:tc>
        <w:tc>
          <w:tcPr>
            <w:tcW w:w="13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预期性</w:t>
            </w:r>
          </w:p>
        </w:tc>
      </w:tr>
      <w:tr>
        <w:tblPrEx>
          <w:tblCellMar>
            <w:top w:w="15" w:type="dxa"/>
            <w:left w:w="15" w:type="dxa"/>
            <w:bottom w:w="15" w:type="dxa"/>
            <w:right w:w="15" w:type="dxa"/>
          </w:tblCellMar>
        </w:tblPrEx>
        <w:trPr>
          <w:trHeight w:val="285"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6</w:t>
            </w:r>
          </w:p>
        </w:tc>
        <w:tc>
          <w:tcPr>
            <w:tcW w:w="4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jc w:val="left"/>
              <w:textAlignment w:val="center"/>
              <w:rPr>
                <w:rFonts w:eastAsiaTheme="minorEastAsia"/>
                <w:sz w:val="22"/>
              </w:rPr>
            </w:pPr>
            <w:r>
              <w:rPr>
                <w:rFonts w:eastAsiaTheme="minorEastAsia"/>
                <w:kern w:val="0"/>
                <w:sz w:val="22"/>
              </w:rPr>
              <w:t>万人有效发明专利拥有量（件）</w:t>
            </w:r>
          </w:p>
        </w:tc>
        <w:tc>
          <w:tcPr>
            <w:tcW w:w="9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hint="eastAsia" w:eastAsiaTheme="minorEastAsia"/>
                <w:kern w:val="0"/>
                <w:sz w:val="22"/>
              </w:rPr>
              <w:t>4.19</w:t>
            </w:r>
          </w:p>
        </w:tc>
        <w:tc>
          <w:tcPr>
            <w:tcW w:w="9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5</w:t>
            </w:r>
          </w:p>
        </w:tc>
        <w:tc>
          <w:tcPr>
            <w:tcW w:w="13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预期性</w:t>
            </w:r>
          </w:p>
        </w:tc>
      </w:tr>
      <w:tr>
        <w:tblPrEx>
          <w:tblCellMar>
            <w:top w:w="15" w:type="dxa"/>
            <w:left w:w="15" w:type="dxa"/>
            <w:bottom w:w="15" w:type="dxa"/>
            <w:right w:w="15" w:type="dxa"/>
          </w:tblCellMar>
        </w:tblPrEx>
        <w:trPr>
          <w:trHeight w:val="285"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7</w:t>
            </w:r>
          </w:p>
        </w:tc>
        <w:tc>
          <w:tcPr>
            <w:tcW w:w="4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jc w:val="left"/>
              <w:textAlignment w:val="center"/>
              <w:rPr>
                <w:rFonts w:eastAsiaTheme="minorEastAsia"/>
                <w:sz w:val="22"/>
              </w:rPr>
            </w:pPr>
            <w:r>
              <w:rPr>
                <w:rFonts w:eastAsiaTheme="minorEastAsia"/>
                <w:kern w:val="0"/>
                <w:sz w:val="22"/>
              </w:rPr>
              <w:t>新增上市公司数量（家）</w:t>
            </w:r>
          </w:p>
        </w:tc>
        <w:tc>
          <w:tcPr>
            <w:tcW w:w="9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w:t>
            </w:r>
          </w:p>
        </w:tc>
        <w:tc>
          <w:tcPr>
            <w:tcW w:w="9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1</w:t>
            </w:r>
          </w:p>
        </w:tc>
        <w:tc>
          <w:tcPr>
            <w:tcW w:w="13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预期性</w:t>
            </w:r>
          </w:p>
        </w:tc>
      </w:tr>
      <w:tr>
        <w:tblPrEx>
          <w:tblCellMar>
            <w:top w:w="15" w:type="dxa"/>
            <w:left w:w="15" w:type="dxa"/>
            <w:bottom w:w="15" w:type="dxa"/>
            <w:right w:w="15" w:type="dxa"/>
          </w:tblCellMar>
        </w:tblPrEx>
        <w:trPr>
          <w:trHeight w:val="285"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8</w:t>
            </w:r>
          </w:p>
        </w:tc>
        <w:tc>
          <w:tcPr>
            <w:tcW w:w="4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jc w:val="left"/>
              <w:textAlignment w:val="center"/>
              <w:rPr>
                <w:rFonts w:eastAsiaTheme="minorEastAsia"/>
                <w:sz w:val="22"/>
              </w:rPr>
            </w:pPr>
            <w:r>
              <w:rPr>
                <w:rFonts w:eastAsiaTheme="minorEastAsia"/>
                <w:kern w:val="0"/>
                <w:sz w:val="22"/>
              </w:rPr>
              <w:t>常住人口城镇化率（%）</w:t>
            </w:r>
          </w:p>
        </w:tc>
        <w:tc>
          <w:tcPr>
            <w:tcW w:w="9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hint="eastAsia" w:eastAsiaTheme="minorEastAsia"/>
                <w:kern w:val="0"/>
                <w:sz w:val="22"/>
              </w:rPr>
              <w:t>50</w:t>
            </w:r>
          </w:p>
        </w:tc>
        <w:tc>
          <w:tcPr>
            <w:tcW w:w="9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61</w:t>
            </w:r>
          </w:p>
        </w:tc>
        <w:tc>
          <w:tcPr>
            <w:tcW w:w="13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预期性</w:t>
            </w:r>
          </w:p>
        </w:tc>
      </w:tr>
      <w:tr>
        <w:tblPrEx>
          <w:tblCellMar>
            <w:top w:w="15" w:type="dxa"/>
            <w:left w:w="15" w:type="dxa"/>
            <w:bottom w:w="15" w:type="dxa"/>
            <w:right w:w="15" w:type="dxa"/>
          </w:tblCellMar>
        </w:tblPrEx>
        <w:trPr>
          <w:trHeight w:val="630" w:hRule="atLeast"/>
        </w:trPr>
        <w:tc>
          <w:tcPr>
            <w:tcW w:w="8664"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82"/>
              <w:jc w:val="center"/>
              <w:textAlignment w:val="center"/>
              <w:rPr>
                <w:rFonts w:eastAsiaTheme="minorEastAsia"/>
                <w:b/>
                <w:sz w:val="22"/>
              </w:rPr>
            </w:pPr>
            <w:r>
              <w:rPr>
                <w:rFonts w:eastAsiaTheme="minorEastAsia"/>
                <w:b/>
                <w:kern w:val="0"/>
                <w:sz w:val="24"/>
                <w:szCs w:val="24"/>
              </w:rPr>
              <w:t>二、创造高品质生活</w:t>
            </w:r>
          </w:p>
        </w:tc>
      </w:tr>
      <w:tr>
        <w:tblPrEx>
          <w:tblCellMar>
            <w:top w:w="15" w:type="dxa"/>
            <w:left w:w="15" w:type="dxa"/>
            <w:bottom w:w="15" w:type="dxa"/>
            <w:right w:w="15" w:type="dxa"/>
          </w:tblCellMar>
        </w:tblPrEx>
        <w:trPr>
          <w:trHeight w:val="540"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9</w:t>
            </w:r>
          </w:p>
        </w:tc>
        <w:tc>
          <w:tcPr>
            <w:tcW w:w="4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jc w:val="left"/>
              <w:textAlignment w:val="center"/>
              <w:rPr>
                <w:rFonts w:eastAsiaTheme="minorEastAsia"/>
                <w:sz w:val="22"/>
              </w:rPr>
            </w:pPr>
            <w:r>
              <w:rPr>
                <w:rFonts w:eastAsiaTheme="minorEastAsia"/>
                <w:kern w:val="0"/>
                <w:sz w:val="22"/>
              </w:rPr>
              <w:t>居民人均可支配收入年均增速（%）</w:t>
            </w:r>
          </w:p>
        </w:tc>
        <w:tc>
          <w:tcPr>
            <w:tcW w:w="9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hint="eastAsia" w:eastAsiaTheme="minorEastAsia"/>
                <w:kern w:val="0"/>
                <w:sz w:val="22"/>
              </w:rPr>
              <w:t>10.3</w:t>
            </w:r>
          </w:p>
        </w:tc>
        <w:tc>
          <w:tcPr>
            <w:tcW w:w="9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7.5</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预期性</w:t>
            </w:r>
          </w:p>
        </w:tc>
      </w:tr>
      <w:tr>
        <w:tblPrEx>
          <w:tblCellMar>
            <w:top w:w="15" w:type="dxa"/>
            <w:left w:w="15" w:type="dxa"/>
            <w:bottom w:w="15" w:type="dxa"/>
            <w:right w:w="15" w:type="dxa"/>
          </w:tblCellMar>
        </w:tblPrEx>
        <w:trPr>
          <w:trHeight w:val="285"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10</w:t>
            </w:r>
          </w:p>
        </w:tc>
        <w:tc>
          <w:tcPr>
            <w:tcW w:w="4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jc w:val="left"/>
              <w:textAlignment w:val="center"/>
              <w:rPr>
                <w:rFonts w:eastAsiaTheme="minorEastAsia"/>
                <w:sz w:val="22"/>
              </w:rPr>
            </w:pPr>
            <w:r>
              <w:rPr>
                <w:rFonts w:eastAsiaTheme="minorEastAsia"/>
                <w:kern w:val="0"/>
                <w:sz w:val="22"/>
              </w:rPr>
              <w:t>城乡居民收入比</w:t>
            </w:r>
          </w:p>
        </w:tc>
        <w:tc>
          <w:tcPr>
            <w:tcW w:w="9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2.</w:t>
            </w:r>
            <w:r>
              <w:rPr>
                <w:rFonts w:hint="eastAsia" w:eastAsiaTheme="minorEastAsia"/>
                <w:kern w:val="0"/>
                <w:sz w:val="22"/>
              </w:rPr>
              <w:t>42</w:t>
            </w:r>
            <w:r>
              <w:rPr>
                <w:rFonts w:eastAsiaTheme="minorEastAsia"/>
                <w:kern w:val="0"/>
                <w:sz w:val="22"/>
              </w:rPr>
              <w:t>:1</w:t>
            </w:r>
          </w:p>
        </w:tc>
        <w:tc>
          <w:tcPr>
            <w:tcW w:w="9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2.3:1</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预期性</w:t>
            </w:r>
          </w:p>
        </w:tc>
      </w:tr>
      <w:tr>
        <w:tblPrEx>
          <w:tblCellMar>
            <w:top w:w="15" w:type="dxa"/>
            <w:left w:w="15" w:type="dxa"/>
            <w:bottom w:w="15" w:type="dxa"/>
            <w:right w:w="15" w:type="dxa"/>
          </w:tblCellMar>
        </w:tblPrEx>
        <w:trPr>
          <w:trHeight w:val="285"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11</w:t>
            </w:r>
          </w:p>
        </w:tc>
        <w:tc>
          <w:tcPr>
            <w:tcW w:w="4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jc w:val="left"/>
              <w:textAlignment w:val="center"/>
              <w:rPr>
                <w:rFonts w:eastAsiaTheme="minorEastAsia"/>
                <w:sz w:val="22"/>
              </w:rPr>
            </w:pPr>
            <w:r>
              <w:rPr>
                <w:rFonts w:eastAsiaTheme="minorEastAsia"/>
                <w:kern w:val="0"/>
                <w:sz w:val="22"/>
              </w:rPr>
              <w:t>城镇调查失业率（%）</w:t>
            </w:r>
          </w:p>
        </w:tc>
        <w:tc>
          <w:tcPr>
            <w:tcW w:w="9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hint="eastAsia" w:eastAsiaTheme="minorEastAsia"/>
                <w:kern w:val="0"/>
                <w:sz w:val="22"/>
              </w:rPr>
              <w:t>6</w:t>
            </w:r>
          </w:p>
        </w:tc>
        <w:tc>
          <w:tcPr>
            <w:tcW w:w="9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＜5.5</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预期性</w:t>
            </w:r>
          </w:p>
        </w:tc>
      </w:tr>
      <w:tr>
        <w:tblPrEx>
          <w:tblCellMar>
            <w:top w:w="15" w:type="dxa"/>
            <w:left w:w="15" w:type="dxa"/>
            <w:bottom w:w="15" w:type="dxa"/>
            <w:right w:w="15" w:type="dxa"/>
          </w:tblCellMar>
        </w:tblPrEx>
        <w:trPr>
          <w:trHeight w:val="285"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12</w:t>
            </w:r>
          </w:p>
        </w:tc>
        <w:tc>
          <w:tcPr>
            <w:tcW w:w="4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jc w:val="left"/>
              <w:textAlignment w:val="center"/>
              <w:rPr>
                <w:rFonts w:eastAsiaTheme="minorEastAsia"/>
                <w:sz w:val="22"/>
              </w:rPr>
            </w:pPr>
            <w:r>
              <w:rPr>
                <w:rFonts w:eastAsiaTheme="minorEastAsia"/>
                <w:kern w:val="0"/>
                <w:sz w:val="22"/>
              </w:rPr>
              <w:t>劳动年龄人口平均受教育年限（年）</w:t>
            </w:r>
          </w:p>
        </w:tc>
        <w:tc>
          <w:tcPr>
            <w:tcW w:w="9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10.5</w:t>
            </w:r>
          </w:p>
        </w:tc>
        <w:tc>
          <w:tcPr>
            <w:tcW w:w="9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11.2</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约束性</w:t>
            </w:r>
          </w:p>
        </w:tc>
      </w:tr>
      <w:tr>
        <w:tblPrEx>
          <w:tblCellMar>
            <w:top w:w="15" w:type="dxa"/>
            <w:left w:w="15" w:type="dxa"/>
            <w:bottom w:w="15" w:type="dxa"/>
            <w:right w:w="15" w:type="dxa"/>
          </w:tblCellMar>
        </w:tblPrEx>
        <w:trPr>
          <w:trHeight w:val="450"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13</w:t>
            </w:r>
          </w:p>
        </w:tc>
        <w:tc>
          <w:tcPr>
            <w:tcW w:w="4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jc w:val="left"/>
              <w:textAlignment w:val="center"/>
              <w:rPr>
                <w:rFonts w:eastAsiaTheme="minorEastAsia"/>
                <w:sz w:val="22"/>
              </w:rPr>
            </w:pPr>
            <w:r>
              <w:rPr>
                <w:rFonts w:eastAsiaTheme="minorEastAsia"/>
                <w:kern w:val="0"/>
                <w:sz w:val="22"/>
              </w:rPr>
              <w:t>平均预期寿命（岁）</w:t>
            </w:r>
          </w:p>
        </w:tc>
        <w:tc>
          <w:tcPr>
            <w:tcW w:w="9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4"/>
                <w:szCs w:val="24"/>
              </w:rPr>
            </w:pPr>
            <w:r>
              <w:rPr>
                <w:rFonts w:eastAsiaTheme="minorEastAsia"/>
                <w:kern w:val="0"/>
                <w:sz w:val="24"/>
                <w:szCs w:val="24"/>
              </w:rPr>
              <w:t>76.8</w:t>
            </w:r>
          </w:p>
        </w:tc>
        <w:tc>
          <w:tcPr>
            <w:tcW w:w="9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4"/>
                <w:szCs w:val="24"/>
              </w:rPr>
            </w:pPr>
            <w:r>
              <w:rPr>
                <w:rFonts w:eastAsiaTheme="minorEastAsia"/>
                <w:kern w:val="0"/>
                <w:sz w:val="24"/>
                <w:szCs w:val="24"/>
              </w:rPr>
              <w:t>77.9</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预期性</w:t>
            </w:r>
          </w:p>
        </w:tc>
      </w:tr>
      <w:tr>
        <w:tblPrEx>
          <w:tblCellMar>
            <w:top w:w="15" w:type="dxa"/>
            <w:left w:w="15" w:type="dxa"/>
            <w:bottom w:w="15" w:type="dxa"/>
            <w:right w:w="15" w:type="dxa"/>
          </w:tblCellMar>
        </w:tblPrEx>
        <w:trPr>
          <w:trHeight w:val="285"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14</w:t>
            </w:r>
          </w:p>
        </w:tc>
        <w:tc>
          <w:tcPr>
            <w:tcW w:w="4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00"/>
              <w:jc w:val="left"/>
              <w:textAlignment w:val="center"/>
              <w:rPr>
                <w:rFonts w:eastAsiaTheme="minorEastAsia"/>
                <w:sz w:val="22"/>
              </w:rPr>
            </w:pPr>
            <w:r>
              <w:rPr>
                <w:rStyle w:val="51"/>
                <w:rFonts w:ascii="Times New Roman" w:hAnsi="Times New Roman" w:cs="Times New Roman" w:eastAsiaTheme="minorEastAsia"/>
                <w:color w:val="auto"/>
              </w:rPr>
              <w:t>文化</w:t>
            </w:r>
            <w:r>
              <w:rPr>
                <w:rStyle w:val="37"/>
                <w:rFonts w:eastAsiaTheme="minorEastAsia"/>
                <w:color w:val="auto"/>
              </w:rPr>
              <w:t>旅游</w:t>
            </w:r>
            <w:r>
              <w:rPr>
                <w:rStyle w:val="51"/>
                <w:rFonts w:ascii="Times New Roman" w:hAnsi="Times New Roman" w:cs="Times New Roman" w:eastAsiaTheme="minorEastAsia"/>
                <w:color w:val="auto"/>
              </w:rPr>
              <w:t>产业增加值占地区生产总值比值（%）</w:t>
            </w:r>
          </w:p>
        </w:tc>
        <w:tc>
          <w:tcPr>
            <w:tcW w:w="9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9.</w:t>
            </w:r>
            <w:r>
              <w:rPr>
                <w:rFonts w:hint="eastAsia" w:eastAsiaTheme="minorEastAsia"/>
                <w:kern w:val="0"/>
                <w:sz w:val="22"/>
              </w:rPr>
              <w:t>8</w:t>
            </w:r>
          </w:p>
        </w:tc>
        <w:tc>
          <w:tcPr>
            <w:tcW w:w="9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15</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预期性</w:t>
            </w:r>
          </w:p>
        </w:tc>
      </w:tr>
      <w:tr>
        <w:tblPrEx>
          <w:tblCellMar>
            <w:top w:w="15" w:type="dxa"/>
            <w:left w:w="15" w:type="dxa"/>
            <w:bottom w:w="15" w:type="dxa"/>
            <w:right w:w="15" w:type="dxa"/>
          </w:tblCellMar>
        </w:tblPrEx>
        <w:trPr>
          <w:trHeight w:val="450"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15</w:t>
            </w:r>
          </w:p>
        </w:tc>
        <w:tc>
          <w:tcPr>
            <w:tcW w:w="4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jc w:val="left"/>
              <w:textAlignment w:val="center"/>
              <w:rPr>
                <w:rFonts w:eastAsiaTheme="minorEastAsia"/>
                <w:sz w:val="22"/>
              </w:rPr>
            </w:pPr>
            <w:r>
              <w:rPr>
                <w:rFonts w:eastAsiaTheme="minorEastAsia"/>
                <w:kern w:val="0"/>
                <w:sz w:val="22"/>
              </w:rPr>
              <w:t>每千人口拥有3岁以下婴幼儿托位数（个）</w:t>
            </w:r>
          </w:p>
        </w:tc>
        <w:tc>
          <w:tcPr>
            <w:tcW w:w="9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4"/>
                <w:szCs w:val="24"/>
              </w:rPr>
            </w:pPr>
            <w:r>
              <w:rPr>
                <w:rFonts w:eastAsiaTheme="minorEastAsia"/>
                <w:kern w:val="0"/>
                <w:sz w:val="24"/>
                <w:szCs w:val="24"/>
              </w:rPr>
              <w:t>1.8</w:t>
            </w:r>
          </w:p>
        </w:tc>
        <w:tc>
          <w:tcPr>
            <w:tcW w:w="9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4"/>
                <w:szCs w:val="24"/>
              </w:rPr>
            </w:pPr>
            <w:r>
              <w:rPr>
                <w:rFonts w:eastAsiaTheme="minorEastAsia"/>
                <w:kern w:val="0"/>
                <w:sz w:val="24"/>
                <w:szCs w:val="24"/>
              </w:rPr>
              <w:t>3</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预期性</w:t>
            </w:r>
          </w:p>
        </w:tc>
      </w:tr>
      <w:tr>
        <w:tblPrEx>
          <w:tblCellMar>
            <w:top w:w="15" w:type="dxa"/>
            <w:left w:w="15" w:type="dxa"/>
            <w:bottom w:w="15" w:type="dxa"/>
            <w:right w:w="15" w:type="dxa"/>
          </w:tblCellMar>
        </w:tblPrEx>
        <w:trPr>
          <w:trHeight w:val="450"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16</w:t>
            </w:r>
          </w:p>
        </w:tc>
        <w:tc>
          <w:tcPr>
            <w:tcW w:w="4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jc w:val="left"/>
              <w:textAlignment w:val="center"/>
              <w:rPr>
                <w:rFonts w:eastAsiaTheme="minorEastAsia"/>
                <w:sz w:val="22"/>
              </w:rPr>
            </w:pPr>
            <w:r>
              <w:rPr>
                <w:rFonts w:eastAsiaTheme="minorEastAsia"/>
                <w:kern w:val="0"/>
                <w:sz w:val="22"/>
              </w:rPr>
              <w:t>每千人口拥有执业（助理）医师数（人）</w:t>
            </w:r>
          </w:p>
        </w:tc>
        <w:tc>
          <w:tcPr>
            <w:tcW w:w="9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4"/>
                <w:szCs w:val="24"/>
              </w:rPr>
            </w:pPr>
            <w:r>
              <w:rPr>
                <w:rFonts w:eastAsiaTheme="minorEastAsia"/>
                <w:kern w:val="0"/>
                <w:sz w:val="24"/>
                <w:szCs w:val="24"/>
              </w:rPr>
              <w:t>2.</w:t>
            </w:r>
            <w:r>
              <w:rPr>
                <w:rFonts w:hint="eastAsia" w:eastAsiaTheme="minorEastAsia"/>
                <w:kern w:val="0"/>
                <w:sz w:val="24"/>
                <w:szCs w:val="24"/>
              </w:rPr>
              <w:t>27</w:t>
            </w:r>
          </w:p>
        </w:tc>
        <w:tc>
          <w:tcPr>
            <w:tcW w:w="9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4"/>
                <w:szCs w:val="24"/>
              </w:rPr>
            </w:pPr>
            <w:r>
              <w:rPr>
                <w:rFonts w:eastAsiaTheme="minorEastAsia"/>
                <w:kern w:val="0"/>
                <w:sz w:val="24"/>
                <w:szCs w:val="24"/>
              </w:rPr>
              <w:t>3.1</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预期性</w:t>
            </w:r>
          </w:p>
        </w:tc>
      </w:tr>
      <w:tr>
        <w:tblPrEx>
          <w:tblCellMar>
            <w:top w:w="15" w:type="dxa"/>
            <w:left w:w="15" w:type="dxa"/>
            <w:bottom w:w="15" w:type="dxa"/>
            <w:right w:w="15" w:type="dxa"/>
          </w:tblCellMar>
        </w:tblPrEx>
        <w:trPr>
          <w:trHeight w:val="630" w:hRule="atLeast"/>
        </w:trPr>
        <w:tc>
          <w:tcPr>
            <w:tcW w:w="8664"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82"/>
              <w:jc w:val="center"/>
              <w:textAlignment w:val="center"/>
              <w:rPr>
                <w:rFonts w:eastAsiaTheme="minorEastAsia"/>
                <w:b/>
                <w:sz w:val="22"/>
              </w:rPr>
            </w:pPr>
            <w:r>
              <w:rPr>
                <w:rFonts w:eastAsiaTheme="minorEastAsia"/>
                <w:b/>
                <w:kern w:val="0"/>
                <w:sz w:val="24"/>
                <w:szCs w:val="24"/>
              </w:rPr>
              <w:t>三、向东开放及区域合作</w:t>
            </w:r>
          </w:p>
        </w:tc>
      </w:tr>
      <w:tr>
        <w:tblPrEx>
          <w:tblCellMar>
            <w:top w:w="15" w:type="dxa"/>
            <w:left w:w="15" w:type="dxa"/>
            <w:bottom w:w="15" w:type="dxa"/>
            <w:right w:w="15" w:type="dxa"/>
          </w:tblCellMar>
        </w:tblPrEx>
        <w:trPr>
          <w:trHeight w:val="285"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17</w:t>
            </w:r>
          </w:p>
        </w:tc>
        <w:tc>
          <w:tcPr>
            <w:tcW w:w="4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jc w:val="left"/>
              <w:textAlignment w:val="center"/>
              <w:rPr>
                <w:rFonts w:eastAsiaTheme="minorEastAsia"/>
                <w:sz w:val="22"/>
              </w:rPr>
            </w:pPr>
            <w:r>
              <w:rPr>
                <w:rFonts w:eastAsiaTheme="minorEastAsia"/>
                <w:kern w:val="0"/>
                <w:sz w:val="22"/>
              </w:rPr>
              <w:t>旅游综合收入（亿元）</w:t>
            </w:r>
          </w:p>
        </w:tc>
        <w:tc>
          <w:tcPr>
            <w:tcW w:w="9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10</w:t>
            </w:r>
            <w:r>
              <w:rPr>
                <w:rFonts w:hint="eastAsia" w:eastAsiaTheme="minorEastAsia"/>
                <w:kern w:val="0"/>
                <w:sz w:val="22"/>
              </w:rPr>
              <w:t>3</w:t>
            </w:r>
          </w:p>
        </w:tc>
        <w:tc>
          <w:tcPr>
            <w:tcW w:w="9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150</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预期性</w:t>
            </w:r>
          </w:p>
        </w:tc>
      </w:tr>
      <w:tr>
        <w:tblPrEx>
          <w:tblCellMar>
            <w:top w:w="15" w:type="dxa"/>
            <w:left w:w="15" w:type="dxa"/>
            <w:bottom w:w="15" w:type="dxa"/>
            <w:right w:w="15" w:type="dxa"/>
          </w:tblCellMar>
        </w:tblPrEx>
        <w:trPr>
          <w:trHeight w:val="285"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18</w:t>
            </w:r>
          </w:p>
        </w:tc>
        <w:tc>
          <w:tcPr>
            <w:tcW w:w="4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jc w:val="left"/>
              <w:textAlignment w:val="center"/>
              <w:rPr>
                <w:rFonts w:eastAsiaTheme="minorEastAsia"/>
                <w:sz w:val="22"/>
              </w:rPr>
            </w:pPr>
            <w:r>
              <w:rPr>
                <w:rFonts w:eastAsiaTheme="minorEastAsia"/>
                <w:kern w:val="0"/>
                <w:sz w:val="22"/>
              </w:rPr>
              <w:t>优质品牌农产品产值（亿元，脐橙、中药材等）</w:t>
            </w:r>
          </w:p>
        </w:tc>
        <w:tc>
          <w:tcPr>
            <w:tcW w:w="9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38</w:t>
            </w:r>
          </w:p>
        </w:tc>
        <w:tc>
          <w:tcPr>
            <w:tcW w:w="9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45</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预期性</w:t>
            </w:r>
          </w:p>
        </w:tc>
      </w:tr>
      <w:tr>
        <w:tblPrEx>
          <w:tblCellMar>
            <w:top w:w="15" w:type="dxa"/>
            <w:left w:w="15" w:type="dxa"/>
            <w:bottom w:w="15" w:type="dxa"/>
            <w:right w:w="15" w:type="dxa"/>
          </w:tblCellMar>
        </w:tblPrEx>
        <w:trPr>
          <w:trHeight w:val="285"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19</w:t>
            </w:r>
          </w:p>
        </w:tc>
        <w:tc>
          <w:tcPr>
            <w:tcW w:w="4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jc w:val="left"/>
              <w:textAlignment w:val="center"/>
              <w:rPr>
                <w:rFonts w:eastAsiaTheme="minorEastAsia"/>
                <w:sz w:val="22"/>
              </w:rPr>
            </w:pPr>
            <w:r>
              <w:rPr>
                <w:rFonts w:eastAsiaTheme="minorEastAsia"/>
                <w:kern w:val="0"/>
                <w:sz w:val="22"/>
              </w:rPr>
              <w:t>引进省外资金（亿元）</w:t>
            </w:r>
          </w:p>
        </w:tc>
        <w:tc>
          <w:tcPr>
            <w:tcW w:w="9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27</w:t>
            </w:r>
          </w:p>
        </w:tc>
        <w:tc>
          <w:tcPr>
            <w:tcW w:w="9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[500]</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预期性</w:t>
            </w:r>
          </w:p>
        </w:tc>
      </w:tr>
      <w:tr>
        <w:tblPrEx>
          <w:tblCellMar>
            <w:top w:w="15" w:type="dxa"/>
            <w:left w:w="15" w:type="dxa"/>
            <w:bottom w:w="15" w:type="dxa"/>
            <w:right w:w="15" w:type="dxa"/>
          </w:tblCellMar>
        </w:tblPrEx>
        <w:trPr>
          <w:trHeight w:val="602" w:hRule="atLeast"/>
        </w:trPr>
        <w:tc>
          <w:tcPr>
            <w:tcW w:w="8664"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82"/>
              <w:jc w:val="center"/>
              <w:textAlignment w:val="center"/>
              <w:rPr>
                <w:rFonts w:eastAsiaTheme="minorEastAsia"/>
                <w:b/>
                <w:sz w:val="22"/>
              </w:rPr>
            </w:pPr>
            <w:r>
              <w:rPr>
                <w:rFonts w:eastAsiaTheme="minorEastAsia"/>
                <w:b/>
                <w:kern w:val="0"/>
                <w:sz w:val="24"/>
                <w:szCs w:val="24"/>
              </w:rPr>
              <w:t>四、生态文明建设</w:t>
            </w:r>
          </w:p>
        </w:tc>
      </w:tr>
      <w:tr>
        <w:tblPrEx>
          <w:tblCellMar>
            <w:top w:w="15" w:type="dxa"/>
            <w:left w:w="15" w:type="dxa"/>
            <w:bottom w:w="15" w:type="dxa"/>
            <w:right w:w="15" w:type="dxa"/>
          </w:tblCellMar>
        </w:tblPrEx>
        <w:trPr>
          <w:trHeight w:val="285"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20</w:t>
            </w:r>
          </w:p>
        </w:tc>
        <w:tc>
          <w:tcPr>
            <w:tcW w:w="4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jc w:val="left"/>
              <w:textAlignment w:val="center"/>
              <w:rPr>
                <w:rFonts w:eastAsiaTheme="minorEastAsia"/>
                <w:sz w:val="22"/>
              </w:rPr>
            </w:pPr>
            <w:r>
              <w:rPr>
                <w:rFonts w:eastAsiaTheme="minorEastAsia"/>
                <w:kern w:val="0"/>
                <w:sz w:val="22"/>
              </w:rPr>
              <w:t>单位地区生产总值能源消耗降低（%）</w:t>
            </w:r>
          </w:p>
        </w:tc>
        <w:tc>
          <w:tcPr>
            <w:tcW w:w="9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w:t>
            </w:r>
            <w:r>
              <w:rPr>
                <w:rFonts w:hint="eastAsia" w:eastAsiaTheme="minorEastAsia"/>
                <w:kern w:val="0"/>
                <w:sz w:val="22"/>
              </w:rPr>
              <w:t>21.4</w:t>
            </w:r>
            <w:r>
              <w:rPr>
                <w:rFonts w:eastAsiaTheme="minorEastAsia"/>
                <w:kern w:val="0"/>
                <w:sz w:val="22"/>
              </w:rPr>
              <w:t>]</w:t>
            </w:r>
          </w:p>
        </w:tc>
        <w:tc>
          <w:tcPr>
            <w:tcW w:w="9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[8]</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约束性</w:t>
            </w:r>
          </w:p>
        </w:tc>
      </w:tr>
      <w:tr>
        <w:tblPrEx>
          <w:tblCellMar>
            <w:top w:w="15" w:type="dxa"/>
            <w:left w:w="15" w:type="dxa"/>
            <w:bottom w:w="15" w:type="dxa"/>
            <w:right w:w="15" w:type="dxa"/>
          </w:tblCellMar>
        </w:tblPrEx>
        <w:trPr>
          <w:trHeight w:val="840"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21</w:t>
            </w:r>
          </w:p>
        </w:tc>
        <w:tc>
          <w:tcPr>
            <w:tcW w:w="4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jc w:val="left"/>
              <w:textAlignment w:val="center"/>
              <w:rPr>
                <w:rFonts w:eastAsiaTheme="minorEastAsia"/>
                <w:sz w:val="22"/>
              </w:rPr>
            </w:pPr>
            <w:r>
              <w:rPr>
                <w:rFonts w:eastAsiaTheme="minorEastAsia"/>
                <w:kern w:val="0"/>
                <w:sz w:val="22"/>
              </w:rPr>
              <w:t>纳入国家考核的地表水断面水质优良（达到或优于Ⅲ类）比例（%）</w:t>
            </w:r>
          </w:p>
        </w:tc>
        <w:tc>
          <w:tcPr>
            <w:tcW w:w="9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国家下达</w:t>
            </w:r>
          </w:p>
        </w:tc>
        <w:tc>
          <w:tcPr>
            <w:tcW w:w="9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国家下达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约束性</w:t>
            </w:r>
          </w:p>
        </w:tc>
      </w:tr>
      <w:tr>
        <w:tblPrEx>
          <w:tblCellMar>
            <w:top w:w="15" w:type="dxa"/>
            <w:left w:w="15" w:type="dxa"/>
            <w:bottom w:w="15" w:type="dxa"/>
            <w:right w:w="15" w:type="dxa"/>
          </w:tblCellMar>
        </w:tblPrEx>
        <w:trPr>
          <w:trHeight w:val="285"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22</w:t>
            </w:r>
          </w:p>
        </w:tc>
        <w:tc>
          <w:tcPr>
            <w:tcW w:w="4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jc w:val="left"/>
              <w:textAlignment w:val="center"/>
              <w:rPr>
                <w:rFonts w:eastAsiaTheme="minorEastAsia"/>
                <w:sz w:val="22"/>
              </w:rPr>
            </w:pPr>
            <w:r>
              <w:rPr>
                <w:rFonts w:eastAsiaTheme="minorEastAsia"/>
                <w:kern w:val="0"/>
                <w:sz w:val="22"/>
              </w:rPr>
              <w:t>环境空气质量优良天数（天）</w:t>
            </w:r>
          </w:p>
        </w:tc>
        <w:tc>
          <w:tcPr>
            <w:tcW w:w="9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350</w:t>
            </w:r>
          </w:p>
        </w:tc>
        <w:tc>
          <w:tcPr>
            <w:tcW w:w="9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330</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约束性</w:t>
            </w:r>
          </w:p>
        </w:tc>
      </w:tr>
      <w:tr>
        <w:tblPrEx>
          <w:tblCellMar>
            <w:top w:w="15" w:type="dxa"/>
            <w:left w:w="15" w:type="dxa"/>
            <w:bottom w:w="15" w:type="dxa"/>
            <w:right w:w="15" w:type="dxa"/>
          </w:tblCellMar>
        </w:tblPrEx>
        <w:trPr>
          <w:trHeight w:val="285"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23</w:t>
            </w:r>
          </w:p>
        </w:tc>
        <w:tc>
          <w:tcPr>
            <w:tcW w:w="4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jc w:val="left"/>
              <w:textAlignment w:val="center"/>
              <w:rPr>
                <w:rFonts w:eastAsiaTheme="minorEastAsia"/>
                <w:sz w:val="22"/>
              </w:rPr>
            </w:pPr>
            <w:r>
              <w:rPr>
                <w:rFonts w:eastAsiaTheme="minorEastAsia"/>
                <w:kern w:val="0"/>
                <w:sz w:val="22"/>
              </w:rPr>
              <w:t>森林覆盖率（%）</w:t>
            </w:r>
          </w:p>
        </w:tc>
        <w:tc>
          <w:tcPr>
            <w:tcW w:w="9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hint="eastAsia" w:eastAsiaTheme="minorEastAsia"/>
                <w:kern w:val="0"/>
                <w:sz w:val="22"/>
              </w:rPr>
              <w:t>63.0</w:t>
            </w:r>
          </w:p>
        </w:tc>
        <w:tc>
          <w:tcPr>
            <w:tcW w:w="9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65</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约束性</w:t>
            </w:r>
          </w:p>
        </w:tc>
      </w:tr>
      <w:tr>
        <w:tblPrEx>
          <w:tblCellMar>
            <w:top w:w="15" w:type="dxa"/>
            <w:left w:w="15" w:type="dxa"/>
            <w:bottom w:w="15" w:type="dxa"/>
            <w:right w:w="15" w:type="dxa"/>
          </w:tblCellMar>
        </w:tblPrEx>
        <w:trPr>
          <w:trHeight w:val="630" w:hRule="atLeast"/>
        </w:trPr>
        <w:tc>
          <w:tcPr>
            <w:tcW w:w="8664"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82"/>
              <w:jc w:val="center"/>
              <w:textAlignment w:val="center"/>
              <w:rPr>
                <w:rFonts w:eastAsiaTheme="minorEastAsia"/>
                <w:b/>
                <w:sz w:val="22"/>
              </w:rPr>
            </w:pPr>
            <w:r>
              <w:rPr>
                <w:rFonts w:eastAsiaTheme="minorEastAsia"/>
                <w:b/>
                <w:kern w:val="0"/>
                <w:sz w:val="24"/>
                <w:szCs w:val="24"/>
              </w:rPr>
              <w:t>五、安全发展</w:t>
            </w:r>
          </w:p>
        </w:tc>
      </w:tr>
      <w:tr>
        <w:tblPrEx>
          <w:tblCellMar>
            <w:top w:w="15" w:type="dxa"/>
            <w:left w:w="15" w:type="dxa"/>
            <w:bottom w:w="15" w:type="dxa"/>
            <w:right w:w="15" w:type="dxa"/>
          </w:tblCellMar>
        </w:tblPrEx>
        <w:trPr>
          <w:trHeight w:val="285"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24</w:t>
            </w:r>
          </w:p>
        </w:tc>
        <w:tc>
          <w:tcPr>
            <w:tcW w:w="4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jc w:val="left"/>
              <w:textAlignment w:val="center"/>
              <w:rPr>
                <w:rFonts w:eastAsiaTheme="minorEastAsia"/>
                <w:sz w:val="22"/>
              </w:rPr>
            </w:pPr>
            <w:r>
              <w:rPr>
                <w:rFonts w:eastAsiaTheme="minorEastAsia"/>
                <w:kern w:val="0"/>
                <w:sz w:val="22"/>
              </w:rPr>
              <w:t>粮食综合生产能力（万吨）</w:t>
            </w:r>
          </w:p>
        </w:tc>
        <w:tc>
          <w:tcPr>
            <w:tcW w:w="9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40.88</w:t>
            </w:r>
          </w:p>
        </w:tc>
        <w:tc>
          <w:tcPr>
            <w:tcW w:w="9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≥40</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约束性</w:t>
            </w:r>
          </w:p>
        </w:tc>
      </w:tr>
      <w:tr>
        <w:tblPrEx>
          <w:tblCellMar>
            <w:top w:w="15" w:type="dxa"/>
            <w:left w:w="15" w:type="dxa"/>
            <w:bottom w:w="15" w:type="dxa"/>
            <w:right w:w="15" w:type="dxa"/>
          </w:tblCellMar>
        </w:tblPrEx>
        <w:trPr>
          <w:trHeight w:val="285"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25</w:t>
            </w:r>
          </w:p>
        </w:tc>
        <w:tc>
          <w:tcPr>
            <w:tcW w:w="4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jc w:val="left"/>
              <w:textAlignment w:val="center"/>
              <w:rPr>
                <w:rFonts w:eastAsiaTheme="minorEastAsia"/>
                <w:sz w:val="22"/>
              </w:rPr>
            </w:pPr>
            <w:r>
              <w:rPr>
                <w:rFonts w:eastAsiaTheme="minorEastAsia"/>
                <w:kern w:val="0"/>
                <w:sz w:val="22"/>
              </w:rPr>
              <w:t>亿元地区生产总值安全事故死亡率（%）</w:t>
            </w:r>
          </w:p>
        </w:tc>
        <w:tc>
          <w:tcPr>
            <w:tcW w:w="9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0.0</w:t>
            </w:r>
            <w:r>
              <w:rPr>
                <w:rFonts w:hint="eastAsia" w:eastAsiaTheme="minorEastAsia"/>
                <w:kern w:val="0"/>
                <w:sz w:val="22"/>
              </w:rPr>
              <w:t>4</w:t>
            </w:r>
          </w:p>
        </w:tc>
        <w:tc>
          <w:tcPr>
            <w:tcW w:w="9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＜0.025</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eastAsiaTheme="minorEastAsia"/>
                <w:sz w:val="22"/>
              </w:rPr>
            </w:pPr>
            <w:r>
              <w:rPr>
                <w:rFonts w:eastAsiaTheme="minorEastAsia"/>
                <w:kern w:val="0"/>
                <w:sz w:val="22"/>
              </w:rPr>
              <w:t>约束性</w:t>
            </w:r>
          </w:p>
        </w:tc>
      </w:tr>
    </w:tbl>
    <w:p>
      <w:pPr>
        <w:pStyle w:val="5"/>
        <w:spacing w:before="62" w:beforeLines="20" w:after="62" w:afterLines="20" w:line="560" w:lineRule="exact"/>
        <w:rPr>
          <w:rFonts w:ascii="仿宋_GB2312" w:hAnsi="仿宋_GB2312" w:eastAsia="仿宋_GB2312" w:cs="仿宋_GB2312"/>
          <w:sz w:val="32"/>
        </w:rPr>
      </w:pPr>
      <w:bookmarkStart w:id="99" w:name="_Toc26460"/>
      <w:bookmarkStart w:id="100" w:name="_Toc59992972"/>
      <w:bookmarkStart w:id="101" w:name="_Toc14171"/>
      <w:bookmarkStart w:id="102" w:name="_Toc27402"/>
      <w:bookmarkStart w:id="103" w:name="_Toc8795"/>
      <w:bookmarkStart w:id="104" w:name="_Toc60584683"/>
      <w:bookmarkStart w:id="105" w:name="_Toc23371"/>
      <w:bookmarkStart w:id="106" w:name="_Toc13776"/>
      <w:r>
        <w:rPr>
          <w:rFonts w:hint="eastAsia" w:ascii="仿宋_GB2312" w:hAnsi="仿宋_GB2312" w:eastAsia="仿宋_GB2312" w:cs="仿宋_GB2312"/>
          <w:sz w:val="32"/>
        </w:rPr>
        <w:t>第二节  二〇三五年远景目标</w:t>
      </w:r>
      <w:bookmarkEnd w:id="99"/>
      <w:bookmarkEnd w:id="100"/>
      <w:bookmarkEnd w:id="101"/>
      <w:bookmarkEnd w:id="102"/>
      <w:bookmarkEnd w:id="103"/>
      <w:bookmarkEnd w:id="104"/>
      <w:bookmarkEnd w:id="105"/>
      <w:bookmarkEnd w:id="106"/>
    </w:p>
    <w:p>
      <w:pPr>
        <w:spacing w:line="560" w:lineRule="exact"/>
        <w:ind w:firstLine="640"/>
        <w:rPr>
          <w:sz w:val="32"/>
          <w:szCs w:val="32"/>
        </w:rPr>
      </w:pPr>
      <w:r>
        <w:rPr>
          <w:rFonts w:hint="eastAsia"/>
          <w:sz w:val="32"/>
          <w:szCs w:val="32"/>
        </w:rPr>
        <w:t>按照党的十九大对实现第二个百年奋斗目标作出分两个阶段推进的战略安排，即到二〇三五年奉节县将与全国一道基本实现社会主义现代化。展望二〇三五年，全县综合经济实力、科技实力大幅提升，经济总量和城乡居民人均收入将再迈上新的大台阶。创新体系更加健全，新型工业化、信息化、城镇化、农业现代化基本实现，建设形成现代化生态经济体系。治理体系和治理能力现代化基本实现，各方面体制机制更加完善，法治政府、法治社会和平安建设达到更高水平，居民素质和社会文明程度达到新高度。长江上游重要生态屏障全面筑牢，山清水秀美丽之地基本建成，生态环境质量全面提升。中等收入群体显著扩大，基本公共服务实现均等化，高品质生活充分彰显，人的全面发展、全体人民共同富裕取得更为明显的实质性进展，建设形成长江经济带上的绿色生态强县和区域性功能中心。届时，一个生态美、经济强、百姓富、文化兴的美丽奉节将屹立三峡库区，在全面建设社会主义现代化国家大局中展现更大作为！</w:t>
      </w:r>
    </w:p>
    <w:p>
      <w:pPr>
        <w:pStyle w:val="3"/>
        <w:spacing w:before="156" w:beforeLines="50" w:after="156" w:afterLines="50" w:line="560" w:lineRule="exact"/>
        <w:rPr>
          <w:rFonts w:ascii="黑体" w:hAnsi="黑体" w:eastAsia="黑体" w:cs="黑体"/>
          <w:b w:val="0"/>
          <w:bCs/>
        </w:rPr>
      </w:pPr>
      <w:bookmarkStart w:id="107" w:name="_Toc8887"/>
      <w:bookmarkStart w:id="108" w:name="_Toc15246"/>
      <w:bookmarkStart w:id="109" w:name="_Toc23810"/>
      <w:bookmarkStart w:id="110" w:name="_Toc5016"/>
      <w:bookmarkStart w:id="111" w:name="_Toc1892"/>
      <w:bookmarkStart w:id="112" w:name="_Toc60584684"/>
      <w:bookmarkStart w:id="113" w:name="_Toc1923"/>
      <w:bookmarkStart w:id="114" w:name="_Toc59992973"/>
      <w:r>
        <w:rPr>
          <w:rFonts w:hint="eastAsia" w:ascii="黑体" w:hAnsi="黑体" w:eastAsia="黑体" w:cs="黑体"/>
          <w:b w:val="0"/>
          <w:bCs/>
        </w:rPr>
        <w:t xml:space="preserve">第二篇  </w:t>
      </w:r>
      <w:bookmarkStart w:id="115" w:name="_Toc9421"/>
      <w:r>
        <w:rPr>
          <w:rFonts w:hint="eastAsia" w:ascii="黑体" w:hAnsi="黑体" w:eastAsia="黑体" w:cs="黑体"/>
          <w:b w:val="0"/>
          <w:bCs/>
        </w:rPr>
        <w:t>坚持创新驱动发展，深化国家创新型县建设</w:t>
      </w:r>
      <w:bookmarkEnd w:id="107"/>
      <w:bookmarkEnd w:id="108"/>
      <w:bookmarkEnd w:id="109"/>
      <w:bookmarkEnd w:id="110"/>
      <w:bookmarkEnd w:id="111"/>
      <w:bookmarkEnd w:id="112"/>
      <w:bookmarkEnd w:id="113"/>
      <w:bookmarkEnd w:id="114"/>
      <w:bookmarkEnd w:id="115"/>
    </w:p>
    <w:p>
      <w:pPr>
        <w:spacing w:line="560" w:lineRule="exact"/>
        <w:ind w:firstLine="640"/>
        <w:rPr>
          <w:sz w:val="32"/>
          <w:szCs w:val="32"/>
        </w:rPr>
      </w:pPr>
      <w:r>
        <w:rPr>
          <w:rFonts w:hint="eastAsia"/>
          <w:sz w:val="32"/>
          <w:szCs w:val="32"/>
        </w:rPr>
        <w:t>大力实施创新驱动发展战略，发挥科技创新在县域供给侧结构性改革中的支撑引领作用，强化科技与县域经济社会发展有效对接，初步建立起以技术创新为核心、企业创新为主体、科技成果转化为目的、政策服务创新为支撑、制度创新为保障的科技创新体系，推进科技创新和经济社会发展深度融合，打造科技支撑世界级大河流域生态文明建设样板。</w:t>
      </w:r>
    </w:p>
    <w:p>
      <w:pPr>
        <w:pStyle w:val="4"/>
        <w:spacing w:before="156" w:beforeLines="50" w:after="156" w:afterLines="50" w:line="560" w:lineRule="exact"/>
        <w:rPr>
          <w:rFonts w:ascii="Times New Roman" w:hAnsi="Times New Roman" w:cs="Times New Roman"/>
          <w:b w:val="0"/>
          <w:bCs w:val="0"/>
          <w:sz w:val="32"/>
        </w:rPr>
      </w:pPr>
      <w:bookmarkStart w:id="116" w:name="_Toc20762"/>
      <w:bookmarkStart w:id="117" w:name="_Toc58444245"/>
      <w:bookmarkStart w:id="118" w:name="_Toc17845"/>
      <w:bookmarkStart w:id="119" w:name="_Toc6031"/>
      <w:bookmarkStart w:id="120" w:name="_Toc59992974"/>
      <w:bookmarkStart w:id="121" w:name="_Toc209"/>
      <w:bookmarkStart w:id="122" w:name="_Toc31864"/>
      <w:bookmarkStart w:id="123" w:name="_Toc13179"/>
      <w:bookmarkStart w:id="124" w:name="_Toc5273"/>
      <w:bookmarkStart w:id="125" w:name="_Toc7946"/>
      <w:bookmarkStart w:id="126" w:name="_Toc60584685"/>
      <w:r>
        <w:rPr>
          <w:rFonts w:hint="eastAsia" w:ascii="Times New Roman" w:hAnsi="Times New Roman" w:cs="Times New Roman"/>
          <w:b w:val="0"/>
          <w:bCs w:val="0"/>
          <w:sz w:val="32"/>
        </w:rPr>
        <w:t xml:space="preserve">第五章  </w:t>
      </w:r>
      <w:bookmarkEnd w:id="116"/>
      <w:bookmarkEnd w:id="117"/>
      <w:r>
        <w:rPr>
          <w:rFonts w:hint="eastAsia" w:ascii="Times New Roman" w:hAnsi="Times New Roman" w:cs="Times New Roman"/>
          <w:b w:val="0"/>
          <w:bCs w:val="0"/>
          <w:sz w:val="32"/>
        </w:rPr>
        <w:t>深化创新型县建设</w:t>
      </w:r>
      <w:bookmarkEnd w:id="118"/>
      <w:bookmarkEnd w:id="119"/>
      <w:bookmarkEnd w:id="120"/>
      <w:bookmarkEnd w:id="121"/>
      <w:bookmarkEnd w:id="122"/>
      <w:bookmarkEnd w:id="123"/>
      <w:bookmarkEnd w:id="124"/>
      <w:bookmarkEnd w:id="125"/>
      <w:bookmarkEnd w:id="126"/>
    </w:p>
    <w:p>
      <w:pPr>
        <w:spacing w:line="560" w:lineRule="exact"/>
        <w:ind w:firstLine="640"/>
        <w:rPr>
          <w:sz w:val="32"/>
          <w:szCs w:val="32"/>
        </w:rPr>
      </w:pPr>
      <w:r>
        <w:rPr>
          <w:rFonts w:hint="eastAsia"/>
          <w:sz w:val="32"/>
          <w:szCs w:val="32"/>
        </w:rPr>
        <w:t>以深化“科技支撑生态文明”为主题的创新型县建设为引领，实现以创新促转型、以转型促发展的战略性转变，提升奉节科技创新能力，打造具有生态文明建设特色的县域创新驱动示范引领高地。</w:t>
      </w:r>
    </w:p>
    <w:p>
      <w:pPr>
        <w:pStyle w:val="5"/>
        <w:spacing w:before="62" w:beforeLines="20" w:after="62" w:afterLines="20" w:line="560" w:lineRule="exact"/>
        <w:rPr>
          <w:rFonts w:ascii="仿宋_GB2312" w:hAnsi="仿宋_GB2312" w:eastAsia="仿宋_GB2312" w:cs="仿宋_GB2312"/>
          <w:sz w:val="32"/>
        </w:rPr>
      </w:pPr>
      <w:bookmarkStart w:id="127" w:name="_Toc9216"/>
      <w:bookmarkStart w:id="128" w:name="_Toc59992975"/>
      <w:bookmarkStart w:id="129" w:name="_Toc24643"/>
      <w:bookmarkStart w:id="130" w:name="_Toc30929"/>
      <w:bookmarkStart w:id="131" w:name="_Toc24655"/>
      <w:bookmarkStart w:id="132" w:name="_Toc15153"/>
      <w:bookmarkStart w:id="133" w:name="_Toc60584686"/>
      <w:bookmarkStart w:id="134" w:name="_Toc1450"/>
      <w:r>
        <w:rPr>
          <w:rFonts w:hint="eastAsia" w:ascii="仿宋_GB2312" w:hAnsi="仿宋_GB2312" w:eastAsia="仿宋_GB2312" w:cs="仿宋_GB2312"/>
          <w:sz w:val="32"/>
        </w:rPr>
        <w:t>第一节  巩固提升区域创新能级</w:t>
      </w:r>
      <w:bookmarkEnd w:id="127"/>
      <w:bookmarkEnd w:id="128"/>
      <w:bookmarkEnd w:id="129"/>
      <w:bookmarkEnd w:id="130"/>
      <w:bookmarkEnd w:id="131"/>
      <w:bookmarkEnd w:id="132"/>
      <w:bookmarkEnd w:id="133"/>
      <w:bookmarkEnd w:id="134"/>
    </w:p>
    <w:p>
      <w:pPr>
        <w:spacing w:line="560" w:lineRule="exact"/>
        <w:ind w:firstLine="640"/>
        <w:rPr>
          <w:sz w:val="32"/>
          <w:szCs w:val="32"/>
        </w:rPr>
      </w:pPr>
      <w:r>
        <w:rPr>
          <w:rFonts w:hint="eastAsia"/>
          <w:sz w:val="32"/>
          <w:szCs w:val="32"/>
        </w:rPr>
        <w:t>构建区域协同开放式创新体系以实现均衡发展，引导加大创新投入以增强新动能培育能力，打通创新链条“最后一公里”以提升创新活力，切实增强产业创新能力，助力奉节经济高质量发展。一要坚持在责任担当中推动创新发展，培育壮大创新梯队，整体提升创新链，服从服务国家创新发展大局。二要坚持在改革开放中推动创新发展，推进科技创新和制度创新“双轮驱动”，主动融入区域科技创新网络，加大区域协同创新力度，提升区域创新枢纽能级。三要坚持在营造城市优质发展环境中推动创新发展，对标国内先行县市，造环境、搭平台、优服务、强保障，让创新来奉节、创业到奉节、创造在奉节成为新时尚。</w:t>
      </w:r>
    </w:p>
    <w:p>
      <w:pPr>
        <w:pStyle w:val="5"/>
        <w:spacing w:before="62" w:beforeLines="20" w:after="62" w:afterLines="20" w:line="560" w:lineRule="exact"/>
        <w:rPr>
          <w:rFonts w:ascii="仿宋_GB2312" w:hAnsi="仿宋_GB2312" w:eastAsia="仿宋_GB2312" w:cs="仿宋_GB2312"/>
          <w:sz w:val="32"/>
        </w:rPr>
      </w:pPr>
      <w:bookmarkStart w:id="135" w:name="_Toc19965"/>
      <w:bookmarkStart w:id="136" w:name="_Toc59992976"/>
      <w:bookmarkStart w:id="137" w:name="_Toc60584687"/>
      <w:bookmarkStart w:id="138" w:name="_Toc12656"/>
      <w:bookmarkStart w:id="139" w:name="_Toc30084"/>
      <w:bookmarkStart w:id="140" w:name="_Toc19670"/>
      <w:bookmarkStart w:id="141" w:name="_Toc11446"/>
      <w:bookmarkStart w:id="142" w:name="_Toc14030"/>
      <w:r>
        <w:rPr>
          <w:rFonts w:hint="eastAsia" w:ascii="仿宋_GB2312" w:hAnsi="仿宋_GB2312" w:eastAsia="仿宋_GB2312" w:cs="仿宋_GB2312"/>
          <w:sz w:val="32"/>
        </w:rPr>
        <w:t>第二节  构建生态文明建设创新体系</w:t>
      </w:r>
      <w:bookmarkEnd w:id="135"/>
      <w:bookmarkEnd w:id="136"/>
      <w:bookmarkEnd w:id="137"/>
      <w:bookmarkEnd w:id="138"/>
      <w:bookmarkEnd w:id="139"/>
      <w:bookmarkEnd w:id="140"/>
      <w:bookmarkEnd w:id="141"/>
      <w:bookmarkEnd w:id="142"/>
    </w:p>
    <w:p>
      <w:pPr>
        <w:spacing w:line="560" w:lineRule="exact"/>
        <w:ind w:firstLine="640"/>
        <w:rPr>
          <w:sz w:val="32"/>
          <w:szCs w:val="32"/>
        </w:rPr>
      </w:pPr>
      <w:r>
        <w:rPr>
          <w:rFonts w:hint="eastAsia"/>
          <w:sz w:val="32"/>
          <w:szCs w:val="32"/>
        </w:rPr>
        <w:t>实施政府引导、市场主导、企业主体、产学研紧密结合的创新驱动机制，共同推进科技创新，全力构建大数据智能化平台。加快综合性大数据库建设。突出多库合一、多规合一，进一步完善综合数据库，加强系统数据体系建设，提升完善大数据服务平台运营体系和数据管理体系，提升综合性大数据准确性、实用性，努力实现跨层级、跨地域、跨系统、跨部门、跨业务的技术融合、数据融合、业务融合，切实实现包括地理空间、资源状况、生态环保、城乡村情、产业发展、科技动态、社会事业、民生实事等系统融合的综合性数据库。加快生态环保数字化监控体系建设。对森林地区、生态脆弱区域、石漠化地区、地质灾害监控区等实行大数据监控、智能化管理，构筑长江上游重要的生态屏障大数据、智能化监控管理体系。结合数字化体系，创新建立完善地质灾害、自然灾害防治“群测群防”机制，构建气象、地质、水利、地震、林业等防灾减灾与生态环境应急处置一体化防控体系。加快推进数字产业化、产业数字化建设。以“数字经济”“网红经济”带动农产品、旅游两大主业发展，加快推进生态产业数字化、智能化系统建设。启动智慧园区建设，建设形成脐橙产业、木本油料产业、中药材及生态康养业、文化旅游业、纳米绿色防护新材料业、眼镜制造业六个生态产业智能化系统。加快“互联网＋农业”平台推广运用，推动奉节脐橙向“数字橙”转变，做成“订单农业”，建成脐橙产业智慧园、木本油料产业智慧园、中药材产业智慧园。全方位运用大数据、智能化升级奉节旅游，形成面向国内外的智慧旅游系统。用大数据智能化为全县经济赋能、为群众生活添彩。</w:t>
      </w:r>
    </w:p>
    <w:p>
      <w:pPr>
        <w:pStyle w:val="4"/>
        <w:spacing w:before="156" w:beforeLines="50" w:after="156" w:afterLines="50" w:line="560" w:lineRule="exact"/>
        <w:rPr>
          <w:rFonts w:ascii="Times New Roman" w:hAnsi="Times New Roman" w:cs="Times New Roman"/>
          <w:b w:val="0"/>
          <w:bCs w:val="0"/>
          <w:sz w:val="32"/>
        </w:rPr>
      </w:pPr>
      <w:bookmarkStart w:id="143" w:name="_Toc15396"/>
      <w:bookmarkStart w:id="144" w:name="_Toc31664"/>
      <w:bookmarkStart w:id="145" w:name="_Toc14683"/>
      <w:bookmarkStart w:id="146" w:name="_Toc32096"/>
      <w:bookmarkStart w:id="147" w:name="_Toc5703"/>
      <w:bookmarkStart w:id="148" w:name="_Toc31392"/>
      <w:bookmarkStart w:id="149" w:name="_Toc21995"/>
      <w:bookmarkStart w:id="150" w:name="_Toc59992977"/>
      <w:bookmarkStart w:id="151" w:name="_Toc60584688"/>
      <w:r>
        <w:rPr>
          <w:rFonts w:hint="eastAsia" w:ascii="Times New Roman" w:hAnsi="Times New Roman" w:cs="Times New Roman"/>
          <w:b w:val="0"/>
          <w:bCs w:val="0"/>
          <w:sz w:val="32"/>
        </w:rPr>
        <w:t>第六章  加快培育创新力量</w:t>
      </w:r>
      <w:bookmarkEnd w:id="143"/>
      <w:bookmarkEnd w:id="144"/>
      <w:bookmarkEnd w:id="145"/>
      <w:bookmarkEnd w:id="146"/>
      <w:bookmarkEnd w:id="147"/>
      <w:bookmarkEnd w:id="148"/>
      <w:bookmarkEnd w:id="149"/>
      <w:bookmarkEnd w:id="150"/>
      <w:bookmarkEnd w:id="151"/>
    </w:p>
    <w:p>
      <w:pPr>
        <w:spacing w:line="560" w:lineRule="exact"/>
        <w:ind w:firstLine="640"/>
        <w:rPr>
          <w:sz w:val="32"/>
          <w:szCs w:val="32"/>
        </w:rPr>
      </w:pPr>
      <w:r>
        <w:rPr>
          <w:rFonts w:hint="eastAsia"/>
          <w:sz w:val="32"/>
          <w:szCs w:val="32"/>
        </w:rPr>
        <w:t>强化创新链产业链协同，指导县域内企业加强与高等学校、科研院所的产学研合作，建设产业创新高地。制定实施科技创新激励政策，加大财政科技投入力度，促进各类创新要素向企业集聚，助力企业转型升级和创新平台高质量发展。</w:t>
      </w:r>
    </w:p>
    <w:p>
      <w:pPr>
        <w:pStyle w:val="5"/>
        <w:spacing w:before="62" w:beforeLines="20" w:after="62" w:afterLines="20" w:line="560" w:lineRule="exact"/>
        <w:rPr>
          <w:rFonts w:ascii="仿宋_GB2312" w:hAnsi="仿宋_GB2312" w:eastAsia="仿宋_GB2312" w:cs="仿宋_GB2312"/>
          <w:sz w:val="32"/>
        </w:rPr>
      </w:pPr>
      <w:bookmarkStart w:id="152" w:name="_Toc3947"/>
      <w:bookmarkStart w:id="153" w:name="_Toc59992978"/>
      <w:bookmarkStart w:id="154" w:name="_Toc4227"/>
      <w:bookmarkStart w:id="155" w:name="_Toc18706"/>
      <w:bookmarkStart w:id="156" w:name="_Toc60584689"/>
      <w:bookmarkStart w:id="157" w:name="_Toc12307"/>
      <w:bookmarkStart w:id="158" w:name="_Toc12871"/>
      <w:bookmarkStart w:id="159" w:name="_Toc6102"/>
      <w:r>
        <w:rPr>
          <w:rFonts w:hint="eastAsia" w:ascii="仿宋_GB2312" w:hAnsi="仿宋_GB2312" w:eastAsia="仿宋_GB2312" w:cs="仿宋_GB2312"/>
          <w:sz w:val="32"/>
        </w:rPr>
        <w:t>第一节  强化企业创新主体地位</w:t>
      </w:r>
      <w:bookmarkEnd w:id="152"/>
      <w:bookmarkEnd w:id="153"/>
      <w:bookmarkEnd w:id="154"/>
      <w:bookmarkEnd w:id="155"/>
      <w:bookmarkEnd w:id="156"/>
      <w:bookmarkEnd w:id="157"/>
      <w:bookmarkEnd w:id="158"/>
      <w:bookmarkEnd w:id="159"/>
    </w:p>
    <w:p>
      <w:pPr>
        <w:spacing w:line="560" w:lineRule="exact"/>
        <w:ind w:firstLine="640"/>
        <w:rPr>
          <w:sz w:val="32"/>
          <w:szCs w:val="32"/>
        </w:rPr>
      </w:pPr>
      <w:r>
        <w:rPr>
          <w:rFonts w:hint="eastAsia"/>
          <w:sz w:val="32"/>
          <w:szCs w:val="32"/>
        </w:rPr>
        <w:t>企业是科技创新主体，只有根植于企业的科技创新才有生命力。需要建立以市场为导向、以企业为主体、以科研院校为支撑、以产业化为目标的产学研合作创新体系，围绕“抓改革、补短板、聚要素、强投入、促创新”的工作思路，不断优化创新环境，集聚创新资源，补齐创新短板。坚持经济发展就业导向，大力发展新兴经济、民营经济、现代农业等，发挥龙头企业稳就业作用，鼓励各类创业孵化基地建设，吸引高校毕业生、返乡农民工等群体本地创业就业。鼓励企业加大研发投入，建立研究开发机构，开展科技创新活动，落实好科技创新税收优惠政策。实施科技企业成长工程，培育壮大科技型中小企业群体，培育一批具有较强自主创新能力的高新技术企业。</w:t>
      </w:r>
    </w:p>
    <w:p>
      <w:pPr>
        <w:pStyle w:val="5"/>
        <w:spacing w:before="62" w:beforeLines="20" w:after="62" w:afterLines="20" w:line="560" w:lineRule="exact"/>
        <w:rPr>
          <w:rFonts w:ascii="仿宋_GB2312" w:hAnsi="仿宋_GB2312" w:eastAsia="仿宋_GB2312" w:cs="仿宋_GB2312"/>
          <w:sz w:val="32"/>
        </w:rPr>
      </w:pPr>
      <w:bookmarkStart w:id="160" w:name="_Toc25768"/>
      <w:bookmarkStart w:id="161" w:name="_Toc19024"/>
      <w:bookmarkStart w:id="162" w:name="_Toc21297"/>
      <w:bookmarkStart w:id="163" w:name="_Toc3348"/>
      <w:bookmarkStart w:id="164" w:name="_Toc59992979"/>
      <w:bookmarkStart w:id="165" w:name="_Toc21808"/>
      <w:bookmarkStart w:id="166" w:name="_Toc60584690"/>
      <w:bookmarkStart w:id="167" w:name="_Toc27702"/>
      <w:r>
        <w:rPr>
          <w:rFonts w:hint="eastAsia" w:ascii="仿宋_GB2312" w:hAnsi="仿宋_GB2312" w:eastAsia="仿宋_GB2312" w:cs="仿宋_GB2312"/>
          <w:sz w:val="32"/>
        </w:rPr>
        <w:t>第二节  打造高水平科技创新平台</w:t>
      </w:r>
      <w:bookmarkEnd w:id="160"/>
      <w:bookmarkEnd w:id="161"/>
      <w:bookmarkEnd w:id="162"/>
      <w:bookmarkEnd w:id="163"/>
      <w:bookmarkEnd w:id="164"/>
      <w:bookmarkEnd w:id="165"/>
      <w:bookmarkEnd w:id="166"/>
      <w:bookmarkEnd w:id="167"/>
    </w:p>
    <w:p>
      <w:pPr>
        <w:spacing w:line="560" w:lineRule="exact"/>
        <w:ind w:firstLine="640"/>
        <w:rPr>
          <w:sz w:val="32"/>
          <w:szCs w:val="32"/>
        </w:rPr>
      </w:pPr>
      <w:r>
        <w:rPr>
          <w:rFonts w:hint="eastAsia"/>
          <w:sz w:val="32"/>
          <w:szCs w:val="32"/>
        </w:rPr>
        <w:t>围绕脐橙、眼镜制造、中药材等主导产业的技术需求，实施科技创新平台的引进培育工作。鼓励规模以上工业企业建立健全研发机构，支持产学研等多方主体共同参与建立投资主体多元化、管理制度现代化、运行机制市场化、用人机制灵活的独立法人新型研发机构。建设一批技术研发中心、众创空间、“星创天地”等科技创新平台。推进特色小镇、科技示范村建设。</w:t>
      </w:r>
      <w:bookmarkStart w:id="168" w:name="_Toc11859"/>
      <w:bookmarkStart w:id="169" w:name="_Toc11339"/>
      <w:bookmarkStart w:id="170" w:name="_Toc6027"/>
      <w:bookmarkStart w:id="171" w:name="_Toc25142"/>
      <w:bookmarkStart w:id="172" w:name="_Toc60584691"/>
      <w:bookmarkStart w:id="173" w:name="_Toc15030"/>
      <w:bookmarkStart w:id="174" w:name="_Toc59992980"/>
      <w:bookmarkStart w:id="175" w:name="_Toc18124"/>
    </w:p>
    <w:p>
      <w:pPr>
        <w:pStyle w:val="4"/>
        <w:spacing w:before="156" w:beforeLines="50" w:after="156" w:afterLines="50" w:line="560" w:lineRule="exact"/>
        <w:jc w:val="both"/>
        <w:rPr>
          <w:rFonts w:ascii="Times New Roman" w:eastAsia="仿宋_GB2312"/>
          <w:sz w:val="32"/>
        </w:rPr>
      </w:pPr>
    </w:p>
    <w:p>
      <w:pPr>
        <w:pStyle w:val="4"/>
        <w:spacing w:before="156" w:beforeLines="50" w:after="156" w:afterLines="50" w:line="560" w:lineRule="exact"/>
        <w:rPr>
          <w:rFonts w:ascii="Times New Roman" w:hAnsi="Times New Roman" w:cs="Times New Roman"/>
          <w:b w:val="0"/>
          <w:bCs w:val="0"/>
          <w:sz w:val="32"/>
        </w:rPr>
      </w:pPr>
      <w:bookmarkStart w:id="176" w:name="_Toc24947"/>
      <w:r>
        <w:rPr>
          <w:rFonts w:hint="eastAsia" w:ascii="Times New Roman" w:hAnsi="Times New Roman" w:cs="Times New Roman"/>
          <w:b w:val="0"/>
          <w:bCs w:val="0"/>
          <w:sz w:val="32"/>
        </w:rPr>
        <w:t>第七章  激发人才创新活力</w:t>
      </w:r>
      <w:bookmarkEnd w:id="168"/>
      <w:bookmarkEnd w:id="169"/>
      <w:bookmarkEnd w:id="170"/>
      <w:bookmarkEnd w:id="171"/>
      <w:bookmarkEnd w:id="172"/>
      <w:bookmarkEnd w:id="173"/>
      <w:bookmarkEnd w:id="174"/>
      <w:bookmarkEnd w:id="175"/>
      <w:bookmarkEnd w:id="176"/>
    </w:p>
    <w:p>
      <w:pPr>
        <w:spacing w:line="560" w:lineRule="exact"/>
        <w:ind w:firstLine="640"/>
        <w:rPr>
          <w:sz w:val="32"/>
          <w:szCs w:val="32"/>
        </w:rPr>
      </w:pPr>
      <w:r>
        <w:rPr>
          <w:rFonts w:hint="eastAsia"/>
          <w:sz w:val="32"/>
          <w:szCs w:val="32"/>
        </w:rPr>
        <w:t>贯彻尊重劳动、尊重知识、尊重人才、尊重创造方针，牢固树立人才引领发展的战略地位，深化人才发展体制机制改革，打造“近悦远来”人才生态。全方位培养、引进、用好人才，壮大创新型、应用型、技能型人才队伍。完善人才政策，激发各类人才创新活力和潜力，逐渐形成创新基地、发展高地、人才福地。</w:t>
      </w:r>
    </w:p>
    <w:p>
      <w:pPr>
        <w:pStyle w:val="5"/>
        <w:spacing w:before="62" w:beforeLines="20" w:after="62" w:afterLines="20" w:line="560" w:lineRule="exact"/>
        <w:rPr>
          <w:rFonts w:ascii="仿宋_GB2312" w:hAnsi="仿宋_GB2312" w:eastAsia="仿宋_GB2312" w:cs="仿宋_GB2312"/>
          <w:sz w:val="32"/>
        </w:rPr>
      </w:pPr>
      <w:bookmarkStart w:id="177" w:name="_Toc29384"/>
      <w:bookmarkStart w:id="178" w:name="_Toc59992981"/>
      <w:bookmarkStart w:id="179" w:name="_Toc11888"/>
      <w:bookmarkStart w:id="180" w:name="_Toc21631"/>
      <w:bookmarkStart w:id="181" w:name="_Toc60584692"/>
      <w:bookmarkStart w:id="182" w:name="_Toc13253"/>
      <w:bookmarkStart w:id="183" w:name="_Toc29370"/>
      <w:bookmarkStart w:id="184" w:name="_Toc22211"/>
      <w:r>
        <w:rPr>
          <w:rFonts w:hint="eastAsia" w:ascii="仿宋_GB2312" w:hAnsi="仿宋_GB2312" w:eastAsia="仿宋_GB2312" w:cs="仿宋_GB2312"/>
          <w:sz w:val="32"/>
        </w:rPr>
        <w:t>第一节  深化人才机制改革</w:t>
      </w:r>
      <w:bookmarkEnd w:id="177"/>
      <w:bookmarkEnd w:id="178"/>
      <w:bookmarkEnd w:id="179"/>
      <w:bookmarkEnd w:id="180"/>
      <w:bookmarkEnd w:id="181"/>
      <w:bookmarkEnd w:id="182"/>
      <w:bookmarkEnd w:id="183"/>
      <w:bookmarkEnd w:id="184"/>
    </w:p>
    <w:p>
      <w:pPr>
        <w:widowControl/>
        <w:spacing w:line="560" w:lineRule="exact"/>
        <w:ind w:firstLine="640"/>
        <w:jc w:val="left"/>
        <w:rPr>
          <w:sz w:val="32"/>
          <w:szCs w:val="32"/>
        </w:rPr>
      </w:pPr>
      <w:r>
        <w:rPr>
          <w:rFonts w:hint="eastAsia"/>
          <w:sz w:val="32"/>
          <w:szCs w:val="32"/>
        </w:rPr>
        <w:t>创新人才引进机制，优化高层次人才引进和本土人才回归办法，强化引才编制管理，加强事业单位编制调配，保障引才编制“周转池”运转。完善柔性引才机制，坚持“不求所有、但求所用”的原则，柔性引进高层次人才。坚持招商与引才并举，拓宽企业引才渠道，采取市场化、社会化的方式，鼓励企业以项目引才、以人才引才。深化人才培养机制，建立产学研用协同育人模式，分类推进人才培养，大力实施专业技术人才知识更新工程，围绕生态工业、乡村振兴、文化旅游、商贸物流等领域，培养培训急需紧缺专技人才。统筹整合利用全县职业教育培训资源，推动建设高技能人才培养基地和技能大师工作室，有计划地开展大规模的人才资源培训。改革人才评价机制，认真贯彻落实关于分类推进人才评价机制改革的政策规定，充分发挥政府、市场、用人单位等多元评价主体作用，逐步推行以品德、能力和业绩为导向、社会认可的人才评价制度。规范教育、工程等系列中级评审。优化人才流动机制，畅通合理流动渠道，最大限度发挥人才效能。继续实施高校毕业生“三支一扶”计划，围绕重点产业以及乡村振兴等领域，制定紧缺人才需求目录，建立人才需求清单，建立和完善人才与产业融合发展的政策制度体系。深入推进“科技特派员”制度，鼓励支持各类人才向乡村一线、项目一线、产业一线聚集，实现人才资源合理配置。完善人才激励机制，认真贯彻落实国家和重庆市关于激励创新人才的相关政策，合理设置各类人才奖项，继续开展“夔州名医”“夔州名师”“夔州工匠”等评选活动，实行人才服务证制度，形成以政府奖励为导向、以用人单位和社会力量为主体的人才奖励体系。</w:t>
      </w:r>
    </w:p>
    <w:p>
      <w:pPr>
        <w:pStyle w:val="5"/>
        <w:spacing w:before="62" w:beforeLines="20" w:after="62" w:afterLines="20" w:line="560" w:lineRule="exact"/>
        <w:rPr>
          <w:rFonts w:ascii="仿宋_GB2312" w:hAnsi="仿宋_GB2312" w:eastAsia="仿宋_GB2312" w:cs="仿宋_GB2312"/>
          <w:sz w:val="32"/>
        </w:rPr>
      </w:pPr>
      <w:bookmarkStart w:id="185" w:name="_Toc6436"/>
      <w:bookmarkStart w:id="186" w:name="_Toc59992982"/>
      <w:bookmarkStart w:id="187" w:name="_Toc60584693"/>
      <w:bookmarkStart w:id="188" w:name="_Toc7489"/>
      <w:bookmarkStart w:id="189" w:name="_Toc28380"/>
      <w:bookmarkStart w:id="190" w:name="_Toc17813"/>
      <w:bookmarkStart w:id="191" w:name="_Toc8853"/>
      <w:bookmarkStart w:id="192" w:name="_Toc21001"/>
      <w:r>
        <w:rPr>
          <w:rFonts w:hint="eastAsia" w:ascii="仿宋_GB2312" w:hAnsi="仿宋_GB2312" w:eastAsia="仿宋_GB2312" w:cs="仿宋_GB2312"/>
          <w:sz w:val="32"/>
        </w:rPr>
        <w:t>第二节  促进人才引进集聚</w:t>
      </w:r>
      <w:bookmarkEnd w:id="185"/>
      <w:bookmarkEnd w:id="186"/>
      <w:bookmarkEnd w:id="187"/>
      <w:bookmarkEnd w:id="188"/>
      <w:bookmarkEnd w:id="189"/>
      <w:bookmarkEnd w:id="190"/>
      <w:bookmarkEnd w:id="191"/>
      <w:bookmarkEnd w:id="192"/>
    </w:p>
    <w:p>
      <w:pPr>
        <w:widowControl/>
        <w:spacing w:line="560" w:lineRule="exact"/>
        <w:ind w:firstLine="640"/>
        <w:jc w:val="left"/>
        <w:rPr>
          <w:sz w:val="32"/>
          <w:szCs w:val="32"/>
        </w:rPr>
      </w:pPr>
      <w:r>
        <w:rPr>
          <w:rFonts w:hint="eastAsia"/>
          <w:sz w:val="32"/>
          <w:szCs w:val="32"/>
        </w:rPr>
        <w:t>坚持刚性引才和柔性引智相结合，招才引智与招商引资、产业发展相统一，大力实施“鸿雁计划”“英才计划”，重点引进高端技术人才、急需紧缺专业人才。搭建多种引才平台，发挥人才猎头、行业协会、异地商会等引才作用，构建全方位引才服务网络。支持用人单位通过柔性引进特聘专家、对口挂（兼）职、技术顾问、客座教授、假日专家等多种形式，大力汇聚人才智力资源。引导创建人才实践基地，支持完善“夔智库”建设。实施人才回归工程，广泛吸引奉节籍、有奉节成长（工作）经历、与奉节有特殊感情的各类在外人才回归创新创业，促进项目、技术、企业、人才、资金、信息回流。落实引才激励政策，对引才贡献突出的个人、企业、中介组织等给予一定资金奖励。</w:t>
      </w:r>
    </w:p>
    <w:p>
      <w:pPr>
        <w:pStyle w:val="4"/>
        <w:spacing w:before="156" w:beforeLines="50" w:after="156" w:afterLines="50" w:line="560" w:lineRule="exact"/>
        <w:rPr>
          <w:rFonts w:ascii="Times New Roman" w:hAnsi="Times New Roman" w:cs="Times New Roman"/>
          <w:b w:val="0"/>
          <w:bCs w:val="0"/>
          <w:sz w:val="32"/>
        </w:rPr>
      </w:pPr>
      <w:bookmarkStart w:id="193" w:name="_Toc25179"/>
      <w:bookmarkStart w:id="194" w:name="_Toc5622"/>
      <w:bookmarkStart w:id="195" w:name="_Toc11675"/>
      <w:bookmarkStart w:id="196" w:name="_Toc59992983"/>
      <w:bookmarkStart w:id="197" w:name="_Toc914"/>
      <w:bookmarkStart w:id="198" w:name="_Toc6746"/>
      <w:bookmarkStart w:id="199" w:name="_Toc25252"/>
      <w:bookmarkStart w:id="200" w:name="_Toc12476"/>
      <w:bookmarkStart w:id="201" w:name="_Toc60584694"/>
      <w:r>
        <w:rPr>
          <w:rFonts w:hint="eastAsia" w:ascii="Times New Roman" w:hAnsi="Times New Roman" w:cs="Times New Roman"/>
          <w:b w:val="0"/>
          <w:bCs w:val="0"/>
          <w:sz w:val="32"/>
        </w:rPr>
        <w:t>第八章  完善科技创新体制机制</w:t>
      </w:r>
      <w:bookmarkEnd w:id="193"/>
      <w:bookmarkEnd w:id="194"/>
      <w:bookmarkEnd w:id="195"/>
      <w:bookmarkEnd w:id="196"/>
      <w:bookmarkEnd w:id="197"/>
      <w:bookmarkEnd w:id="198"/>
      <w:bookmarkEnd w:id="199"/>
      <w:bookmarkEnd w:id="200"/>
      <w:bookmarkEnd w:id="201"/>
    </w:p>
    <w:p>
      <w:pPr>
        <w:spacing w:line="560" w:lineRule="exact"/>
        <w:ind w:firstLine="640"/>
        <w:rPr>
          <w:sz w:val="32"/>
          <w:szCs w:val="32"/>
        </w:rPr>
      </w:pPr>
      <w:r>
        <w:rPr>
          <w:rFonts w:hint="eastAsia"/>
          <w:sz w:val="32"/>
          <w:szCs w:val="32"/>
        </w:rPr>
        <w:t>强化科技对高质量发展的引领支撑作用，深化体制机制改革创新，提高现代化管理水平，构建多元参与、协同高效的科技创新治理体系，统筹发挥好政府主导作用、市场决定性作用和科学共同体自治作用，切实把制度优势转化为治理效能。</w:t>
      </w:r>
    </w:p>
    <w:p>
      <w:pPr>
        <w:pStyle w:val="5"/>
        <w:spacing w:line="560" w:lineRule="exact"/>
        <w:rPr>
          <w:rFonts w:eastAsia="黑体"/>
          <w:b w:val="0"/>
          <w:bCs w:val="0"/>
        </w:rPr>
      </w:pPr>
      <w:bookmarkStart w:id="202" w:name="_Toc32517"/>
      <w:bookmarkStart w:id="203" w:name="_Toc5241"/>
      <w:bookmarkStart w:id="204" w:name="_Toc16474"/>
      <w:bookmarkStart w:id="205" w:name="_Toc60584695"/>
      <w:bookmarkStart w:id="206" w:name="_Toc7868"/>
      <w:bookmarkStart w:id="207" w:name="_Toc18513"/>
      <w:bookmarkStart w:id="208" w:name="_Toc1552"/>
      <w:bookmarkStart w:id="209" w:name="_Toc59992984"/>
      <w:r>
        <w:rPr>
          <w:rFonts w:hint="eastAsia" w:ascii="仿宋_GB2312" w:hAnsi="仿宋_GB2312" w:eastAsia="仿宋_GB2312" w:cs="仿宋_GB2312"/>
          <w:sz w:val="32"/>
        </w:rPr>
        <w:t>第一节  深化科技创新机制改革</w:t>
      </w:r>
      <w:bookmarkEnd w:id="202"/>
      <w:bookmarkEnd w:id="203"/>
      <w:bookmarkEnd w:id="204"/>
      <w:bookmarkEnd w:id="205"/>
      <w:bookmarkEnd w:id="206"/>
      <w:bookmarkEnd w:id="207"/>
      <w:bookmarkEnd w:id="208"/>
      <w:bookmarkEnd w:id="209"/>
    </w:p>
    <w:p>
      <w:pPr>
        <w:spacing w:line="560" w:lineRule="exact"/>
        <w:ind w:firstLine="640"/>
        <w:rPr>
          <w:sz w:val="32"/>
          <w:szCs w:val="32"/>
        </w:rPr>
      </w:pPr>
      <w:r>
        <w:rPr>
          <w:rFonts w:hint="eastAsia"/>
          <w:sz w:val="32"/>
          <w:szCs w:val="32"/>
        </w:rPr>
        <w:t>深化新一轮全面创新改革试验，健全创新激励政策体系，营造鼓励创新的政策环境。深入推进科技体制改革，优化科技规划体系和运行机制，推动重点领域项目、基地、人才、资金一体化配置。加强知识产权保护，提高科技成果转移转化成效。健全多渠道投入机制，逐步提高研发投入力度。完善金融支持创新体系，引导金融机构和各类基金对口支持，拓宽投融资渠道，促进新技术产业化规模化应用。</w:t>
      </w:r>
    </w:p>
    <w:p>
      <w:pPr>
        <w:pStyle w:val="5"/>
        <w:spacing w:before="62" w:beforeLines="20" w:after="62" w:afterLines="20" w:line="560" w:lineRule="exact"/>
        <w:rPr>
          <w:rFonts w:ascii="仿宋_GB2312" w:hAnsi="仿宋_GB2312" w:eastAsia="仿宋_GB2312" w:cs="仿宋_GB2312"/>
          <w:sz w:val="32"/>
        </w:rPr>
      </w:pPr>
      <w:bookmarkStart w:id="210" w:name="_Toc59992985"/>
      <w:bookmarkStart w:id="211" w:name="_Toc29179"/>
      <w:bookmarkStart w:id="212" w:name="_Toc28184"/>
      <w:bookmarkStart w:id="213" w:name="_Toc60584696"/>
      <w:bookmarkStart w:id="214" w:name="_Toc23016"/>
      <w:bookmarkStart w:id="215" w:name="_Toc10126"/>
      <w:bookmarkStart w:id="216" w:name="_Toc25287"/>
      <w:bookmarkStart w:id="217" w:name="_Toc14502"/>
      <w:r>
        <w:rPr>
          <w:rFonts w:hint="eastAsia" w:ascii="仿宋_GB2312" w:hAnsi="仿宋_GB2312" w:eastAsia="仿宋_GB2312" w:cs="仿宋_GB2312"/>
          <w:sz w:val="32"/>
        </w:rPr>
        <w:t>第二节  营造良好创新创业氛围</w:t>
      </w:r>
      <w:bookmarkEnd w:id="210"/>
      <w:bookmarkEnd w:id="211"/>
      <w:bookmarkEnd w:id="212"/>
      <w:bookmarkEnd w:id="213"/>
      <w:bookmarkEnd w:id="214"/>
      <w:bookmarkEnd w:id="215"/>
      <w:bookmarkEnd w:id="216"/>
      <w:bookmarkEnd w:id="217"/>
    </w:p>
    <w:p>
      <w:pPr>
        <w:spacing w:line="560" w:lineRule="exact"/>
        <w:ind w:firstLine="640"/>
        <w:rPr>
          <w:bCs/>
          <w:sz w:val="32"/>
          <w:szCs w:val="32"/>
        </w:rPr>
      </w:pPr>
      <w:r>
        <w:rPr>
          <w:rFonts w:hint="eastAsia"/>
          <w:bCs/>
          <w:sz w:val="32"/>
          <w:szCs w:val="32"/>
        </w:rPr>
        <w:t>完善科技创新体制机制，积极营造创新驱动氛围。创新财政资金支持方式，强化财政资金的引导作用，整合各类财政专项资金，为产业转型升级提供资金保障。创新投融资机制，采取多种方式拓宽融资渠道，鼓励、引导和吸引社会资金以PPP模式、EOD模式、特许经营模式、政企合作（土地与基建项目打包等）、企企合作（股权合作、债券合作等）等形式参与，破解投入周期长、投资规模大、成本回收慢、不确定性因素多等问题。加强科学技术普及工作，实施全民科学素质行动计划，推动形成社会化科普工作格局。加强农村基层科普队伍、科普人才建设。加大科普宣传力度，组织好重大科普活动，弘扬科学精神和工匠精神，营造崇尚科学的社会氛围。</w:t>
      </w:r>
    </w:p>
    <w:p>
      <w:pPr>
        <w:pStyle w:val="3"/>
        <w:spacing w:line="560" w:lineRule="exact"/>
        <w:sectPr>
          <w:pgSz w:w="11906" w:h="16838"/>
          <w:pgMar w:top="1984" w:right="1531" w:bottom="1531" w:left="1531" w:header="907" w:footer="1191" w:gutter="0"/>
          <w:cols w:space="425" w:num="1"/>
          <w:docGrid w:type="lines" w:linePitch="312" w:charSpace="0"/>
        </w:sectPr>
      </w:pPr>
      <w:bookmarkStart w:id="218" w:name="_Toc30327"/>
      <w:bookmarkStart w:id="219" w:name="_Toc30667"/>
    </w:p>
    <w:p>
      <w:pPr>
        <w:pStyle w:val="3"/>
        <w:spacing w:before="156" w:beforeLines="50" w:after="156" w:afterLines="50" w:line="560" w:lineRule="exact"/>
        <w:rPr>
          <w:rFonts w:ascii="黑体" w:hAnsi="黑体" w:eastAsia="黑体" w:cs="黑体"/>
          <w:b w:val="0"/>
          <w:bCs/>
        </w:rPr>
      </w:pPr>
      <w:bookmarkStart w:id="220" w:name="_Toc17732"/>
      <w:bookmarkStart w:id="221" w:name="_Toc59992986"/>
      <w:bookmarkStart w:id="222" w:name="_Toc14828"/>
      <w:bookmarkStart w:id="223" w:name="_Toc25697"/>
      <w:bookmarkStart w:id="224" w:name="_Toc22461"/>
      <w:bookmarkStart w:id="225" w:name="_Toc28316"/>
      <w:bookmarkStart w:id="226" w:name="_Toc28247"/>
      <w:bookmarkStart w:id="227" w:name="_Toc60584697"/>
      <w:r>
        <w:rPr>
          <w:rFonts w:hint="eastAsia" w:ascii="黑体" w:hAnsi="黑体" w:eastAsia="黑体" w:cs="黑体"/>
          <w:b w:val="0"/>
          <w:bCs/>
        </w:rPr>
        <w:t xml:space="preserve">第三篇  </w:t>
      </w:r>
      <w:bookmarkEnd w:id="218"/>
      <w:r>
        <w:rPr>
          <w:rFonts w:hint="eastAsia" w:ascii="黑体" w:hAnsi="黑体" w:eastAsia="黑体" w:cs="黑体"/>
          <w:b w:val="0"/>
          <w:bCs/>
        </w:rPr>
        <w:t>着力生态文明建设，打造渝东北三峡库区生态屏障共建示范区</w:t>
      </w:r>
      <w:bookmarkEnd w:id="219"/>
      <w:bookmarkEnd w:id="220"/>
      <w:bookmarkEnd w:id="221"/>
      <w:bookmarkEnd w:id="222"/>
      <w:bookmarkEnd w:id="223"/>
      <w:bookmarkEnd w:id="224"/>
      <w:bookmarkEnd w:id="225"/>
      <w:bookmarkEnd w:id="226"/>
      <w:bookmarkEnd w:id="227"/>
    </w:p>
    <w:p>
      <w:pPr>
        <w:spacing w:line="560" w:lineRule="exact"/>
        <w:ind w:firstLine="640"/>
        <w:rPr>
          <w:bCs/>
          <w:sz w:val="32"/>
          <w:szCs w:val="32"/>
        </w:rPr>
      </w:pPr>
      <w:r>
        <w:rPr>
          <w:rFonts w:hint="eastAsia"/>
          <w:bCs/>
          <w:sz w:val="32"/>
          <w:szCs w:val="32"/>
        </w:rPr>
        <w:t>坚持共抓大保护、不搞大开发，立足“三区一库”生态功能定位，坚持保护优先、自然恢复为主的基本方针，践行绿水青山就是金山银山的理念，始终把修复长江生态环境摆在压倒性位置，走深走实生态优先、绿色发展之路，全力构建长江经济带上生态文明示范区，努力建设山清水秀美丽之地。</w:t>
      </w:r>
    </w:p>
    <w:p>
      <w:pPr>
        <w:pStyle w:val="4"/>
        <w:spacing w:before="156" w:beforeLines="50" w:after="156" w:afterLines="50" w:line="560" w:lineRule="exact"/>
        <w:rPr>
          <w:rFonts w:ascii="Times New Roman" w:hAnsi="Times New Roman" w:cs="Times New Roman"/>
          <w:b w:val="0"/>
          <w:bCs w:val="0"/>
          <w:sz w:val="32"/>
        </w:rPr>
      </w:pPr>
      <w:bookmarkStart w:id="228" w:name="_Toc56242173"/>
      <w:bookmarkStart w:id="229" w:name="_Toc58444255"/>
      <w:bookmarkStart w:id="230" w:name="_Toc28145"/>
      <w:bookmarkStart w:id="231" w:name="_Toc27487"/>
      <w:bookmarkStart w:id="232" w:name="_Toc60584698"/>
      <w:bookmarkStart w:id="233" w:name="_Toc2093"/>
      <w:bookmarkStart w:id="234" w:name="_Toc26040"/>
      <w:bookmarkStart w:id="235" w:name="_Toc423"/>
      <w:bookmarkStart w:id="236" w:name="_Toc23748"/>
      <w:bookmarkStart w:id="237" w:name="_Toc19424"/>
      <w:bookmarkStart w:id="238" w:name="_Toc30968"/>
      <w:bookmarkStart w:id="239" w:name="_Toc59992987"/>
      <w:r>
        <w:rPr>
          <w:rFonts w:hint="eastAsia" w:ascii="Times New Roman" w:hAnsi="Times New Roman" w:cs="Times New Roman"/>
          <w:b w:val="0"/>
          <w:bCs w:val="0"/>
          <w:sz w:val="32"/>
        </w:rPr>
        <w:t xml:space="preserve">第九章  </w:t>
      </w:r>
      <w:bookmarkEnd w:id="228"/>
      <w:bookmarkEnd w:id="229"/>
      <w:bookmarkEnd w:id="230"/>
      <w:r>
        <w:rPr>
          <w:rFonts w:hint="eastAsia" w:ascii="Times New Roman" w:hAnsi="Times New Roman" w:cs="Times New Roman"/>
          <w:b w:val="0"/>
          <w:bCs w:val="0"/>
          <w:sz w:val="32"/>
        </w:rPr>
        <w:t>筑牢长江上游重要的生态屏障</w:t>
      </w:r>
      <w:bookmarkEnd w:id="231"/>
      <w:bookmarkEnd w:id="232"/>
      <w:bookmarkEnd w:id="233"/>
      <w:bookmarkEnd w:id="234"/>
      <w:bookmarkEnd w:id="235"/>
      <w:bookmarkEnd w:id="236"/>
      <w:bookmarkEnd w:id="237"/>
      <w:bookmarkEnd w:id="238"/>
      <w:bookmarkEnd w:id="239"/>
    </w:p>
    <w:p>
      <w:pPr>
        <w:spacing w:line="560" w:lineRule="exact"/>
        <w:ind w:firstLine="640"/>
        <w:rPr>
          <w:bCs/>
          <w:sz w:val="32"/>
          <w:szCs w:val="32"/>
        </w:rPr>
      </w:pPr>
      <w:r>
        <w:rPr>
          <w:rFonts w:hint="eastAsia"/>
          <w:bCs/>
          <w:sz w:val="32"/>
          <w:szCs w:val="32"/>
        </w:rPr>
        <w:t>统筹山水林田湖草等重要生态系统保护，加大消落区、水土流失、石漠化、采矿区等生态退化区域的治理力度；探索国家公园建设，强化生物多样性保护，科学划定三生空间，强化生态空间用途管制，站好守护长江母亲河的“奉节岗哨”。</w:t>
      </w:r>
    </w:p>
    <w:p>
      <w:pPr>
        <w:pStyle w:val="5"/>
        <w:spacing w:before="62" w:beforeLines="20" w:after="62" w:afterLines="20" w:line="560" w:lineRule="exact"/>
        <w:rPr>
          <w:rFonts w:ascii="仿宋_GB2312" w:hAnsi="仿宋_GB2312" w:eastAsia="仿宋_GB2312" w:cs="仿宋_GB2312"/>
          <w:sz w:val="32"/>
        </w:rPr>
      </w:pPr>
      <w:bookmarkStart w:id="240" w:name="_Toc18339"/>
      <w:bookmarkStart w:id="241" w:name="_Toc59992988"/>
      <w:bookmarkStart w:id="242" w:name="_Toc5321"/>
      <w:bookmarkStart w:id="243" w:name="_Toc60584699"/>
      <w:bookmarkStart w:id="244" w:name="_Toc23732"/>
      <w:bookmarkStart w:id="245" w:name="_Toc23648"/>
      <w:bookmarkStart w:id="246" w:name="_Toc19571"/>
      <w:bookmarkStart w:id="247" w:name="_Toc9925"/>
      <w:bookmarkStart w:id="248" w:name="_Toc7963"/>
      <w:bookmarkStart w:id="249" w:name="_Toc31316"/>
      <w:r>
        <w:rPr>
          <w:rFonts w:hint="eastAsia" w:ascii="仿宋_GB2312" w:hAnsi="仿宋_GB2312" w:eastAsia="仿宋_GB2312" w:cs="仿宋_GB2312"/>
          <w:sz w:val="32"/>
        </w:rPr>
        <w:t>第一节  优化生态空间格局</w:t>
      </w:r>
      <w:bookmarkEnd w:id="240"/>
      <w:bookmarkEnd w:id="241"/>
      <w:bookmarkEnd w:id="242"/>
      <w:bookmarkEnd w:id="243"/>
      <w:bookmarkEnd w:id="244"/>
      <w:bookmarkEnd w:id="245"/>
      <w:bookmarkEnd w:id="246"/>
      <w:bookmarkEnd w:id="247"/>
    </w:p>
    <w:p>
      <w:pPr>
        <w:spacing w:line="560" w:lineRule="exact"/>
        <w:ind w:firstLine="640"/>
        <w:rPr>
          <w:rFonts w:ascii="仿宋_GB2312"/>
          <w:sz w:val="32"/>
        </w:rPr>
      </w:pPr>
      <w:r>
        <w:rPr>
          <w:rFonts w:hint="eastAsia"/>
          <w:bCs/>
          <w:sz w:val="32"/>
          <w:szCs w:val="32"/>
        </w:rPr>
        <w:t>加快完成生态保护红线评估调整，严格执行生态保护红线管控制度，在红线区域实施最严格的水资源保护、土地用途管制和产业退出制度，确保生态保护红线性质不转换、功能不降低、面积不减少，科学有序引导人口迁移，降低生态压力。全面落实主体功能区划和环境功能区划，注重山水林田湖草生命共同体的保护，以</w:t>
      </w:r>
      <w:r>
        <w:rPr>
          <w:rFonts w:hint="eastAsia" w:ascii="仿宋_GB2312"/>
          <w:sz w:val="32"/>
        </w:rPr>
        <w:t>长江、朱衣河、梅溪河、草堂河、大溪河、长滩河为六大水系生态涵养带，以北部鞍子山-狮子山，中部枇杷山、七曜山，南部金凤山-麻山-石乳山形成四大山系生态屏障，以交通廊道、生态廊道、城镇绿地为补充，构建“</w:t>
      </w:r>
      <w:r>
        <w:rPr>
          <w:rFonts w:hint="eastAsia" w:ascii="仿宋_GB2312"/>
          <w:b/>
          <w:sz w:val="32"/>
        </w:rPr>
        <w:t>六带四屏多廊道</w:t>
      </w:r>
      <w:r>
        <w:rPr>
          <w:rFonts w:hint="eastAsia" w:ascii="仿宋_GB2312"/>
          <w:sz w:val="32"/>
        </w:rPr>
        <w:t>”的复合型、立体化、网络化的生态空间体系。</w:t>
      </w:r>
    </w:p>
    <w:p>
      <w:pPr>
        <w:pStyle w:val="12"/>
        <w:ind w:left="0" w:leftChars="0" w:firstLine="0" w:firstLineChars="0"/>
      </w:pPr>
      <w:r>
        <w:rPr>
          <w:rFonts w:hint="eastAsia"/>
        </w:rPr>
        <w:drawing>
          <wp:inline distT="0" distB="0" distL="114300" distR="114300">
            <wp:extent cx="5615305" cy="7037070"/>
            <wp:effectExtent l="0" t="0" r="4445" b="11430"/>
            <wp:docPr id="7" name="图片 7" descr="0308214466920aa8a8fcaa72929ff3f"/>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descr="0308214466920aa8a8fcaa72929ff3f"/>
                    <pic:cNvPicPr>
                      <a:picLocks noChangeAspect="true"/>
                    </pic:cNvPicPr>
                  </pic:nvPicPr>
                  <pic:blipFill>
                    <a:blip r:embed="rId17"/>
                    <a:stretch>
                      <a:fillRect/>
                    </a:stretch>
                  </pic:blipFill>
                  <pic:spPr>
                    <a:xfrm>
                      <a:off x="0" y="0"/>
                      <a:ext cx="5615305" cy="7037070"/>
                    </a:xfrm>
                    <a:prstGeom prst="rect">
                      <a:avLst/>
                    </a:prstGeom>
                  </pic:spPr>
                </pic:pic>
              </a:graphicData>
            </a:graphic>
          </wp:inline>
        </w:drawing>
      </w:r>
    </w:p>
    <w:p>
      <w:pPr>
        <w:tabs>
          <w:tab w:val="left" w:pos="1755"/>
        </w:tabs>
        <w:snapToGrid w:val="0"/>
        <w:ind w:firstLine="562"/>
        <w:jc w:val="center"/>
        <w:rPr>
          <w:rFonts w:eastAsiaTheme="minorEastAsia"/>
          <w:b/>
          <w:bCs/>
          <w:szCs w:val="28"/>
        </w:rPr>
      </w:pPr>
      <w:r>
        <w:rPr>
          <w:rFonts w:hAnsiTheme="minorEastAsia" w:eastAsiaTheme="minorEastAsia"/>
          <w:b/>
          <w:bCs/>
          <w:szCs w:val="28"/>
        </w:rPr>
        <w:t>图</w:t>
      </w:r>
      <w:r>
        <w:rPr>
          <w:rFonts w:eastAsiaTheme="minorEastAsia"/>
          <w:b/>
          <w:bCs/>
          <w:szCs w:val="28"/>
        </w:rPr>
        <w:t xml:space="preserve">3-1 </w:t>
      </w:r>
      <w:r>
        <w:rPr>
          <w:rFonts w:hAnsiTheme="minorEastAsia" w:eastAsiaTheme="minorEastAsia"/>
          <w:b/>
          <w:bCs/>
          <w:szCs w:val="28"/>
        </w:rPr>
        <w:t>生态空间格局</w:t>
      </w:r>
    </w:p>
    <w:p>
      <w:pPr>
        <w:pStyle w:val="5"/>
        <w:spacing w:before="62" w:beforeLines="20" w:after="62" w:afterLines="20" w:line="560" w:lineRule="exact"/>
        <w:rPr>
          <w:rFonts w:ascii="仿宋_GB2312" w:hAnsi="仿宋_GB2312" w:eastAsia="仿宋_GB2312" w:cs="仿宋_GB2312"/>
          <w:sz w:val="32"/>
        </w:rPr>
      </w:pPr>
      <w:bookmarkStart w:id="250" w:name="_Toc15083"/>
      <w:bookmarkStart w:id="251" w:name="_Toc24246"/>
      <w:bookmarkStart w:id="252" w:name="_Toc60584700"/>
      <w:bookmarkStart w:id="253" w:name="_Toc26654"/>
      <w:bookmarkStart w:id="254" w:name="_Toc12938"/>
      <w:bookmarkStart w:id="255" w:name="_Toc29"/>
      <w:bookmarkStart w:id="256" w:name="_Toc59992989"/>
      <w:bookmarkStart w:id="257" w:name="_Toc29636"/>
      <w:r>
        <w:rPr>
          <w:rFonts w:hint="eastAsia" w:ascii="仿宋_GB2312" w:hAnsi="仿宋_GB2312" w:eastAsia="仿宋_GB2312" w:cs="仿宋_GB2312"/>
          <w:sz w:val="32"/>
        </w:rPr>
        <w:t>第二节  严格自然保护地管控</w:t>
      </w:r>
      <w:bookmarkEnd w:id="250"/>
      <w:bookmarkEnd w:id="251"/>
      <w:bookmarkEnd w:id="252"/>
      <w:bookmarkEnd w:id="253"/>
      <w:bookmarkEnd w:id="254"/>
      <w:bookmarkEnd w:id="255"/>
      <w:bookmarkEnd w:id="256"/>
      <w:bookmarkEnd w:id="257"/>
    </w:p>
    <w:p>
      <w:pPr>
        <w:spacing w:line="560" w:lineRule="exact"/>
        <w:ind w:firstLine="640"/>
        <w:rPr>
          <w:bCs/>
          <w:sz w:val="32"/>
          <w:szCs w:val="32"/>
        </w:rPr>
      </w:pPr>
      <w:r>
        <w:rPr>
          <w:rFonts w:hint="eastAsia"/>
          <w:bCs/>
          <w:sz w:val="32"/>
          <w:szCs w:val="32"/>
        </w:rPr>
        <w:t>贯彻落实中共中央办公厅、国务院办公厅《关于建立以国家公园为主体的自然保护地体系的指导意见》精神，科学优化自然保护地体系，合理调整8个自然保护地范围并勘界立标，明确自然保护地功能分区。“十四五”期间以天坑地缝自然公园自然保护地建设为重点，明确核心保护区和一般管控区，强化主要保护对象及栖息地保护恢复，连通生态廊道；完善重要自然生态、自然遗迹、自然景观和濒危物种保护设施，构建智慧管护监测系统，建立健全配套基础设施及科普教育网络。</w:t>
      </w:r>
    </w:p>
    <w:p>
      <w:pPr>
        <w:pStyle w:val="5"/>
        <w:spacing w:before="62" w:beforeLines="20" w:after="62" w:afterLines="20" w:line="560" w:lineRule="exact"/>
        <w:rPr>
          <w:rFonts w:ascii="仿宋_GB2312" w:hAnsi="仿宋_GB2312" w:eastAsia="仿宋_GB2312" w:cs="仿宋_GB2312"/>
          <w:sz w:val="32"/>
        </w:rPr>
      </w:pPr>
      <w:bookmarkStart w:id="258" w:name="_Toc19871"/>
      <w:bookmarkStart w:id="259" w:name="_Toc59992990"/>
      <w:bookmarkStart w:id="260" w:name="_Toc22298"/>
      <w:bookmarkStart w:id="261" w:name="_Toc18812"/>
      <w:bookmarkStart w:id="262" w:name="_Toc23975"/>
      <w:bookmarkStart w:id="263" w:name="_Toc20858"/>
      <w:bookmarkStart w:id="264" w:name="_Toc4965"/>
      <w:bookmarkStart w:id="265" w:name="_Toc60584701"/>
      <w:r>
        <w:rPr>
          <w:rFonts w:hint="eastAsia" w:ascii="仿宋_GB2312" w:hAnsi="仿宋_GB2312" w:eastAsia="仿宋_GB2312" w:cs="仿宋_GB2312"/>
          <w:sz w:val="32"/>
        </w:rPr>
        <w:t>第三节  加强自然生态系统保护</w:t>
      </w:r>
      <w:bookmarkEnd w:id="258"/>
      <w:bookmarkEnd w:id="259"/>
      <w:bookmarkEnd w:id="260"/>
      <w:bookmarkEnd w:id="261"/>
      <w:bookmarkEnd w:id="262"/>
      <w:bookmarkEnd w:id="263"/>
      <w:bookmarkEnd w:id="264"/>
      <w:bookmarkEnd w:id="265"/>
    </w:p>
    <w:p>
      <w:pPr>
        <w:spacing w:line="560" w:lineRule="exact"/>
        <w:ind w:firstLine="640"/>
        <w:rPr>
          <w:bCs/>
          <w:sz w:val="32"/>
          <w:szCs w:val="32"/>
        </w:rPr>
      </w:pPr>
      <w:r>
        <w:rPr>
          <w:rFonts w:hint="eastAsia"/>
          <w:bCs/>
          <w:sz w:val="32"/>
          <w:szCs w:val="32"/>
        </w:rPr>
        <w:t>严格保护山体，建立重要山体保护名录，划定管制控制线。严格限制林地转为建设用地、其他农用地，继续实施“两岸青山·千里林带”、“清水绿岸”、长江防护林、新一轮退耕还林及提质增效重点工程，加强人工造林、封山育林，强化退耕还林新造林抚育经营，做好森林防火体系建设和林业有害生物防治。积极推进大规模国土绿化建设，全面深化城镇绿化、山区绿化和村庄绿化建设，提高森林覆盖率和林木蓄积量，增强森林碳汇能力。建立重要湖泊、水库、湿地保护名录，加强原生态保护。实施生物多样性保护，积极防治有害生物。</w:t>
      </w:r>
    </w:p>
    <w:p>
      <w:pPr>
        <w:pStyle w:val="5"/>
        <w:spacing w:before="62" w:beforeLines="20" w:after="62" w:afterLines="20" w:line="560" w:lineRule="exact"/>
        <w:rPr>
          <w:rFonts w:ascii="仿宋_GB2312" w:hAnsi="仿宋_GB2312" w:eastAsia="仿宋_GB2312" w:cs="仿宋_GB2312"/>
          <w:sz w:val="32"/>
        </w:rPr>
      </w:pPr>
      <w:bookmarkStart w:id="266" w:name="_Toc60584702"/>
      <w:bookmarkStart w:id="267" w:name="_Toc20841"/>
      <w:bookmarkStart w:id="268" w:name="_Toc2824"/>
      <w:r>
        <w:rPr>
          <w:rFonts w:hint="eastAsia" w:ascii="仿宋_GB2312" w:hAnsi="仿宋_GB2312" w:eastAsia="仿宋_GB2312" w:cs="仿宋_GB2312"/>
          <w:sz w:val="32"/>
        </w:rPr>
        <w:t>第四节  深入推进生态修复</w:t>
      </w:r>
      <w:bookmarkEnd w:id="266"/>
      <w:bookmarkEnd w:id="267"/>
      <w:bookmarkEnd w:id="268"/>
    </w:p>
    <w:p>
      <w:pPr>
        <w:spacing w:line="560" w:lineRule="exact"/>
        <w:ind w:firstLine="640"/>
        <w:rPr>
          <w:bCs/>
          <w:sz w:val="32"/>
          <w:szCs w:val="32"/>
        </w:rPr>
      </w:pPr>
      <w:r>
        <w:rPr>
          <w:rFonts w:hint="eastAsia"/>
          <w:bCs/>
          <w:sz w:val="32"/>
          <w:szCs w:val="32"/>
        </w:rPr>
        <w:t>坚持以河流、湖泊、水环境功能区为重点，深入推进水生态环境修复，提高水体自净能力和污染物降解能力。加强坡耕地及中小流域水土流失综合治理，控制水土流失面积。积极开展土壤污染排查，加强工业废弃地、煤炭堆放场、垃圾堆放场的土壤修复，推进农用地土壤持久性有机污染物和重金属的综合防治，改善土壤环境质量。推进岩溶地区石漠化治理，加强矿山、水能、林业、湿地、旅游等资源开发的生态保护和修复，开展煤炭采空区综合治理。</w:t>
      </w:r>
    </w:p>
    <w:p>
      <w:pPr>
        <w:pStyle w:val="5"/>
        <w:spacing w:before="62" w:beforeLines="20" w:after="62" w:afterLines="20" w:line="560" w:lineRule="exact"/>
        <w:rPr>
          <w:rFonts w:ascii="仿宋_GB2312" w:hAnsi="仿宋_GB2312" w:eastAsia="仿宋_GB2312" w:cs="仿宋_GB2312"/>
          <w:sz w:val="32"/>
        </w:rPr>
      </w:pPr>
      <w:bookmarkStart w:id="269" w:name="_Toc26098"/>
      <w:bookmarkStart w:id="270" w:name="_Toc22049"/>
      <w:r>
        <w:rPr>
          <w:rFonts w:hint="eastAsia" w:ascii="仿宋_GB2312" w:hAnsi="仿宋_GB2312" w:eastAsia="仿宋_GB2312" w:cs="仿宋_GB2312"/>
          <w:sz w:val="32"/>
        </w:rPr>
        <w:t>第五节  加强</w:t>
      </w:r>
      <w:r>
        <w:rPr>
          <w:rFonts w:ascii="仿宋_GB2312" w:hAnsi="仿宋_GB2312" w:eastAsia="仿宋_GB2312" w:cs="仿宋_GB2312"/>
          <w:sz w:val="32"/>
        </w:rPr>
        <w:t>地质灾害防治</w:t>
      </w:r>
      <w:bookmarkEnd w:id="269"/>
      <w:bookmarkEnd w:id="270"/>
    </w:p>
    <w:p>
      <w:pPr>
        <w:spacing w:line="560" w:lineRule="exact"/>
        <w:ind w:firstLine="640"/>
      </w:pPr>
      <w:r>
        <w:rPr>
          <w:rFonts w:hint="eastAsia"/>
          <w:bCs/>
          <w:sz w:val="32"/>
          <w:szCs w:val="32"/>
        </w:rPr>
        <w:t>遵循“预防为主</w:t>
      </w:r>
      <w:r>
        <w:rPr>
          <w:bCs/>
          <w:sz w:val="32"/>
          <w:szCs w:val="32"/>
        </w:rPr>
        <w:t>、</w:t>
      </w:r>
      <w:r>
        <w:rPr>
          <w:rFonts w:hint="eastAsia"/>
          <w:bCs/>
          <w:sz w:val="32"/>
          <w:szCs w:val="32"/>
        </w:rPr>
        <w:t>避让与治理相结合”的</w:t>
      </w:r>
      <w:r>
        <w:rPr>
          <w:bCs/>
          <w:sz w:val="32"/>
          <w:szCs w:val="32"/>
        </w:rPr>
        <w:t>方针</w:t>
      </w:r>
      <w:r>
        <w:rPr>
          <w:rFonts w:hint="eastAsia"/>
          <w:bCs/>
          <w:sz w:val="32"/>
          <w:szCs w:val="32"/>
        </w:rPr>
        <w:t>，实施</w:t>
      </w:r>
      <w:r>
        <w:rPr>
          <w:bCs/>
          <w:sz w:val="32"/>
          <w:szCs w:val="32"/>
        </w:rPr>
        <w:t>建设工程地质灾害危险性评估制度，</w:t>
      </w:r>
      <w:r>
        <w:rPr>
          <w:rFonts w:hint="eastAsia"/>
          <w:bCs/>
          <w:sz w:val="32"/>
          <w:szCs w:val="32"/>
        </w:rPr>
        <w:t>建立地质灾害</w:t>
      </w:r>
      <w:r>
        <w:rPr>
          <w:bCs/>
          <w:sz w:val="32"/>
          <w:szCs w:val="32"/>
        </w:rPr>
        <w:t>数据库，</w:t>
      </w:r>
      <w:r>
        <w:rPr>
          <w:rFonts w:hint="eastAsia"/>
          <w:bCs/>
          <w:sz w:val="32"/>
          <w:szCs w:val="32"/>
        </w:rPr>
        <w:t>为</w:t>
      </w:r>
      <w:r>
        <w:rPr>
          <w:bCs/>
          <w:sz w:val="32"/>
          <w:szCs w:val="32"/>
        </w:rPr>
        <w:t>减灾防灾和决策指挥系统</w:t>
      </w:r>
      <w:r>
        <w:rPr>
          <w:rFonts w:hint="eastAsia"/>
          <w:bCs/>
          <w:sz w:val="32"/>
          <w:szCs w:val="32"/>
        </w:rPr>
        <w:t>服务。同时，加强滑坡、崩塌、危岩体工程治理，加强塌岸防护，加强高切坡防护，加强监测预警及应急抢险，</w:t>
      </w:r>
      <w:r>
        <w:rPr>
          <w:bCs/>
          <w:sz w:val="32"/>
          <w:szCs w:val="32"/>
        </w:rPr>
        <w:t>通过</w:t>
      </w:r>
      <w:r>
        <w:rPr>
          <w:rFonts w:hint="eastAsia"/>
          <w:bCs/>
          <w:sz w:val="32"/>
          <w:szCs w:val="32"/>
        </w:rPr>
        <w:t>科学</w:t>
      </w:r>
      <w:r>
        <w:rPr>
          <w:bCs/>
          <w:sz w:val="32"/>
          <w:szCs w:val="32"/>
        </w:rPr>
        <w:t>运用监测预警、搬迁避让、工程治理等多种手段，有效规避灾害风险。</w:t>
      </w:r>
    </w:p>
    <w:p>
      <w:pPr>
        <w:pStyle w:val="5"/>
        <w:spacing w:before="62" w:beforeLines="20" w:after="62" w:afterLines="20" w:line="560" w:lineRule="exact"/>
        <w:rPr>
          <w:rFonts w:ascii="仿宋_GB2312" w:hAnsi="仿宋_GB2312" w:eastAsia="仿宋_GB2312" w:cs="仿宋_GB2312"/>
          <w:sz w:val="32"/>
        </w:rPr>
      </w:pPr>
      <w:bookmarkStart w:id="271" w:name="_Toc18831"/>
      <w:bookmarkStart w:id="272" w:name="_Toc7331"/>
      <w:bookmarkStart w:id="273" w:name="_Toc23066"/>
      <w:bookmarkStart w:id="274" w:name="_Toc59992992"/>
      <w:bookmarkStart w:id="275" w:name="_Toc60584703"/>
      <w:bookmarkStart w:id="276" w:name="_Toc17821"/>
      <w:bookmarkStart w:id="277" w:name="_Toc21755"/>
      <w:bookmarkStart w:id="278" w:name="_Toc19306"/>
      <w:r>
        <w:rPr>
          <w:rFonts w:hint="eastAsia" w:ascii="仿宋_GB2312" w:hAnsi="仿宋_GB2312" w:eastAsia="仿宋_GB2312" w:cs="仿宋_GB2312"/>
          <w:sz w:val="32"/>
        </w:rPr>
        <w:t>第六节  夯实生态安全防线</w:t>
      </w:r>
      <w:bookmarkEnd w:id="271"/>
      <w:bookmarkEnd w:id="272"/>
      <w:bookmarkEnd w:id="273"/>
      <w:bookmarkEnd w:id="274"/>
      <w:bookmarkEnd w:id="275"/>
      <w:bookmarkEnd w:id="276"/>
      <w:bookmarkEnd w:id="277"/>
      <w:bookmarkEnd w:id="278"/>
    </w:p>
    <w:p>
      <w:pPr>
        <w:spacing w:line="560" w:lineRule="exact"/>
        <w:ind w:firstLine="640"/>
      </w:pPr>
      <w:r>
        <w:rPr>
          <w:rFonts w:hint="eastAsia"/>
          <w:bCs/>
          <w:sz w:val="32"/>
          <w:szCs w:val="32"/>
        </w:rPr>
        <w:t>建立健全生态安全动态监测预警体系，定期开展生态风险调查评估，实现县域生态环境防控和监管全覆盖。构建生态保护信息共享平台，建立生态系统保护修复区域联动机制。以三峡库区为重点，建立健全地质灾害防治长效机制，采取监测预警、避险搬迁和工程治理等综合措施，确保人民群众生命财产安全。</w:t>
      </w:r>
    </w:p>
    <w:tbl>
      <w:tblPr>
        <w:tblStyle w:val="27"/>
        <w:tblpPr w:leftFromText="180" w:rightFromText="180" w:vertAnchor="text" w:horzAnchor="page" w:tblpX="1551" w:tblpY="50"/>
        <w:tblOverlap w:val="never"/>
        <w:tblW w:w="9060"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06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9060" w:type="dxa"/>
          </w:tcPr>
          <w:p>
            <w:pPr>
              <w:widowControl/>
              <w:spacing w:line="560" w:lineRule="exact"/>
              <w:ind w:firstLine="0" w:firstLineChars="0"/>
              <w:jc w:val="center"/>
              <w:rPr>
                <w:b/>
                <w:bCs/>
                <w:kern w:val="0"/>
                <w:szCs w:val="28"/>
              </w:rPr>
            </w:pPr>
            <w:r>
              <w:rPr>
                <w:rFonts w:hint="eastAsia" w:eastAsia="黑体"/>
                <w:kern w:val="0"/>
                <w:szCs w:val="28"/>
              </w:rPr>
              <w:t>专栏一</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9060" w:type="dxa"/>
            <w:shd w:val="clear" w:color="auto" w:fill="auto"/>
            <w:vAlign w:val="center"/>
          </w:tcPr>
          <w:p>
            <w:pPr>
              <w:spacing w:line="560" w:lineRule="exact"/>
              <w:ind w:firstLine="562"/>
              <w:rPr>
                <w:bCs/>
                <w:szCs w:val="28"/>
              </w:rPr>
            </w:pPr>
            <w:r>
              <w:rPr>
                <w:rFonts w:hint="eastAsia"/>
                <w:b/>
                <w:szCs w:val="28"/>
              </w:rPr>
              <w:t>1.森林生态系统保护与修复。</w:t>
            </w:r>
            <w:r>
              <w:rPr>
                <w:rFonts w:hint="eastAsia"/>
                <w:bCs/>
                <w:szCs w:val="28"/>
              </w:rPr>
              <w:t>开展大规模植树增绿活动，集中连片建设森林，加强长江、朱衣河、草堂河、梅溪河、大溪河和石笋河等流域防护林和生态过滤带建设。其中，建设长江防护林2</w:t>
            </w:r>
            <w:r>
              <w:rPr>
                <w:bCs/>
                <w:szCs w:val="28"/>
              </w:rPr>
              <w:t>0</w:t>
            </w:r>
            <w:r>
              <w:rPr>
                <w:rFonts w:hint="eastAsia"/>
                <w:bCs/>
                <w:szCs w:val="28"/>
              </w:rPr>
              <w:t>万亩；天然林管护总规模达到3</w:t>
            </w:r>
            <w:r>
              <w:rPr>
                <w:bCs/>
                <w:szCs w:val="28"/>
              </w:rPr>
              <w:t>25.5</w:t>
            </w:r>
            <w:r>
              <w:rPr>
                <w:rFonts w:hint="eastAsia"/>
                <w:bCs/>
                <w:szCs w:val="28"/>
              </w:rPr>
              <w:t>万亩；依托“两岸青山</w:t>
            </w:r>
            <w:r>
              <w:rPr>
                <w:rFonts w:hint="eastAsia"/>
                <w:bCs/>
                <w:sz w:val="32"/>
                <w:szCs w:val="32"/>
              </w:rPr>
              <w:t>·</w:t>
            </w:r>
            <w:r>
              <w:rPr>
                <w:rFonts w:hint="eastAsia"/>
                <w:bCs/>
                <w:szCs w:val="28"/>
              </w:rPr>
              <w:t>千里林带”工程，营造林</w:t>
            </w:r>
            <w:r>
              <w:rPr>
                <w:bCs/>
                <w:szCs w:val="28"/>
              </w:rPr>
              <w:t>29.25</w:t>
            </w:r>
            <w:r>
              <w:rPr>
                <w:rFonts w:hint="eastAsia"/>
                <w:bCs/>
                <w:szCs w:val="28"/>
              </w:rPr>
              <w:t>万亩；建设培育国家储备林65万亩；通过清水绿岸工程，精准提升森林质量。通过智慧林业应用系统建设，加强森林病虫害防控、森林防火、野生动植物监测。</w:t>
            </w:r>
          </w:p>
          <w:p>
            <w:pPr>
              <w:spacing w:line="560" w:lineRule="exact"/>
              <w:ind w:firstLine="562"/>
              <w:rPr>
                <w:szCs w:val="28"/>
              </w:rPr>
            </w:pPr>
            <w:r>
              <w:rPr>
                <w:rFonts w:hint="eastAsia"/>
                <w:b/>
                <w:szCs w:val="28"/>
              </w:rPr>
              <w:t>2</w:t>
            </w:r>
            <w:r>
              <w:rPr>
                <w:b/>
                <w:szCs w:val="28"/>
              </w:rPr>
              <w:t>.</w:t>
            </w:r>
            <w:r>
              <w:rPr>
                <w:rFonts w:hint="eastAsia"/>
                <w:b/>
                <w:szCs w:val="28"/>
              </w:rPr>
              <w:t>完善城市生态系统。</w:t>
            </w:r>
            <w:r>
              <w:rPr>
                <w:rFonts w:hint="eastAsia"/>
                <w:szCs w:val="28"/>
              </w:rPr>
              <w:t>修复滨河公园滨水区域8万平方米。对万胜路、夔州西路、甘溪街、中华街、紫云街北段、西坪街北段、滨河公园、海城路、诗城西路等道路实施绿化整治修复。奉节县广场维修工程：维修诗仙广场、人民广场、地王广场、后山公园、新竹苑市政设施。公园内安全隐患整治项目：公园边坡安全隐患整治，包括后山公园5000平方米，彩云公园8000平方米，太白苑2000平方米，实施内容：挡墙砌筑、边坡格构浇筑、生态恢复。园林绿化设备设施配套项目：购置园林绿化水车5-20吨3辆。</w:t>
            </w:r>
          </w:p>
          <w:p>
            <w:pPr>
              <w:spacing w:line="560" w:lineRule="exact"/>
              <w:ind w:firstLine="562"/>
              <w:rPr>
                <w:bCs/>
                <w:szCs w:val="28"/>
              </w:rPr>
            </w:pPr>
            <w:r>
              <w:rPr>
                <w:b/>
                <w:szCs w:val="28"/>
              </w:rPr>
              <w:t>3</w:t>
            </w:r>
            <w:r>
              <w:rPr>
                <w:rFonts w:hint="eastAsia"/>
                <w:b/>
                <w:szCs w:val="28"/>
              </w:rPr>
              <w:t>.土地综合整治。</w:t>
            </w:r>
            <w:r>
              <w:rPr>
                <w:rFonts w:hint="eastAsia"/>
                <w:bCs/>
                <w:szCs w:val="28"/>
              </w:rPr>
              <w:t>加强矿产资源开发区域地质环境治理和生态修复，推进损坏土地、工矿废弃地复垦，修复受自然灾害、大型建设项目破坏的山体、矿山废弃地。开展青龙镇土地综合整治。完成历史遗留和关闭矿山地质治理恢复与土地复垦1650亩。</w:t>
            </w:r>
          </w:p>
          <w:p>
            <w:pPr>
              <w:spacing w:line="560" w:lineRule="exact"/>
              <w:ind w:firstLine="562"/>
              <w:rPr>
                <w:bCs/>
                <w:szCs w:val="28"/>
              </w:rPr>
            </w:pPr>
            <w:r>
              <w:rPr>
                <w:b/>
                <w:szCs w:val="28"/>
              </w:rPr>
              <w:t>4</w:t>
            </w:r>
            <w:r>
              <w:rPr>
                <w:rFonts w:hint="eastAsia"/>
                <w:b/>
                <w:szCs w:val="28"/>
              </w:rPr>
              <w:t>.自然保护地建设。</w:t>
            </w:r>
            <w:r>
              <w:rPr>
                <w:rFonts w:hint="eastAsia"/>
                <w:bCs/>
                <w:szCs w:val="28"/>
              </w:rPr>
              <w:t>做好三岔河自然公园、天坑地缝自然公园、天鹅湖自然公园、梅溪河自然公园、瞿塘峡自然公园、芋河溪自然公园、茅草坝市级自然保护区和长岩洞市级自然保护区8个自然保护地的调整及前期工作，并启动天坑地缝自然公园总面积25819.27公顷范围内的基础设施配套工程、地质遗迹与生物多样性保护工程、科研和监测设施建设工程、宣教和培训工程、生态旅游五大板块建设。</w:t>
            </w:r>
          </w:p>
          <w:p>
            <w:pPr>
              <w:spacing w:line="560" w:lineRule="exact"/>
              <w:ind w:firstLine="562"/>
              <w:rPr>
                <w:bCs/>
                <w:szCs w:val="28"/>
              </w:rPr>
            </w:pPr>
            <w:r>
              <w:rPr>
                <w:b/>
                <w:szCs w:val="28"/>
              </w:rPr>
              <w:t>5</w:t>
            </w:r>
            <w:r>
              <w:rPr>
                <w:rFonts w:hint="eastAsia"/>
                <w:b/>
                <w:szCs w:val="28"/>
              </w:rPr>
              <w:t>.流域综合整治工程。</w:t>
            </w:r>
            <w:r>
              <w:rPr>
                <w:rFonts w:hint="eastAsia"/>
                <w:bCs/>
                <w:szCs w:val="28"/>
              </w:rPr>
              <w:t>持续推动小流域水环境综合治理，推进安坪河、朱衣河、龙桥河、甲高河等中小河流护岸综合整治工程。推进三峡库区白帝庙环岛、长江南岸二桥至永乐镇陈家社区段和陈家社区至白龙段的库岸综合整治，库岸总长度16538米。</w:t>
            </w:r>
          </w:p>
          <w:p>
            <w:pPr>
              <w:spacing w:line="560" w:lineRule="exact"/>
              <w:ind w:firstLine="562"/>
              <w:rPr>
                <w:bCs/>
                <w:szCs w:val="28"/>
              </w:rPr>
            </w:pPr>
            <w:r>
              <w:rPr>
                <w:b/>
                <w:szCs w:val="28"/>
              </w:rPr>
              <w:t>6</w:t>
            </w:r>
            <w:r>
              <w:rPr>
                <w:rFonts w:hint="eastAsia"/>
                <w:b/>
                <w:szCs w:val="28"/>
              </w:rPr>
              <w:t>.退耕还林。实施</w:t>
            </w:r>
            <w:r>
              <w:rPr>
                <w:rFonts w:hint="eastAsia"/>
                <w:bCs/>
                <w:szCs w:val="28"/>
              </w:rPr>
              <w:t>新一轮退耕还林</w:t>
            </w:r>
            <w:r>
              <w:rPr>
                <w:rFonts w:hint="eastAsia"/>
                <w:b/>
                <w:szCs w:val="28"/>
              </w:rPr>
              <w:t>，</w:t>
            </w:r>
            <w:r>
              <w:rPr>
                <w:rFonts w:hint="eastAsia"/>
                <w:bCs/>
                <w:szCs w:val="28"/>
              </w:rPr>
              <w:t>退耕还林及提质增效25万亩。</w:t>
            </w:r>
          </w:p>
          <w:p>
            <w:pPr>
              <w:spacing w:line="560" w:lineRule="exact"/>
              <w:ind w:firstLine="562"/>
              <w:rPr>
                <w:bCs/>
                <w:szCs w:val="28"/>
              </w:rPr>
            </w:pPr>
            <w:r>
              <w:rPr>
                <w:b/>
                <w:szCs w:val="28"/>
              </w:rPr>
              <w:t>7</w:t>
            </w:r>
            <w:r>
              <w:rPr>
                <w:rFonts w:hint="eastAsia"/>
                <w:b/>
                <w:szCs w:val="28"/>
              </w:rPr>
              <w:t>.水土流失和石漠化综合治理。</w:t>
            </w:r>
            <w:r>
              <w:rPr>
                <w:rFonts w:hint="eastAsia"/>
                <w:bCs/>
                <w:szCs w:val="28"/>
              </w:rPr>
              <w:t>推进石岗乡坡耕地水土流失治理。综合治理全县22个石漠化乡镇，总治理面积500平方公里。</w:t>
            </w:r>
          </w:p>
          <w:p>
            <w:pPr>
              <w:spacing w:line="560" w:lineRule="exact"/>
              <w:ind w:firstLine="562"/>
              <w:rPr>
                <w:bCs/>
                <w:szCs w:val="28"/>
              </w:rPr>
            </w:pPr>
            <w:r>
              <w:rPr>
                <w:b/>
                <w:szCs w:val="28"/>
              </w:rPr>
              <w:t>8</w:t>
            </w:r>
            <w:r>
              <w:rPr>
                <w:rFonts w:hint="eastAsia"/>
                <w:b/>
                <w:szCs w:val="28"/>
              </w:rPr>
              <w:t>.野生动植物保护。</w:t>
            </w:r>
            <w:r>
              <w:rPr>
                <w:rFonts w:hint="eastAsia"/>
                <w:bCs/>
                <w:szCs w:val="28"/>
              </w:rPr>
              <w:t>建立陆生维管植物物种资源数据库和陆生野生动物物种种质资源数据库，构建野生动植物资源保护与持续利用信息共享平台，完善野生动植物种质资源保护监测体系和野生动物疫情防控体系，开展自然保护地建设及野生动植物保护。</w:t>
            </w:r>
          </w:p>
          <w:p>
            <w:pPr>
              <w:pStyle w:val="2"/>
              <w:ind w:firstLine="562"/>
            </w:pPr>
            <w:r>
              <w:rPr>
                <w:rFonts w:hint="eastAsia"/>
                <w:b/>
              </w:rPr>
              <w:t>9.地质灾害防治。</w:t>
            </w:r>
            <w:r>
              <w:rPr>
                <w:rFonts w:hint="eastAsia" w:ascii="仿宋_GB2312" w:eastAsia="仿宋_GB2312"/>
              </w:rPr>
              <w:t>推进青莲镇林扒里滑坡治理、吐祥镇万寿路危岩及不稳定斜坡治理、石岗场镇综合治理、吐祥镇政府后不稳定斜坡治理等工程。</w:t>
            </w:r>
          </w:p>
        </w:tc>
      </w:tr>
    </w:tbl>
    <w:p>
      <w:pPr>
        <w:pStyle w:val="4"/>
        <w:spacing w:before="156" w:beforeLines="50" w:after="156" w:afterLines="50" w:line="560" w:lineRule="exact"/>
        <w:rPr>
          <w:rFonts w:ascii="Times New Roman" w:hAnsi="Times New Roman" w:cs="Times New Roman"/>
          <w:b w:val="0"/>
          <w:bCs w:val="0"/>
          <w:sz w:val="32"/>
        </w:rPr>
      </w:pPr>
      <w:bookmarkStart w:id="279" w:name="_Toc5836"/>
      <w:bookmarkStart w:id="280" w:name="_Toc58444257"/>
      <w:bookmarkStart w:id="281" w:name="_Toc56242175"/>
      <w:bookmarkStart w:id="282" w:name="_Toc13440"/>
      <w:bookmarkStart w:id="283" w:name="_Toc59992993"/>
      <w:bookmarkStart w:id="284" w:name="_Toc14296"/>
      <w:bookmarkStart w:id="285" w:name="_Toc29962"/>
      <w:bookmarkStart w:id="286" w:name="_Toc14004"/>
      <w:bookmarkStart w:id="287" w:name="_Toc60584704"/>
      <w:bookmarkStart w:id="288" w:name="_Toc9414"/>
      <w:bookmarkStart w:id="289" w:name="_Toc6659"/>
      <w:bookmarkStart w:id="290" w:name="_Toc14958"/>
      <w:r>
        <w:rPr>
          <w:rFonts w:hint="eastAsia" w:ascii="Times New Roman" w:hAnsi="Times New Roman" w:cs="Times New Roman"/>
          <w:b w:val="0"/>
          <w:bCs w:val="0"/>
          <w:sz w:val="32"/>
        </w:rPr>
        <w:t xml:space="preserve">第十章  </w:t>
      </w:r>
      <w:bookmarkEnd w:id="279"/>
      <w:bookmarkEnd w:id="280"/>
      <w:bookmarkEnd w:id="281"/>
      <w:r>
        <w:rPr>
          <w:rFonts w:hint="eastAsia" w:ascii="Times New Roman" w:hAnsi="Times New Roman" w:cs="Times New Roman"/>
          <w:b w:val="0"/>
          <w:bCs w:val="0"/>
          <w:sz w:val="32"/>
        </w:rPr>
        <w:t>持续改善生态环境质量</w:t>
      </w:r>
      <w:bookmarkEnd w:id="282"/>
      <w:bookmarkEnd w:id="283"/>
      <w:bookmarkEnd w:id="284"/>
      <w:bookmarkEnd w:id="285"/>
      <w:bookmarkEnd w:id="286"/>
      <w:bookmarkEnd w:id="287"/>
      <w:bookmarkEnd w:id="288"/>
      <w:bookmarkEnd w:id="289"/>
      <w:bookmarkEnd w:id="290"/>
    </w:p>
    <w:p>
      <w:pPr>
        <w:spacing w:line="560" w:lineRule="exact"/>
        <w:ind w:firstLine="640"/>
        <w:rPr>
          <w:bCs/>
          <w:sz w:val="32"/>
          <w:szCs w:val="32"/>
        </w:rPr>
      </w:pPr>
      <w:r>
        <w:rPr>
          <w:rFonts w:hint="eastAsia"/>
          <w:bCs/>
          <w:sz w:val="32"/>
          <w:szCs w:val="32"/>
        </w:rPr>
        <w:t>统筹协同推进大气、水、噪声、土壤、农村面源等生态环境治理，继续深入打好污染防治攻坚战，持续改善生态环境，让奉节天更蓝、地更绿、水更清、空气更清新、环境更宁静。</w:t>
      </w:r>
    </w:p>
    <w:p>
      <w:pPr>
        <w:pStyle w:val="5"/>
        <w:spacing w:before="62" w:beforeLines="20" w:after="62" w:afterLines="20" w:line="560" w:lineRule="exact"/>
        <w:rPr>
          <w:rFonts w:ascii="仿宋_GB2312" w:hAnsi="仿宋_GB2312" w:eastAsia="仿宋_GB2312" w:cs="仿宋_GB2312"/>
          <w:sz w:val="32"/>
        </w:rPr>
      </w:pPr>
      <w:bookmarkStart w:id="291" w:name="_Toc60584705"/>
      <w:bookmarkStart w:id="292" w:name="_Toc24768"/>
      <w:bookmarkStart w:id="293" w:name="_Toc23050"/>
      <w:bookmarkStart w:id="294" w:name="_Toc18444"/>
      <w:bookmarkStart w:id="295" w:name="_Toc31880"/>
      <w:bookmarkStart w:id="296" w:name="_Toc21219"/>
      <w:bookmarkStart w:id="297" w:name="_Toc59992995"/>
      <w:bookmarkStart w:id="298" w:name="_Toc18574"/>
      <w:r>
        <w:rPr>
          <w:rFonts w:hint="eastAsia" w:ascii="仿宋_GB2312" w:hAnsi="仿宋_GB2312" w:eastAsia="仿宋_GB2312" w:cs="仿宋_GB2312"/>
          <w:sz w:val="32"/>
        </w:rPr>
        <w:t>第一节  精准施策改善大气环境质量</w:t>
      </w:r>
      <w:bookmarkEnd w:id="291"/>
      <w:bookmarkEnd w:id="292"/>
      <w:bookmarkEnd w:id="293"/>
    </w:p>
    <w:p>
      <w:pPr>
        <w:spacing w:line="560" w:lineRule="exact"/>
        <w:ind w:firstLine="640"/>
        <w:rPr>
          <w:rFonts w:eastAsia="方正仿宋_GBK"/>
          <w:sz w:val="32"/>
          <w:szCs w:val="32"/>
        </w:rPr>
      </w:pPr>
      <w:r>
        <w:rPr>
          <w:rFonts w:hint="eastAsia"/>
          <w:bCs/>
          <w:sz w:val="32"/>
          <w:szCs w:val="32"/>
        </w:rPr>
        <w:t>严格落实“大气十条”要求，建立指挥调度体系与污染天气分类管控体系，分级分区分时段启动应急管控措施，有效减少污染天气影响。深入开展工业废气污染、交通污染、城市扬尘污染、生活污染的治理。采取日常巡查、定期督查、百日攻坚等手段，加强对大气污染的管控，积极应对轻、中度污染天气，落实重污染天气应急预案。到2025年空气质量优良天数达到330天以上，细颗粒物（PM2.5）浓度控制在35微克/立方米以内（最终以市级下达的指标为准）。协同控制细颗粒物（PM2.5）和臭氧（O</w:t>
      </w:r>
      <w:r>
        <w:rPr>
          <w:rFonts w:hint="eastAsia"/>
          <w:bCs/>
          <w:sz w:val="32"/>
          <w:szCs w:val="32"/>
          <w:vertAlign w:val="subscript"/>
        </w:rPr>
        <w:t>3</w:t>
      </w:r>
      <w:r>
        <w:rPr>
          <w:rFonts w:hint="eastAsia"/>
          <w:bCs/>
          <w:sz w:val="32"/>
          <w:szCs w:val="32"/>
        </w:rPr>
        <w:t>），确保2025年臭氧浓度上升趋势得到遏制。</w:t>
      </w:r>
    </w:p>
    <w:p>
      <w:pPr>
        <w:pStyle w:val="5"/>
        <w:spacing w:before="62" w:beforeLines="20" w:after="62" w:afterLines="20" w:line="560" w:lineRule="exact"/>
      </w:pPr>
      <w:bookmarkStart w:id="299" w:name="_Toc6745"/>
      <w:bookmarkStart w:id="300" w:name="_Toc7796"/>
      <w:bookmarkStart w:id="301" w:name="_Toc60584706"/>
      <w:r>
        <w:rPr>
          <w:rFonts w:hint="eastAsia" w:ascii="仿宋_GB2312" w:hAnsi="仿宋_GB2312" w:eastAsia="仿宋_GB2312" w:cs="仿宋_GB2312"/>
          <w:sz w:val="32"/>
        </w:rPr>
        <w:t>第二节  系统治理改善水环境质量</w:t>
      </w:r>
      <w:bookmarkEnd w:id="294"/>
      <w:bookmarkEnd w:id="295"/>
      <w:bookmarkEnd w:id="296"/>
      <w:bookmarkEnd w:id="297"/>
      <w:bookmarkEnd w:id="298"/>
      <w:bookmarkEnd w:id="299"/>
      <w:bookmarkEnd w:id="300"/>
      <w:bookmarkEnd w:id="301"/>
    </w:p>
    <w:p>
      <w:pPr>
        <w:widowControl/>
        <w:spacing w:line="560" w:lineRule="exact"/>
        <w:ind w:firstLine="640" w:firstLineChars="0"/>
        <w:jc w:val="left"/>
        <w:rPr>
          <w:bCs/>
          <w:sz w:val="32"/>
          <w:szCs w:val="32"/>
        </w:rPr>
      </w:pPr>
      <w:r>
        <w:rPr>
          <w:rFonts w:hint="eastAsia"/>
          <w:bCs/>
          <w:sz w:val="32"/>
          <w:szCs w:val="32"/>
        </w:rPr>
        <w:t>坚持系统思维，统筹水资源配置、水生态修复和水环境治理，治污减排与生态扩容两手发力，促进水环境管理从污染防治为主逐步向污染防治与生态保护并重转变。严格保护饮用水源水质安全，强化船舶港口、工业企业、畜禽养殖等行业的监管，补齐城乡污水治理短板。规范“一江五河”入河排污口设置，完善监管体系，查找偷排直排乱排问题源头，建立问题台账，推进问题整改，严厉打击偷排直排乱排污水的违法行为。持续开展重点河流和水库的富营养化监测预警及控制工作。落实长江干流（奉节段）和重要支流退捕和禁捕政策。</w:t>
      </w:r>
    </w:p>
    <w:p>
      <w:pPr>
        <w:pStyle w:val="5"/>
        <w:spacing w:before="62" w:beforeLines="20" w:after="62" w:afterLines="20" w:line="560" w:lineRule="exact"/>
        <w:rPr>
          <w:rFonts w:ascii="仿宋_GB2312" w:hAnsi="仿宋_GB2312" w:eastAsia="仿宋_GB2312" w:cs="仿宋_GB2312"/>
          <w:sz w:val="32"/>
        </w:rPr>
      </w:pPr>
      <w:bookmarkStart w:id="302" w:name="_Toc6477"/>
      <w:bookmarkStart w:id="303" w:name="_Toc9004"/>
      <w:bookmarkStart w:id="304" w:name="_Toc60584707"/>
      <w:bookmarkStart w:id="305" w:name="_Toc22938"/>
      <w:bookmarkStart w:id="306" w:name="_Toc18419"/>
      <w:bookmarkStart w:id="307" w:name="_Toc59992996"/>
      <w:bookmarkStart w:id="308" w:name="_Toc9757"/>
      <w:bookmarkStart w:id="309" w:name="_Toc22127"/>
      <w:r>
        <w:rPr>
          <w:rFonts w:hint="eastAsia" w:ascii="仿宋_GB2312" w:hAnsi="仿宋_GB2312" w:eastAsia="仿宋_GB2312" w:cs="仿宋_GB2312"/>
          <w:sz w:val="32"/>
        </w:rPr>
        <w:t>第三节  加强噪声管控</w:t>
      </w:r>
      <w:bookmarkEnd w:id="302"/>
      <w:bookmarkEnd w:id="303"/>
      <w:bookmarkEnd w:id="304"/>
      <w:bookmarkEnd w:id="305"/>
      <w:bookmarkEnd w:id="306"/>
      <w:bookmarkEnd w:id="307"/>
      <w:bookmarkEnd w:id="308"/>
      <w:bookmarkEnd w:id="309"/>
    </w:p>
    <w:p>
      <w:pPr>
        <w:spacing w:line="560" w:lineRule="exact"/>
        <w:ind w:firstLine="640"/>
        <w:rPr>
          <w:sz w:val="32"/>
          <w:szCs w:val="32"/>
        </w:rPr>
      </w:pPr>
      <w:r>
        <w:rPr>
          <w:rFonts w:hint="eastAsia"/>
          <w:bCs/>
          <w:sz w:val="32"/>
          <w:szCs w:val="32"/>
        </w:rPr>
        <w:t>严格管控交通噪声影响，布局重点交通干线、重要声环境敏感区域噪声智能监控点，完善噪声敏感建筑物集中区域的县内干道、高速公路等道路两边隔声屏障建设。严格实施禁鸣、限行、限速等措施，严查违法改装发动机和深夜飙车行为。加强施工噪声和工业企业噪声监管。严格管控生活噪声影响，巩固安静居住小区创建成果，控制加工、维修、餐饮、娱乐、健身、超市及其它商业服务业噪声污染。</w:t>
      </w:r>
    </w:p>
    <w:p>
      <w:pPr>
        <w:pStyle w:val="5"/>
        <w:spacing w:before="62" w:beforeLines="20" w:after="62" w:afterLines="20" w:line="560" w:lineRule="exact"/>
        <w:rPr>
          <w:rFonts w:ascii="仿宋_GB2312" w:hAnsi="仿宋_GB2312" w:eastAsia="仿宋_GB2312" w:cs="仿宋_GB2312"/>
          <w:sz w:val="32"/>
        </w:rPr>
      </w:pPr>
      <w:bookmarkStart w:id="310" w:name="_Toc717"/>
      <w:bookmarkStart w:id="311" w:name="_Toc5855"/>
      <w:bookmarkStart w:id="312" w:name="_Toc60584708"/>
      <w:bookmarkStart w:id="313" w:name="_Toc59992997"/>
      <w:bookmarkStart w:id="314" w:name="_Toc7915"/>
      <w:bookmarkStart w:id="315" w:name="_Toc29164"/>
      <w:bookmarkStart w:id="316" w:name="_Toc21541"/>
      <w:bookmarkStart w:id="317" w:name="_Toc31805"/>
      <w:r>
        <w:rPr>
          <w:rFonts w:hint="eastAsia" w:ascii="仿宋_GB2312" w:hAnsi="仿宋_GB2312" w:eastAsia="仿宋_GB2312" w:cs="仿宋_GB2312"/>
          <w:sz w:val="32"/>
        </w:rPr>
        <w:t>第四节  严格管控提升土壤环境质量</w:t>
      </w:r>
      <w:bookmarkEnd w:id="310"/>
      <w:bookmarkEnd w:id="311"/>
      <w:bookmarkEnd w:id="312"/>
      <w:bookmarkEnd w:id="313"/>
      <w:bookmarkEnd w:id="314"/>
      <w:bookmarkEnd w:id="315"/>
      <w:bookmarkEnd w:id="316"/>
      <w:bookmarkEnd w:id="317"/>
    </w:p>
    <w:p>
      <w:pPr>
        <w:spacing w:line="560" w:lineRule="exact"/>
        <w:ind w:firstLine="640"/>
        <w:rPr>
          <w:bCs/>
          <w:sz w:val="32"/>
          <w:szCs w:val="32"/>
        </w:rPr>
      </w:pPr>
      <w:r>
        <w:rPr>
          <w:rFonts w:hint="eastAsia"/>
          <w:bCs/>
          <w:sz w:val="32"/>
          <w:szCs w:val="32"/>
        </w:rPr>
        <w:t>坚持“预防为主、保护优先、风险管控，分类别、分用途、分阶段进行管控治理”思路，以改善奉节县土壤环境质量为核心，以严守农产品质量安全和保障人居环境安全为底线，强化建设用地准入管理和农用地分类管理，规范建设用地土壤污染防治，依法开展土壤污染状况调查和风险评估。巩固提升农用地分类管理，加大优先保护类耕地保护力度，提升耕地利用价值，做好安全利用类和严格管控类耕地后期管理，强化农业投入品质量监管。</w:t>
      </w:r>
    </w:p>
    <w:p>
      <w:pPr>
        <w:pStyle w:val="5"/>
        <w:spacing w:before="62" w:beforeLines="20" w:after="62" w:afterLines="20" w:line="560" w:lineRule="exact"/>
        <w:rPr>
          <w:rFonts w:ascii="仿宋_GB2312" w:hAnsi="仿宋_GB2312" w:eastAsia="仿宋_GB2312" w:cs="仿宋_GB2312"/>
          <w:sz w:val="32"/>
        </w:rPr>
      </w:pPr>
      <w:bookmarkStart w:id="318" w:name="_Toc5559"/>
      <w:bookmarkStart w:id="319" w:name="_Toc59992998"/>
      <w:bookmarkStart w:id="320" w:name="_Toc25117"/>
      <w:bookmarkStart w:id="321" w:name="_Toc13019"/>
      <w:bookmarkStart w:id="322" w:name="_Toc60584709"/>
      <w:bookmarkStart w:id="323" w:name="_Toc19710"/>
      <w:bookmarkStart w:id="324" w:name="_Toc8066"/>
      <w:bookmarkStart w:id="325" w:name="_Toc20763"/>
      <w:r>
        <w:rPr>
          <w:rFonts w:hint="eastAsia" w:ascii="仿宋_GB2312" w:hAnsi="仿宋_GB2312" w:eastAsia="仿宋_GB2312" w:cs="仿宋_GB2312"/>
          <w:sz w:val="32"/>
        </w:rPr>
        <w:t>第五节  加快“无废奉节”建设</w:t>
      </w:r>
      <w:bookmarkEnd w:id="318"/>
      <w:bookmarkEnd w:id="319"/>
      <w:bookmarkEnd w:id="320"/>
      <w:bookmarkEnd w:id="321"/>
      <w:bookmarkEnd w:id="322"/>
      <w:bookmarkEnd w:id="323"/>
      <w:bookmarkEnd w:id="324"/>
      <w:bookmarkEnd w:id="325"/>
    </w:p>
    <w:p>
      <w:pPr>
        <w:spacing w:line="560" w:lineRule="exact"/>
        <w:ind w:firstLine="640"/>
        <w:rPr>
          <w:bCs/>
          <w:sz w:val="32"/>
          <w:szCs w:val="32"/>
        </w:rPr>
      </w:pPr>
      <w:r>
        <w:rPr>
          <w:rFonts w:hint="eastAsia"/>
          <w:bCs/>
          <w:sz w:val="32"/>
          <w:szCs w:val="32"/>
        </w:rPr>
        <w:t>遵循“减量化、资源化、无害化”原则，持续推进固体废物源头减量和资源化利用。减少生活垃圾源头，持续开展垃圾分类行动，引导居民自觉、科学地开展生活垃圾分类，健全有害垃圾收运处置体系。加大对汽修、医疗机构等危险废物行业规范化管理力度，全面落实管理计划申报和电子联单备案工作。重点排查整治危险废物环境风险隐患，严肃查处违规堆存、随意倾倒、非法填埋、非法转移危险废物等环境违法行为。开展渣场环境风险隐患排查和问题整治，落实渣场环境应急响应措施，提升环境安全保障能力。</w:t>
      </w:r>
    </w:p>
    <w:tbl>
      <w:tblPr>
        <w:tblStyle w:val="27"/>
        <w:tblpPr w:leftFromText="180" w:rightFromText="180" w:vertAnchor="text" w:horzAnchor="page" w:tblpX="1551" w:tblpY="50"/>
        <w:tblOverlap w:val="never"/>
        <w:tblW w:w="9060"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06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9060" w:type="dxa"/>
          </w:tcPr>
          <w:p>
            <w:pPr>
              <w:widowControl/>
              <w:spacing w:line="560" w:lineRule="exact"/>
              <w:ind w:firstLine="0" w:firstLineChars="0"/>
              <w:jc w:val="center"/>
              <w:rPr>
                <w:b/>
                <w:bCs/>
                <w:kern w:val="0"/>
                <w:szCs w:val="28"/>
              </w:rPr>
            </w:pPr>
            <w:r>
              <w:rPr>
                <w:rFonts w:hint="eastAsia" w:eastAsia="黑体"/>
                <w:kern w:val="0"/>
                <w:szCs w:val="28"/>
              </w:rPr>
              <w:t>专栏二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9060" w:type="dxa"/>
            <w:shd w:val="clear" w:color="auto" w:fill="auto"/>
            <w:vAlign w:val="center"/>
          </w:tcPr>
          <w:p>
            <w:pPr>
              <w:spacing w:line="560" w:lineRule="exact"/>
              <w:ind w:firstLine="562"/>
              <w:rPr>
                <w:b/>
                <w:szCs w:val="28"/>
              </w:rPr>
            </w:pPr>
            <w:r>
              <w:rPr>
                <w:rFonts w:hint="eastAsia"/>
                <w:b/>
                <w:szCs w:val="28"/>
              </w:rPr>
              <w:t>1</w:t>
            </w:r>
            <w:r>
              <w:rPr>
                <w:b/>
                <w:szCs w:val="28"/>
              </w:rPr>
              <w:t>.</w:t>
            </w:r>
            <w:r>
              <w:rPr>
                <w:rFonts w:hint="eastAsia"/>
                <w:b/>
                <w:szCs w:val="28"/>
              </w:rPr>
              <w:t>大气治理。</w:t>
            </w:r>
            <w:r>
              <w:rPr>
                <w:rFonts w:hint="eastAsia"/>
                <w:szCs w:val="28"/>
              </w:rPr>
              <w:t>实施城区（旧居住区）油烟整治项目。</w:t>
            </w:r>
          </w:p>
          <w:p>
            <w:pPr>
              <w:spacing w:line="560" w:lineRule="exact"/>
              <w:ind w:firstLine="562"/>
              <w:rPr>
                <w:bCs/>
                <w:szCs w:val="28"/>
              </w:rPr>
            </w:pPr>
            <w:r>
              <w:rPr>
                <w:b/>
                <w:szCs w:val="28"/>
              </w:rPr>
              <w:t>2</w:t>
            </w:r>
            <w:r>
              <w:rPr>
                <w:rFonts w:hint="eastAsia"/>
                <w:b/>
                <w:szCs w:val="28"/>
              </w:rPr>
              <w:t>.饮用水源地水环境综合整治。</w:t>
            </w:r>
            <w:r>
              <w:rPr>
                <w:rFonts w:hint="eastAsia"/>
                <w:bCs/>
                <w:szCs w:val="28"/>
              </w:rPr>
              <w:t>针对长江流域奉节段，采取修建隔离防护网、建设生态湿地（生态浮岛）等手段；针对梅溪河流域，采用内源治理、污水管网建设、庭院消纳地修建等措施。</w:t>
            </w:r>
          </w:p>
          <w:p>
            <w:pPr>
              <w:spacing w:line="560" w:lineRule="exact"/>
              <w:ind w:firstLine="562"/>
              <w:rPr>
                <w:bCs/>
                <w:szCs w:val="28"/>
              </w:rPr>
            </w:pPr>
            <w:r>
              <w:rPr>
                <w:b/>
                <w:szCs w:val="28"/>
              </w:rPr>
              <w:t>3</w:t>
            </w:r>
            <w:r>
              <w:rPr>
                <w:rFonts w:hint="eastAsia"/>
                <w:b/>
                <w:szCs w:val="28"/>
              </w:rPr>
              <w:t>.城乡污水治理。</w:t>
            </w:r>
            <w:r>
              <w:rPr>
                <w:rFonts w:hint="eastAsia"/>
                <w:bCs/>
                <w:szCs w:val="28"/>
              </w:rPr>
              <w:t>包括厂网一体化（新建95座污水处理站，33个乡镇/街道300人上集中居住点管网建设全覆盖），城区和独立工矿区的污水管网建设。</w:t>
            </w:r>
          </w:p>
          <w:p>
            <w:pPr>
              <w:spacing w:line="560" w:lineRule="exact"/>
              <w:ind w:firstLine="562"/>
              <w:rPr>
                <w:bCs/>
                <w:kern w:val="0"/>
                <w:szCs w:val="28"/>
              </w:rPr>
            </w:pPr>
            <w:r>
              <w:rPr>
                <w:b/>
                <w:szCs w:val="28"/>
              </w:rPr>
              <w:t>4</w:t>
            </w:r>
            <w:r>
              <w:rPr>
                <w:rFonts w:hint="eastAsia"/>
                <w:b/>
                <w:szCs w:val="28"/>
              </w:rPr>
              <w:t>.城乡环卫设施。</w:t>
            </w:r>
            <w:r>
              <w:rPr>
                <w:rFonts w:hint="eastAsia"/>
                <w:bCs/>
                <w:szCs w:val="28"/>
              </w:rPr>
              <w:t>谋划奉节县大宗工业固废综合利用项目和危险废物综合收集贮存项目建设，实施城镇垃圾分类收运，康乐镇新建生活垃圾焚烧发电厂，永乐镇新建建筑垃圾消纳场，高铁生态城新建1座垃圾转运站，朱衣镇改造4座垃圾中转站、20座公厕，城区新建、改建公厕26座。</w:t>
            </w:r>
          </w:p>
        </w:tc>
      </w:tr>
    </w:tbl>
    <w:p>
      <w:pPr>
        <w:pStyle w:val="4"/>
        <w:spacing w:before="156" w:beforeLines="50" w:after="156" w:afterLines="50" w:line="560" w:lineRule="exact"/>
        <w:rPr>
          <w:rFonts w:ascii="Times New Roman" w:hAnsi="Times New Roman" w:cs="Times New Roman"/>
          <w:b w:val="0"/>
          <w:bCs w:val="0"/>
          <w:sz w:val="32"/>
        </w:rPr>
      </w:pPr>
      <w:bookmarkStart w:id="326" w:name="_Toc58444259"/>
      <w:bookmarkStart w:id="327" w:name="_Toc56242177"/>
      <w:bookmarkStart w:id="328" w:name="_Toc1369"/>
      <w:bookmarkStart w:id="329" w:name="_Toc27003"/>
      <w:bookmarkStart w:id="330" w:name="_Toc23993"/>
      <w:bookmarkStart w:id="331" w:name="_Toc60584710"/>
      <w:bookmarkStart w:id="332" w:name="_Toc59992999"/>
      <w:bookmarkStart w:id="333" w:name="_Toc7513"/>
      <w:bookmarkStart w:id="334" w:name="_Toc7597"/>
      <w:bookmarkStart w:id="335" w:name="_Toc5480"/>
      <w:bookmarkStart w:id="336" w:name="_Toc27341"/>
      <w:bookmarkStart w:id="337" w:name="_Toc19091"/>
      <w:r>
        <w:rPr>
          <w:rFonts w:hint="eastAsia" w:ascii="Times New Roman" w:hAnsi="Times New Roman" w:cs="Times New Roman"/>
          <w:b w:val="0"/>
          <w:bCs w:val="0"/>
          <w:sz w:val="32"/>
        </w:rPr>
        <w:t xml:space="preserve">第十一章  </w:t>
      </w:r>
      <w:bookmarkEnd w:id="326"/>
      <w:bookmarkEnd w:id="327"/>
      <w:bookmarkEnd w:id="328"/>
      <w:r>
        <w:rPr>
          <w:rFonts w:hint="eastAsia" w:ascii="Times New Roman" w:hAnsi="Times New Roman" w:cs="Times New Roman"/>
          <w:b w:val="0"/>
          <w:bCs w:val="0"/>
          <w:sz w:val="32"/>
        </w:rPr>
        <w:t>加快推进绿色低碳发展</w:t>
      </w:r>
      <w:bookmarkEnd w:id="329"/>
      <w:bookmarkEnd w:id="330"/>
      <w:bookmarkEnd w:id="331"/>
      <w:bookmarkEnd w:id="332"/>
      <w:bookmarkEnd w:id="333"/>
      <w:bookmarkEnd w:id="334"/>
      <w:bookmarkEnd w:id="335"/>
      <w:bookmarkEnd w:id="336"/>
      <w:bookmarkEnd w:id="337"/>
    </w:p>
    <w:p>
      <w:pPr>
        <w:spacing w:line="560" w:lineRule="exact"/>
        <w:ind w:firstLine="640"/>
        <w:rPr>
          <w:bCs/>
          <w:sz w:val="32"/>
          <w:szCs w:val="32"/>
        </w:rPr>
      </w:pPr>
      <w:r>
        <w:rPr>
          <w:rFonts w:hint="eastAsia"/>
          <w:bCs/>
          <w:sz w:val="32"/>
          <w:szCs w:val="32"/>
        </w:rPr>
        <w:t>坚持新发展理念，立足高质量发展，严格落实“三线一单”规定，以资源环境承载力优化生产力的空间布局、结构和规模，以环境保护倒逼产业转型升级，加快提升绿色技术创新能力，形成高质量发展和生态环境质量改善的强大内生动力。</w:t>
      </w:r>
    </w:p>
    <w:p>
      <w:pPr>
        <w:pStyle w:val="5"/>
        <w:spacing w:before="62" w:beforeLines="20" w:after="62" w:afterLines="20" w:line="560" w:lineRule="exact"/>
        <w:rPr>
          <w:rFonts w:ascii="仿宋_GB2312" w:hAnsi="仿宋_GB2312" w:eastAsia="仿宋_GB2312" w:cs="仿宋_GB2312"/>
          <w:sz w:val="32"/>
        </w:rPr>
      </w:pPr>
      <w:bookmarkStart w:id="338" w:name="_Toc19172"/>
      <w:bookmarkStart w:id="339" w:name="_Toc21350"/>
      <w:bookmarkStart w:id="340" w:name="_Toc8653"/>
      <w:bookmarkStart w:id="341" w:name="_Toc59993000"/>
      <w:bookmarkStart w:id="342" w:name="_Toc12917"/>
      <w:bookmarkStart w:id="343" w:name="_Toc3924"/>
      <w:bookmarkStart w:id="344" w:name="_Toc31087"/>
      <w:bookmarkStart w:id="345" w:name="_Toc60584711"/>
      <w:r>
        <w:rPr>
          <w:rFonts w:hint="eastAsia" w:ascii="仿宋_GB2312" w:hAnsi="仿宋_GB2312" w:eastAsia="仿宋_GB2312" w:cs="仿宋_GB2312"/>
          <w:sz w:val="32"/>
        </w:rPr>
        <w:t>第一节  深化绿色创新驱动</w:t>
      </w:r>
      <w:bookmarkEnd w:id="338"/>
      <w:bookmarkEnd w:id="339"/>
      <w:bookmarkEnd w:id="340"/>
      <w:bookmarkEnd w:id="341"/>
      <w:bookmarkEnd w:id="342"/>
      <w:bookmarkEnd w:id="343"/>
      <w:bookmarkEnd w:id="344"/>
      <w:bookmarkEnd w:id="345"/>
    </w:p>
    <w:p>
      <w:pPr>
        <w:spacing w:line="560" w:lineRule="exact"/>
        <w:ind w:firstLine="640"/>
        <w:rPr>
          <w:bCs/>
          <w:sz w:val="32"/>
          <w:szCs w:val="32"/>
        </w:rPr>
      </w:pPr>
      <w:r>
        <w:rPr>
          <w:rFonts w:hint="eastAsia"/>
          <w:bCs/>
          <w:sz w:val="32"/>
          <w:szCs w:val="32"/>
        </w:rPr>
        <w:t>坚持绿色发展战略，全力开展“两山”实践创新基地建设和国家生态文明示范县创建，促进县域经济高质量发展，推进绿色化与工业、农业、服务业等领域深度融合发展。积极推进生态工业发展，促进由工业规模扩张型增长转向创新驱动型发展，坚持传统产业升级和新兴产业培育并举，聚焦重点、突破短板、完善生态，不断探索工业高质量发展新路径、新模式。积极推进农业现代化建设，把特色效益农业发展作为核心任务，完善生产体系和经营体系，促进山地特色高效农业绿色生态可持续发展。大力发展绿色服务业，积极发展生态旅游业。加大绿色建筑、绿色交通等绿色基础设施建设。</w:t>
      </w:r>
    </w:p>
    <w:p>
      <w:pPr>
        <w:pStyle w:val="5"/>
        <w:spacing w:before="62" w:beforeLines="20" w:after="62" w:afterLines="20" w:line="560" w:lineRule="exact"/>
        <w:rPr>
          <w:rFonts w:ascii="仿宋_GB2312" w:hAnsi="仿宋_GB2312" w:eastAsia="仿宋_GB2312" w:cs="仿宋_GB2312"/>
          <w:sz w:val="32"/>
        </w:rPr>
      </w:pPr>
      <w:bookmarkStart w:id="346" w:name="_Toc9790"/>
      <w:bookmarkStart w:id="347" w:name="_Toc31371"/>
      <w:bookmarkStart w:id="348" w:name="_Toc59993001"/>
      <w:bookmarkStart w:id="349" w:name="_Toc25047"/>
      <w:bookmarkStart w:id="350" w:name="_Toc5140"/>
      <w:bookmarkStart w:id="351" w:name="_Toc32432"/>
      <w:bookmarkStart w:id="352" w:name="_Toc7560"/>
      <w:bookmarkStart w:id="353" w:name="_Toc60584712"/>
      <w:r>
        <w:rPr>
          <w:rFonts w:hint="eastAsia" w:ascii="仿宋_GB2312" w:hAnsi="仿宋_GB2312" w:eastAsia="仿宋_GB2312" w:cs="仿宋_GB2312"/>
          <w:sz w:val="32"/>
        </w:rPr>
        <w:t>第二节  大力发展低碳经济</w:t>
      </w:r>
      <w:bookmarkEnd w:id="346"/>
      <w:bookmarkEnd w:id="347"/>
      <w:bookmarkEnd w:id="348"/>
      <w:bookmarkEnd w:id="349"/>
      <w:bookmarkEnd w:id="350"/>
      <w:bookmarkEnd w:id="351"/>
      <w:bookmarkEnd w:id="352"/>
      <w:bookmarkEnd w:id="353"/>
    </w:p>
    <w:p>
      <w:pPr>
        <w:spacing w:line="560" w:lineRule="exact"/>
        <w:ind w:firstLine="640"/>
        <w:jc w:val="left"/>
        <w:rPr>
          <w:bCs/>
          <w:sz w:val="32"/>
          <w:szCs w:val="32"/>
        </w:rPr>
      </w:pPr>
      <w:r>
        <w:rPr>
          <w:rFonts w:hint="eastAsia"/>
          <w:bCs/>
          <w:sz w:val="32"/>
          <w:szCs w:val="32"/>
        </w:rPr>
        <w:t>继续实施煤炭减量开发，控制煤炭消费总量，增加天然气供应，巩固“弃煤启美”成果。在保护好生态环境前提下适度发展水电、风电、生物质能源、太阳能等可再生能源。通过优化产业结构和能源结构、节约集约利用能源、增加森林碳汇等方式，有效控制温室气体排放。积极发展低碳农业，推进林业等生态系统碳汇发展。鼓励碳排放交易市场发展，争创重庆市气候投融资试点县。因地制宜发展气候经济，增强应对气候变化能力，推进重庆市生态与气候资源运营中心建设，争创气候经济产业发展试点县。继续开展低碳城区、低碳乡镇、低碳社区、低碳家庭、低碳农村和低碳园区试点示范，加大推广发展力度。传播普及低碳文化，围绕衣、食、住、行、游等生活环节，推广低碳建筑、低碳出行、低碳办公、低碳消费等模式，引导居民养成绿色低碳、文明健康的生活方式。</w:t>
      </w:r>
    </w:p>
    <w:p>
      <w:pPr>
        <w:pStyle w:val="5"/>
        <w:spacing w:before="62" w:beforeLines="20" w:after="62" w:afterLines="20" w:line="560" w:lineRule="exact"/>
        <w:rPr>
          <w:rFonts w:ascii="仿宋_GB2312" w:hAnsi="仿宋_GB2312" w:eastAsia="仿宋_GB2312" w:cs="仿宋_GB2312"/>
          <w:sz w:val="32"/>
        </w:rPr>
      </w:pPr>
      <w:bookmarkStart w:id="354" w:name="_Toc562"/>
      <w:bookmarkStart w:id="355" w:name="_Toc2837"/>
      <w:bookmarkStart w:id="356" w:name="_Toc60584713"/>
      <w:bookmarkStart w:id="357" w:name="_Toc11783"/>
      <w:bookmarkStart w:id="358" w:name="_Toc25678"/>
      <w:bookmarkStart w:id="359" w:name="_Toc16067"/>
      <w:bookmarkStart w:id="360" w:name="_Toc24225"/>
      <w:bookmarkStart w:id="361" w:name="_Toc59993002"/>
      <w:r>
        <w:rPr>
          <w:rFonts w:hint="eastAsia" w:ascii="仿宋_GB2312" w:hAnsi="仿宋_GB2312" w:eastAsia="仿宋_GB2312" w:cs="仿宋_GB2312"/>
          <w:sz w:val="32"/>
        </w:rPr>
        <w:t>第三节  严格生态环境准入</w:t>
      </w:r>
      <w:bookmarkEnd w:id="354"/>
      <w:bookmarkEnd w:id="355"/>
      <w:bookmarkEnd w:id="356"/>
      <w:bookmarkEnd w:id="357"/>
      <w:bookmarkEnd w:id="358"/>
      <w:bookmarkEnd w:id="359"/>
      <w:bookmarkEnd w:id="360"/>
      <w:bookmarkEnd w:id="361"/>
    </w:p>
    <w:p>
      <w:pPr>
        <w:spacing w:line="560" w:lineRule="exact"/>
        <w:ind w:firstLine="640"/>
        <w:rPr>
          <w:bCs/>
          <w:sz w:val="32"/>
          <w:szCs w:val="32"/>
        </w:rPr>
      </w:pPr>
      <w:r>
        <w:rPr>
          <w:rFonts w:hint="eastAsia"/>
          <w:bCs/>
          <w:sz w:val="32"/>
          <w:szCs w:val="32"/>
        </w:rPr>
        <w:t>落实生态保护红线、环境质量底线、资源利用上线硬约束，针对流域、区域、行业特点，聚焦突出问题和保护目标，实施生态环境分区管控。推进生态环境标准一体化，严格执行长江经济带发展负面清单、重庆市产业投资准入等规定。控制污染物排放量，坚决淘汰落后产能，完善重大项目环评审批服务机制，拓展“网上办”“掌上办”政务服务，做好提前对接和跟踪服务。</w:t>
      </w:r>
    </w:p>
    <w:p>
      <w:pPr>
        <w:pStyle w:val="4"/>
        <w:spacing w:before="156" w:beforeLines="50" w:after="156" w:afterLines="50" w:line="560" w:lineRule="exact"/>
        <w:rPr>
          <w:rFonts w:ascii="Times New Roman" w:hAnsi="Times New Roman" w:cs="Times New Roman"/>
          <w:b w:val="0"/>
          <w:bCs w:val="0"/>
          <w:sz w:val="32"/>
        </w:rPr>
      </w:pPr>
      <w:bookmarkStart w:id="362" w:name="_Toc17364"/>
      <w:bookmarkStart w:id="363" w:name="_Toc23868"/>
      <w:bookmarkStart w:id="364" w:name="_Toc59993003"/>
      <w:bookmarkStart w:id="365" w:name="_Toc5979"/>
      <w:bookmarkStart w:id="366" w:name="_Toc60584714"/>
      <w:bookmarkStart w:id="367" w:name="_Toc24200"/>
      <w:bookmarkStart w:id="368" w:name="_Toc22373"/>
      <w:bookmarkStart w:id="369" w:name="_Toc28302"/>
      <w:bookmarkStart w:id="370" w:name="_Toc25154"/>
      <w:r>
        <w:rPr>
          <w:rFonts w:hint="eastAsia" w:ascii="Times New Roman" w:hAnsi="Times New Roman" w:cs="Times New Roman"/>
          <w:b w:val="0"/>
          <w:bCs w:val="0"/>
          <w:sz w:val="32"/>
        </w:rPr>
        <w:t>第十二章  全面提高资源利用效率</w:t>
      </w:r>
      <w:bookmarkEnd w:id="362"/>
      <w:bookmarkEnd w:id="363"/>
      <w:bookmarkEnd w:id="364"/>
      <w:bookmarkEnd w:id="365"/>
      <w:bookmarkEnd w:id="366"/>
      <w:bookmarkEnd w:id="367"/>
      <w:bookmarkEnd w:id="368"/>
      <w:bookmarkEnd w:id="369"/>
      <w:bookmarkEnd w:id="370"/>
    </w:p>
    <w:p>
      <w:pPr>
        <w:spacing w:line="560" w:lineRule="exact"/>
        <w:ind w:firstLine="640"/>
        <w:rPr>
          <w:bCs/>
          <w:sz w:val="32"/>
          <w:szCs w:val="32"/>
        </w:rPr>
      </w:pPr>
      <w:r>
        <w:rPr>
          <w:rFonts w:hint="eastAsia"/>
          <w:bCs/>
          <w:sz w:val="32"/>
          <w:szCs w:val="32"/>
        </w:rPr>
        <w:t>完善资源节约集约循环利用政策体系，提升重点行业、重点产品资源产出率和能效水平，推进资源总量管理、科学配置、全面节约、循环利用。深入落实节水、节地、节能、节材行动。</w:t>
      </w:r>
    </w:p>
    <w:p>
      <w:pPr>
        <w:pStyle w:val="5"/>
        <w:spacing w:before="62" w:beforeLines="20" w:after="62" w:afterLines="20" w:line="560" w:lineRule="exact"/>
        <w:rPr>
          <w:rFonts w:ascii="仿宋_GB2312" w:hAnsi="仿宋_GB2312" w:eastAsia="仿宋_GB2312" w:cs="仿宋_GB2312"/>
          <w:sz w:val="32"/>
        </w:rPr>
      </w:pPr>
      <w:bookmarkStart w:id="371" w:name="_Toc60584715"/>
      <w:bookmarkStart w:id="372" w:name="_Toc30310"/>
      <w:bookmarkStart w:id="373" w:name="_Toc12577"/>
      <w:bookmarkStart w:id="374" w:name="_Toc3161"/>
      <w:bookmarkStart w:id="375" w:name="_Toc59993004"/>
      <w:bookmarkStart w:id="376" w:name="_Toc19179"/>
      <w:bookmarkStart w:id="377" w:name="_Toc31583"/>
      <w:bookmarkStart w:id="378" w:name="_Toc14375"/>
      <w:r>
        <w:rPr>
          <w:rFonts w:hint="eastAsia" w:ascii="仿宋_GB2312" w:hAnsi="仿宋_GB2312" w:eastAsia="仿宋_GB2312" w:cs="仿宋_GB2312"/>
          <w:sz w:val="32"/>
        </w:rPr>
        <w:t>第一节  完善循环经济体系</w:t>
      </w:r>
      <w:bookmarkEnd w:id="371"/>
      <w:bookmarkEnd w:id="372"/>
      <w:bookmarkEnd w:id="373"/>
      <w:bookmarkEnd w:id="374"/>
      <w:bookmarkEnd w:id="375"/>
      <w:bookmarkEnd w:id="376"/>
      <w:bookmarkEnd w:id="377"/>
      <w:bookmarkEnd w:id="378"/>
    </w:p>
    <w:p>
      <w:pPr>
        <w:spacing w:line="560" w:lineRule="exact"/>
        <w:ind w:firstLine="640"/>
        <w:rPr>
          <w:bCs/>
          <w:sz w:val="32"/>
          <w:szCs w:val="32"/>
        </w:rPr>
      </w:pPr>
      <w:r>
        <w:rPr>
          <w:rFonts w:hint="eastAsia"/>
          <w:bCs/>
          <w:sz w:val="32"/>
          <w:szCs w:val="32"/>
        </w:rPr>
        <w:t>大力发展循环经济，推进各类示范项目建设，推行清洁生产和再制造生产模式，推动循环经济模式由企业内部向企业之间扩展，发展特色农业和特色工业循环经济。加快推进生活垃圾分类，探索建立废旧资源循环利用体系。以开展生活餐厨垃圾资源化利用和无害化处理、再生资源回收利用、“城市矿产”资源回收利用等试点为支撑，积极推进社会大循环体系建设。</w:t>
      </w:r>
    </w:p>
    <w:p>
      <w:pPr>
        <w:pStyle w:val="5"/>
        <w:spacing w:before="62" w:beforeLines="20" w:after="62" w:afterLines="20" w:line="560" w:lineRule="exact"/>
        <w:rPr>
          <w:rFonts w:ascii="仿宋_GB2312" w:hAnsi="仿宋_GB2312" w:eastAsia="仿宋_GB2312" w:cs="仿宋_GB2312"/>
          <w:sz w:val="32"/>
        </w:rPr>
      </w:pPr>
      <w:bookmarkStart w:id="379" w:name="_Toc15102"/>
      <w:bookmarkStart w:id="380" w:name="_Toc59993005"/>
      <w:bookmarkStart w:id="381" w:name="_Toc60584716"/>
      <w:bookmarkStart w:id="382" w:name="_Toc5475"/>
      <w:bookmarkStart w:id="383" w:name="_Toc30998"/>
      <w:bookmarkStart w:id="384" w:name="_Toc16861"/>
      <w:bookmarkStart w:id="385" w:name="_Toc6277"/>
      <w:bookmarkStart w:id="386" w:name="_Toc23886"/>
      <w:r>
        <w:rPr>
          <w:rFonts w:hint="eastAsia" w:ascii="仿宋_GB2312" w:hAnsi="仿宋_GB2312" w:eastAsia="仿宋_GB2312" w:cs="仿宋_GB2312"/>
          <w:sz w:val="32"/>
        </w:rPr>
        <w:t>第二节  提升能源利用效率</w:t>
      </w:r>
      <w:bookmarkEnd w:id="379"/>
      <w:bookmarkEnd w:id="380"/>
      <w:bookmarkEnd w:id="381"/>
      <w:bookmarkEnd w:id="382"/>
      <w:bookmarkEnd w:id="383"/>
      <w:bookmarkEnd w:id="384"/>
      <w:bookmarkEnd w:id="385"/>
      <w:bookmarkEnd w:id="386"/>
    </w:p>
    <w:p>
      <w:pPr>
        <w:spacing w:line="560" w:lineRule="exact"/>
        <w:ind w:firstLine="640"/>
        <w:rPr>
          <w:bCs/>
          <w:sz w:val="32"/>
          <w:szCs w:val="32"/>
        </w:rPr>
      </w:pPr>
      <w:r>
        <w:rPr>
          <w:rFonts w:hint="eastAsia"/>
          <w:bCs/>
          <w:sz w:val="32"/>
          <w:szCs w:val="32"/>
        </w:rPr>
        <w:t>完善资源节约集约循环利用政策体系，加强能源需求侧管理，强化重点领域用能管理和重点耗能行业的能效管理，加强城市能源系统节能低碳改造，更多使用可再生能源，支持分布式电力系统建设，对现有建筑物和城市照明系统进行改造，推进合同能源管理。</w:t>
      </w:r>
    </w:p>
    <w:p>
      <w:pPr>
        <w:pStyle w:val="5"/>
        <w:spacing w:before="62" w:beforeLines="20" w:after="62" w:afterLines="20" w:line="560" w:lineRule="exact"/>
        <w:rPr>
          <w:rFonts w:ascii="仿宋_GB2312" w:hAnsi="仿宋_GB2312" w:eastAsia="仿宋_GB2312" w:cs="仿宋_GB2312"/>
          <w:sz w:val="32"/>
        </w:rPr>
      </w:pPr>
      <w:bookmarkStart w:id="387" w:name="_Toc59993006"/>
      <w:bookmarkStart w:id="388" w:name="_Toc60584717"/>
      <w:bookmarkStart w:id="389" w:name="_Toc9179"/>
      <w:bookmarkStart w:id="390" w:name="_Toc2876"/>
      <w:bookmarkStart w:id="391" w:name="_Toc9001"/>
      <w:bookmarkStart w:id="392" w:name="_Toc25570"/>
      <w:bookmarkStart w:id="393" w:name="_Toc2025"/>
      <w:bookmarkStart w:id="394" w:name="_Toc25064"/>
      <w:r>
        <w:rPr>
          <w:rFonts w:hint="eastAsia" w:ascii="仿宋_GB2312" w:hAnsi="仿宋_GB2312" w:eastAsia="仿宋_GB2312" w:cs="仿宋_GB2312"/>
          <w:sz w:val="32"/>
        </w:rPr>
        <w:t>第三节  加强水资源节约</w:t>
      </w:r>
      <w:bookmarkEnd w:id="387"/>
      <w:bookmarkEnd w:id="388"/>
      <w:bookmarkEnd w:id="389"/>
      <w:bookmarkEnd w:id="390"/>
      <w:bookmarkEnd w:id="391"/>
      <w:bookmarkEnd w:id="392"/>
      <w:bookmarkEnd w:id="393"/>
      <w:bookmarkEnd w:id="394"/>
    </w:p>
    <w:p>
      <w:pPr>
        <w:spacing w:line="560" w:lineRule="exact"/>
        <w:ind w:firstLine="640"/>
        <w:rPr>
          <w:bCs/>
          <w:sz w:val="32"/>
          <w:szCs w:val="32"/>
        </w:rPr>
      </w:pPr>
      <w:r>
        <w:rPr>
          <w:rFonts w:hint="eastAsia"/>
          <w:bCs/>
          <w:sz w:val="32"/>
          <w:szCs w:val="32"/>
        </w:rPr>
        <w:t>落实最严格的水资源管理制度。开展水资源环境承载能力评价。加强用水总量和强度控制，实施水资源开发利用控制红线管理，严格取水许可和水资源有偿使用，推行水权交易制度。加快节水型社会建设，探索合同节水管理，推广应用源头减量、循环利用、零排放的节水技术和模式。推进工业节水技术改造，加大再生水和雨水利用力度，强化水资源循环利用，减少废污水排放量。</w:t>
      </w:r>
    </w:p>
    <w:p>
      <w:pPr>
        <w:pStyle w:val="5"/>
        <w:spacing w:before="62" w:beforeLines="20" w:after="62" w:afterLines="20" w:line="560" w:lineRule="exact"/>
        <w:rPr>
          <w:rFonts w:ascii="仿宋_GB2312" w:hAnsi="仿宋_GB2312" w:eastAsia="仿宋_GB2312" w:cs="仿宋_GB2312"/>
          <w:sz w:val="32"/>
        </w:rPr>
      </w:pPr>
      <w:bookmarkStart w:id="395" w:name="_Toc30846"/>
      <w:bookmarkStart w:id="396" w:name="_Toc14295"/>
      <w:bookmarkStart w:id="397" w:name="_Toc60584718"/>
      <w:bookmarkStart w:id="398" w:name="_Toc18696"/>
      <w:bookmarkStart w:id="399" w:name="_Toc59993007"/>
      <w:bookmarkStart w:id="400" w:name="_Toc18774"/>
      <w:bookmarkStart w:id="401" w:name="_Toc9823"/>
      <w:r>
        <w:rPr>
          <w:rFonts w:hint="eastAsia" w:ascii="仿宋_GB2312" w:hAnsi="仿宋_GB2312" w:eastAsia="仿宋_GB2312" w:cs="仿宋_GB2312"/>
          <w:sz w:val="32"/>
        </w:rPr>
        <w:t>第四节  集约利用土地</w:t>
      </w:r>
      <w:bookmarkEnd w:id="395"/>
      <w:bookmarkEnd w:id="396"/>
      <w:bookmarkEnd w:id="397"/>
      <w:bookmarkEnd w:id="398"/>
      <w:bookmarkEnd w:id="399"/>
      <w:bookmarkEnd w:id="400"/>
      <w:bookmarkEnd w:id="401"/>
    </w:p>
    <w:p>
      <w:pPr>
        <w:spacing w:line="560" w:lineRule="exact"/>
        <w:ind w:firstLine="640"/>
        <w:rPr>
          <w:bCs/>
          <w:sz w:val="32"/>
          <w:szCs w:val="32"/>
        </w:rPr>
      </w:pPr>
      <w:r>
        <w:rPr>
          <w:rFonts w:hint="eastAsia"/>
          <w:bCs/>
          <w:sz w:val="32"/>
          <w:szCs w:val="32"/>
        </w:rPr>
        <w:t>落实最严格的节约用地制度。强化国土空间规划和用途管控，深化土地全生命周期管理，提高土地节约集约利用水平。划定永久基本农田，开展农田整治和复垦。盘活存量建设用地，清理闲置土地，调整建设用地结构，推进城镇低效用地再开发和工矿废弃地复垦，发展城市节地型住宅和公共建筑。</w:t>
      </w:r>
    </w:p>
    <w:p>
      <w:pPr>
        <w:pStyle w:val="4"/>
        <w:spacing w:before="156" w:beforeLines="50" w:after="156" w:afterLines="50" w:line="560" w:lineRule="exact"/>
        <w:rPr>
          <w:rFonts w:ascii="Times New Roman" w:hAnsi="Times New Roman" w:cs="Times New Roman"/>
          <w:b w:val="0"/>
          <w:bCs w:val="0"/>
          <w:sz w:val="32"/>
        </w:rPr>
      </w:pPr>
      <w:bookmarkStart w:id="402" w:name="_Toc29422"/>
      <w:bookmarkStart w:id="403" w:name="_Toc4241"/>
      <w:bookmarkStart w:id="404" w:name="_Toc8554"/>
      <w:bookmarkStart w:id="405" w:name="_Toc59993008"/>
      <w:bookmarkStart w:id="406" w:name="_Toc3234"/>
      <w:bookmarkStart w:id="407" w:name="_Toc28486"/>
      <w:bookmarkStart w:id="408" w:name="_Toc30745"/>
      <w:bookmarkStart w:id="409" w:name="_Toc60584719"/>
      <w:bookmarkStart w:id="410" w:name="_Toc8138"/>
      <w:r>
        <w:rPr>
          <w:rFonts w:hint="eastAsia" w:ascii="Times New Roman" w:hAnsi="Times New Roman" w:cs="Times New Roman"/>
          <w:b w:val="0"/>
          <w:bCs w:val="0"/>
          <w:sz w:val="32"/>
        </w:rPr>
        <w:t>第十三章  深化生态文明体制改革</w:t>
      </w:r>
      <w:bookmarkEnd w:id="402"/>
      <w:bookmarkEnd w:id="403"/>
      <w:bookmarkEnd w:id="404"/>
      <w:bookmarkEnd w:id="405"/>
      <w:bookmarkEnd w:id="406"/>
      <w:bookmarkEnd w:id="407"/>
      <w:bookmarkEnd w:id="408"/>
      <w:bookmarkEnd w:id="409"/>
      <w:bookmarkEnd w:id="410"/>
    </w:p>
    <w:p>
      <w:pPr>
        <w:spacing w:line="560" w:lineRule="exact"/>
        <w:ind w:firstLine="640"/>
        <w:rPr>
          <w:bCs/>
          <w:sz w:val="32"/>
          <w:szCs w:val="32"/>
        </w:rPr>
      </w:pPr>
      <w:r>
        <w:rPr>
          <w:rFonts w:hint="eastAsia"/>
          <w:bCs/>
          <w:sz w:val="32"/>
          <w:szCs w:val="32"/>
        </w:rPr>
        <w:t>坚持立足于防、防控并重，加大生态环境风险要素防控力度，健全全过程、多层级生态环境风险防控体系，着力构建政府为主导、企业为主体、社会组织和公众共同参与的生态环境治理体系，稳步推进生态文明制度改革。</w:t>
      </w:r>
    </w:p>
    <w:p>
      <w:pPr>
        <w:pStyle w:val="5"/>
        <w:spacing w:before="62" w:beforeLines="20" w:after="62" w:afterLines="20" w:line="560" w:lineRule="exact"/>
        <w:rPr>
          <w:rFonts w:ascii="仿宋_GB2312" w:hAnsi="仿宋_GB2312" w:eastAsia="仿宋_GB2312" w:cs="仿宋_GB2312"/>
          <w:sz w:val="32"/>
        </w:rPr>
      </w:pPr>
      <w:bookmarkStart w:id="411" w:name="_Toc12895"/>
      <w:bookmarkStart w:id="412" w:name="_Toc9475"/>
      <w:bookmarkStart w:id="413" w:name="_Toc9464"/>
      <w:bookmarkStart w:id="414" w:name="_Toc60584720"/>
      <w:bookmarkStart w:id="415" w:name="_Toc4679"/>
      <w:bookmarkStart w:id="416" w:name="_Toc59993009"/>
      <w:bookmarkStart w:id="417" w:name="_Toc3581"/>
      <w:bookmarkStart w:id="418" w:name="_Toc72"/>
      <w:r>
        <w:rPr>
          <w:rFonts w:hint="eastAsia" w:ascii="仿宋_GB2312" w:hAnsi="仿宋_GB2312" w:eastAsia="仿宋_GB2312" w:cs="仿宋_GB2312"/>
          <w:sz w:val="32"/>
        </w:rPr>
        <w:t>第一节  健全环境风险防控体系</w:t>
      </w:r>
      <w:bookmarkEnd w:id="411"/>
      <w:bookmarkEnd w:id="412"/>
      <w:bookmarkEnd w:id="413"/>
      <w:bookmarkEnd w:id="414"/>
      <w:bookmarkEnd w:id="415"/>
      <w:bookmarkEnd w:id="416"/>
      <w:bookmarkEnd w:id="417"/>
      <w:bookmarkEnd w:id="418"/>
    </w:p>
    <w:p>
      <w:pPr>
        <w:spacing w:line="560" w:lineRule="exact"/>
        <w:ind w:firstLine="640"/>
        <w:rPr>
          <w:bCs/>
          <w:sz w:val="32"/>
          <w:szCs w:val="32"/>
        </w:rPr>
      </w:pPr>
      <w:r>
        <w:rPr>
          <w:rFonts w:hint="eastAsia"/>
          <w:bCs/>
          <w:sz w:val="32"/>
          <w:szCs w:val="32"/>
        </w:rPr>
        <w:t>推动物联网、传感器、区块链、人工智能等新技术在生态环境监测预警中的应用，加强森林防火、病虫害防治、野生动植物保护、生态湿地等生态监测预警系统建设，完善覆盖各镇（村）涵盖大气、水、土壤、噪声等环境要素监测站点，构建“布局合理、覆盖全面、功能齐全、指标完整、运行高效、天地一体”的生态环境质量复合立体监测网络，夯实生态环境监测预警体系。从“县—园区—企业”等不同空间尺度，建立“事前严防、事中严管、事后处置”的全过程风险防范制度，对“建设项目—发展规划—产业政策”全决策过程进行风险防范。</w:t>
      </w:r>
    </w:p>
    <w:p>
      <w:pPr>
        <w:pStyle w:val="5"/>
        <w:spacing w:before="62" w:beforeLines="20" w:after="62" w:afterLines="20" w:line="560" w:lineRule="exact"/>
        <w:rPr>
          <w:rFonts w:ascii="仿宋_GB2312" w:hAnsi="仿宋_GB2312" w:eastAsia="仿宋_GB2312" w:cs="仿宋_GB2312"/>
          <w:sz w:val="32"/>
        </w:rPr>
      </w:pPr>
      <w:bookmarkStart w:id="419" w:name="_Toc14814"/>
      <w:bookmarkStart w:id="420" w:name="_Toc6358"/>
      <w:bookmarkStart w:id="421" w:name="_Toc12746"/>
      <w:bookmarkStart w:id="422" w:name="_Toc2827"/>
      <w:bookmarkStart w:id="423" w:name="_Toc60584721"/>
      <w:bookmarkStart w:id="424" w:name="_Toc29908"/>
      <w:bookmarkStart w:id="425" w:name="_Toc59993010"/>
      <w:bookmarkStart w:id="426" w:name="_Toc4134"/>
      <w:r>
        <w:rPr>
          <w:rFonts w:hint="eastAsia" w:ascii="仿宋_GB2312" w:hAnsi="仿宋_GB2312" w:eastAsia="仿宋_GB2312" w:cs="仿宋_GB2312"/>
          <w:sz w:val="32"/>
        </w:rPr>
        <w:t>第二节  优化生态保护市场体系</w:t>
      </w:r>
      <w:bookmarkEnd w:id="419"/>
      <w:bookmarkEnd w:id="420"/>
      <w:bookmarkEnd w:id="421"/>
      <w:bookmarkEnd w:id="422"/>
      <w:bookmarkEnd w:id="423"/>
      <w:bookmarkEnd w:id="424"/>
      <w:bookmarkEnd w:id="425"/>
      <w:bookmarkEnd w:id="426"/>
    </w:p>
    <w:p>
      <w:pPr>
        <w:spacing w:line="560" w:lineRule="exact"/>
        <w:ind w:firstLine="640"/>
        <w:rPr>
          <w:bCs/>
          <w:sz w:val="32"/>
          <w:szCs w:val="32"/>
        </w:rPr>
      </w:pPr>
      <w:r>
        <w:rPr>
          <w:rFonts w:hint="eastAsia"/>
          <w:bCs/>
          <w:sz w:val="32"/>
          <w:szCs w:val="32"/>
        </w:rPr>
        <w:t>积极推动落实环境保护税征管措施，强化环境保护相关税收优惠政策落实；推动完善污水处理费、固体废物处理收费、节约用水水价、节能环保电价等绿色发展价格机制。推广绿色信贷，鼓励各类金融机构加大绿色信贷的发放力度，明确贷款人的尽职免责要求和环境保护法律责任；在环境高风险领域建立环境污染强制责任保险制度，建立上市公司环保信息强制性披露机制。</w:t>
      </w:r>
    </w:p>
    <w:p>
      <w:pPr>
        <w:pStyle w:val="5"/>
        <w:spacing w:before="62" w:beforeLines="20" w:after="62" w:afterLines="20" w:line="560" w:lineRule="exact"/>
        <w:rPr>
          <w:rFonts w:ascii="仿宋_GB2312" w:hAnsi="仿宋_GB2312" w:eastAsia="仿宋_GB2312" w:cs="仿宋_GB2312"/>
          <w:sz w:val="32"/>
        </w:rPr>
      </w:pPr>
      <w:bookmarkStart w:id="427" w:name="_Toc30589"/>
      <w:bookmarkStart w:id="428" w:name="_Toc16621"/>
      <w:bookmarkStart w:id="429" w:name="_Toc60584722"/>
      <w:bookmarkStart w:id="430" w:name="_Toc20413"/>
      <w:bookmarkStart w:id="431" w:name="_Toc16867"/>
      <w:bookmarkStart w:id="432" w:name="_Toc329"/>
      <w:bookmarkStart w:id="433" w:name="_Toc11030"/>
      <w:bookmarkStart w:id="434" w:name="_Toc59993011"/>
      <w:r>
        <w:rPr>
          <w:rFonts w:hint="eastAsia" w:ascii="仿宋_GB2312" w:hAnsi="仿宋_GB2312" w:eastAsia="仿宋_GB2312" w:cs="仿宋_GB2312"/>
          <w:sz w:val="32"/>
        </w:rPr>
        <w:t>第三节  完善生态环境治理体系</w:t>
      </w:r>
      <w:bookmarkEnd w:id="427"/>
      <w:bookmarkEnd w:id="428"/>
      <w:bookmarkEnd w:id="429"/>
      <w:bookmarkEnd w:id="430"/>
      <w:bookmarkEnd w:id="431"/>
      <w:bookmarkEnd w:id="432"/>
      <w:bookmarkEnd w:id="433"/>
      <w:bookmarkEnd w:id="434"/>
    </w:p>
    <w:p>
      <w:pPr>
        <w:spacing w:line="560" w:lineRule="exact"/>
        <w:ind w:firstLine="640"/>
        <w:rPr>
          <w:bCs/>
          <w:sz w:val="32"/>
          <w:szCs w:val="32"/>
        </w:rPr>
      </w:pPr>
      <w:r>
        <w:rPr>
          <w:rFonts w:hint="eastAsia"/>
          <w:bCs/>
          <w:sz w:val="32"/>
          <w:szCs w:val="32"/>
        </w:rPr>
        <w:t>完善市场化生态补偿机制。建立环境保护基金，利用财政补助、异地开发、协议保护等多渠道保护与补偿方式。深化跨界河流交接断面水质达标考核，选择有条件的重点跨界流域开展生态补偿试点。</w:t>
      </w:r>
    </w:p>
    <w:p>
      <w:pPr>
        <w:spacing w:line="560" w:lineRule="exact"/>
        <w:ind w:firstLine="640"/>
        <w:rPr>
          <w:bCs/>
          <w:sz w:val="32"/>
          <w:szCs w:val="32"/>
        </w:rPr>
      </w:pPr>
      <w:r>
        <w:rPr>
          <w:rFonts w:hint="eastAsia"/>
          <w:bCs/>
          <w:sz w:val="32"/>
          <w:szCs w:val="32"/>
        </w:rPr>
        <w:t>严格实行生态环境损害赔偿制度。健全环境损害赔偿评估方法和实施机制，对违反环保法律法规的，依法严惩重罚；对造成生态环境损害的，以损害程度等因素依法确定赔偿额度；对造成严重后果的，依法追究刑事责任。</w:t>
      </w:r>
    </w:p>
    <w:p>
      <w:pPr>
        <w:spacing w:line="560" w:lineRule="exact"/>
        <w:ind w:firstLine="640"/>
        <w:rPr>
          <w:bCs/>
          <w:sz w:val="32"/>
          <w:szCs w:val="32"/>
        </w:rPr>
      </w:pPr>
      <w:r>
        <w:rPr>
          <w:rFonts w:hint="eastAsia"/>
          <w:bCs/>
          <w:sz w:val="32"/>
          <w:szCs w:val="32"/>
        </w:rPr>
        <w:t>建立污染防治区域联动机制。结合地理特征、污染程度、城市空间分布以及污染物输送规律，完善重点区域大气污染防治联防联控协作机制，统一规划、统一标准、统一环评、统一监测、统一执法；构建相关涉水部门参加、多形式的流域水环境保护协作机制和风险预警防控体系；采取财政和村集体补贴、住户付费、社会资本参与的投入运营机制，建立以绿色生态为导向的农业补贴制度，培育发展各种形式的农村生产生活污染治理市场主体。</w:t>
      </w:r>
    </w:p>
    <w:p>
      <w:pPr>
        <w:pStyle w:val="5"/>
        <w:spacing w:before="62" w:beforeLines="20" w:after="62" w:afterLines="20" w:line="560" w:lineRule="exact"/>
        <w:rPr>
          <w:rFonts w:ascii="仿宋_GB2312" w:hAnsi="仿宋_GB2312" w:eastAsia="仿宋_GB2312" w:cs="仿宋_GB2312"/>
          <w:sz w:val="32"/>
        </w:rPr>
      </w:pPr>
      <w:bookmarkStart w:id="435" w:name="_Toc59993012"/>
      <w:bookmarkStart w:id="436" w:name="_Toc269"/>
      <w:bookmarkStart w:id="437" w:name="_Toc1111"/>
      <w:bookmarkStart w:id="438" w:name="_Toc26940"/>
      <w:bookmarkStart w:id="439" w:name="_Toc23365"/>
      <w:bookmarkStart w:id="440" w:name="_Toc13996"/>
      <w:bookmarkStart w:id="441" w:name="_Toc60584723"/>
      <w:bookmarkStart w:id="442" w:name="_Toc18752"/>
      <w:r>
        <w:rPr>
          <w:rFonts w:hint="eastAsia" w:ascii="仿宋_GB2312" w:hAnsi="仿宋_GB2312" w:eastAsia="仿宋_GB2312" w:cs="仿宋_GB2312"/>
          <w:sz w:val="32"/>
        </w:rPr>
        <w:t>第四节  强化生态环境监管执法体系</w:t>
      </w:r>
      <w:bookmarkEnd w:id="435"/>
      <w:bookmarkEnd w:id="436"/>
      <w:bookmarkEnd w:id="437"/>
      <w:bookmarkEnd w:id="438"/>
      <w:bookmarkEnd w:id="439"/>
      <w:bookmarkEnd w:id="440"/>
      <w:bookmarkEnd w:id="441"/>
      <w:bookmarkEnd w:id="442"/>
    </w:p>
    <w:p>
      <w:pPr>
        <w:spacing w:line="560" w:lineRule="exact"/>
        <w:ind w:firstLine="640"/>
        <w:rPr>
          <w:bCs/>
          <w:sz w:val="32"/>
          <w:szCs w:val="32"/>
        </w:rPr>
      </w:pPr>
      <w:r>
        <w:rPr>
          <w:rFonts w:hint="eastAsia"/>
          <w:bCs/>
          <w:sz w:val="32"/>
          <w:szCs w:val="32"/>
        </w:rPr>
        <w:t>落实生态环境保护督查制度，提升基层生态环境监管力量。开展自然资源资产负债和领导干部自然资源资产离任审计，在环境保护终身追责和“一票否决”等惩戒制度的基础上，建立容错纠错机制。</w:t>
      </w:r>
    </w:p>
    <w:p>
      <w:pPr>
        <w:widowControl/>
        <w:ind w:firstLine="0" w:firstLineChars="0"/>
        <w:contextualSpacing w:val="0"/>
        <w:jc w:val="left"/>
        <w:rPr>
          <w:rFonts w:eastAsia="仿宋"/>
          <w:bCs/>
          <w:szCs w:val="28"/>
        </w:rPr>
      </w:pPr>
    </w:p>
    <w:tbl>
      <w:tblPr>
        <w:tblStyle w:val="27"/>
        <w:tblW w:w="9060"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06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9060" w:type="dxa"/>
          </w:tcPr>
          <w:p>
            <w:pPr>
              <w:widowControl/>
              <w:spacing w:line="560" w:lineRule="exact"/>
              <w:ind w:firstLine="0" w:firstLineChars="0"/>
              <w:jc w:val="center"/>
              <w:rPr>
                <w:b/>
                <w:bCs/>
                <w:kern w:val="0"/>
                <w:szCs w:val="28"/>
              </w:rPr>
            </w:pPr>
            <w:r>
              <w:rPr>
                <w:rFonts w:hint="eastAsia" w:eastAsia="黑体"/>
                <w:szCs w:val="28"/>
              </w:rPr>
              <w:t>专栏三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9060" w:type="dxa"/>
            <w:shd w:val="clear" w:color="auto" w:fill="auto"/>
            <w:vAlign w:val="center"/>
          </w:tcPr>
          <w:p>
            <w:pPr>
              <w:spacing w:line="560" w:lineRule="exact"/>
              <w:ind w:firstLine="562"/>
              <w:rPr>
                <w:bCs/>
                <w:szCs w:val="28"/>
              </w:rPr>
            </w:pPr>
            <w:r>
              <w:rPr>
                <w:rFonts w:hint="eastAsia"/>
                <w:b/>
                <w:szCs w:val="28"/>
              </w:rPr>
              <w:t>1.三峡国家气象公园（奉节试点）。</w:t>
            </w:r>
            <w:r>
              <w:rPr>
                <w:rFonts w:hint="eastAsia"/>
                <w:bCs/>
                <w:szCs w:val="28"/>
              </w:rPr>
              <w:t>建设1个生态气象超级站、12个生态气象辅助站、1个占地500㎡的人工影响天气装备展示区、1个占地50㎡的天文观象台以及1个占地3500㎡的气象互动体验馆。同时，在玉带双珠沿途建立科普长廊，沿岸铺设30个显示屏显示气象预警信息。</w:t>
            </w:r>
          </w:p>
          <w:p>
            <w:pPr>
              <w:spacing w:line="560" w:lineRule="exact"/>
              <w:ind w:firstLine="562"/>
              <w:rPr>
                <w:bCs/>
                <w:kern w:val="0"/>
                <w:szCs w:val="28"/>
              </w:rPr>
            </w:pPr>
            <w:r>
              <w:rPr>
                <w:rFonts w:hint="eastAsia"/>
                <w:b/>
                <w:szCs w:val="28"/>
              </w:rPr>
              <w:t>2.生态环境监管。</w:t>
            </w:r>
            <w:r>
              <w:rPr>
                <w:rFonts w:hint="eastAsia"/>
                <w:bCs/>
                <w:szCs w:val="28"/>
              </w:rPr>
              <w:t>强化奉节县生态环境综合执法能力和生态环境应急监测能力建设，搭建生态环境智能监管平台。</w:t>
            </w:r>
          </w:p>
        </w:tc>
      </w:tr>
    </w:tbl>
    <w:p>
      <w:pPr>
        <w:ind w:firstLine="0" w:firstLineChars="0"/>
      </w:pPr>
    </w:p>
    <w:p>
      <w:pPr>
        <w:pStyle w:val="3"/>
        <w:spacing w:before="156" w:beforeLines="50" w:after="156" w:afterLines="50" w:line="560" w:lineRule="exact"/>
        <w:rPr>
          <w:rFonts w:ascii="黑体" w:hAnsi="黑体" w:eastAsia="黑体" w:cs="黑体"/>
          <w:b w:val="0"/>
          <w:bCs/>
        </w:rPr>
        <w:sectPr>
          <w:pgSz w:w="11906" w:h="16838"/>
          <w:pgMar w:top="1984" w:right="1531" w:bottom="1531" w:left="1531" w:header="907" w:footer="1191" w:gutter="0"/>
          <w:cols w:space="425" w:num="1"/>
          <w:docGrid w:type="lines" w:linePitch="312" w:charSpace="0"/>
        </w:sectPr>
      </w:pPr>
      <w:bookmarkStart w:id="443" w:name="_Toc30443"/>
      <w:bookmarkStart w:id="444" w:name="_Toc9482"/>
    </w:p>
    <w:p>
      <w:pPr>
        <w:pStyle w:val="3"/>
        <w:spacing w:before="156" w:beforeLines="50" w:after="156" w:afterLines="50" w:line="560" w:lineRule="exact"/>
        <w:rPr>
          <w:rFonts w:ascii="黑体" w:hAnsi="黑体" w:eastAsia="黑体" w:cs="黑体"/>
          <w:b w:val="0"/>
          <w:bCs/>
        </w:rPr>
      </w:pPr>
      <w:bookmarkStart w:id="445" w:name="_Toc15756"/>
      <w:bookmarkStart w:id="446" w:name="_Toc60584724"/>
      <w:bookmarkStart w:id="447" w:name="_Toc29923"/>
      <w:r>
        <w:rPr>
          <w:rFonts w:hint="eastAsia" w:ascii="黑体" w:hAnsi="黑体" w:eastAsia="黑体" w:cs="黑体"/>
          <w:b w:val="0"/>
          <w:bCs/>
        </w:rPr>
        <w:t>第四篇  积极融入新发展格局，加快建设渝东北三峡库区向东开放先行示范区</w:t>
      </w:r>
      <w:bookmarkEnd w:id="443"/>
      <w:bookmarkEnd w:id="444"/>
      <w:bookmarkEnd w:id="445"/>
      <w:bookmarkEnd w:id="446"/>
      <w:bookmarkEnd w:id="447"/>
    </w:p>
    <w:p>
      <w:pPr>
        <w:spacing w:line="560" w:lineRule="exact"/>
        <w:ind w:firstLine="640"/>
        <w:rPr>
          <w:bCs/>
          <w:sz w:val="32"/>
          <w:szCs w:val="32"/>
        </w:rPr>
      </w:pPr>
      <w:r>
        <w:rPr>
          <w:rFonts w:hint="eastAsia"/>
          <w:bCs/>
          <w:sz w:val="32"/>
          <w:szCs w:val="32"/>
        </w:rPr>
        <w:t>坚定不移贯彻新发展理念，抢抓国家发展战略机遇，主动融入以国内大循环为主体、国内国际双循环相互促进的新发展格局，全面对接长江经济带国家战略，加快融入成渝地区双城经济圈建设和全市“一区两群”协调发展，补齐基础设施短板，统筹推进城市更新，有效增强城市发展动力，开创奉节全面对外开放新高度新格局。</w:t>
      </w:r>
    </w:p>
    <w:p>
      <w:pPr>
        <w:pStyle w:val="4"/>
        <w:spacing w:before="156" w:beforeLines="50" w:after="156" w:afterLines="50" w:line="560" w:lineRule="exact"/>
        <w:rPr>
          <w:rFonts w:ascii="Times New Roman" w:hAnsi="Times New Roman" w:cs="Times New Roman"/>
          <w:b w:val="0"/>
          <w:bCs w:val="0"/>
          <w:sz w:val="32"/>
        </w:rPr>
      </w:pPr>
      <w:bookmarkStart w:id="448" w:name="_Toc19193"/>
      <w:bookmarkStart w:id="449" w:name="_Toc4255"/>
      <w:bookmarkStart w:id="450" w:name="_Toc10531"/>
      <w:bookmarkStart w:id="451" w:name="_Toc60584725"/>
      <w:bookmarkStart w:id="452" w:name="_Toc2688"/>
      <w:r>
        <w:rPr>
          <w:rFonts w:hint="eastAsia" w:ascii="Times New Roman" w:hAnsi="Times New Roman" w:cs="Times New Roman"/>
          <w:b w:val="0"/>
          <w:bCs w:val="0"/>
          <w:sz w:val="32"/>
        </w:rPr>
        <w:t>第十四章  构建“一核一圈两片”发展布局</w:t>
      </w:r>
      <w:bookmarkEnd w:id="448"/>
      <w:bookmarkEnd w:id="449"/>
      <w:bookmarkEnd w:id="450"/>
      <w:bookmarkEnd w:id="451"/>
      <w:bookmarkEnd w:id="452"/>
    </w:p>
    <w:p>
      <w:pPr>
        <w:pStyle w:val="5"/>
        <w:spacing w:before="62" w:beforeLines="20" w:after="62" w:afterLines="20" w:line="560" w:lineRule="exact"/>
        <w:rPr>
          <w:rFonts w:ascii="仿宋_GB2312" w:hAnsi="仿宋_GB2312" w:eastAsia="仿宋_GB2312" w:cs="仿宋_GB2312"/>
          <w:sz w:val="32"/>
        </w:rPr>
      </w:pPr>
      <w:bookmarkStart w:id="453" w:name="_Toc60584726"/>
      <w:bookmarkStart w:id="454" w:name="_Toc5639"/>
      <w:bookmarkStart w:id="455" w:name="_Toc26865"/>
      <w:bookmarkStart w:id="456" w:name="_Toc8057"/>
      <w:bookmarkStart w:id="457" w:name="_Toc6579"/>
      <w:r>
        <w:rPr>
          <w:rFonts w:hint="eastAsia" w:ascii="仿宋_GB2312" w:hAnsi="仿宋_GB2312" w:eastAsia="仿宋_GB2312" w:cs="仿宋_GB2312"/>
          <w:sz w:val="32"/>
        </w:rPr>
        <w:t>第一节  优化县城发展空间格局</w:t>
      </w:r>
      <w:bookmarkEnd w:id="453"/>
      <w:bookmarkEnd w:id="454"/>
      <w:bookmarkEnd w:id="455"/>
      <w:bookmarkEnd w:id="456"/>
      <w:bookmarkEnd w:id="457"/>
    </w:p>
    <w:p>
      <w:pPr>
        <w:spacing w:line="560" w:lineRule="exact"/>
        <w:ind w:firstLine="640"/>
        <w:rPr>
          <w:bCs/>
          <w:sz w:val="32"/>
          <w:szCs w:val="32"/>
        </w:rPr>
      </w:pPr>
      <w:r>
        <w:rPr>
          <w:rFonts w:hint="eastAsia"/>
          <w:bCs/>
          <w:sz w:val="32"/>
          <w:szCs w:val="32"/>
        </w:rPr>
        <w:t>抓住新一轮国土空间规划机遇窗口期，做好生态红线、永久性基本农田、城镇开发边界的重新调整划定，划定战略留白区域，预留建设发展空间，统筹推进县城东进、西拓、南联、北合、中优，依托</w:t>
      </w:r>
      <w:r>
        <w:rPr>
          <w:rFonts w:hint="eastAsia"/>
          <w:sz w:val="32"/>
          <w:szCs w:val="32"/>
        </w:rPr>
        <w:t>“一核一圈两片”县域空间格局</w:t>
      </w:r>
      <w:r>
        <w:rPr>
          <w:rFonts w:hint="eastAsia"/>
          <w:bCs/>
          <w:sz w:val="32"/>
          <w:szCs w:val="32"/>
        </w:rPr>
        <w:t>，规划形成“一心一轴两翼”的城市空间发展格局，“一心”即以城市建成区为城市发展中心，以生态居住、行政办公、商贸物流、教育文化为主导功能，打造城市发展主中心；“一轴”即沿长江、朱衣河、草堂河滨江（河）东西向城市发展轴，打造城市最主要的滨江经济、滨江休闲、景观、文化发展轴线和展示长廊；“两翼”即长江南岸幺店-大坝和长江北岸康乐两个片区，幺店-大坝以发展生态居住、旅游服务、滨江休闲等功能为主，打造城市南岸最美江城，康乐片区以发展新型建材、环保能源、区域物流为主要功能，打造长江北岸生态工业特色园区。向西拓展，用百年眼光、国际理念规划建设高铁新城，一体化处理高铁站场、山体公园与城市建设的融合，加快形成生态旅游城市印象。向东延伸，通盘考虑白帝城·瞿塘峡、三峡之巅、诗歌小镇等景区景点，“城景一体化”打造环草堂湖片区。向南推进，打造安坪、永乐南岸沿江亲水空间，推动城市特色功能跨江布局，让滨江地带实现生态、景观、功能、人文等全面提升。同时，突出三马山片区旧城改造、减载留白，打造魅力空间，推动城市焕发城景融合多维业态。</w:t>
      </w:r>
    </w:p>
    <w:p>
      <w:pPr>
        <w:pStyle w:val="24"/>
        <w:spacing w:beforeAutospacing="0" w:afterAutospacing="0" w:line="360" w:lineRule="auto"/>
        <w:ind w:firstLine="0" w:firstLineChars="0"/>
        <w:rPr>
          <w:rFonts w:cs="仿宋_GB2312"/>
          <w:kern w:val="2"/>
          <w:sz w:val="32"/>
          <w:szCs w:val="32"/>
        </w:rPr>
      </w:pPr>
      <w:r>
        <w:rPr>
          <w:rFonts w:cs="仿宋_GB2312"/>
          <w:kern w:val="2"/>
          <w:sz w:val="32"/>
          <w:szCs w:val="32"/>
        </w:rPr>
        <w:drawing>
          <wp:inline distT="0" distB="0" distL="114300" distR="114300">
            <wp:extent cx="5600700" cy="3956685"/>
            <wp:effectExtent l="0" t="0" r="0" b="5715"/>
            <wp:docPr id="3" name="图片 3" descr="ae3cd860aa1ee46c49ed8b6e0b85e8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descr="ae3cd860aa1ee46c49ed8b6e0b85e87"/>
                    <pic:cNvPicPr>
                      <a:picLocks noChangeAspect="true"/>
                    </pic:cNvPicPr>
                  </pic:nvPicPr>
                  <pic:blipFill>
                    <a:blip r:embed="rId18" cstate="print"/>
                    <a:stretch>
                      <a:fillRect/>
                    </a:stretch>
                  </pic:blipFill>
                  <pic:spPr>
                    <a:xfrm>
                      <a:off x="0" y="0"/>
                      <a:ext cx="5600700" cy="3956685"/>
                    </a:xfrm>
                    <a:prstGeom prst="rect">
                      <a:avLst/>
                    </a:prstGeom>
                  </pic:spPr>
                </pic:pic>
              </a:graphicData>
            </a:graphic>
          </wp:inline>
        </w:drawing>
      </w:r>
    </w:p>
    <w:p>
      <w:pPr>
        <w:spacing w:line="560" w:lineRule="exact"/>
        <w:ind w:firstLine="0" w:firstLineChars="0"/>
        <w:jc w:val="center"/>
        <w:rPr>
          <w:rFonts w:asciiTheme="minorEastAsia" w:hAnsiTheme="minorEastAsia" w:eastAsiaTheme="minorEastAsia" w:cstheme="minorEastAsia"/>
          <w:b/>
          <w:bCs/>
          <w:szCs w:val="28"/>
        </w:rPr>
      </w:pPr>
      <w:r>
        <w:rPr>
          <w:rFonts w:hint="eastAsia" w:asciiTheme="minorEastAsia" w:hAnsiTheme="minorEastAsia" w:eastAsiaTheme="minorEastAsia" w:cstheme="minorEastAsia"/>
          <w:b/>
          <w:bCs/>
          <w:szCs w:val="28"/>
        </w:rPr>
        <w:t>图</w:t>
      </w:r>
      <w:r>
        <w:rPr>
          <w:rFonts w:eastAsiaTheme="minorEastAsia"/>
          <w:b/>
          <w:bCs/>
          <w:szCs w:val="28"/>
        </w:rPr>
        <w:t>4-</w:t>
      </w:r>
      <w:r>
        <w:rPr>
          <w:rFonts w:hint="eastAsia" w:eastAsiaTheme="minorEastAsia"/>
          <w:b/>
          <w:bCs/>
          <w:szCs w:val="28"/>
        </w:rPr>
        <w:t>1</w:t>
      </w:r>
      <w:r>
        <w:rPr>
          <w:rFonts w:eastAsiaTheme="minorEastAsia"/>
          <w:b/>
          <w:bCs/>
          <w:szCs w:val="28"/>
        </w:rPr>
        <w:t xml:space="preserve"> </w:t>
      </w:r>
      <w:r>
        <w:rPr>
          <w:rFonts w:hint="eastAsia" w:asciiTheme="minorEastAsia" w:hAnsiTheme="minorEastAsia" w:eastAsiaTheme="minorEastAsia" w:cstheme="minorEastAsia"/>
          <w:b/>
          <w:bCs/>
          <w:szCs w:val="28"/>
        </w:rPr>
        <w:t>奉节“大城区”空间结构</w:t>
      </w:r>
    </w:p>
    <w:p>
      <w:pPr>
        <w:pStyle w:val="5"/>
        <w:spacing w:before="62" w:beforeLines="20" w:after="62" w:afterLines="20" w:line="560" w:lineRule="exact"/>
        <w:rPr>
          <w:rFonts w:ascii="仿宋_GB2312" w:hAnsi="仿宋_GB2312" w:eastAsia="仿宋_GB2312" w:cs="仿宋_GB2312"/>
          <w:sz w:val="32"/>
        </w:rPr>
      </w:pPr>
      <w:bookmarkStart w:id="458" w:name="_Toc19343"/>
      <w:bookmarkStart w:id="459" w:name="_Toc13933"/>
      <w:r>
        <w:rPr>
          <w:rFonts w:hint="eastAsia" w:ascii="仿宋_GB2312" w:hAnsi="仿宋_GB2312" w:eastAsia="仿宋_GB2312" w:cs="仿宋_GB2312"/>
          <w:sz w:val="32"/>
        </w:rPr>
        <w:t>第二节  构建完整城市道路交通体系</w:t>
      </w:r>
      <w:bookmarkEnd w:id="458"/>
      <w:bookmarkEnd w:id="459"/>
    </w:p>
    <w:p>
      <w:pPr>
        <w:spacing w:line="560" w:lineRule="exact"/>
        <w:ind w:firstLine="640"/>
        <w:rPr>
          <w:bCs/>
          <w:sz w:val="32"/>
          <w:szCs w:val="32"/>
        </w:rPr>
      </w:pPr>
      <w:r>
        <w:rPr>
          <w:rFonts w:hint="eastAsia"/>
          <w:bCs/>
          <w:sz w:val="32"/>
          <w:szCs w:val="32"/>
        </w:rPr>
        <w:t>优化城市道路交通体系，规划建设城市外环黄井互通—巫奉利高速长江大桥—长江南岸滨江路—奉建高速长江大桥—城市北侧干道；城市内环现状长江大桥—长江南岸滨江路—半岛隧道长江二桥—诗城路。与高铁纵一路、干溪沟道路、围溪沟道路、海城路、宝塔坪规划道路等5条南北向等级相对较高的城市主干道，形成“两环四横五纵”的城市骨干交通网。启动朱衣河南滨路接长江二桥滨江路、西互通、三马山互通等建设工作，缓解夔州路、诗城西路道路交通压力。规划建设高铁新区、西部新区城市规划道路，构建形成完整的城市道路交通体系。</w:t>
      </w:r>
    </w:p>
    <w:p>
      <w:pPr>
        <w:ind w:firstLine="0" w:firstLineChars="0"/>
        <w:jc w:val="center"/>
        <w:rPr>
          <w:bCs/>
          <w:sz w:val="32"/>
          <w:szCs w:val="32"/>
        </w:rPr>
      </w:pPr>
      <w:r>
        <w:rPr>
          <w:bCs/>
          <w:sz w:val="32"/>
          <w:szCs w:val="32"/>
        </w:rPr>
        <w:drawing>
          <wp:inline distT="0" distB="0" distL="114300" distR="114300">
            <wp:extent cx="5045075" cy="3032760"/>
            <wp:effectExtent l="0" t="0" r="3175" b="15240"/>
            <wp:docPr id="12"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true"/>
                    </pic:cNvPicPr>
                  </pic:nvPicPr>
                  <pic:blipFill>
                    <a:blip r:embed="rId19" cstate="print">
                      <a:extLst>
                        <a:ext uri="{28A0092B-C50C-407E-A947-70E740481C1C}">
                          <a14:useLocalDpi xmlns:a14="http://schemas.microsoft.com/office/drawing/2010/main" val="false"/>
                        </a:ext>
                      </a:extLst>
                    </a:blip>
                    <a:stretch>
                      <a:fillRect/>
                    </a:stretch>
                  </pic:blipFill>
                  <pic:spPr>
                    <a:xfrm>
                      <a:off x="0" y="0"/>
                      <a:ext cx="5045075" cy="3032760"/>
                    </a:xfrm>
                    <a:prstGeom prst="rect">
                      <a:avLst/>
                    </a:prstGeom>
                  </pic:spPr>
                </pic:pic>
              </a:graphicData>
            </a:graphic>
          </wp:inline>
        </w:drawing>
      </w:r>
    </w:p>
    <w:p>
      <w:pPr>
        <w:spacing w:line="560" w:lineRule="exact"/>
        <w:ind w:firstLine="0" w:firstLineChars="0"/>
        <w:jc w:val="center"/>
      </w:pPr>
      <w:r>
        <w:rPr>
          <w:rFonts w:hint="eastAsia" w:asciiTheme="minorEastAsia" w:hAnsiTheme="minorEastAsia" w:eastAsiaTheme="minorEastAsia" w:cstheme="minorEastAsia"/>
          <w:b/>
          <w:bCs/>
          <w:szCs w:val="28"/>
        </w:rPr>
        <w:t>图</w:t>
      </w:r>
      <w:r>
        <w:rPr>
          <w:rFonts w:eastAsiaTheme="minorEastAsia"/>
          <w:b/>
          <w:bCs/>
          <w:szCs w:val="28"/>
        </w:rPr>
        <w:t>4-</w:t>
      </w:r>
      <w:r>
        <w:rPr>
          <w:rFonts w:hint="eastAsia" w:eastAsiaTheme="minorEastAsia"/>
          <w:b/>
          <w:bCs/>
          <w:szCs w:val="28"/>
        </w:rPr>
        <w:t>2</w:t>
      </w:r>
      <w:r>
        <w:rPr>
          <w:rFonts w:eastAsiaTheme="minorEastAsia"/>
          <w:b/>
          <w:bCs/>
          <w:szCs w:val="28"/>
        </w:rPr>
        <w:t xml:space="preserve"> </w:t>
      </w:r>
      <w:r>
        <w:rPr>
          <w:rFonts w:hint="eastAsia" w:asciiTheme="minorEastAsia" w:hAnsiTheme="minorEastAsia" w:eastAsiaTheme="minorEastAsia" w:cstheme="minorEastAsia"/>
          <w:b/>
          <w:bCs/>
          <w:szCs w:val="28"/>
        </w:rPr>
        <w:t>城市道路交通体系</w:t>
      </w:r>
    </w:p>
    <w:p>
      <w:pPr>
        <w:pStyle w:val="5"/>
        <w:spacing w:before="62" w:beforeLines="20" w:after="62" w:afterLines="20" w:line="560" w:lineRule="exact"/>
        <w:ind w:firstLine="640"/>
        <w:rPr>
          <w:rFonts w:ascii="仿宋_GB2312" w:hAnsi="仿宋_GB2312" w:eastAsia="仿宋_GB2312" w:cs="仿宋_GB2312"/>
          <w:sz w:val="32"/>
        </w:rPr>
      </w:pPr>
      <w:bookmarkStart w:id="460" w:name="_Toc21706"/>
      <w:bookmarkStart w:id="461" w:name="_Toc60584727"/>
      <w:bookmarkStart w:id="462" w:name="_Toc10742"/>
      <w:bookmarkStart w:id="463" w:name="_Toc18963"/>
      <w:bookmarkStart w:id="464" w:name="_Toc27895"/>
      <w:r>
        <w:rPr>
          <w:rFonts w:hint="eastAsia" w:ascii="仿宋_GB2312" w:hAnsi="仿宋_GB2312" w:eastAsia="仿宋_GB2312" w:cs="仿宋_GB2312"/>
          <w:sz w:val="32"/>
        </w:rPr>
        <w:t>第三节  实施城市更新行动</w:t>
      </w:r>
      <w:bookmarkEnd w:id="460"/>
      <w:bookmarkEnd w:id="461"/>
      <w:bookmarkEnd w:id="462"/>
    </w:p>
    <w:bookmarkEnd w:id="463"/>
    <w:bookmarkEnd w:id="464"/>
    <w:p>
      <w:pPr>
        <w:spacing w:line="560" w:lineRule="exact"/>
        <w:ind w:firstLine="640"/>
        <w:rPr>
          <w:bCs/>
          <w:sz w:val="32"/>
          <w:szCs w:val="32"/>
        </w:rPr>
      </w:pPr>
      <w:r>
        <w:rPr>
          <w:rFonts w:hint="eastAsia"/>
          <w:bCs/>
          <w:sz w:val="32"/>
          <w:szCs w:val="32"/>
        </w:rPr>
        <w:t>开展城市体检，科学有序调整城市规划。全面提升城市品质，高起点规划、高标准建设城市新区。加快推进西部新区综合体建设，进一步完善教育、金融、旅游、商贸、医疗、文化、体育、休闲游憩等服务与产业设施配套，完善西部新区城市功能，形成县域政治经济文化中心。积极推动高铁站、城市综合换乘交通枢纽、高端酒店、公园广场、游客接待中心、高铁综合体等建设，加快高铁生态城建设，打造城市客厅。加快诗歌小镇、诗橙艺术小镇、康养小镇、柑橘博物馆、精品民宿、环湖绿道等重点项目建设，推进环草堂湖建设，打造文化旅游集聚示范区。</w:t>
      </w:r>
    </w:p>
    <w:p>
      <w:pPr>
        <w:spacing w:line="560" w:lineRule="exact"/>
        <w:ind w:firstLine="640"/>
        <w:rPr>
          <w:bCs/>
          <w:sz w:val="32"/>
          <w:szCs w:val="32"/>
        </w:rPr>
      </w:pPr>
      <w:r>
        <w:rPr>
          <w:rFonts w:hint="eastAsia"/>
          <w:bCs/>
          <w:sz w:val="32"/>
          <w:szCs w:val="32"/>
        </w:rPr>
        <w:t>加快存量房屋改造，稳步推进老旧小区改造提升，重点实施小区内基础设施更新改造、房屋主体修缮改造、公共服务设施建设改造、与小区相关相邻的基础设施改造提升。打造一批“百年老店”“特色街区”，实现以传统“老”文化为主的“新”服务经济模式，推进智慧商圈建设，进一步完善配套、提升品质、做大规模，加快传统商圈提档升级。加大对沿江、沿河、沿街、沿路和公园绿地周边的环境整治和建设管控，推动临江老旧建筑立面改造升级，拓展公园绿地、城市广场等各类公共活动和交往空间，加快公共空间优化升级。继续推进城市棚户区改造，实施城镇危房搬离整治，全力推进城市剩余棚户区改造，同步建设道路、供水、供电、供气、通讯、污水与垃圾处理等市政基础设施。</w:t>
      </w:r>
    </w:p>
    <w:p>
      <w:pPr>
        <w:spacing w:line="560" w:lineRule="exact"/>
        <w:ind w:firstLine="640"/>
        <w:rPr>
          <w:bCs/>
          <w:sz w:val="32"/>
          <w:szCs w:val="32"/>
        </w:rPr>
      </w:pPr>
      <w:r>
        <w:rPr>
          <w:rFonts w:hint="eastAsia"/>
          <w:bCs/>
          <w:sz w:val="32"/>
          <w:szCs w:val="32"/>
        </w:rPr>
        <w:t>完善住房制度。坚持房住不炒的定位，完善多主体供给、多渠道保障、租购并举的住房保障体系，让全体市民住有所居。稳妥实施房地产长效机制，完善土地出让收入分配机制，建立以需求定供给、以效益定供给的城市建设用地供应机制，推进房地产供给侧结构性改革。加快实施高端地产、旅游地产、康养地产规划建设，提高住房设计和建造水平，推动现代信息技术集成应用，推进建设功能完善、绿色宜居、健康安全的高品质住宅。改革完善住房公积金制度，扩大缴存范围，覆盖新市民群体。培育和发展住房租赁市场，基本形成供应主体多元、经营服务规范、租赁关系稳定、租金价格平稳的住房租赁市场体系和市场监管有力、权益保障充分、便民规范高效的住房租赁服务监管体系。</w:t>
      </w:r>
    </w:p>
    <w:p>
      <w:pPr>
        <w:spacing w:line="560" w:lineRule="exact"/>
        <w:ind w:firstLine="640"/>
        <w:rPr>
          <w:bCs/>
          <w:sz w:val="32"/>
          <w:szCs w:val="32"/>
        </w:rPr>
      </w:pPr>
      <w:r>
        <w:rPr>
          <w:rFonts w:hint="eastAsia"/>
          <w:bCs/>
          <w:sz w:val="32"/>
          <w:szCs w:val="32"/>
        </w:rPr>
        <w:t>推进智慧城市管理平台建设，利用物联网、大数据、云计算等技术，统筹推进智慧城管综合平台与城市管理各子系统建设的数据对接，实现对城市管理运行的体征监测和综合管理，提高城市管理的整体水平和服务效能。加快数字化城市管理向智慧化升级，实现“感知、分析、服务、指挥、监察”五位一体。</w:t>
      </w:r>
    </w:p>
    <w:tbl>
      <w:tblPr>
        <w:tblStyle w:val="27"/>
        <w:tblW w:w="9060"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06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9060" w:type="dxa"/>
          </w:tcPr>
          <w:p>
            <w:pPr>
              <w:widowControl/>
              <w:spacing w:line="560" w:lineRule="exact"/>
              <w:ind w:firstLine="0" w:firstLineChars="0"/>
              <w:jc w:val="center"/>
              <w:rPr>
                <w:rFonts w:eastAsia="黑体"/>
                <w:b/>
                <w:bCs/>
                <w:kern w:val="0"/>
                <w:szCs w:val="28"/>
              </w:rPr>
            </w:pPr>
            <w:bookmarkStart w:id="465" w:name="_Toc60584728"/>
            <w:bookmarkStart w:id="466" w:name="_Toc2310"/>
            <w:bookmarkStart w:id="467" w:name="_Toc4821"/>
            <w:r>
              <w:rPr>
                <w:rFonts w:hint="eastAsia" w:eastAsia="黑体"/>
                <w:szCs w:val="28"/>
              </w:rPr>
              <w:t>专栏四</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9060" w:type="dxa"/>
            <w:shd w:val="clear" w:color="auto" w:fill="auto"/>
            <w:vAlign w:val="center"/>
          </w:tcPr>
          <w:p>
            <w:pPr>
              <w:numPr>
                <w:ilvl w:val="255"/>
                <w:numId w:val="0"/>
              </w:numPr>
              <w:spacing w:line="560" w:lineRule="exact"/>
              <w:ind w:firstLine="562"/>
              <w:rPr>
                <w:bCs/>
                <w:szCs w:val="28"/>
              </w:rPr>
            </w:pPr>
            <w:r>
              <w:rPr>
                <w:rFonts w:hint="eastAsia"/>
                <w:b/>
                <w:szCs w:val="28"/>
              </w:rPr>
              <w:t>1.城市功能提升。</w:t>
            </w:r>
            <w:r>
              <w:rPr>
                <w:rFonts w:hint="eastAsia"/>
                <w:bCs/>
                <w:szCs w:val="28"/>
              </w:rPr>
              <w:t>建成高铁换乘中心、邻里中心，建设城市新区、高铁片区、西部新区路网及配套工程，实施高速公路改造拓宽，升级改造城区排水、亮化、护栏等基础设施，实施人居环境改造、绿化改造、生态修复、公园提档升级、城市小游园等绿化项目。</w:t>
            </w:r>
          </w:p>
          <w:p>
            <w:pPr>
              <w:pStyle w:val="2"/>
              <w:spacing w:line="560" w:lineRule="exact"/>
              <w:ind w:firstLine="562"/>
            </w:pPr>
            <w:r>
              <w:rPr>
                <w:rFonts w:hint="eastAsia" w:eastAsia="仿宋_GB2312"/>
                <w:b/>
              </w:rPr>
              <w:t>2.</w:t>
            </w:r>
            <w:r>
              <w:rPr>
                <w:rFonts w:hint="eastAsia" w:eastAsia="仿宋_GB2312"/>
                <w:b/>
                <w:lang w:val="zh-CN"/>
              </w:rPr>
              <w:t>城市干道。</w:t>
            </w:r>
            <w:r>
              <w:rPr>
                <w:rFonts w:hint="eastAsia" w:eastAsia="仿宋_GB2312"/>
              </w:rPr>
              <w:t>新建长江二桥、半岛隧道、</w:t>
            </w:r>
            <w:r>
              <w:rPr>
                <w:rFonts w:eastAsia="仿宋_GB2312"/>
              </w:rPr>
              <w:t>南滨路</w:t>
            </w:r>
            <w:r>
              <w:rPr>
                <w:rFonts w:hint="eastAsia" w:eastAsia="仿宋_GB2312"/>
              </w:rPr>
              <w:t>、宝塔坪特大桥、县城北侧快速通道。</w:t>
            </w:r>
          </w:p>
          <w:p>
            <w:pPr>
              <w:spacing w:line="560" w:lineRule="exact"/>
              <w:ind w:firstLine="562"/>
              <w:rPr>
                <w:bCs/>
                <w:szCs w:val="28"/>
              </w:rPr>
            </w:pPr>
            <w:r>
              <w:rPr>
                <w:rFonts w:hint="eastAsia"/>
                <w:b/>
                <w:szCs w:val="28"/>
              </w:rPr>
              <w:t>3.老旧小区改造。</w:t>
            </w:r>
            <w:r>
              <w:rPr>
                <w:rFonts w:hint="eastAsia"/>
                <w:bCs/>
                <w:szCs w:val="28"/>
              </w:rPr>
              <w:t>改造永安、鱼复、夔门3个街道老旧小区，提升竹龙、华家沟、后山、巴原街、诗城广场等1</w:t>
            </w:r>
            <w:r>
              <w:rPr>
                <w:bCs/>
                <w:szCs w:val="28"/>
              </w:rPr>
              <w:t>7</w:t>
            </w:r>
            <w:r>
              <w:rPr>
                <w:rFonts w:hint="eastAsia"/>
                <w:bCs/>
                <w:szCs w:val="28"/>
              </w:rPr>
              <w:t>个老旧小区配套基础设施，建设奉节县老旧小区智慧城管综合平台、城市管理大数据分析决策系统。</w:t>
            </w:r>
          </w:p>
          <w:p>
            <w:pPr>
              <w:spacing w:line="560" w:lineRule="exact"/>
              <w:ind w:firstLine="562"/>
              <w:rPr>
                <w:bCs/>
                <w:szCs w:val="28"/>
              </w:rPr>
            </w:pPr>
            <w:r>
              <w:rPr>
                <w:rFonts w:hint="eastAsia"/>
                <w:b/>
                <w:szCs w:val="28"/>
              </w:rPr>
              <w:t>4.棚户区改造。</w:t>
            </w:r>
            <w:r>
              <w:rPr>
                <w:rFonts w:hint="eastAsia"/>
                <w:bCs/>
                <w:szCs w:val="28"/>
              </w:rPr>
              <w:t>包括清水片区904户21.6万</w:t>
            </w:r>
            <w:r>
              <w:rPr>
                <w:rFonts w:hint="eastAsia" w:ascii="Segoe UI Symbol" w:hAnsi="Segoe UI Symbol" w:eastAsia="Segoe UI Symbol" w:cs="Segoe UI Symbol"/>
                <w:bCs/>
                <w:szCs w:val="28"/>
              </w:rPr>
              <w:t>㎡</w:t>
            </w:r>
            <w:r>
              <w:rPr>
                <w:rFonts w:hint="eastAsia" w:ascii="仿宋_GB2312" w:hAnsi="仿宋_GB2312" w:cs="仿宋_GB2312"/>
                <w:bCs/>
                <w:szCs w:val="28"/>
              </w:rPr>
              <w:t>棚户区改造，500余亩腾空土地进行开发利用。实施</w:t>
            </w:r>
            <w:r>
              <w:rPr>
                <w:rFonts w:hint="eastAsia"/>
                <w:bCs/>
                <w:szCs w:val="28"/>
              </w:rPr>
              <w:t>草堂棚改安置项目，提升完善城市功能，优化配置土地资源，促进土地合理利用。</w:t>
            </w:r>
          </w:p>
          <w:p>
            <w:pPr>
              <w:pStyle w:val="2"/>
              <w:ind w:firstLine="562"/>
              <w:rPr>
                <w:rFonts w:ascii="仿宋_GB2312" w:hAnsi="仿宋_GB2312" w:cs="仿宋_GB2312"/>
                <w:bCs w:val="0"/>
              </w:rPr>
            </w:pPr>
            <w:r>
              <w:rPr>
                <w:rFonts w:hint="eastAsia" w:eastAsia="仿宋_GB2312"/>
                <w:b/>
                <w:bCs w:val="0"/>
              </w:rPr>
              <w:t>5</w:t>
            </w:r>
            <w:r>
              <w:rPr>
                <w:rFonts w:eastAsia="仿宋_GB2312"/>
                <w:b/>
                <w:bCs w:val="0"/>
              </w:rPr>
              <w:t>.</w:t>
            </w:r>
            <w:r>
              <w:rPr>
                <w:rFonts w:hint="eastAsia" w:eastAsia="仿宋_GB2312"/>
                <w:b/>
                <w:bCs w:val="0"/>
              </w:rPr>
              <w:t>海绵城市建设。</w:t>
            </w:r>
            <w:r>
              <w:rPr>
                <w:rFonts w:hint="eastAsia" w:ascii="仿宋_GB2312" w:hAnsi="仿宋_GB2312" w:eastAsia="仿宋_GB2312" w:cs="仿宋_GB2312"/>
              </w:rPr>
              <w:t>新建奉节县高铁新城片区、西部新区、老旧小区等海绵城市建设工程，修复城市水生态、涵养水资源，增强城市防涝能力，扩大公共产品有效投资，提高新型城镇化质量，促进人与自然和谐发展。</w:t>
            </w:r>
          </w:p>
          <w:p>
            <w:pPr>
              <w:spacing w:line="560" w:lineRule="exact"/>
              <w:ind w:firstLine="562"/>
              <w:rPr>
                <w:bCs/>
                <w:szCs w:val="28"/>
              </w:rPr>
            </w:pPr>
            <w:r>
              <w:rPr>
                <w:rFonts w:hint="eastAsia"/>
                <w:b/>
                <w:szCs w:val="28"/>
              </w:rPr>
              <w:t>6.公共停车场建设。</w:t>
            </w:r>
            <w:r>
              <w:rPr>
                <w:rFonts w:hint="eastAsia"/>
                <w:bCs/>
                <w:szCs w:val="28"/>
              </w:rPr>
              <w:t xml:space="preserve">新建奉节县清河水岸东侧停车场等12个公共停车场。完善新能源充电桩，建设智能化服务体系，配套公共厕所、消防设施等设施，解决城市交通拥堵，出行难、停车难等突出问题，完善城市功能，方便群众生活。 </w:t>
            </w:r>
          </w:p>
          <w:p>
            <w:pPr>
              <w:widowControl/>
              <w:spacing w:line="560" w:lineRule="exact"/>
              <w:ind w:firstLine="562"/>
              <w:jc w:val="left"/>
              <w:rPr>
                <w:bCs/>
                <w:kern w:val="0"/>
                <w:szCs w:val="28"/>
              </w:rPr>
            </w:pPr>
            <w:r>
              <w:rPr>
                <w:rFonts w:hint="eastAsia"/>
                <w:b/>
                <w:szCs w:val="28"/>
              </w:rPr>
              <w:t>7.健全突发事件应急管理体系。</w:t>
            </w:r>
            <w:r>
              <w:rPr>
                <w:rFonts w:hint="eastAsia"/>
                <w:szCs w:val="28"/>
              </w:rPr>
              <w:t>建设奉节县应急管理局应急分中心、奉节县应急救灾物资储备库、奉节县应急与安全监管、奉节县城市消防救援站等项目，加强综合应急救援队伍建设，完善应急、安全监管机构必须的基础设施，提高预防和处置突发事件能力。</w:t>
            </w:r>
          </w:p>
        </w:tc>
      </w:tr>
    </w:tbl>
    <w:p>
      <w:pPr>
        <w:pStyle w:val="4"/>
        <w:spacing w:before="156" w:beforeLines="50" w:after="156" w:afterLines="50" w:line="560" w:lineRule="exact"/>
        <w:rPr>
          <w:rFonts w:ascii="Times New Roman" w:hAnsi="Times New Roman" w:cs="Times New Roman"/>
          <w:b w:val="0"/>
          <w:bCs w:val="0"/>
          <w:sz w:val="32"/>
        </w:rPr>
      </w:pPr>
      <w:bookmarkStart w:id="468" w:name="_Toc23904"/>
      <w:bookmarkStart w:id="469" w:name="_Toc8277"/>
      <w:r>
        <w:rPr>
          <w:rFonts w:hint="eastAsia" w:ascii="Times New Roman" w:hAnsi="Times New Roman" w:cs="Times New Roman"/>
          <w:b w:val="0"/>
          <w:bCs w:val="0"/>
          <w:sz w:val="32"/>
        </w:rPr>
        <w:t>第十五章  积极融入“一区两群”战略</w:t>
      </w:r>
      <w:bookmarkEnd w:id="465"/>
      <w:bookmarkEnd w:id="466"/>
      <w:bookmarkEnd w:id="467"/>
      <w:bookmarkEnd w:id="468"/>
      <w:bookmarkEnd w:id="469"/>
    </w:p>
    <w:p>
      <w:pPr>
        <w:spacing w:line="560" w:lineRule="exact"/>
        <w:ind w:firstLine="640"/>
        <w:rPr>
          <w:bCs/>
          <w:sz w:val="32"/>
          <w:szCs w:val="32"/>
        </w:rPr>
      </w:pPr>
      <w:r>
        <w:rPr>
          <w:rFonts w:hint="eastAsia"/>
          <w:bCs/>
          <w:sz w:val="32"/>
          <w:szCs w:val="32"/>
        </w:rPr>
        <w:t>坚持一体化规划、组团式发展、协同性建设，打造三峡库区腹地一体化示范区，以区域融合发展促进“奉巫巫”成为成渝双城经济圈和武汉中部城市群之间的重要节点。引领“奉巫巫”一体化发展，推动区域交通“互联互通”、公共服务“共建共享”、区域品牌“共创共用”、产业链条“差异互补”。</w:t>
      </w:r>
    </w:p>
    <w:p>
      <w:pPr>
        <w:pStyle w:val="5"/>
        <w:spacing w:before="62" w:beforeLines="20" w:after="62" w:afterLines="20" w:line="560" w:lineRule="exact"/>
        <w:rPr>
          <w:rFonts w:ascii="仿宋_GB2312" w:hAnsi="仿宋_GB2312" w:eastAsia="仿宋_GB2312" w:cs="仿宋_GB2312"/>
          <w:sz w:val="32"/>
        </w:rPr>
      </w:pPr>
      <w:bookmarkStart w:id="470" w:name="_Toc60584729"/>
      <w:bookmarkStart w:id="471" w:name="_Toc6640"/>
      <w:bookmarkStart w:id="472" w:name="_Toc13190"/>
      <w:bookmarkStart w:id="473" w:name="_Toc3876"/>
      <w:bookmarkStart w:id="474" w:name="_Toc5014"/>
      <w:r>
        <w:rPr>
          <w:rFonts w:hint="eastAsia" w:ascii="仿宋_GB2312" w:hAnsi="仿宋_GB2312" w:eastAsia="仿宋_GB2312" w:cs="仿宋_GB2312"/>
          <w:sz w:val="32"/>
        </w:rPr>
        <w:t>第一节  推进“奉巫巫”区域城镇群协同发展</w:t>
      </w:r>
      <w:bookmarkEnd w:id="470"/>
      <w:bookmarkEnd w:id="471"/>
      <w:bookmarkEnd w:id="472"/>
      <w:bookmarkEnd w:id="473"/>
      <w:bookmarkEnd w:id="474"/>
    </w:p>
    <w:p>
      <w:pPr>
        <w:spacing w:line="560" w:lineRule="exact"/>
        <w:ind w:firstLine="640"/>
        <w:rPr>
          <w:bCs/>
          <w:sz w:val="32"/>
          <w:szCs w:val="32"/>
        </w:rPr>
      </w:pPr>
      <w:r>
        <w:rPr>
          <w:rFonts w:hint="eastAsia"/>
          <w:bCs/>
          <w:sz w:val="32"/>
          <w:szCs w:val="32"/>
        </w:rPr>
        <w:t>发挥奉节在渝东北三峡库区城镇群的优势，推动群内引领、区群融合、群外融入，创新推进“奉巫巫”区域城镇群协同发展。以综合交通建设为纽带，加快奉节、巫山和巫溪三县公路、铁路、航道交通网络一体化建设，共同推动“铁公空水”交通大动脉建设，协同打造互联互通大交通体系，全面打通县域之间断头路，形成区域综合交通闭合圈。发挥毗邻渝陕鄂门户作用，促进文化、旅游、产业一体化建设。积极推进公共服务一体化协同建设，探索发展医联体、教育联盟等多种形式合作，加快补齐公共服务短板。</w:t>
      </w:r>
    </w:p>
    <w:p>
      <w:pPr>
        <w:pStyle w:val="5"/>
        <w:spacing w:before="62" w:beforeLines="20" w:after="62" w:afterLines="20" w:line="560" w:lineRule="exact"/>
        <w:rPr>
          <w:rFonts w:ascii="仿宋_GB2312" w:hAnsi="仿宋_GB2312" w:eastAsia="仿宋_GB2312" w:cs="仿宋_GB2312"/>
          <w:sz w:val="32"/>
        </w:rPr>
      </w:pPr>
      <w:bookmarkStart w:id="475" w:name="_Toc8858"/>
      <w:bookmarkStart w:id="476" w:name="_Toc28910"/>
      <w:bookmarkStart w:id="477" w:name="_Toc60584730"/>
      <w:bookmarkStart w:id="478" w:name="_Toc23127"/>
      <w:bookmarkStart w:id="479" w:name="_Toc20630"/>
      <w:r>
        <w:rPr>
          <w:rFonts w:hint="eastAsia" w:ascii="仿宋_GB2312" w:hAnsi="仿宋_GB2312" w:eastAsia="仿宋_GB2312" w:cs="仿宋_GB2312"/>
          <w:sz w:val="32"/>
        </w:rPr>
        <w:t>第二节  建立健全区域协调发展新机制</w:t>
      </w:r>
      <w:bookmarkEnd w:id="475"/>
      <w:bookmarkEnd w:id="476"/>
      <w:bookmarkEnd w:id="477"/>
      <w:bookmarkEnd w:id="478"/>
      <w:bookmarkEnd w:id="479"/>
    </w:p>
    <w:p>
      <w:pPr>
        <w:pStyle w:val="11"/>
        <w:spacing w:line="560" w:lineRule="exact"/>
        <w:ind w:firstLine="640"/>
        <w:rPr>
          <w:rFonts w:eastAsia="仿宋_GB2312"/>
          <w:bCs/>
          <w:sz w:val="32"/>
        </w:rPr>
      </w:pPr>
      <w:r>
        <w:rPr>
          <w:rFonts w:hint="eastAsia" w:eastAsia="仿宋_GB2312"/>
          <w:bCs/>
          <w:sz w:val="32"/>
        </w:rPr>
        <w:t>积极探索并实施生态补偿机制，建立渝东北生态横向补偿机制，推行生态资源有序有偿使用，落实奉节等重点生态功能区的生态补偿与转移支付，并建立生态区专项发展基金。创新联动协调机制，建立市级联席会议制度，推动长江流域干支流联建联防联治，统筹研究渝东北地区发展重大事宜，充分利用旅游、农产品等特色和区位、生态等紧密联系，推动区域合作，清单化、项目化推进区域重点事项。积极探索“奉巫巫”三县区域联动、协同合作的产业发展机制，按照优势互补、互利共赢、区域一体原则，创新要素流动机制和利益共享机制。积极探索“优先发展、合理倾斜”的扶持发展机制。建设“奉巫巫”长江三峡黄金三角文旅协同发展示范区，一体化发展“大文旅大康养经济”。</w:t>
      </w:r>
    </w:p>
    <w:p>
      <w:pPr>
        <w:pStyle w:val="4"/>
        <w:spacing w:before="156" w:beforeLines="50" w:after="156" w:afterLines="50" w:line="560" w:lineRule="exact"/>
        <w:rPr>
          <w:rFonts w:ascii="Times New Roman" w:hAnsi="Times New Roman" w:cs="Times New Roman"/>
          <w:b w:val="0"/>
          <w:bCs w:val="0"/>
          <w:sz w:val="32"/>
        </w:rPr>
      </w:pPr>
      <w:bookmarkStart w:id="480" w:name="_Toc11466"/>
      <w:bookmarkStart w:id="481" w:name="_Toc21630"/>
      <w:bookmarkStart w:id="482" w:name="_Toc2253"/>
      <w:bookmarkStart w:id="483" w:name="_Toc18847"/>
      <w:bookmarkStart w:id="484" w:name="_Toc60584731"/>
      <w:r>
        <w:rPr>
          <w:rFonts w:hint="eastAsia" w:ascii="Times New Roman" w:hAnsi="Times New Roman" w:cs="Times New Roman"/>
          <w:b w:val="0"/>
          <w:bCs w:val="0"/>
          <w:sz w:val="32"/>
        </w:rPr>
        <w:t>第十六章  积极参与国内国际双循环</w:t>
      </w:r>
      <w:bookmarkEnd w:id="480"/>
      <w:bookmarkEnd w:id="481"/>
      <w:bookmarkEnd w:id="482"/>
      <w:bookmarkEnd w:id="483"/>
      <w:bookmarkEnd w:id="484"/>
    </w:p>
    <w:p>
      <w:pPr>
        <w:spacing w:line="560" w:lineRule="exact"/>
        <w:ind w:firstLine="640"/>
        <w:rPr>
          <w:bCs/>
          <w:sz w:val="32"/>
          <w:szCs w:val="32"/>
        </w:rPr>
      </w:pPr>
      <w:r>
        <w:rPr>
          <w:rFonts w:hint="eastAsia"/>
          <w:bCs/>
          <w:sz w:val="32"/>
          <w:szCs w:val="32"/>
        </w:rPr>
        <w:t>立足国内大循环，破除地方保护壁垒和行业垄断，降低交易成本，促进产业、人口及各类生产要素合理流动和高效聚集。</w:t>
      </w:r>
    </w:p>
    <w:p>
      <w:pPr>
        <w:pStyle w:val="5"/>
        <w:spacing w:before="62" w:beforeLines="20" w:after="62" w:afterLines="20" w:line="560" w:lineRule="exact"/>
        <w:rPr>
          <w:rFonts w:ascii="仿宋_GB2312" w:hAnsi="仿宋_GB2312" w:eastAsia="仿宋_GB2312" w:cs="仿宋_GB2312"/>
          <w:sz w:val="32"/>
        </w:rPr>
      </w:pPr>
      <w:bookmarkStart w:id="485" w:name="_Toc13295"/>
      <w:bookmarkStart w:id="486" w:name="_Toc29498"/>
      <w:bookmarkStart w:id="487" w:name="_Toc27959"/>
      <w:bookmarkStart w:id="488" w:name="_Toc60584732"/>
      <w:bookmarkStart w:id="489" w:name="_Toc10273"/>
      <w:r>
        <w:rPr>
          <w:rFonts w:hint="eastAsia" w:ascii="仿宋_GB2312" w:hAnsi="仿宋_GB2312" w:eastAsia="仿宋_GB2312" w:cs="仿宋_GB2312"/>
          <w:sz w:val="32"/>
        </w:rPr>
        <w:t>第一节  加强与周边地区协调联动</w:t>
      </w:r>
      <w:bookmarkEnd w:id="485"/>
      <w:bookmarkEnd w:id="486"/>
      <w:bookmarkEnd w:id="487"/>
      <w:bookmarkEnd w:id="488"/>
      <w:bookmarkEnd w:id="489"/>
    </w:p>
    <w:p>
      <w:pPr>
        <w:spacing w:line="560" w:lineRule="exact"/>
        <w:ind w:firstLine="640"/>
        <w:rPr>
          <w:bCs/>
          <w:sz w:val="32"/>
          <w:szCs w:val="32"/>
        </w:rPr>
      </w:pPr>
      <w:r>
        <w:rPr>
          <w:rFonts w:hint="eastAsia"/>
          <w:bCs/>
          <w:sz w:val="32"/>
          <w:szCs w:val="32"/>
        </w:rPr>
        <w:t>充分利用自身地缘条件，以小区域协作、大区域错位为区域协同发展原则，夯实在三峡库区腹地的引领地位，积极谋划在渝陕鄂地区的战略角色，推动基础设施和公共服务共用共享，形成开放共赢新局面。探索推进金融市场一体化、土地要素市场一体化、技术和信息市场一体化改革，促进多种形式的跨县域产业合作，大力推动区域内脐橙产业带、木本油料产业带、中药材产业带、生态文化旅游大产业带、商贸物流产业带等打破行政区划打造，促进共建共享、共利共责，建立区域竞合发展的良性格局，提升区域整体竞争力，畅通国内国际双循环主动脉。</w:t>
      </w:r>
    </w:p>
    <w:p>
      <w:pPr>
        <w:pStyle w:val="5"/>
        <w:spacing w:before="62" w:beforeLines="20" w:after="62" w:afterLines="20" w:line="560" w:lineRule="exact"/>
        <w:rPr>
          <w:rFonts w:ascii="仿宋_GB2312" w:hAnsi="仿宋_GB2312" w:eastAsia="仿宋_GB2312" w:cs="仿宋_GB2312"/>
          <w:sz w:val="32"/>
        </w:rPr>
      </w:pPr>
      <w:bookmarkStart w:id="490" w:name="_Toc6342"/>
      <w:bookmarkStart w:id="491" w:name="_Toc20396"/>
      <w:bookmarkStart w:id="492" w:name="_Toc60584733"/>
      <w:bookmarkStart w:id="493" w:name="_Toc16492"/>
      <w:bookmarkStart w:id="494" w:name="_Toc25962"/>
      <w:r>
        <w:rPr>
          <w:rFonts w:hint="eastAsia" w:ascii="仿宋_GB2312" w:hAnsi="仿宋_GB2312" w:eastAsia="仿宋_GB2312" w:cs="仿宋_GB2312"/>
          <w:sz w:val="32"/>
        </w:rPr>
        <w:t>第二节  推动与沿海地区战略互动</w:t>
      </w:r>
      <w:bookmarkEnd w:id="490"/>
      <w:bookmarkEnd w:id="491"/>
      <w:bookmarkEnd w:id="492"/>
      <w:bookmarkEnd w:id="493"/>
      <w:bookmarkEnd w:id="494"/>
    </w:p>
    <w:p>
      <w:pPr>
        <w:spacing w:line="560" w:lineRule="exact"/>
        <w:ind w:firstLine="640"/>
        <w:rPr>
          <w:bCs/>
          <w:sz w:val="32"/>
          <w:szCs w:val="32"/>
        </w:rPr>
      </w:pPr>
      <w:r>
        <w:rPr>
          <w:rFonts w:hint="eastAsia"/>
          <w:bCs/>
          <w:sz w:val="32"/>
          <w:szCs w:val="32"/>
        </w:rPr>
        <w:t>立足融入成渝地区双城经济圈建设，努力在与长三角、京津冀、粤港澳大湾区等国家战略对接中有所作为。积极发挥要素成本、市场和通道优势，与沿海地区建立产业转移结对关系，建立产业转移集中承接示范区，以更大力度、更高标准承接产业转移、关联产业协同转移，协同构建自主可控的产业链供应链。创新“飞地经济”等建园形式，探索与沿海地区建立财税分成、GDP分计等成本分担和利益共享机制，加强与重大开放平台协同互动。</w:t>
      </w:r>
    </w:p>
    <w:p>
      <w:pPr>
        <w:pStyle w:val="5"/>
        <w:spacing w:before="62" w:beforeLines="20" w:after="62" w:afterLines="20" w:line="560" w:lineRule="exact"/>
        <w:rPr>
          <w:rFonts w:ascii="仿宋_GB2312" w:hAnsi="仿宋_GB2312" w:eastAsia="仿宋_GB2312" w:cs="仿宋_GB2312"/>
          <w:sz w:val="32"/>
        </w:rPr>
      </w:pPr>
      <w:bookmarkStart w:id="495" w:name="_Toc3340"/>
      <w:bookmarkStart w:id="496" w:name="_Toc32505"/>
      <w:bookmarkStart w:id="497" w:name="_Toc28711"/>
      <w:bookmarkStart w:id="498" w:name="_Toc60584734"/>
      <w:bookmarkStart w:id="499" w:name="_Toc26367"/>
      <w:r>
        <w:rPr>
          <w:rFonts w:hint="eastAsia" w:ascii="仿宋_GB2312" w:hAnsi="仿宋_GB2312" w:eastAsia="仿宋_GB2312" w:cs="仿宋_GB2312"/>
          <w:sz w:val="32"/>
        </w:rPr>
        <w:t>第三节  强化中外人文领域交流</w:t>
      </w:r>
      <w:bookmarkEnd w:id="495"/>
      <w:bookmarkEnd w:id="496"/>
      <w:bookmarkEnd w:id="497"/>
      <w:bookmarkEnd w:id="498"/>
      <w:bookmarkEnd w:id="499"/>
    </w:p>
    <w:p>
      <w:pPr>
        <w:spacing w:line="560" w:lineRule="exact"/>
        <w:ind w:firstLine="640"/>
        <w:rPr>
          <w:bCs/>
          <w:sz w:val="32"/>
          <w:szCs w:val="32"/>
        </w:rPr>
      </w:pPr>
      <w:r>
        <w:rPr>
          <w:rFonts w:hint="eastAsia"/>
          <w:bCs/>
          <w:sz w:val="32"/>
          <w:szCs w:val="32"/>
        </w:rPr>
        <w:t>深化与“一带一路”沿线国家和地区交流合作。坚持走出去和引进来双向发力，高水平举办美食节、橙博会等节会，深化中外留学与合作办学，重点支持汉语、中医药、美食、节日民俗以及其他非物质文化遗产等代表性项目走出去，文物、美术和音乐展演，大型体育赛事举办和重点体育项目发展等方面的合作，在人文交流各领域形成一批有国际影响力的品牌项目。积极参与共建“一带一路”教育行动，深化和拓展中外人文交流，促进奉节旅游、优质产品出口，努力开创奉节对外开放新格局。</w:t>
      </w:r>
    </w:p>
    <w:p>
      <w:pPr>
        <w:pStyle w:val="5"/>
        <w:spacing w:before="62" w:beforeLines="20" w:after="62" w:afterLines="20" w:line="560" w:lineRule="exact"/>
        <w:rPr>
          <w:rFonts w:ascii="仿宋_GB2312" w:hAnsi="仿宋_GB2312" w:eastAsia="仿宋_GB2312" w:cs="仿宋_GB2312"/>
          <w:sz w:val="32"/>
        </w:rPr>
      </w:pPr>
      <w:bookmarkStart w:id="500" w:name="_Toc875"/>
      <w:bookmarkStart w:id="501" w:name="_Toc31206"/>
      <w:bookmarkStart w:id="502" w:name="_Toc60584735"/>
      <w:bookmarkStart w:id="503" w:name="_Toc4688"/>
      <w:bookmarkStart w:id="504" w:name="_Toc10741"/>
      <w:r>
        <w:rPr>
          <w:rFonts w:hint="eastAsia" w:ascii="仿宋_GB2312" w:hAnsi="仿宋_GB2312" w:eastAsia="仿宋_GB2312" w:cs="仿宋_GB2312"/>
          <w:sz w:val="32"/>
        </w:rPr>
        <w:t>第四节  提升开放型经济水平</w:t>
      </w:r>
      <w:bookmarkEnd w:id="500"/>
      <w:bookmarkEnd w:id="501"/>
      <w:bookmarkEnd w:id="502"/>
      <w:bookmarkEnd w:id="503"/>
      <w:bookmarkEnd w:id="504"/>
    </w:p>
    <w:p>
      <w:pPr>
        <w:spacing w:line="560" w:lineRule="exact"/>
        <w:ind w:firstLine="640"/>
        <w:rPr>
          <w:bCs/>
          <w:sz w:val="32"/>
          <w:szCs w:val="32"/>
        </w:rPr>
      </w:pPr>
      <w:r>
        <w:rPr>
          <w:rFonts w:hint="eastAsia"/>
          <w:bCs/>
          <w:sz w:val="32"/>
          <w:szCs w:val="32"/>
        </w:rPr>
        <w:t>增强内生发展动力，构建更大范围、更宽领域、更高层次的开放型经济。把招商引资作为总抓手，构建科学合理的招商引资政策体系，积极推行多元化的招商策略，依据奉节特色产业和优势产业，建立招商项目库和招商大数据，加快推进由粗放式招商向系统化、专业化、差异化招商转变，打造“政府团队招商+市场化委托招商”的招商机制，实施产业链招商。全力构建开放型经济发展平台，促进奉节产业发展的品牌化建设，为平台建设提档升级，激活各类投资主体。加快线上业态、线上服务、线上管理发展，谋划实施一批新合作事项、产业项目，努力做好稳外贸、稳外资工作，加快培育内陆开放新优势。推动行政审批改革，实行“一窗通办”和重大项目全程代办制，集中高效审批、分类监管服务、综合行政执法，构建高效的开放环境。</w:t>
      </w:r>
    </w:p>
    <w:p>
      <w:pPr>
        <w:pStyle w:val="4"/>
        <w:spacing w:before="156" w:beforeLines="50" w:after="156" w:afterLines="50" w:line="560" w:lineRule="exact"/>
        <w:rPr>
          <w:rFonts w:ascii="Times New Roman" w:hAnsi="Times New Roman" w:cs="Times New Roman"/>
          <w:b w:val="0"/>
          <w:bCs w:val="0"/>
          <w:sz w:val="32"/>
        </w:rPr>
      </w:pPr>
      <w:bookmarkStart w:id="505" w:name="_Toc2757"/>
      <w:bookmarkStart w:id="506" w:name="_Toc1597"/>
      <w:bookmarkStart w:id="507" w:name="_Toc32013"/>
      <w:bookmarkStart w:id="508" w:name="_Toc3534"/>
      <w:bookmarkStart w:id="509" w:name="_Toc60584736"/>
      <w:r>
        <w:rPr>
          <w:rFonts w:hint="eastAsia" w:ascii="Times New Roman" w:hAnsi="Times New Roman" w:cs="Times New Roman"/>
          <w:b w:val="0"/>
          <w:bCs w:val="0"/>
          <w:sz w:val="32"/>
        </w:rPr>
        <w:t>第十七章  着力建设区域性消费中心城市</w:t>
      </w:r>
      <w:bookmarkEnd w:id="505"/>
      <w:bookmarkEnd w:id="506"/>
      <w:bookmarkEnd w:id="507"/>
      <w:bookmarkEnd w:id="508"/>
      <w:bookmarkEnd w:id="509"/>
    </w:p>
    <w:p>
      <w:pPr>
        <w:spacing w:line="560" w:lineRule="exact"/>
        <w:ind w:firstLine="640"/>
        <w:rPr>
          <w:bCs/>
          <w:sz w:val="32"/>
          <w:szCs w:val="32"/>
        </w:rPr>
      </w:pPr>
      <w:r>
        <w:rPr>
          <w:rFonts w:hint="eastAsia"/>
          <w:bCs/>
          <w:sz w:val="32"/>
          <w:szCs w:val="32"/>
        </w:rPr>
        <w:t>增强消费对经济发展的基础性作用，顺应消费品质化、多元化、服务化升级趋势，创造高质量消费空间，构建多元融合的消费业态。</w:t>
      </w:r>
    </w:p>
    <w:p>
      <w:pPr>
        <w:pStyle w:val="5"/>
        <w:spacing w:before="62" w:beforeLines="20" w:after="62" w:afterLines="20" w:line="560" w:lineRule="exact"/>
        <w:rPr>
          <w:rFonts w:ascii="仿宋_GB2312" w:hAnsi="仿宋_GB2312" w:eastAsia="仿宋_GB2312" w:cs="仿宋_GB2312"/>
          <w:sz w:val="32"/>
        </w:rPr>
      </w:pPr>
      <w:bookmarkStart w:id="510" w:name="_Toc12240"/>
      <w:bookmarkStart w:id="511" w:name="_Toc2513"/>
      <w:bookmarkStart w:id="512" w:name="_Toc11178"/>
      <w:bookmarkStart w:id="513" w:name="_Toc60584737"/>
      <w:bookmarkStart w:id="514" w:name="_Toc12513"/>
      <w:r>
        <w:rPr>
          <w:rFonts w:hint="eastAsia" w:ascii="仿宋_GB2312" w:hAnsi="仿宋_GB2312" w:eastAsia="仿宋_GB2312" w:cs="仿宋_GB2312"/>
          <w:sz w:val="32"/>
        </w:rPr>
        <w:t>第一节  打造区域性消费平台</w:t>
      </w:r>
      <w:bookmarkEnd w:id="510"/>
      <w:bookmarkEnd w:id="511"/>
      <w:bookmarkEnd w:id="512"/>
      <w:bookmarkEnd w:id="513"/>
      <w:bookmarkEnd w:id="514"/>
    </w:p>
    <w:p>
      <w:pPr>
        <w:spacing w:line="560" w:lineRule="exact"/>
        <w:ind w:firstLine="640"/>
        <w:rPr>
          <w:bCs/>
          <w:sz w:val="32"/>
          <w:szCs w:val="32"/>
        </w:rPr>
      </w:pPr>
      <w:r>
        <w:rPr>
          <w:rFonts w:hint="eastAsia"/>
          <w:bCs/>
          <w:sz w:val="32"/>
          <w:szCs w:val="32"/>
        </w:rPr>
        <w:t>推动消费供给升级，加快城市综合体建设及特色街区打造，引导商贸流通业集聚。发展培育绿色、健康、安全的消费供给资源，打造区域性消费平台。壮大培育区域性农产品批发市场、家居市场、汽车市场等现代化专业市场集群，建设区域性共同配送中心、区域性物流枢纽中心、区域性金融中心、渝陕鄂中药材交易集散中心，加快爱琴海购物中心、天佑中央公园商业综合体建设，提升消费市场能级。实施名品、名店、名街工程，做大“三峡之巅”“万重山”等系列产品。建设脐橙、眼镜等出口示范基地5个，主动融入共建</w:t>
      </w:r>
      <w:r>
        <w:rPr>
          <w:rFonts w:hint="eastAsia"/>
          <w:bCs/>
          <w:sz w:val="32"/>
          <w:szCs w:val="32"/>
          <w:lang w:eastAsia="zh-CN"/>
        </w:rPr>
        <w:t>“一带一路”倡议</w:t>
      </w:r>
      <w:r>
        <w:rPr>
          <w:rFonts w:hint="eastAsia"/>
          <w:bCs/>
          <w:sz w:val="32"/>
          <w:szCs w:val="32"/>
        </w:rPr>
        <w:t>。发展消费新场景，提升旅游消费、假日消费，打造一批品质民宿、农家乐，积极发展夜间经济、共享经济、平台经济，培育消费新模式新业态。适当增加公共消费。完善现代流通体系，促进线上线下消费融合发展，积极开拓城乡消费市场，推动农村消费扩容提质，引导城市消费下乡。</w:t>
      </w:r>
    </w:p>
    <w:p>
      <w:pPr>
        <w:pStyle w:val="5"/>
        <w:spacing w:before="62" w:beforeLines="20" w:after="62" w:afterLines="20" w:line="560" w:lineRule="exact"/>
        <w:rPr>
          <w:rFonts w:eastAsia="仿宋_GB2312"/>
          <w:sz w:val="32"/>
        </w:rPr>
      </w:pPr>
      <w:bookmarkStart w:id="515" w:name="_Toc18039"/>
      <w:bookmarkStart w:id="516" w:name="_Toc4069"/>
      <w:bookmarkStart w:id="517" w:name="_Toc60584738"/>
      <w:r>
        <w:rPr>
          <w:rFonts w:hint="eastAsia" w:ascii="仿宋_GB2312" w:hAnsi="仿宋_GB2312" w:eastAsia="仿宋_GB2312" w:cs="仿宋_GB2312"/>
          <w:sz w:val="32"/>
        </w:rPr>
        <w:t>第二节  营造良好消费环境</w:t>
      </w:r>
      <w:bookmarkEnd w:id="515"/>
      <w:bookmarkEnd w:id="516"/>
      <w:bookmarkEnd w:id="517"/>
    </w:p>
    <w:p>
      <w:pPr>
        <w:spacing w:line="560" w:lineRule="exact"/>
        <w:ind w:firstLine="640"/>
        <w:rPr>
          <w:bCs/>
          <w:sz w:val="32"/>
          <w:szCs w:val="32"/>
        </w:rPr>
      </w:pPr>
      <w:r>
        <w:rPr>
          <w:rFonts w:hint="eastAsia"/>
          <w:bCs/>
          <w:sz w:val="32"/>
          <w:szCs w:val="32"/>
        </w:rPr>
        <w:t>围绕重点工作任务，突出重点、强化监管，切实加强和做好保护消费者权益的各项工作。通过“3</w:t>
      </w:r>
      <w:r>
        <w:rPr>
          <w:rFonts w:hint="eastAsia" w:ascii="仿宋" w:hAnsi="仿宋" w:eastAsia="仿宋" w:cs="仿宋"/>
          <w:bCs/>
          <w:sz w:val="32"/>
          <w:szCs w:val="32"/>
        </w:rPr>
        <w:t>·</w:t>
      </w:r>
      <w:r>
        <w:rPr>
          <w:rFonts w:hint="eastAsia"/>
          <w:bCs/>
          <w:sz w:val="32"/>
          <w:szCs w:val="32"/>
        </w:rPr>
        <w:t>15”消费维权宣传、“送法下乡宣传周”活动等形式，积极宣传消费维权知识，提升广大消费者消费维权意识以及经营者依法经营意识，为消费维权营造良好氛围。有序推进“12315”进商场（超市）、进市场、进企业、进村社、进学校“五进”工作，进一步推进“绿色通道”建设，积极开展消费维权工作，完善消费者权益保护制度。</w:t>
      </w:r>
    </w:p>
    <w:p>
      <w:pPr>
        <w:pStyle w:val="4"/>
        <w:spacing w:before="156" w:beforeLines="50" w:after="156" w:afterLines="50" w:line="560" w:lineRule="exact"/>
        <w:rPr>
          <w:rFonts w:ascii="Times New Roman" w:hAnsi="Times New Roman" w:cs="Times New Roman"/>
          <w:b w:val="0"/>
          <w:bCs w:val="0"/>
          <w:sz w:val="32"/>
        </w:rPr>
      </w:pPr>
      <w:bookmarkStart w:id="518" w:name="_Toc26818"/>
      <w:bookmarkStart w:id="519" w:name="_Toc31114"/>
      <w:bookmarkStart w:id="520" w:name="_Toc60584739"/>
      <w:bookmarkStart w:id="521" w:name="_Toc27508"/>
      <w:bookmarkStart w:id="522" w:name="_Toc16729"/>
      <w:r>
        <w:rPr>
          <w:rFonts w:hint="eastAsia" w:ascii="Times New Roman" w:hAnsi="Times New Roman" w:cs="Times New Roman"/>
          <w:b w:val="0"/>
          <w:bCs w:val="0"/>
          <w:sz w:val="32"/>
        </w:rPr>
        <w:t>第十八章  扩大有效投资</w:t>
      </w:r>
      <w:bookmarkEnd w:id="518"/>
      <w:bookmarkEnd w:id="519"/>
      <w:bookmarkEnd w:id="520"/>
      <w:bookmarkEnd w:id="521"/>
      <w:bookmarkEnd w:id="522"/>
    </w:p>
    <w:p>
      <w:pPr>
        <w:spacing w:line="560" w:lineRule="exact"/>
        <w:ind w:firstLine="640"/>
        <w:rPr>
          <w:bCs/>
          <w:sz w:val="32"/>
          <w:szCs w:val="32"/>
        </w:rPr>
      </w:pPr>
      <w:r>
        <w:rPr>
          <w:rFonts w:hint="eastAsia"/>
          <w:bCs/>
          <w:sz w:val="32"/>
          <w:szCs w:val="32"/>
        </w:rPr>
        <w:t>优化投资结构，保持投资合理增长，发挥投资对优化供给结构的关键作用，探索战略性新兴产业投资，推动城市建设投资稳定增长。</w:t>
      </w:r>
    </w:p>
    <w:p>
      <w:pPr>
        <w:pStyle w:val="5"/>
        <w:spacing w:before="62" w:beforeLines="20" w:after="62" w:afterLines="20" w:line="560" w:lineRule="exact"/>
        <w:rPr>
          <w:rFonts w:ascii="仿宋_GB2312" w:hAnsi="仿宋_GB2312" w:eastAsia="仿宋_GB2312" w:cs="仿宋_GB2312"/>
          <w:sz w:val="32"/>
        </w:rPr>
      </w:pPr>
      <w:bookmarkStart w:id="523" w:name="_Toc26902"/>
      <w:bookmarkStart w:id="524" w:name="_Toc6381"/>
      <w:bookmarkStart w:id="525" w:name="_Toc60584740"/>
      <w:bookmarkStart w:id="526" w:name="_Toc16654"/>
      <w:bookmarkStart w:id="527" w:name="_Toc11769"/>
      <w:r>
        <w:rPr>
          <w:rFonts w:hint="eastAsia" w:ascii="仿宋_GB2312" w:hAnsi="仿宋_GB2312" w:eastAsia="仿宋_GB2312" w:cs="仿宋_GB2312"/>
          <w:sz w:val="32"/>
        </w:rPr>
        <w:t>第一节  积极拓展投资空间</w:t>
      </w:r>
      <w:bookmarkEnd w:id="523"/>
      <w:bookmarkEnd w:id="524"/>
      <w:bookmarkEnd w:id="525"/>
      <w:bookmarkEnd w:id="526"/>
      <w:bookmarkEnd w:id="527"/>
    </w:p>
    <w:p>
      <w:pPr>
        <w:spacing w:line="560" w:lineRule="exact"/>
        <w:ind w:firstLine="640"/>
        <w:rPr>
          <w:bCs/>
          <w:sz w:val="32"/>
          <w:szCs w:val="32"/>
        </w:rPr>
      </w:pPr>
      <w:r>
        <w:rPr>
          <w:rFonts w:hint="eastAsia"/>
          <w:bCs/>
          <w:sz w:val="32"/>
          <w:szCs w:val="32"/>
        </w:rPr>
        <w:t>围绕“两新一重”重点领域，实施一批引领性支撑性重大项目，推进生态系统保护修复、公共卫生应急保障、防洪抗旱减灾等一批强基础、增功能、利长远的重大项目建设。围绕区域功能性、产业支撑性、公共基础性、民生保障性、生态保护性五大类项目方向，加大项目谋划储备力度，建立前期工作经费资金池，强化资源要素保障，加强项目科学调度，确保尽快形成更多实物投资量。增强投资有效性，让更多基础设施投资形成优质资产、产业投资形成实体企业、民生投资形成消费潜力。</w:t>
      </w:r>
    </w:p>
    <w:p>
      <w:pPr>
        <w:pStyle w:val="5"/>
        <w:spacing w:before="62" w:beforeLines="20" w:after="62" w:afterLines="20" w:line="560" w:lineRule="exact"/>
        <w:rPr>
          <w:rFonts w:ascii="仿宋_GB2312" w:hAnsi="仿宋_GB2312" w:eastAsia="仿宋_GB2312" w:cs="仿宋_GB2312"/>
          <w:sz w:val="32"/>
        </w:rPr>
      </w:pPr>
      <w:bookmarkStart w:id="528" w:name="_Toc29233"/>
      <w:bookmarkStart w:id="529" w:name="_Toc2058"/>
      <w:bookmarkStart w:id="530" w:name="_Toc14024"/>
      <w:bookmarkStart w:id="531" w:name="_Toc60584741"/>
      <w:bookmarkStart w:id="532" w:name="_Toc3458"/>
      <w:r>
        <w:rPr>
          <w:rFonts w:hint="eastAsia" w:ascii="仿宋_GB2312" w:hAnsi="仿宋_GB2312" w:eastAsia="仿宋_GB2312" w:cs="仿宋_GB2312"/>
          <w:sz w:val="32"/>
        </w:rPr>
        <w:t>第二节  深化投融资体制改革创新</w:t>
      </w:r>
      <w:bookmarkEnd w:id="528"/>
      <w:bookmarkEnd w:id="529"/>
      <w:bookmarkEnd w:id="530"/>
      <w:bookmarkEnd w:id="531"/>
      <w:bookmarkEnd w:id="532"/>
    </w:p>
    <w:p>
      <w:pPr>
        <w:spacing w:line="560" w:lineRule="exact"/>
        <w:ind w:firstLine="640"/>
        <w:rPr>
          <w:bCs/>
          <w:sz w:val="32"/>
          <w:szCs w:val="32"/>
        </w:rPr>
      </w:pPr>
      <w:r>
        <w:rPr>
          <w:rFonts w:hint="eastAsia"/>
          <w:bCs/>
          <w:sz w:val="32"/>
          <w:szCs w:val="32"/>
        </w:rPr>
        <w:t>坚持以政府引导、企业自主、市场化运作为导向，以创新投融资方式、拓宽投融资渠道为核心，鼓励和引导社会资本投资，构建政府投资规范化、项目融资市场化、融资渠道多元化、社会融资活跃化的新型投融资体系，打造投融资模式多元化场景。鼓励民间资本通过特许经营、合资合作、资产收购、参与改制等方式，参与投资、建设和运营县内基础设施和公益性事业项目。建立健全激励创业机制，鼓励和支持奉节籍在外企业家、务工人员等返乡创业。支持设立民间产业投资基金，成立奉节县民营投资控股股份有限公司。拓宽中小微企业融资渠道。积极引进投贷联动业务，努力解决部分中小企业抵押担保等增信措施不足的问题。开展资产证券化、基础设施不动产信托基金和资产收益权转让试点。建立土地资产对投融资体系的支持机制。</w:t>
      </w:r>
    </w:p>
    <w:p>
      <w:pPr>
        <w:pStyle w:val="3"/>
        <w:spacing w:before="156" w:beforeLines="50" w:after="156" w:afterLines="50" w:line="560" w:lineRule="exact"/>
        <w:jc w:val="left"/>
        <w:rPr>
          <w:rFonts w:ascii="黑体" w:hAnsi="黑体" w:eastAsia="黑体" w:cs="黑体"/>
          <w:b w:val="0"/>
          <w:bCs/>
        </w:rPr>
      </w:pPr>
      <w:bookmarkStart w:id="533" w:name="_Toc22680"/>
      <w:bookmarkStart w:id="534" w:name="_Toc1805"/>
      <w:bookmarkStart w:id="535" w:name="_Toc60584742"/>
      <w:bookmarkStart w:id="536" w:name="_Toc19798"/>
      <w:bookmarkStart w:id="537" w:name="_Toc2877"/>
      <w:r>
        <w:rPr>
          <w:rFonts w:hint="eastAsia" w:ascii="黑体" w:hAnsi="黑体" w:eastAsia="黑体" w:cs="黑体"/>
          <w:b w:val="0"/>
          <w:bCs/>
        </w:rPr>
        <w:t>第五篇  推动基础设施高质量发展，巩固区域性中心地位</w:t>
      </w:r>
      <w:bookmarkEnd w:id="533"/>
      <w:bookmarkEnd w:id="534"/>
      <w:bookmarkEnd w:id="535"/>
      <w:bookmarkEnd w:id="536"/>
      <w:bookmarkEnd w:id="537"/>
    </w:p>
    <w:p>
      <w:pPr>
        <w:pStyle w:val="4"/>
        <w:spacing w:before="156" w:beforeLines="50" w:after="156" w:afterLines="50" w:line="560" w:lineRule="exact"/>
        <w:rPr>
          <w:rFonts w:ascii="Times New Roman" w:hAnsi="Times New Roman" w:cs="Times New Roman"/>
          <w:b w:val="0"/>
          <w:bCs w:val="0"/>
          <w:sz w:val="32"/>
        </w:rPr>
      </w:pPr>
      <w:bookmarkStart w:id="538" w:name="_Toc8424"/>
      <w:bookmarkStart w:id="539" w:name="_Toc23968"/>
      <w:bookmarkStart w:id="540" w:name="_Toc20208"/>
      <w:bookmarkStart w:id="541" w:name="_Toc31118"/>
      <w:bookmarkStart w:id="542" w:name="_Toc60584743"/>
      <w:r>
        <w:rPr>
          <w:rFonts w:hint="eastAsia" w:ascii="Times New Roman" w:hAnsi="Times New Roman" w:cs="Times New Roman"/>
          <w:b w:val="0"/>
          <w:bCs w:val="0"/>
          <w:sz w:val="32"/>
        </w:rPr>
        <w:t>第十九章  打造区域性综合交通枢纽</w:t>
      </w:r>
      <w:bookmarkEnd w:id="538"/>
      <w:bookmarkEnd w:id="539"/>
      <w:bookmarkEnd w:id="540"/>
      <w:bookmarkEnd w:id="541"/>
      <w:bookmarkEnd w:id="542"/>
    </w:p>
    <w:p>
      <w:pPr>
        <w:spacing w:line="560" w:lineRule="exact"/>
        <w:ind w:firstLine="640"/>
        <w:rPr>
          <w:bCs/>
          <w:sz w:val="32"/>
          <w:szCs w:val="32"/>
        </w:rPr>
      </w:pPr>
      <w:r>
        <w:rPr>
          <w:rFonts w:hint="eastAsia"/>
          <w:bCs/>
          <w:sz w:val="32"/>
          <w:szCs w:val="32"/>
        </w:rPr>
        <w:t>围绕以国内大循环为主体，国内国际双循环相互促进的新发展格局，构建与公路、水运、航空、铁路和市政交通等有机衔接、网络完善、便捷高效的现代化综合交通网络体系，提升聚集力和辐射力，建设内畅、外通、远联的三峡腹心综合交通枢纽，推动奉节从“交通大县”向“交通强县”转变。</w:t>
      </w:r>
    </w:p>
    <w:p>
      <w:pPr>
        <w:pStyle w:val="5"/>
        <w:spacing w:before="62" w:beforeLines="20" w:after="62" w:afterLines="20" w:line="560" w:lineRule="exact"/>
        <w:rPr>
          <w:rFonts w:ascii="仿宋_GB2312" w:hAnsi="仿宋_GB2312" w:eastAsia="仿宋_GB2312" w:cs="仿宋_GB2312"/>
          <w:sz w:val="32"/>
        </w:rPr>
      </w:pPr>
      <w:bookmarkStart w:id="543" w:name="_Toc25887"/>
      <w:bookmarkStart w:id="544" w:name="_Toc3756"/>
      <w:bookmarkStart w:id="545" w:name="_Toc4884"/>
      <w:bookmarkStart w:id="546" w:name="_Toc11984"/>
      <w:bookmarkStart w:id="547" w:name="_Toc60584744"/>
      <w:r>
        <w:rPr>
          <w:rFonts w:hint="eastAsia" w:ascii="仿宋_GB2312" w:hAnsi="仿宋_GB2312" w:eastAsia="仿宋_GB2312" w:cs="仿宋_GB2312"/>
          <w:sz w:val="32"/>
        </w:rPr>
        <w:t>第一节  构建现代综合运输网络</w:t>
      </w:r>
      <w:bookmarkEnd w:id="543"/>
      <w:bookmarkEnd w:id="544"/>
      <w:bookmarkEnd w:id="545"/>
      <w:bookmarkEnd w:id="546"/>
      <w:bookmarkEnd w:id="547"/>
    </w:p>
    <w:p>
      <w:pPr>
        <w:spacing w:line="560" w:lineRule="exact"/>
        <w:ind w:firstLine="640"/>
        <w:rPr>
          <w:bCs/>
          <w:sz w:val="32"/>
          <w:szCs w:val="32"/>
        </w:rPr>
      </w:pPr>
      <w:r>
        <w:rPr>
          <w:rFonts w:hint="eastAsia"/>
          <w:bCs/>
          <w:sz w:val="32"/>
          <w:szCs w:val="32"/>
        </w:rPr>
        <w:t>坚持战略导向、问题导向和需求导向，加快补齐交通短板，形成县域纵横交错、多式联运的立体交通网络。</w:t>
      </w:r>
    </w:p>
    <w:p>
      <w:pPr>
        <w:spacing w:line="560" w:lineRule="exact"/>
        <w:ind w:firstLine="640"/>
        <w:rPr>
          <w:bCs/>
          <w:sz w:val="32"/>
          <w:szCs w:val="32"/>
        </w:rPr>
      </w:pPr>
      <w:r>
        <w:rPr>
          <w:rFonts w:hint="eastAsia"/>
          <w:bCs/>
          <w:sz w:val="32"/>
          <w:szCs w:val="32"/>
        </w:rPr>
        <w:t>对外充分发挥奉节位于中东部与西部节点的地理优势，打造成渝地区向东开放门户，畅通多向出奉大通道，加快形成“一高两普两轨”多层次铁路网、“三横两纵”广覆盖高速公路网、“一港五区”现代化港口集群、“一场两点”高水平航空网络，重点推进郑万高铁巫溪支线、安张铁路、沿江铁路、万州至巫山南线高速公路、巫奉利高速公路等一批重大交通项目建设，逐步形成“三铁五高六港两机一网”的立体交通网络体系，提高对外通道的服务能力，提升与周边地区互联互通水平。</w:t>
      </w:r>
    </w:p>
    <w:p>
      <w:pPr>
        <w:spacing w:line="560" w:lineRule="exact"/>
        <w:ind w:firstLine="640"/>
        <w:rPr>
          <w:bCs/>
          <w:sz w:val="32"/>
          <w:szCs w:val="32"/>
        </w:rPr>
      </w:pPr>
      <w:r>
        <w:rPr>
          <w:bCs/>
          <w:sz w:val="32"/>
          <w:szCs w:val="32"/>
        </w:rPr>
        <w:t>对内着力提升地方公路等级，提高互联互通水平</w:t>
      </w:r>
      <w:r>
        <w:rPr>
          <w:rFonts w:hint="eastAsia"/>
          <w:bCs/>
          <w:sz w:val="32"/>
          <w:szCs w:val="32"/>
        </w:rPr>
        <w:t>。继续加大国省道升级改造力度，推动国省道路网结构优化调整工作，提高国省道比例。以提升农村地区与城镇化地区快速联通为重点，规划建设关刀峡长江二桥、巫奉利高速等过江大桥、甘溪沟隧道、公黄隧道等关键节点大桥长隧项目。加强城乡交通一体化发展，提升一批乡道为县道、村道为乡道。建设一批干线路、产业路，打通一批断头路。形成高速公路绕城环线和国省县道为依托的“十八射多联多支”地方公路网，全面实现国道100%达到二级公路，省道100%达到三级公路，所有乡镇、A级景区和经济据点通三级公路。建设高铁新城至白帝城、兴隆镇有轨电车，构建“快旅慢游”新模式。加快农村公路建设，打造乡村“示范路”，实现所有行政村通双车道，村民小组通畅率100%，为乡村振兴、经济发展提供重要支撑。</w:t>
      </w:r>
    </w:p>
    <w:p>
      <w:pPr>
        <w:pStyle w:val="5"/>
        <w:spacing w:before="62" w:beforeLines="20" w:after="62" w:afterLines="20" w:line="560" w:lineRule="exact"/>
        <w:rPr>
          <w:rFonts w:ascii="仿宋_GB2312" w:hAnsi="仿宋_GB2312" w:eastAsia="仿宋_GB2312" w:cs="仿宋_GB2312"/>
          <w:sz w:val="32"/>
        </w:rPr>
      </w:pPr>
      <w:bookmarkStart w:id="548" w:name="_Toc60584746"/>
      <w:bookmarkStart w:id="549" w:name="_Toc17349"/>
      <w:bookmarkStart w:id="550" w:name="_Toc7771"/>
      <w:bookmarkStart w:id="551" w:name="_Toc3180"/>
      <w:bookmarkStart w:id="552" w:name="_Toc8262"/>
      <w:r>
        <w:rPr>
          <w:rFonts w:hint="eastAsia" w:ascii="仿宋_GB2312" w:hAnsi="仿宋_GB2312" w:eastAsia="仿宋_GB2312" w:cs="仿宋_GB2312"/>
          <w:sz w:val="32"/>
        </w:rPr>
        <w:t>第二节  打造现代运输服务体系</w:t>
      </w:r>
      <w:bookmarkEnd w:id="548"/>
      <w:bookmarkEnd w:id="549"/>
      <w:bookmarkEnd w:id="550"/>
      <w:bookmarkEnd w:id="551"/>
      <w:bookmarkEnd w:id="552"/>
    </w:p>
    <w:p>
      <w:pPr>
        <w:spacing w:line="560" w:lineRule="exact"/>
        <w:ind w:firstLine="640"/>
        <w:rPr>
          <w:bCs/>
          <w:sz w:val="32"/>
          <w:szCs w:val="32"/>
        </w:rPr>
      </w:pPr>
      <w:r>
        <w:rPr>
          <w:rFonts w:hint="eastAsia"/>
          <w:bCs/>
          <w:sz w:val="32"/>
          <w:szCs w:val="32"/>
        </w:rPr>
        <w:t>建设</w:t>
      </w:r>
      <w:r>
        <w:rPr>
          <w:bCs/>
          <w:sz w:val="32"/>
          <w:szCs w:val="32"/>
        </w:rPr>
        <w:t>高铁一级综合换乘枢纽，完善城区及乡镇次级客运中转站布局建设，实现客运枢纽间高效衔接、便捷换乘</w:t>
      </w:r>
      <w:r>
        <w:rPr>
          <w:rFonts w:hint="eastAsia"/>
          <w:bCs/>
          <w:sz w:val="32"/>
          <w:szCs w:val="32"/>
        </w:rPr>
        <w:t>，打造区域性综合交通枢纽。加快构筑以高铁、航空为主体的高效率快速客运服务网络。推进客运班车公交化运行，实现县城与重要乡镇、旅游景区快速通达。优先发展城市公共交通，加快推进以市政道路为骨干，以地面公交为基础的公共交通网络，有序引导小汽车合理出行。统筹城市公交线路延伸与农村客运班线公交化改造，支持需求响应性客运发展，推广农村客运的片区经营模式，建立城乡一体化客运服务网络。发展现代物流服务，提高</w:t>
      </w:r>
      <w:r>
        <w:rPr>
          <w:bCs/>
          <w:sz w:val="32"/>
          <w:szCs w:val="32"/>
        </w:rPr>
        <w:t>物流</w:t>
      </w:r>
      <w:r>
        <w:rPr>
          <w:rFonts w:hint="eastAsia"/>
          <w:bCs/>
          <w:sz w:val="32"/>
          <w:szCs w:val="32"/>
        </w:rPr>
        <w:t>服务水平，</w:t>
      </w:r>
      <w:r>
        <w:rPr>
          <w:bCs/>
          <w:sz w:val="32"/>
          <w:szCs w:val="32"/>
        </w:rPr>
        <w:t>加快物流港口、货运站场、中转枢纽等交通物流基础设施建设，</w:t>
      </w:r>
      <w:r>
        <w:rPr>
          <w:rFonts w:hint="eastAsia"/>
          <w:bCs/>
          <w:sz w:val="32"/>
          <w:szCs w:val="32"/>
        </w:rPr>
        <w:t>培育</w:t>
      </w:r>
      <w:r>
        <w:rPr>
          <w:bCs/>
          <w:sz w:val="32"/>
          <w:szCs w:val="32"/>
        </w:rPr>
        <w:t>2家</w:t>
      </w:r>
      <w:r>
        <w:rPr>
          <w:rFonts w:hint="eastAsia"/>
          <w:bCs/>
          <w:sz w:val="32"/>
          <w:szCs w:val="32"/>
        </w:rPr>
        <w:t>以上</w:t>
      </w:r>
      <w:r>
        <w:rPr>
          <w:bCs/>
          <w:sz w:val="32"/>
          <w:szCs w:val="32"/>
        </w:rPr>
        <w:t>规模化、现代化的物流运输企业</w:t>
      </w:r>
      <w:r>
        <w:rPr>
          <w:rFonts w:hint="eastAsia"/>
          <w:bCs/>
          <w:sz w:val="32"/>
          <w:szCs w:val="32"/>
        </w:rPr>
        <w:t>，</w:t>
      </w:r>
      <w:r>
        <w:rPr>
          <w:bCs/>
          <w:sz w:val="32"/>
          <w:szCs w:val="32"/>
        </w:rPr>
        <w:t>推动物流分拨中心及农村物流三级节点体系建设，科学布局乡镇综合服务站，规划一批村级便民服务点，打通物流运输的“最后一公里”与“最初一公里”。</w:t>
      </w:r>
      <w:r>
        <w:rPr>
          <w:rFonts w:hint="eastAsia"/>
          <w:bCs/>
          <w:sz w:val="32"/>
          <w:szCs w:val="32"/>
        </w:rPr>
        <w:t>提高交通组织效率，提升旅客联程运输组织水平，创新货物多式联运组织方式，分类分区优化交通流循环组织。打造智慧交通新基建，</w:t>
      </w:r>
      <w:r>
        <w:rPr>
          <w:bCs/>
          <w:sz w:val="32"/>
          <w:szCs w:val="32"/>
        </w:rPr>
        <w:t>整合优化现有GPS监管系统、智能视频监控系统，推动运输行业综合管理智能平台建设</w:t>
      </w:r>
      <w:r>
        <w:rPr>
          <w:rFonts w:hint="eastAsia"/>
          <w:bCs/>
          <w:sz w:val="32"/>
          <w:szCs w:val="32"/>
        </w:rPr>
        <w:t>，</w:t>
      </w:r>
      <w:r>
        <w:rPr>
          <w:bCs/>
          <w:sz w:val="32"/>
          <w:szCs w:val="32"/>
        </w:rPr>
        <w:t>积极研究“互联网+交通”科技成果，开通应用“互联网+公交”“互联网+农客”等便民APP，全力推动线上交通运输服务发展</w:t>
      </w:r>
      <w:r>
        <w:rPr>
          <w:rFonts w:hint="eastAsia"/>
          <w:bCs/>
          <w:sz w:val="32"/>
          <w:szCs w:val="32"/>
        </w:rPr>
        <w:t>。加强城市交通运行智慧化组织，推进奉节县</w:t>
      </w:r>
      <w:r>
        <w:rPr>
          <w:bCs/>
          <w:sz w:val="32"/>
          <w:szCs w:val="32"/>
        </w:rPr>
        <w:t>智慧交通管控体系建设</w:t>
      </w:r>
      <w:r>
        <w:rPr>
          <w:rFonts w:hint="eastAsia"/>
          <w:bCs/>
          <w:sz w:val="32"/>
          <w:szCs w:val="32"/>
        </w:rPr>
        <w:t>。</w:t>
      </w:r>
    </w:p>
    <w:p>
      <w:pPr>
        <w:pStyle w:val="5"/>
        <w:spacing w:before="62" w:beforeLines="20" w:after="62" w:afterLines="20" w:line="560" w:lineRule="exact"/>
        <w:rPr>
          <w:rFonts w:ascii="仿宋_GB2312" w:hAnsi="仿宋_GB2312" w:eastAsia="仿宋_GB2312" w:cs="仿宋_GB2312"/>
          <w:sz w:val="32"/>
        </w:rPr>
      </w:pPr>
      <w:bookmarkStart w:id="553" w:name="_Toc2248"/>
      <w:bookmarkStart w:id="554" w:name="_Toc19284"/>
      <w:bookmarkStart w:id="555" w:name="_Toc60584747"/>
      <w:bookmarkStart w:id="556" w:name="_Toc7449"/>
      <w:bookmarkStart w:id="557" w:name="_Toc3004"/>
      <w:r>
        <w:rPr>
          <w:rFonts w:hint="eastAsia" w:ascii="仿宋_GB2312" w:hAnsi="仿宋_GB2312" w:eastAsia="仿宋_GB2312" w:cs="仿宋_GB2312"/>
          <w:sz w:val="32"/>
        </w:rPr>
        <w:t>第三节  健全绿色安全发展模式</w:t>
      </w:r>
      <w:bookmarkEnd w:id="553"/>
      <w:bookmarkEnd w:id="554"/>
      <w:bookmarkEnd w:id="555"/>
      <w:bookmarkEnd w:id="556"/>
      <w:bookmarkEnd w:id="557"/>
    </w:p>
    <w:p>
      <w:pPr>
        <w:spacing w:line="560" w:lineRule="exact"/>
        <w:ind w:firstLine="640"/>
        <w:rPr>
          <w:bCs/>
          <w:sz w:val="32"/>
          <w:szCs w:val="32"/>
        </w:rPr>
      </w:pPr>
      <w:r>
        <w:rPr>
          <w:rFonts w:hint="eastAsia"/>
          <w:bCs/>
          <w:sz w:val="32"/>
          <w:szCs w:val="32"/>
        </w:rPr>
        <w:t>优化交通运输方式和结构，推广绿色交通装备与模式。积极推广新能源汽车，大力发展绿色物流。建设长江水上绿色综合服务区，为</w:t>
      </w:r>
      <w:r>
        <w:rPr>
          <w:bCs/>
          <w:sz w:val="32"/>
          <w:szCs w:val="32"/>
        </w:rPr>
        <w:t>锚泊区</w:t>
      </w:r>
      <w:r>
        <w:rPr>
          <w:rFonts w:hint="eastAsia"/>
          <w:bCs/>
          <w:sz w:val="32"/>
          <w:szCs w:val="32"/>
        </w:rPr>
        <w:t>船舶</w:t>
      </w:r>
      <w:r>
        <w:rPr>
          <w:bCs/>
          <w:sz w:val="32"/>
          <w:szCs w:val="32"/>
        </w:rPr>
        <w:t>提供加油、购物、应急、救援、废物处置等服务</w:t>
      </w:r>
      <w:r>
        <w:rPr>
          <w:rFonts w:hint="eastAsia"/>
          <w:bCs/>
          <w:sz w:val="32"/>
          <w:szCs w:val="32"/>
        </w:rPr>
        <w:t>。</w:t>
      </w:r>
      <w:r>
        <w:rPr>
          <w:bCs/>
          <w:sz w:val="32"/>
          <w:szCs w:val="32"/>
        </w:rPr>
        <w:t>进一步完善充电站场及设施建设，新能源公交车比例提高至70%，城区公共交通出行分担率达到30%</w:t>
      </w:r>
      <w:r>
        <w:rPr>
          <w:rFonts w:hint="eastAsia"/>
          <w:bCs/>
          <w:sz w:val="32"/>
          <w:szCs w:val="32"/>
        </w:rPr>
        <w:t>。加强交通生态环境保护，</w:t>
      </w:r>
      <w:r>
        <w:rPr>
          <w:bCs/>
          <w:sz w:val="32"/>
          <w:szCs w:val="32"/>
        </w:rPr>
        <w:t>推动辖区港口码头岸电设施建设，进一步完善港口码头污水储存设施</w:t>
      </w:r>
      <w:r>
        <w:rPr>
          <w:rFonts w:hint="eastAsia"/>
          <w:bCs/>
          <w:sz w:val="32"/>
          <w:szCs w:val="32"/>
        </w:rPr>
        <w:t>，推动交通运输节能减排。集约节约利用自然资源，推动资源循环利用。</w:t>
      </w:r>
      <w:r>
        <w:rPr>
          <w:bCs/>
          <w:sz w:val="32"/>
          <w:szCs w:val="32"/>
        </w:rPr>
        <w:t>推动船舶污染物电子联单制度全覆盖，实现港口及船舶污染物动态监管</w:t>
      </w:r>
      <w:r>
        <w:rPr>
          <w:rFonts w:hint="eastAsia"/>
          <w:bCs/>
          <w:sz w:val="32"/>
          <w:szCs w:val="32"/>
        </w:rPr>
        <w:t>。</w:t>
      </w:r>
      <w:r>
        <w:rPr>
          <w:bCs/>
          <w:sz w:val="32"/>
          <w:szCs w:val="32"/>
        </w:rPr>
        <w:t>加大汽修行业整治，规范作业流程及废弃物处置。</w:t>
      </w:r>
      <w:r>
        <w:rPr>
          <w:rFonts w:hint="eastAsia"/>
          <w:bCs/>
          <w:sz w:val="32"/>
          <w:szCs w:val="32"/>
        </w:rPr>
        <w:t>建立安全生产诚信管理体系，建立安全生产“黑名单”制度。以“两客一危一重”为重点，持续推进“双降”攻坚行动。增强突发事件应急保障能力，</w:t>
      </w:r>
      <w:r>
        <w:rPr>
          <w:bCs/>
          <w:sz w:val="32"/>
          <w:szCs w:val="32"/>
        </w:rPr>
        <w:t>按照“平时服务、灾时应急、战时应战”的原则，集中、整合、协调全社会力量和资源，着力建设综合运输应急</w:t>
      </w:r>
      <w:r>
        <w:rPr>
          <w:rFonts w:hint="eastAsia"/>
          <w:bCs/>
          <w:sz w:val="32"/>
          <w:szCs w:val="32"/>
        </w:rPr>
        <w:t>保障</w:t>
      </w:r>
      <w:r>
        <w:rPr>
          <w:bCs/>
          <w:sz w:val="32"/>
          <w:szCs w:val="32"/>
        </w:rPr>
        <w:t>体系。提高应急保障运输能力和水平，建立多部门联动、多方式协同、多主体参与的应急运输管理机制，实现应急运输快速响应、统一指挥、多方协同、分级负责</w:t>
      </w:r>
      <w:r>
        <w:rPr>
          <w:rFonts w:hint="eastAsia"/>
          <w:bCs/>
          <w:sz w:val="32"/>
          <w:szCs w:val="32"/>
        </w:rPr>
        <w:t>，有效保障突发事件应急状态下交通物流畅通。</w:t>
      </w:r>
    </w:p>
    <w:p>
      <w:pPr>
        <w:pStyle w:val="5"/>
        <w:spacing w:before="62" w:beforeLines="20" w:after="62" w:afterLines="20" w:line="560" w:lineRule="exact"/>
        <w:rPr>
          <w:rFonts w:ascii="仿宋_GB2312" w:hAnsi="仿宋_GB2312" w:eastAsia="仿宋_GB2312" w:cs="仿宋_GB2312"/>
          <w:sz w:val="32"/>
        </w:rPr>
      </w:pPr>
      <w:bookmarkStart w:id="558" w:name="_Toc20252"/>
      <w:bookmarkStart w:id="559" w:name="_Toc11886"/>
      <w:bookmarkStart w:id="560" w:name="_Toc8679"/>
      <w:bookmarkStart w:id="561" w:name="_Toc60584748"/>
      <w:bookmarkStart w:id="562" w:name="_Toc3368"/>
      <w:r>
        <w:rPr>
          <w:rFonts w:hint="eastAsia" w:ascii="仿宋_GB2312" w:hAnsi="仿宋_GB2312" w:eastAsia="仿宋_GB2312" w:cs="仿宋_GB2312"/>
          <w:sz w:val="32"/>
        </w:rPr>
        <w:t>第四节  推动交通运输深度融合发展</w:t>
      </w:r>
      <w:bookmarkEnd w:id="558"/>
      <w:bookmarkEnd w:id="559"/>
      <w:bookmarkEnd w:id="560"/>
      <w:bookmarkEnd w:id="561"/>
      <w:bookmarkEnd w:id="562"/>
    </w:p>
    <w:p>
      <w:pPr>
        <w:spacing w:line="560" w:lineRule="exact"/>
        <w:ind w:firstLine="640"/>
        <w:rPr>
          <w:bCs/>
          <w:sz w:val="32"/>
          <w:szCs w:val="32"/>
        </w:rPr>
      </w:pPr>
      <w:r>
        <w:rPr>
          <w:rFonts w:hint="eastAsia"/>
          <w:bCs/>
          <w:sz w:val="32"/>
          <w:szCs w:val="32"/>
        </w:rPr>
        <w:t>以铁路车站综合开发为载体，发展高铁经济和站区经济，打造集交通、商业、经贸等为一体的现代城市综合体，加强交通运输与经济社会融合发展，大力发展枢纽经济和通道经济。</w:t>
      </w:r>
      <w:r>
        <w:rPr>
          <w:bCs/>
          <w:sz w:val="32"/>
          <w:szCs w:val="32"/>
        </w:rPr>
        <w:t>进一步深化交旅融合发展，实现渝东北旅游</w:t>
      </w:r>
      <w:r>
        <w:rPr>
          <w:rFonts w:hint="eastAsia"/>
          <w:bCs/>
          <w:sz w:val="32"/>
          <w:szCs w:val="32"/>
        </w:rPr>
        <w:t>黄</w:t>
      </w:r>
      <w:r>
        <w:rPr>
          <w:bCs/>
          <w:sz w:val="32"/>
          <w:szCs w:val="32"/>
        </w:rPr>
        <w:t>金三角重点景区及县内A级以上景区客运线路全覆盖。</w:t>
      </w:r>
      <w:r>
        <w:rPr>
          <w:rFonts w:hint="eastAsia"/>
          <w:bCs/>
          <w:sz w:val="32"/>
          <w:szCs w:val="32"/>
        </w:rPr>
        <w:t>大力发展“互联网+交通运输”，全力推进综合物流公共信息服务平台建设，推动线上线下资源融合创新，推动物流运输智能化发展，实现干线货物快速分拣、支线货物及时派送、末端货物安全到户一体化运作。积极培育交通新消费新业态，推进智慧交通、数字交通、通航经济等新业态新领域发展，带动交通运输转型升级。深入推进交通与产业联动发展，发挥产业优势，强化交通运输服务与工业、制造业等联动。统筹交通与水利等设施功能衔接预留，统筹水网与内河航道网络融合，同步规划建设航道、码头、客运中心、航运服务区等港航设施。加强交通与城市市政设施一体发展，推动干线公路与城市道路一体化发展。</w:t>
      </w:r>
    </w:p>
    <w:p>
      <w:pPr>
        <w:pStyle w:val="5"/>
        <w:spacing w:before="62" w:beforeLines="20" w:after="62" w:afterLines="20" w:line="560" w:lineRule="exact"/>
        <w:rPr>
          <w:rFonts w:ascii="仿宋_GB2312" w:hAnsi="仿宋_GB2312" w:eastAsia="仿宋_GB2312" w:cs="仿宋_GB2312"/>
          <w:sz w:val="32"/>
        </w:rPr>
      </w:pPr>
      <w:bookmarkStart w:id="563" w:name="_Toc19372"/>
      <w:bookmarkStart w:id="564" w:name="_Toc12703"/>
      <w:bookmarkStart w:id="565" w:name="_Toc60584749"/>
      <w:bookmarkStart w:id="566" w:name="_Toc30937"/>
      <w:bookmarkStart w:id="567" w:name="_Toc21543"/>
      <w:r>
        <w:rPr>
          <w:rFonts w:hint="eastAsia" w:ascii="仿宋_GB2312" w:hAnsi="仿宋_GB2312" w:eastAsia="仿宋_GB2312" w:cs="仿宋_GB2312"/>
          <w:sz w:val="32"/>
        </w:rPr>
        <w:t>第五节  提高交通运输现代治理能力</w:t>
      </w:r>
      <w:bookmarkEnd w:id="563"/>
      <w:bookmarkEnd w:id="564"/>
      <w:bookmarkEnd w:id="565"/>
      <w:bookmarkEnd w:id="566"/>
      <w:bookmarkEnd w:id="567"/>
    </w:p>
    <w:p>
      <w:pPr>
        <w:spacing w:line="560" w:lineRule="exact"/>
        <w:ind w:firstLine="640"/>
        <w:rPr>
          <w:bCs/>
          <w:sz w:val="32"/>
          <w:szCs w:val="32"/>
        </w:rPr>
      </w:pPr>
      <w:r>
        <w:rPr>
          <w:rFonts w:hint="eastAsia"/>
          <w:bCs/>
          <w:sz w:val="32"/>
          <w:szCs w:val="32"/>
        </w:rPr>
        <w:t>强化交通运输综合管理，构建安全、便捷、绿色、和谐的运输管理体系。完善综合交通政府治理体系，健全综合交通法治体系。</w:t>
      </w:r>
      <w:r>
        <w:rPr>
          <w:bCs/>
          <w:sz w:val="32"/>
          <w:szCs w:val="32"/>
        </w:rPr>
        <w:t>完善体制机制建设，进一步建立和完善制度体系、安全责任体系和支撑保障体系等，真正做到“党政同责、一岗双责、齐抓共管”。</w:t>
      </w:r>
      <w:r>
        <w:rPr>
          <w:rFonts w:hint="eastAsia"/>
          <w:bCs/>
          <w:sz w:val="32"/>
          <w:szCs w:val="32"/>
        </w:rPr>
        <w:t>深化综合执法改革，实现非现场执法全覆盖，改善基层执法条件。完善综合治理组织架构，构建统筹发展机制，强化综合交通规划引领性，注重与经济社会、国土空间等规划衔接。理顺政府职责范围关系，更好发挥交通运输职能部门的政策规划、市场监管等作用。优化公平稳定营商环境，强化竞争政策基础地位。构建交通要素市场配置机制，推进用地市场化供应，加快发展技术创新市场，加速建设数据要素市场，持续完善人才发展机制，稳妥推进运输价格市场化改革。加快现代综合市场主体培育，形成交通综合投资主体，培育供应链骨干企业，鼓励民营资本参与交通发展。推动重点领域改革试点示范，逐步推进一体化与协同运行机制，健全交通全周期运营管理机制，优化出行供需缓解城市交通拥堵。</w:t>
      </w:r>
    </w:p>
    <w:tbl>
      <w:tblPr>
        <w:tblStyle w:val="27"/>
        <w:tblW w:w="9060"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06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9060" w:type="dxa"/>
          </w:tcPr>
          <w:p>
            <w:pPr>
              <w:widowControl/>
              <w:spacing w:line="560" w:lineRule="exact"/>
              <w:ind w:firstLine="0" w:firstLineChars="0"/>
              <w:jc w:val="center"/>
              <w:rPr>
                <w:rFonts w:eastAsia="黑体"/>
                <w:b/>
                <w:bCs/>
                <w:kern w:val="0"/>
                <w:szCs w:val="28"/>
              </w:rPr>
            </w:pPr>
            <w:r>
              <w:rPr>
                <w:rFonts w:hint="eastAsia" w:eastAsia="黑体"/>
                <w:szCs w:val="28"/>
              </w:rPr>
              <w:t>专栏五</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9060" w:type="dxa"/>
            <w:shd w:val="clear" w:color="auto" w:fill="auto"/>
            <w:vAlign w:val="center"/>
          </w:tcPr>
          <w:p>
            <w:pPr>
              <w:spacing w:line="560" w:lineRule="exact"/>
              <w:ind w:firstLine="517" w:firstLineChars="184"/>
              <w:rPr>
                <w:bCs/>
                <w:szCs w:val="28"/>
                <w:lang w:val="zh-CN"/>
              </w:rPr>
            </w:pPr>
            <w:r>
              <w:rPr>
                <w:b/>
                <w:szCs w:val="28"/>
              </w:rPr>
              <w:t>1.</w:t>
            </w:r>
            <w:r>
              <w:rPr>
                <w:rFonts w:hint="eastAsia"/>
                <w:b/>
                <w:szCs w:val="28"/>
                <w:lang w:val="zh-CN"/>
              </w:rPr>
              <w:t>铁路。</w:t>
            </w:r>
            <w:r>
              <w:rPr>
                <w:rFonts w:hint="eastAsia"/>
                <w:bCs/>
                <w:szCs w:val="28"/>
              </w:rPr>
              <w:t>新建郑万高铁巫溪支线奉节段；推动建设安张铁路奉节段、沿江铁路奉节段；规划建设高铁新城至白帝城、兴隆镇有轨电车；争取研究论证沿江货运铁路、渝东北旅游环线铁路。</w:t>
            </w:r>
          </w:p>
          <w:p>
            <w:pPr>
              <w:pStyle w:val="2"/>
              <w:spacing w:line="560" w:lineRule="exact"/>
              <w:ind w:firstLine="562"/>
              <w:rPr>
                <w:lang w:val="zh-CN"/>
              </w:rPr>
            </w:pPr>
            <w:r>
              <w:rPr>
                <w:rFonts w:eastAsia="仿宋_GB2312"/>
                <w:b/>
                <w:lang w:val="zh-CN"/>
              </w:rPr>
              <w:t>2.</w:t>
            </w:r>
            <w:r>
              <w:rPr>
                <w:rFonts w:hint="eastAsia" w:eastAsia="仿宋_GB2312"/>
                <w:b/>
                <w:lang w:val="zh-CN"/>
              </w:rPr>
              <w:t>高速公路。</w:t>
            </w:r>
            <w:r>
              <w:rPr>
                <w:rFonts w:hint="eastAsia" w:eastAsia="仿宋_GB2312"/>
              </w:rPr>
              <w:t>续建安来高速公路奉建段；新建万州至巫山南线高速公路</w:t>
            </w:r>
            <w:r>
              <w:rPr>
                <w:rFonts w:eastAsia="仿宋_GB2312"/>
              </w:rPr>
              <w:t>奉节段</w:t>
            </w:r>
            <w:r>
              <w:rPr>
                <w:rFonts w:hint="eastAsia" w:eastAsia="仿宋_GB2312"/>
              </w:rPr>
              <w:t>；推动巫奉利高速公路纳入国家高速路网规划并开工建设；改造G42奉节互通；新建G42黄井</w:t>
            </w:r>
            <w:r>
              <w:rPr>
                <w:rFonts w:eastAsia="仿宋_GB2312"/>
              </w:rPr>
              <w:t>互通、</w:t>
            </w:r>
            <w:r>
              <w:rPr>
                <w:rFonts w:hint="eastAsia" w:eastAsia="仿宋_GB2312"/>
              </w:rPr>
              <w:t>西互通和八阵</w:t>
            </w:r>
            <w:r>
              <w:rPr>
                <w:rFonts w:eastAsia="仿宋_GB2312"/>
              </w:rPr>
              <w:t>互通</w:t>
            </w:r>
            <w:r>
              <w:rPr>
                <w:rFonts w:hint="eastAsia" w:eastAsia="仿宋_GB2312"/>
              </w:rPr>
              <w:t>。</w:t>
            </w:r>
          </w:p>
          <w:p>
            <w:pPr>
              <w:spacing w:line="560" w:lineRule="exact"/>
              <w:ind w:firstLine="562"/>
              <w:rPr>
                <w:bCs/>
                <w:szCs w:val="28"/>
                <w:lang w:val="zh-CN"/>
              </w:rPr>
            </w:pPr>
            <w:r>
              <w:rPr>
                <w:b/>
                <w:szCs w:val="28"/>
                <w:lang w:val="zh-CN"/>
              </w:rPr>
              <w:t>3.</w:t>
            </w:r>
            <w:r>
              <w:rPr>
                <w:rFonts w:hint="eastAsia"/>
                <w:b/>
                <w:szCs w:val="28"/>
                <w:lang w:val="zh-CN"/>
              </w:rPr>
              <w:t>国道和省道干线公路改造工程。</w:t>
            </w:r>
            <w:r>
              <w:rPr>
                <w:rFonts w:hint="eastAsia"/>
                <w:bCs/>
                <w:szCs w:val="28"/>
              </w:rPr>
              <w:t>国道改造升级</w:t>
            </w:r>
            <w:r>
              <w:rPr>
                <w:bCs/>
                <w:szCs w:val="28"/>
              </w:rPr>
              <w:t>124.128</w:t>
            </w:r>
            <w:r>
              <w:rPr>
                <w:rFonts w:hint="eastAsia"/>
                <w:bCs/>
                <w:szCs w:val="28"/>
              </w:rPr>
              <w:t>公里，省道改造升级</w:t>
            </w:r>
            <w:r>
              <w:rPr>
                <w:bCs/>
                <w:szCs w:val="28"/>
              </w:rPr>
              <w:t>97.36</w:t>
            </w:r>
            <w:r>
              <w:rPr>
                <w:rFonts w:hint="eastAsia"/>
                <w:bCs/>
                <w:szCs w:val="28"/>
              </w:rPr>
              <w:t>公里，实现全县境内国道全部达到二级标准，省道全部达到三级标准。</w:t>
            </w:r>
          </w:p>
          <w:p>
            <w:pPr>
              <w:spacing w:line="560" w:lineRule="exact"/>
              <w:ind w:firstLine="562"/>
              <w:rPr>
                <w:bCs/>
                <w:szCs w:val="28"/>
              </w:rPr>
            </w:pPr>
            <w:r>
              <w:rPr>
                <w:b/>
                <w:szCs w:val="28"/>
                <w:lang w:val="zh-CN"/>
              </w:rPr>
              <w:t>4.</w:t>
            </w:r>
            <w:r>
              <w:rPr>
                <w:rFonts w:hint="eastAsia"/>
                <w:b/>
                <w:szCs w:val="28"/>
                <w:lang w:val="zh-CN"/>
              </w:rPr>
              <w:t>产业路。</w:t>
            </w:r>
            <w:r>
              <w:rPr>
                <w:rFonts w:hint="eastAsia"/>
                <w:bCs/>
                <w:szCs w:val="28"/>
              </w:rPr>
              <w:t>推进西部新区至伞坝顶至天鹅湖、吐祥（羊市）至云阳龙缸、鹤峰两河口至五马国平、甘溪沟隧道、公黄隧道等城市路、旅游路</w:t>
            </w:r>
            <w:r>
              <w:rPr>
                <w:bCs/>
                <w:szCs w:val="28"/>
              </w:rPr>
              <w:t>、资源</w:t>
            </w:r>
            <w:r>
              <w:rPr>
                <w:rFonts w:hint="eastAsia"/>
                <w:bCs/>
                <w:szCs w:val="28"/>
              </w:rPr>
              <w:t>路</w:t>
            </w:r>
            <w:r>
              <w:rPr>
                <w:bCs/>
                <w:szCs w:val="28"/>
              </w:rPr>
              <w:t>、产业路</w:t>
            </w:r>
            <w:r>
              <w:rPr>
                <w:rFonts w:hint="eastAsia"/>
                <w:bCs/>
                <w:szCs w:val="28"/>
              </w:rPr>
              <w:t>，新建或改建道路</w:t>
            </w:r>
            <w:r>
              <w:rPr>
                <w:bCs/>
                <w:szCs w:val="28"/>
              </w:rPr>
              <w:t>全长约235.686</w:t>
            </w:r>
            <w:r>
              <w:rPr>
                <w:rFonts w:hint="eastAsia"/>
                <w:bCs/>
                <w:szCs w:val="28"/>
              </w:rPr>
              <w:t>公里。实现</w:t>
            </w:r>
            <w:r>
              <w:rPr>
                <w:bCs/>
                <w:szCs w:val="28"/>
              </w:rPr>
              <w:t>至</w:t>
            </w:r>
            <w:r>
              <w:rPr>
                <w:rFonts w:hint="eastAsia"/>
                <w:bCs/>
                <w:szCs w:val="28"/>
              </w:rPr>
              <w:t>A级</w:t>
            </w:r>
            <w:r>
              <w:rPr>
                <w:bCs/>
                <w:szCs w:val="28"/>
              </w:rPr>
              <w:t>景区、园区、重要经济据点通三级路。</w:t>
            </w:r>
          </w:p>
          <w:p>
            <w:pPr>
              <w:spacing w:line="560" w:lineRule="exact"/>
              <w:ind w:firstLine="562"/>
              <w:rPr>
                <w:bCs/>
                <w:szCs w:val="28"/>
              </w:rPr>
            </w:pPr>
            <w:r>
              <w:rPr>
                <w:b/>
                <w:szCs w:val="28"/>
                <w:lang w:val="zh-CN"/>
              </w:rPr>
              <w:t>5.</w:t>
            </w:r>
            <w:r>
              <w:rPr>
                <w:rFonts w:hint="eastAsia"/>
                <w:b/>
                <w:szCs w:val="28"/>
                <w:lang w:val="zh-CN"/>
              </w:rPr>
              <w:t>县乡道</w:t>
            </w:r>
            <w:r>
              <w:rPr>
                <w:b/>
                <w:szCs w:val="28"/>
                <w:lang w:val="zh-CN"/>
              </w:rPr>
              <w:t>。</w:t>
            </w:r>
            <w:r>
              <w:rPr>
                <w:rFonts w:hint="eastAsia"/>
                <w:bCs/>
                <w:szCs w:val="28"/>
              </w:rPr>
              <w:t>新建或改建县乡道3</w:t>
            </w:r>
            <w:r>
              <w:rPr>
                <w:bCs/>
                <w:szCs w:val="28"/>
              </w:rPr>
              <w:t>945</w:t>
            </w:r>
            <w:r>
              <w:rPr>
                <w:rFonts w:hint="eastAsia"/>
                <w:bCs/>
                <w:szCs w:val="28"/>
              </w:rPr>
              <w:t>公里，实现</w:t>
            </w:r>
            <w:r>
              <w:rPr>
                <w:bCs/>
                <w:szCs w:val="28"/>
              </w:rPr>
              <w:t>至</w:t>
            </w:r>
            <w:r>
              <w:rPr>
                <w:rFonts w:hint="eastAsia"/>
                <w:bCs/>
                <w:szCs w:val="28"/>
              </w:rPr>
              <w:t>所有乡镇</w:t>
            </w:r>
            <w:r>
              <w:rPr>
                <w:bCs/>
                <w:szCs w:val="28"/>
              </w:rPr>
              <w:t>通三级路。</w:t>
            </w:r>
          </w:p>
          <w:p>
            <w:pPr>
              <w:spacing w:line="560" w:lineRule="exact"/>
              <w:ind w:firstLine="562"/>
              <w:rPr>
                <w:bCs/>
                <w:szCs w:val="28"/>
              </w:rPr>
            </w:pPr>
            <w:r>
              <w:rPr>
                <w:rFonts w:hint="eastAsia"/>
                <w:b/>
                <w:szCs w:val="28"/>
              </w:rPr>
              <w:t>6</w:t>
            </w:r>
            <w:r>
              <w:rPr>
                <w:b/>
                <w:szCs w:val="28"/>
                <w:lang w:val="zh-CN"/>
              </w:rPr>
              <w:t>.</w:t>
            </w:r>
            <w:r>
              <w:rPr>
                <w:rFonts w:hint="eastAsia"/>
                <w:b/>
                <w:szCs w:val="28"/>
                <w:lang w:val="zh-CN"/>
              </w:rPr>
              <w:t>水运。</w:t>
            </w:r>
            <w:r>
              <w:rPr>
                <w:rFonts w:hint="eastAsia"/>
                <w:bCs/>
                <w:szCs w:val="28"/>
              </w:rPr>
              <w:t>建设奉节物流园夔门港口码头一期</w:t>
            </w:r>
            <w:r>
              <w:rPr>
                <w:bCs/>
                <w:szCs w:val="28"/>
              </w:rPr>
              <w:t>工程</w:t>
            </w:r>
            <w:r>
              <w:rPr>
                <w:rFonts w:hint="eastAsia"/>
                <w:bCs/>
                <w:szCs w:val="28"/>
              </w:rPr>
              <w:t>，新增5000吨级泊位</w:t>
            </w:r>
            <w:r>
              <w:rPr>
                <w:bCs/>
                <w:szCs w:val="28"/>
              </w:rPr>
              <w:t>4</w:t>
            </w:r>
            <w:r>
              <w:rPr>
                <w:rFonts w:hint="eastAsia"/>
                <w:bCs/>
                <w:szCs w:val="28"/>
              </w:rPr>
              <w:t>个；扩建宝塔坪旅游码头，新增3000吨级旅游客运泊位2个；新建寂静货运码头，建设2000吨级散货泊位2个；</w:t>
            </w:r>
            <w:r>
              <w:rPr>
                <w:bCs/>
                <w:szCs w:val="28"/>
              </w:rPr>
              <w:t>新建</w:t>
            </w:r>
            <w:r>
              <w:rPr>
                <w:rFonts w:hint="eastAsia"/>
                <w:bCs/>
                <w:szCs w:val="28"/>
              </w:rPr>
              <w:t>安坪货运码头，建设3000吨级件杂泊位2个；建设奉节长江水上绿色综合服务区。</w:t>
            </w:r>
          </w:p>
          <w:p>
            <w:pPr>
              <w:widowControl/>
              <w:spacing w:line="560" w:lineRule="exact"/>
              <w:ind w:firstLine="562"/>
              <w:jc w:val="left"/>
              <w:rPr>
                <w:bCs/>
                <w:szCs w:val="28"/>
              </w:rPr>
            </w:pPr>
            <w:r>
              <w:rPr>
                <w:rFonts w:hint="eastAsia"/>
                <w:b/>
                <w:szCs w:val="28"/>
              </w:rPr>
              <w:t>7</w:t>
            </w:r>
            <w:r>
              <w:rPr>
                <w:b/>
                <w:szCs w:val="28"/>
                <w:lang w:val="zh-CN"/>
              </w:rPr>
              <w:t>.</w:t>
            </w:r>
            <w:r>
              <w:rPr>
                <w:rFonts w:hint="eastAsia"/>
                <w:b/>
                <w:szCs w:val="28"/>
                <w:lang w:val="zh-CN"/>
              </w:rPr>
              <w:t>通组公路。</w:t>
            </w:r>
            <w:r>
              <w:rPr>
                <w:rFonts w:hint="eastAsia"/>
                <w:bCs/>
                <w:szCs w:val="28"/>
              </w:rPr>
              <w:t>实施硬化、油化农村通组公路</w:t>
            </w:r>
            <w:r>
              <w:rPr>
                <w:bCs/>
                <w:szCs w:val="28"/>
              </w:rPr>
              <w:t>20</w:t>
            </w:r>
            <w:r>
              <w:rPr>
                <w:rFonts w:hint="eastAsia"/>
                <w:bCs/>
                <w:szCs w:val="28"/>
              </w:rPr>
              <w:t>00公里，窄路面拓宽1000公里，实现</w:t>
            </w:r>
            <w:r>
              <w:rPr>
                <w:bCs/>
                <w:szCs w:val="28"/>
              </w:rPr>
              <w:t>村民小组</w:t>
            </w:r>
            <w:r>
              <w:rPr>
                <w:rFonts w:hint="eastAsia"/>
                <w:bCs/>
                <w:szCs w:val="28"/>
              </w:rPr>
              <w:t>通畅率100%；农村公路单车道改双车道</w:t>
            </w:r>
            <w:r>
              <w:rPr>
                <w:bCs/>
                <w:szCs w:val="28"/>
              </w:rPr>
              <w:t>10</w:t>
            </w:r>
            <w:r>
              <w:rPr>
                <w:rFonts w:hint="eastAsia"/>
                <w:bCs/>
                <w:szCs w:val="28"/>
              </w:rPr>
              <w:t>0</w:t>
            </w:r>
            <w:r>
              <w:rPr>
                <w:bCs/>
                <w:szCs w:val="28"/>
              </w:rPr>
              <w:t>0</w:t>
            </w:r>
            <w:r>
              <w:rPr>
                <w:rFonts w:hint="eastAsia"/>
                <w:bCs/>
                <w:szCs w:val="28"/>
              </w:rPr>
              <w:t>公里，</w:t>
            </w:r>
            <w:r>
              <w:rPr>
                <w:bCs/>
                <w:szCs w:val="28"/>
              </w:rPr>
              <w:t>实现所有行政村通双车道</w:t>
            </w:r>
            <w:r>
              <w:rPr>
                <w:rFonts w:hint="eastAsia"/>
                <w:bCs/>
                <w:szCs w:val="28"/>
              </w:rPr>
              <w:t>。农村公路安防设施3000公里。</w:t>
            </w:r>
          </w:p>
          <w:p>
            <w:pPr>
              <w:widowControl/>
              <w:spacing w:line="560" w:lineRule="exact"/>
              <w:ind w:firstLine="562"/>
              <w:jc w:val="left"/>
              <w:rPr>
                <w:bCs/>
                <w:szCs w:val="28"/>
              </w:rPr>
            </w:pPr>
            <w:r>
              <w:rPr>
                <w:rFonts w:hint="eastAsia"/>
                <w:b/>
                <w:szCs w:val="28"/>
              </w:rPr>
              <w:t>8</w:t>
            </w:r>
            <w:r>
              <w:rPr>
                <w:b/>
                <w:szCs w:val="28"/>
                <w:lang w:val="zh-CN"/>
              </w:rPr>
              <w:t>.</w:t>
            </w:r>
            <w:r>
              <w:rPr>
                <w:rFonts w:hint="eastAsia"/>
                <w:b/>
                <w:szCs w:val="28"/>
                <w:lang w:val="zh-CN"/>
              </w:rPr>
              <w:t>通用机场。</w:t>
            </w:r>
            <w:r>
              <w:rPr>
                <w:rFonts w:hint="eastAsia"/>
                <w:bCs/>
                <w:szCs w:val="28"/>
              </w:rPr>
              <w:t>在白帝城（县城）和兴隆分别建设1个二类非固定翼通航机场。</w:t>
            </w:r>
          </w:p>
          <w:p>
            <w:pPr>
              <w:widowControl/>
              <w:spacing w:line="560" w:lineRule="exact"/>
              <w:ind w:firstLine="562"/>
              <w:jc w:val="left"/>
              <w:rPr>
                <w:bCs/>
                <w:kern w:val="0"/>
                <w:szCs w:val="28"/>
              </w:rPr>
            </w:pPr>
            <w:r>
              <w:rPr>
                <w:rFonts w:hint="eastAsia"/>
                <w:b/>
                <w:szCs w:val="28"/>
              </w:rPr>
              <w:t>9</w:t>
            </w:r>
            <w:r>
              <w:rPr>
                <w:rFonts w:hint="eastAsia"/>
                <w:b/>
                <w:szCs w:val="28"/>
                <w:lang w:val="zh-CN"/>
              </w:rPr>
              <w:t>.汽车客运站。</w:t>
            </w:r>
            <w:r>
              <w:rPr>
                <w:rFonts w:hint="eastAsia"/>
                <w:bCs/>
                <w:szCs w:val="28"/>
              </w:rPr>
              <w:t>扩建国平汽车客运站；新建、改扩建乡镇、</w:t>
            </w:r>
            <w:r>
              <w:rPr>
                <w:bCs/>
                <w:szCs w:val="28"/>
              </w:rPr>
              <w:t>农村</w:t>
            </w:r>
            <w:r>
              <w:rPr>
                <w:rFonts w:hint="eastAsia"/>
                <w:bCs/>
                <w:szCs w:val="28"/>
              </w:rPr>
              <w:t>客（货）运站24个。</w:t>
            </w:r>
          </w:p>
        </w:tc>
      </w:tr>
    </w:tbl>
    <w:p>
      <w:pPr>
        <w:pStyle w:val="4"/>
        <w:spacing w:before="156" w:beforeLines="50" w:after="156" w:afterLines="50" w:line="560" w:lineRule="exact"/>
      </w:pPr>
      <w:bookmarkStart w:id="568" w:name="_Toc7379"/>
      <w:bookmarkStart w:id="569" w:name="_Toc5392"/>
      <w:bookmarkStart w:id="570" w:name="_Toc60584750"/>
      <w:bookmarkStart w:id="571" w:name="_Toc23867"/>
      <w:bookmarkStart w:id="572" w:name="_Toc3037"/>
      <w:r>
        <w:rPr>
          <w:rFonts w:hint="eastAsia" w:ascii="Times New Roman" w:hAnsi="Times New Roman" w:cs="Times New Roman"/>
          <w:b w:val="0"/>
          <w:bCs w:val="0"/>
          <w:sz w:val="32"/>
        </w:rPr>
        <w:t>第二十章  建设安全有效的水利体系</w:t>
      </w:r>
      <w:bookmarkEnd w:id="568"/>
      <w:bookmarkEnd w:id="569"/>
      <w:bookmarkEnd w:id="570"/>
      <w:bookmarkEnd w:id="571"/>
      <w:bookmarkEnd w:id="572"/>
    </w:p>
    <w:p>
      <w:pPr>
        <w:spacing w:line="560" w:lineRule="exact"/>
        <w:ind w:firstLine="640"/>
        <w:rPr>
          <w:bCs/>
          <w:sz w:val="32"/>
          <w:szCs w:val="32"/>
        </w:rPr>
      </w:pPr>
      <w:r>
        <w:rPr>
          <w:rFonts w:hint="eastAsia"/>
          <w:bCs/>
          <w:sz w:val="32"/>
          <w:szCs w:val="32"/>
        </w:rPr>
        <w:t>按照“节水优先、空间均衡、系统治理、两手发力”的治水方针，紧紧围绕“水利工程补短板、水利行业强监管”水利改革总基调，聚焦保护三峡水库最大淡水资源库，建设现代化水资源供给安全保障网和智慧水利网，实施长江干支流综合治理工程，建设人民满意的幸福河。</w:t>
      </w:r>
    </w:p>
    <w:p>
      <w:pPr>
        <w:pStyle w:val="5"/>
        <w:spacing w:before="62" w:beforeLines="20" w:after="62" w:afterLines="20" w:line="560" w:lineRule="exact"/>
        <w:rPr>
          <w:rFonts w:ascii="仿宋_GB2312" w:hAnsi="仿宋_GB2312" w:eastAsia="仿宋_GB2312" w:cs="仿宋_GB2312"/>
          <w:sz w:val="32"/>
        </w:rPr>
      </w:pPr>
      <w:bookmarkStart w:id="573" w:name="_Toc60584751"/>
      <w:bookmarkStart w:id="574" w:name="_Toc19462"/>
      <w:bookmarkStart w:id="575" w:name="_Toc16617"/>
      <w:bookmarkStart w:id="576" w:name="_Toc1885"/>
      <w:bookmarkStart w:id="577" w:name="_Toc2063"/>
      <w:r>
        <w:rPr>
          <w:rFonts w:hint="eastAsia" w:ascii="仿宋_GB2312" w:hAnsi="仿宋_GB2312" w:eastAsia="仿宋_GB2312" w:cs="仿宋_GB2312"/>
          <w:sz w:val="32"/>
        </w:rPr>
        <w:t>第一节  建设高效的水资源配置体系</w:t>
      </w:r>
      <w:bookmarkEnd w:id="573"/>
      <w:bookmarkEnd w:id="574"/>
      <w:bookmarkEnd w:id="575"/>
      <w:bookmarkEnd w:id="576"/>
      <w:bookmarkEnd w:id="577"/>
    </w:p>
    <w:p>
      <w:pPr>
        <w:spacing w:line="560" w:lineRule="exact"/>
        <w:ind w:firstLine="640"/>
        <w:rPr>
          <w:bCs/>
          <w:sz w:val="32"/>
          <w:szCs w:val="32"/>
        </w:rPr>
      </w:pPr>
      <w:r>
        <w:rPr>
          <w:rFonts w:hint="eastAsia"/>
          <w:bCs/>
          <w:sz w:val="32"/>
          <w:szCs w:val="32"/>
        </w:rPr>
        <w:t>积极开展重大水资源配置项目谋划，促进水资源的科学合理配置。加快建设供水骨干水源和管网工程，逐步形成蓄、引、提相结合的水资源配置网络，提高城乡生活和工农业生产供水保证率。加强县城和沿江重点发展区域双水源供水系统建设，进一步保障重点地区和重点企业的用水安全。全面落实最严格的水资源管理制度，全面推进县域节水型社会建设。实施全域水资源统一调度和统筹配置，初步建立与人口、土地、经济以及其他资源和要素相匹配的水资源配置格局，系统解决全县水安全保障不平衡和不充分问题，化解生产、生活和生态用水的矛盾，为社会发展、经济建设和社会文明提供高标准保障。</w:t>
      </w:r>
    </w:p>
    <w:p>
      <w:pPr>
        <w:pStyle w:val="5"/>
        <w:spacing w:before="62" w:beforeLines="20" w:after="62" w:afterLines="20" w:line="560" w:lineRule="exact"/>
        <w:rPr>
          <w:rFonts w:ascii="仿宋_GB2312" w:hAnsi="仿宋_GB2312" w:eastAsia="仿宋_GB2312" w:cs="仿宋_GB2312"/>
          <w:sz w:val="32"/>
        </w:rPr>
      </w:pPr>
      <w:bookmarkStart w:id="578" w:name="_Toc28550"/>
      <w:bookmarkStart w:id="579" w:name="_Toc3516"/>
      <w:bookmarkStart w:id="580" w:name="_Toc15723"/>
      <w:bookmarkStart w:id="581" w:name="_Toc60584752"/>
      <w:bookmarkStart w:id="582" w:name="_Toc12538"/>
      <w:r>
        <w:rPr>
          <w:rFonts w:hint="eastAsia" w:ascii="仿宋_GB2312" w:hAnsi="仿宋_GB2312" w:eastAsia="仿宋_GB2312" w:cs="仿宋_GB2312"/>
          <w:sz w:val="32"/>
        </w:rPr>
        <w:t>第二节  建设安全的城乡供水体系</w:t>
      </w:r>
      <w:bookmarkEnd w:id="578"/>
      <w:bookmarkEnd w:id="579"/>
      <w:bookmarkEnd w:id="580"/>
      <w:bookmarkEnd w:id="581"/>
      <w:bookmarkEnd w:id="582"/>
    </w:p>
    <w:p>
      <w:pPr>
        <w:spacing w:line="560" w:lineRule="exact"/>
        <w:ind w:firstLine="640"/>
        <w:rPr>
          <w:bCs/>
          <w:sz w:val="32"/>
          <w:szCs w:val="32"/>
        </w:rPr>
      </w:pPr>
      <w:r>
        <w:rPr>
          <w:rFonts w:hint="eastAsia"/>
          <w:bCs/>
          <w:sz w:val="32"/>
          <w:szCs w:val="32"/>
        </w:rPr>
        <w:t>加强城乡供水水源、净水厂和供水管网的建设，推动城镇供水改造扩能，扩大供水服务范围，进一步提高城乡一体化供水水平。实施城市水厂能力补短板工程，推进骨干水厂建设。采取差异化错位发展方式，优化供水格局，因地制宜地构建大中小相结合、集中供水与分散供水相结合的城乡安全供水系统，提高城乡安全饮水保障能力。建设信息化设施全面配套，工程运行县级统管和行业监管全面覆盖，水价机制健全完善的农村供水体系。</w:t>
      </w:r>
    </w:p>
    <w:p>
      <w:pPr>
        <w:pStyle w:val="5"/>
        <w:spacing w:before="62" w:beforeLines="20" w:after="62" w:afterLines="20" w:line="560" w:lineRule="exact"/>
        <w:rPr>
          <w:rFonts w:ascii="仿宋_GB2312" w:hAnsi="仿宋_GB2312" w:eastAsia="仿宋_GB2312" w:cs="仿宋_GB2312"/>
          <w:sz w:val="32"/>
        </w:rPr>
      </w:pPr>
      <w:bookmarkStart w:id="583" w:name="_Toc15580"/>
      <w:bookmarkStart w:id="584" w:name="_Toc7841"/>
      <w:bookmarkStart w:id="585" w:name="_Toc60584753"/>
      <w:bookmarkStart w:id="586" w:name="_Toc31503"/>
      <w:bookmarkStart w:id="587" w:name="_Toc9133"/>
      <w:r>
        <w:rPr>
          <w:rFonts w:hint="eastAsia" w:ascii="仿宋_GB2312" w:hAnsi="仿宋_GB2312" w:eastAsia="仿宋_GB2312" w:cs="仿宋_GB2312"/>
          <w:sz w:val="32"/>
        </w:rPr>
        <w:t>第三节  建设完善的水旱灾害防御体系</w:t>
      </w:r>
      <w:bookmarkEnd w:id="583"/>
      <w:bookmarkEnd w:id="584"/>
      <w:bookmarkEnd w:id="585"/>
      <w:bookmarkEnd w:id="586"/>
      <w:bookmarkEnd w:id="587"/>
    </w:p>
    <w:p>
      <w:pPr>
        <w:spacing w:line="560" w:lineRule="exact"/>
        <w:ind w:firstLine="640"/>
        <w:rPr>
          <w:bCs/>
          <w:sz w:val="32"/>
          <w:szCs w:val="32"/>
        </w:rPr>
      </w:pPr>
      <w:r>
        <w:rPr>
          <w:rFonts w:hint="eastAsia"/>
          <w:bCs/>
          <w:sz w:val="32"/>
          <w:szCs w:val="32"/>
        </w:rPr>
        <w:t>实施长江干流和重要支流的防洪工程建设，全面推进县城防洪标准系统提升工程，退占河道，加固堤防，提高河道行洪输水能力；开展中小河流清淤和堤防达标建设，提高区域防洪能力。加快完成山洪沟治理，建设山洪灾害监测预警预报系统，加强山洪灾害监测和预警，制定应对措施，保障人民群众生命财产安全。加强水利工程运行调度，增强抵御干旱缺水能力和供水保障能力。</w:t>
      </w:r>
    </w:p>
    <w:p>
      <w:pPr>
        <w:pStyle w:val="5"/>
        <w:spacing w:before="62" w:beforeLines="20" w:after="62" w:afterLines="20" w:line="560" w:lineRule="exact"/>
        <w:rPr>
          <w:rFonts w:ascii="仿宋_GB2312" w:hAnsi="仿宋_GB2312" w:eastAsia="仿宋_GB2312" w:cs="仿宋_GB2312"/>
          <w:sz w:val="32"/>
        </w:rPr>
      </w:pPr>
      <w:bookmarkStart w:id="588" w:name="_Toc25493"/>
      <w:bookmarkStart w:id="589" w:name="_Toc14117"/>
      <w:bookmarkStart w:id="590" w:name="_Toc18647"/>
      <w:bookmarkStart w:id="591" w:name="_Toc4437"/>
      <w:bookmarkStart w:id="592" w:name="_Toc60584754"/>
      <w:r>
        <w:rPr>
          <w:rFonts w:hint="eastAsia" w:ascii="仿宋_GB2312" w:hAnsi="仿宋_GB2312" w:eastAsia="仿宋_GB2312" w:cs="仿宋_GB2312"/>
          <w:sz w:val="32"/>
        </w:rPr>
        <w:t>第四节  建设健康的水生态安全保障体系</w:t>
      </w:r>
      <w:bookmarkEnd w:id="588"/>
      <w:bookmarkEnd w:id="589"/>
      <w:bookmarkEnd w:id="590"/>
      <w:bookmarkEnd w:id="591"/>
      <w:bookmarkEnd w:id="592"/>
    </w:p>
    <w:p>
      <w:pPr>
        <w:spacing w:line="560" w:lineRule="exact"/>
        <w:ind w:firstLine="640"/>
        <w:rPr>
          <w:bCs/>
          <w:sz w:val="32"/>
          <w:szCs w:val="32"/>
        </w:rPr>
      </w:pPr>
      <w:r>
        <w:rPr>
          <w:rFonts w:hint="eastAsia"/>
          <w:bCs/>
          <w:sz w:val="32"/>
          <w:szCs w:val="32"/>
        </w:rPr>
        <w:t>深化河长制改革，坚决落实河长制党政领导负责制，健全完善河湖管理保护机制，深入开展河道“清四乱”工作，依法开展岸线规划、河道划界等工作，加强排水口管理，保障河道工程安全和水质安全。加大水土流失综合治理力度，大力推进河湖水系连通工程建设，建设朱衣河生态调节闸，实施生态调水和补水，增强水系生态修复能力，加强河湖保洁维护，打造“水清、河畅、岸绿、坡美”的生态健康河流。</w:t>
      </w:r>
    </w:p>
    <w:p>
      <w:pPr>
        <w:pStyle w:val="5"/>
        <w:spacing w:before="62" w:beforeLines="20" w:after="62" w:afterLines="20" w:line="560" w:lineRule="exact"/>
        <w:rPr>
          <w:rFonts w:ascii="仿宋_GB2312" w:hAnsi="仿宋_GB2312" w:eastAsia="仿宋_GB2312" w:cs="仿宋_GB2312"/>
          <w:sz w:val="32"/>
        </w:rPr>
      </w:pPr>
      <w:bookmarkStart w:id="593" w:name="_Toc6139"/>
      <w:bookmarkStart w:id="594" w:name="_Toc3269"/>
      <w:bookmarkStart w:id="595" w:name="_Toc172"/>
      <w:bookmarkStart w:id="596" w:name="_Toc60584755"/>
      <w:bookmarkStart w:id="597" w:name="_Toc6407"/>
      <w:r>
        <w:rPr>
          <w:rFonts w:hint="eastAsia" w:ascii="仿宋_GB2312" w:hAnsi="仿宋_GB2312" w:eastAsia="仿宋_GB2312" w:cs="仿宋_GB2312"/>
          <w:sz w:val="32"/>
        </w:rPr>
        <w:t>第五节  构建智能化的智慧水利</w:t>
      </w:r>
      <w:bookmarkEnd w:id="593"/>
      <w:bookmarkEnd w:id="594"/>
      <w:r>
        <w:rPr>
          <w:rFonts w:hint="eastAsia" w:ascii="仿宋_GB2312" w:hAnsi="仿宋_GB2312" w:eastAsia="仿宋_GB2312" w:cs="仿宋_GB2312"/>
          <w:sz w:val="32"/>
        </w:rPr>
        <w:t>体系</w:t>
      </w:r>
      <w:bookmarkEnd w:id="595"/>
      <w:bookmarkEnd w:id="596"/>
      <w:bookmarkEnd w:id="597"/>
    </w:p>
    <w:p>
      <w:pPr>
        <w:spacing w:line="560" w:lineRule="exact"/>
        <w:ind w:firstLine="640"/>
      </w:pPr>
      <w:r>
        <w:rPr>
          <w:rFonts w:hint="eastAsia"/>
          <w:bCs/>
          <w:sz w:val="32"/>
          <w:szCs w:val="32"/>
        </w:rPr>
        <w:t>充分运用大数据、云计算和移动互联等现代技术，加快建设智慧水网，实现对全县江河湖库水文水资源监测、水利设施运行管理、水利服务等涉水数据信息的处理、分析和应用，为水利精细化管理、水利政务服务等提供智能化支撑，实现水利管理创新突破。</w:t>
      </w:r>
    </w:p>
    <w:tbl>
      <w:tblPr>
        <w:tblStyle w:val="27"/>
        <w:tblW w:w="9060"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06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9060" w:type="dxa"/>
          </w:tcPr>
          <w:p>
            <w:pPr>
              <w:widowControl/>
              <w:spacing w:line="560" w:lineRule="exact"/>
              <w:ind w:firstLine="0" w:firstLineChars="0"/>
              <w:jc w:val="center"/>
              <w:rPr>
                <w:b/>
                <w:bCs/>
                <w:kern w:val="0"/>
                <w:szCs w:val="28"/>
              </w:rPr>
            </w:pPr>
            <w:r>
              <w:rPr>
                <w:rFonts w:hint="eastAsia" w:eastAsia="黑体"/>
                <w:szCs w:val="28"/>
              </w:rPr>
              <w:t>专栏六</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256" w:hRule="atLeast"/>
        </w:trPr>
        <w:tc>
          <w:tcPr>
            <w:tcW w:w="9060" w:type="dxa"/>
            <w:shd w:val="clear" w:color="auto" w:fill="auto"/>
            <w:vAlign w:val="center"/>
          </w:tcPr>
          <w:p>
            <w:pPr>
              <w:spacing w:line="560" w:lineRule="exact"/>
              <w:ind w:left="560" w:firstLine="0" w:firstLineChars="0"/>
            </w:pPr>
            <w:r>
              <w:rPr>
                <w:rFonts w:hint="eastAsia"/>
                <w:b/>
              </w:rPr>
              <w:t>1.大型水库。</w:t>
            </w:r>
            <w:r>
              <w:rPr>
                <w:rFonts w:hint="eastAsia"/>
              </w:rPr>
              <w:t>推动墨溪河默玺湖水库、梅溪河渚清水库前期。</w:t>
            </w:r>
          </w:p>
          <w:p>
            <w:pPr>
              <w:spacing w:line="560" w:lineRule="exact"/>
              <w:ind w:left="560" w:firstLine="0" w:firstLineChars="0"/>
            </w:pPr>
            <w:r>
              <w:rPr>
                <w:rFonts w:hint="eastAsia"/>
                <w:b/>
              </w:rPr>
              <w:t>2.中型水库。</w:t>
            </w:r>
            <w:r>
              <w:rPr>
                <w:rFonts w:hint="eastAsia"/>
              </w:rPr>
              <w:t>建设天赐湖、野茶、百岛湖水库。</w:t>
            </w:r>
          </w:p>
          <w:p>
            <w:pPr>
              <w:spacing w:line="560" w:lineRule="exact"/>
              <w:ind w:firstLine="562"/>
            </w:pPr>
            <w:r>
              <w:rPr>
                <w:rFonts w:hint="eastAsia"/>
                <w:b/>
              </w:rPr>
              <w:t>3.小型水库。</w:t>
            </w:r>
            <w:r>
              <w:rPr>
                <w:rFonts w:hint="eastAsia"/>
                <w:lang w:val="zh-CN"/>
              </w:rPr>
              <w:t>建设西牛冲、蓼叶溪、林政、水竹槽、招峰、晓阳、黄龙水库；推进红椿坝、兰天、佛贵、甘溪沟、尖峰等水库前期；策划储备乌龙溪、三块田、三道桥、穿洞子、塘坊、黄土坎、铁桥河、倒洞子、小湾子等水库。</w:t>
            </w:r>
          </w:p>
          <w:p>
            <w:pPr>
              <w:spacing w:line="560" w:lineRule="exact"/>
              <w:ind w:firstLine="562"/>
            </w:pPr>
            <w:r>
              <w:rPr>
                <w:rFonts w:hint="eastAsia"/>
                <w:b/>
              </w:rPr>
              <w:t>4.小型水库病险整治。</w:t>
            </w:r>
            <w:r>
              <w:rPr>
                <w:rFonts w:hint="eastAsia"/>
              </w:rPr>
              <w:t>对全县51座小型水库进行大坝安全鉴定，对其中鉴定为三类坝的水库进行除险加固。</w:t>
            </w:r>
          </w:p>
          <w:p>
            <w:pPr>
              <w:spacing w:line="560" w:lineRule="exact"/>
              <w:ind w:firstLine="562"/>
            </w:pPr>
            <w:r>
              <w:rPr>
                <w:rFonts w:hint="eastAsia"/>
                <w:b/>
              </w:rPr>
              <w:t>5.生态调节堰（闸）。</w:t>
            </w:r>
            <w:r>
              <w:rPr>
                <w:rFonts w:hint="eastAsia"/>
              </w:rPr>
              <w:t>建设朱衣河生态调节闸。</w:t>
            </w:r>
          </w:p>
          <w:p>
            <w:pPr>
              <w:spacing w:line="560" w:lineRule="exact"/>
              <w:ind w:firstLine="562"/>
            </w:pPr>
            <w:r>
              <w:rPr>
                <w:rFonts w:hint="eastAsia"/>
                <w:b/>
              </w:rPr>
              <w:t>6.河流</w:t>
            </w:r>
            <w:r>
              <w:rPr>
                <w:rFonts w:hint="eastAsia"/>
                <w:b/>
                <w:lang w:val="zh-CN"/>
              </w:rPr>
              <w:t>治理</w:t>
            </w:r>
            <w:r>
              <w:rPr>
                <w:rFonts w:hint="eastAsia"/>
                <w:b/>
              </w:rPr>
              <w:t>工程。</w:t>
            </w:r>
            <w:r>
              <w:rPr>
                <w:rFonts w:hint="eastAsia"/>
              </w:rPr>
              <w:t>实施大溪河、梅溪河、草堂河、朱衣河、长滩河等河流水土流失综合治理12</w:t>
            </w:r>
            <w:r>
              <w:t>5</w:t>
            </w:r>
            <w:r>
              <w:rPr>
                <w:rFonts w:hint="eastAsia"/>
              </w:rPr>
              <w:t>平方公里</w:t>
            </w:r>
            <w:r>
              <w:rPr>
                <w:rFonts w:hint="eastAsia"/>
                <w:lang w:val="zh-CN"/>
              </w:rPr>
              <w:t>；</w:t>
            </w:r>
            <w:r>
              <w:rPr>
                <w:rFonts w:hint="eastAsia"/>
              </w:rPr>
              <w:t>对流域面积在50-3000平方公里的中小河流</w:t>
            </w:r>
            <w:r>
              <w:rPr>
                <w:rFonts w:hint="eastAsia"/>
                <w:lang w:val="zh-CN"/>
              </w:rPr>
              <w:t>重点河段进行治理</w:t>
            </w:r>
            <w:r>
              <w:rPr>
                <w:rFonts w:hint="eastAsia"/>
              </w:rPr>
              <w:t>；实施</w:t>
            </w:r>
            <w:r>
              <w:rPr>
                <w:rFonts w:hint="eastAsia"/>
                <w:lang w:val="zh-CN"/>
              </w:rPr>
              <w:t>安坪河、吐祥河等</w:t>
            </w:r>
            <w:r>
              <w:rPr>
                <w:rFonts w:hint="eastAsia"/>
              </w:rPr>
              <w:t>8</w:t>
            </w:r>
            <w:r>
              <w:rPr>
                <w:rFonts w:hint="eastAsia"/>
                <w:lang w:val="zh-CN"/>
              </w:rPr>
              <w:t>处山洪灾害治理工程。</w:t>
            </w:r>
            <w:r>
              <w:rPr>
                <w:rFonts w:hint="eastAsia"/>
              </w:rPr>
              <w:t xml:space="preserve"> </w:t>
            </w:r>
          </w:p>
          <w:p>
            <w:pPr>
              <w:spacing w:line="560" w:lineRule="exact"/>
              <w:ind w:firstLine="562"/>
            </w:pPr>
            <w:r>
              <w:rPr>
                <w:rFonts w:hint="eastAsia"/>
                <w:b/>
              </w:rPr>
              <w:t>7.城乡供水提质增效工程。</w:t>
            </w:r>
            <w:r>
              <w:rPr>
                <w:rFonts w:hint="eastAsia"/>
              </w:rPr>
              <w:t>建设公平—康乐梅溪河沿线、永乐-安坪长江沿线、朱衣-康坪长江沿线、环草堂湖规模化供水工程，改造吐祥镇集镇等9处规模化供水工程和100处村级规范化供水。</w:t>
            </w:r>
          </w:p>
          <w:p>
            <w:pPr>
              <w:spacing w:line="560" w:lineRule="exact"/>
              <w:ind w:firstLine="562"/>
            </w:pPr>
            <w:r>
              <w:rPr>
                <w:rFonts w:hint="eastAsia"/>
                <w:b/>
              </w:rPr>
              <w:t>8.岸线综合整治项目。</w:t>
            </w:r>
            <w:r>
              <w:rPr>
                <w:rFonts w:hint="eastAsia"/>
              </w:rPr>
              <w:t>实施长江南岸、环草堂河、朱衣河、梅溪河康乐段岸线综合整治项目。</w:t>
            </w:r>
          </w:p>
          <w:p>
            <w:pPr>
              <w:spacing w:line="560" w:lineRule="exact"/>
              <w:ind w:firstLine="562"/>
              <w:rPr>
                <w:szCs w:val="28"/>
              </w:rPr>
            </w:pPr>
            <w:r>
              <w:rPr>
                <w:rFonts w:hint="eastAsia"/>
                <w:b/>
              </w:rPr>
              <w:t>9.山坪塘及堰渠项目。</w:t>
            </w:r>
            <w:r>
              <w:rPr>
                <w:rFonts w:hint="eastAsia"/>
                <w:bCs/>
              </w:rPr>
              <w:t>实现山</w:t>
            </w:r>
            <w:r>
              <w:rPr>
                <w:rFonts w:hint="eastAsia"/>
              </w:rPr>
              <w:t>坪塘整治全覆盖，堰渠覆盖重要农业产业基地。</w:t>
            </w:r>
          </w:p>
          <w:p>
            <w:pPr>
              <w:spacing w:line="560" w:lineRule="exact"/>
              <w:ind w:firstLine="562"/>
              <w:rPr>
                <w:bCs/>
                <w:kern w:val="0"/>
                <w:szCs w:val="28"/>
              </w:rPr>
            </w:pPr>
            <w:r>
              <w:rPr>
                <w:rFonts w:hint="eastAsia"/>
                <w:b/>
                <w:szCs w:val="28"/>
              </w:rPr>
              <w:t>1</w:t>
            </w:r>
            <w:r>
              <w:rPr>
                <w:b/>
                <w:szCs w:val="28"/>
              </w:rPr>
              <w:t>0.</w:t>
            </w:r>
            <w:r>
              <w:rPr>
                <w:rFonts w:hint="eastAsia"/>
                <w:b/>
                <w:szCs w:val="28"/>
              </w:rPr>
              <w:t>水系联通工程。</w:t>
            </w:r>
            <w:r>
              <w:rPr>
                <w:rFonts w:hint="eastAsia"/>
                <w:szCs w:val="28"/>
              </w:rPr>
              <w:t>建设甲高新治、水竹槽水库和光辉水库联通工程。</w:t>
            </w:r>
          </w:p>
        </w:tc>
      </w:tr>
    </w:tbl>
    <w:p>
      <w:pPr>
        <w:spacing w:line="560" w:lineRule="exact"/>
        <w:ind w:firstLine="560"/>
      </w:pPr>
    </w:p>
    <w:p>
      <w:pPr>
        <w:pStyle w:val="4"/>
        <w:spacing w:before="156" w:beforeLines="50" w:after="156" w:afterLines="50" w:line="560" w:lineRule="exact"/>
        <w:rPr>
          <w:rFonts w:ascii="Times New Roman" w:hAnsi="Times New Roman" w:cs="Times New Roman"/>
          <w:b w:val="0"/>
          <w:bCs w:val="0"/>
          <w:sz w:val="32"/>
        </w:rPr>
      </w:pPr>
      <w:bookmarkStart w:id="598" w:name="_Toc60584756"/>
      <w:bookmarkStart w:id="599" w:name="_Toc7215"/>
      <w:bookmarkStart w:id="600" w:name="_Toc4691"/>
      <w:bookmarkStart w:id="601" w:name="_Toc7122"/>
      <w:bookmarkStart w:id="602" w:name="_Toc25727"/>
      <w:r>
        <w:rPr>
          <w:rFonts w:hint="eastAsia" w:ascii="Times New Roman" w:hAnsi="Times New Roman" w:cs="Times New Roman"/>
          <w:b w:val="0"/>
          <w:bCs w:val="0"/>
          <w:sz w:val="32"/>
        </w:rPr>
        <w:t>第二十一章  建设安全可靠的能源保障体系</w:t>
      </w:r>
      <w:bookmarkEnd w:id="598"/>
      <w:bookmarkEnd w:id="599"/>
      <w:bookmarkEnd w:id="600"/>
      <w:bookmarkEnd w:id="601"/>
      <w:bookmarkEnd w:id="602"/>
    </w:p>
    <w:p>
      <w:pPr>
        <w:spacing w:line="560" w:lineRule="exact"/>
        <w:ind w:firstLine="640"/>
        <w:rPr>
          <w:bCs/>
          <w:sz w:val="32"/>
          <w:szCs w:val="32"/>
        </w:rPr>
      </w:pPr>
      <w:r>
        <w:rPr>
          <w:rFonts w:hint="eastAsia"/>
          <w:bCs/>
          <w:sz w:val="32"/>
          <w:szCs w:val="32"/>
        </w:rPr>
        <w:t>充分利用县内风光水储新能源的资源优势和中西部结合区的地理优势，大力发展清洁能源，建设以奉节为中心的渝东北绿色能源基地。完善能源保障体系，提高能源供给能力，夯实产业富民的基础。</w:t>
      </w:r>
    </w:p>
    <w:p>
      <w:pPr>
        <w:pStyle w:val="5"/>
        <w:spacing w:before="62" w:beforeLines="20" w:after="62" w:afterLines="20" w:line="560" w:lineRule="exact"/>
        <w:rPr>
          <w:rFonts w:ascii="仿宋_GB2312" w:hAnsi="仿宋_GB2312" w:eastAsia="仿宋_GB2312" w:cs="仿宋_GB2312"/>
          <w:sz w:val="32"/>
        </w:rPr>
      </w:pPr>
      <w:bookmarkStart w:id="603" w:name="_Toc15343"/>
      <w:bookmarkStart w:id="604" w:name="_Toc26864"/>
      <w:bookmarkStart w:id="605" w:name="_Toc19186"/>
      <w:bookmarkStart w:id="606" w:name="_Toc60584757"/>
      <w:bookmarkStart w:id="607" w:name="_Toc6545"/>
      <w:r>
        <w:rPr>
          <w:rFonts w:hint="eastAsia" w:ascii="仿宋_GB2312" w:hAnsi="仿宋_GB2312" w:eastAsia="仿宋_GB2312" w:cs="仿宋_GB2312"/>
          <w:sz w:val="32"/>
        </w:rPr>
        <w:t>第一节  打造渝东北绿色能源基地</w:t>
      </w:r>
      <w:bookmarkEnd w:id="603"/>
      <w:bookmarkEnd w:id="604"/>
      <w:bookmarkEnd w:id="605"/>
      <w:bookmarkEnd w:id="606"/>
      <w:bookmarkEnd w:id="607"/>
    </w:p>
    <w:p>
      <w:pPr>
        <w:spacing w:line="560" w:lineRule="exact"/>
        <w:ind w:firstLine="640"/>
      </w:pPr>
      <w:r>
        <w:rPr>
          <w:rFonts w:hint="eastAsia"/>
          <w:bCs/>
          <w:sz w:val="32"/>
          <w:szCs w:val="32"/>
        </w:rPr>
        <w:t>做优绿色能源产业集群。按照“化石能源清洁化、清洁能源规模化、多种能源综合化”的能源发展转型目标，逐步构建由风光水储火各类能源形式互促互补的综合能源体系，让清洁能源成为高质量发展的强劲动力。稳定大火电、金凤山一期风电运行生产；开工建设尖子山、分水岭、杉树包、金凤山二期等一批风电项目；抓住</w:t>
      </w:r>
      <w:r>
        <w:rPr>
          <w:rFonts w:hint="eastAsia"/>
          <w:bCs/>
          <w:sz w:val="32"/>
          <w:szCs w:val="32"/>
          <w:lang w:eastAsia="zh-CN"/>
        </w:rPr>
        <w:t>碳</w:t>
      </w:r>
      <w:r>
        <w:rPr>
          <w:rFonts w:hint="eastAsia"/>
          <w:bCs/>
          <w:sz w:val="32"/>
          <w:szCs w:val="32"/>
        </w:rPr>
        <w:t>达峰、</w:t>
      </w:r>
      <w:r>
        <w:rPr>
          <w:rFonts w:hint="eastAsia"/>
          <w:bCs/>
          <w:sz w:val="32"/>
          <w:szCs w:val="32"/>
          <w:lang w:eastAsia="zh-CN"/>
        </w:rPr>
        <w:t>碳</w:t>
      </w:r>
      <w:r>
        <w:rPr>
          <w:rFonts w:hint="eastAsia"/>
          <w:bCs/>
          <w:sz w:val="32"/>
          <w:szCs w:val="32"/>
        </w:rPr>
        <w:t>中和战略机遇，合理规划建设一批光伏发电项目；加快推进璧山渡水电站整改扩容，纤维厂一二级电站和竹林湾电站建设，改造升级落后低效的水电机组；加快推进抽水蓄能电站建设步伐；继续推进沼气、垃圾等生物质发电；有序推进天然气、页岩气开发利用和清洁燃油生产项目；完善电力输送通道，配套建设特高压电力输送线路；积极培育一批能源上下游产业，延伸电力产业链。积极推进能源体制改革创新，逐渐形成安全可靠、清洁低碳、经济高效的现代能源体系，加快打造1000万千瓦的渝东北绿色能源基地。到2025年，全县风、光、水、火装机达到</w:t>
      </w:r>
      <w:r>
        <w:rPr>
          <w:bCs/>
          <w:sz w:val="32"/>
          <w:szCs w:val="32"/>
        </w:rPr>
        <w:t>400</w:t>
      </w:r>
      <w:r>
        <w:rPr>
          <w:rFonts w:hint="eastAsia"/>
          <w:bCs/>
          <w:sz w:val="32"/>
          <w:szCs w:val="32"/>
        </w:rPr>
        <w:t>万千瓦，建成高比例可再生能源电力示范基地，打造渝东北三峡库区城镇群绿色能源产业基地。</w:t>
      </w:r>
    </w:p>
    <w:p>
      <w:pPr>
        <w:pStyle w:val="5"/>
        <w:spacing w:before="62" w:beforeLines="20" w:after="62" w:afterLines="20" w:line="560" w:lineRule="exact"/>
        <w:rPr>
          <w:rFonts w:ascii="仿宋_GB2312" w:hAnsi="仿宋_GB2312" w:eastAsia="仿宋_GB2312" w:cs="仿宋_GB2312"/>
          <w:sz w:val="32"/>
        </w:rPr>
      </w:pPr>
      <w:bookmarkStart w:id="608" w:name="_Toc32667"/>
      <w:bookmarkStart w:id="609" w:name="_Toc11617"/>
      <w:bookmarkStart w:id="610" w:name="_Toc22599"/>
      <w:bookmarkStart w:id="611" w:name="_Toc14627"/>
      <w:bookmarkStart w:id="612" w:name="_Toc60584758"/>
      <w:r>
        <w:rPr>
          <w:rFonts w:hint="eastAsia" w:ascii="仿宋_GB2312" w:hAnsi="仿宋_GB2312" w:eastAsia="仿宋_GB2312" w:cs="仿宋_GB2312"/>
          <w:sz w:val="32"/>
        </w:rPr>
        <w:t>第二节  加强区域内能源供给保障</w:t>
      </w:r>
      <w:bookmarkEnd w:id="608"/>
      <w:bookmarkEnd w:id="609"/>
      <w:bookmarkEnd w:id="610"/>
      <w:bookmarkEnd w:id="611"/>
      <w:bookmarkEnd w:id="612"/>
    </w:p>
    <w:p>
      <w:pPr>
        <w:spacing w:line="560" w:lineRule="exact"/>
        <w:ind w:firstLine="640"/>
        <w:rPr>
          <w:bCs/>
          <w:sz w:val="32"/>
          <w:szCs w:val="32"/>
        </w:rPr>
      </w:pPr>
      <w:r>
        <w:rPr>
          <w:rFonts w:hint="eastAsia"/>
          <w:bCs/>
          <w:sz w:val="32"/>
          <w:szCs w:val="32"/>
        </w:rPr>
        <w:t>加快完善区域供电网络体系，超前建设城市新区和城镇拓展区配电网，实施老旧配电设施增容改造，优化和完善供电网络，着力实现区域供电网络互联互通，提高全县生产生活用电保障水平。实施农村电网巩固提升，提高户均配变容量，解决城乡低电压问题。强化油气储备供应。建设油气储备库</w:t>
      </w:r>
      <w:r>
        <w:rPr>
          <w:rFonts w:hint="eastAsia"/>
          <w:bCs/>
          <w:sz w:val="32"/>
          <w:szCs w:val="32"/>
          <w:lang w:val="zh-CN"/>
        </w:rPr>
        <w:t>、加气站</w:t>
      </w:r>
      <w:r>
        <w:rPr>
          <w:rFonts w:hint="eastAsia"/>
          <w:bCs/>
          <w:sz w:val="32"/>
          <w:szCs w:val="32"/>
        </w:rPr>
        <w:t>、</w:t>
      </w:r>
      <w:r>
        <w:rPr>
          <w:rFonts w:hint="eastAsia"/>
          <w:bCs/>
          <w:sz w:val="32"/>
          <w:szCs w:val="32"/>
          <w:lang w:val="zh-CN"/>
        </w:rPr>
        <w:t>LNG船加注站</w:t>
      </w:r>
      <w:r>
        <w:rPr>
          <w:rFonts w:hint="eastAsia"/>
          <w:bCs/>
          <w:sz w:val="32"/>
          <w:szCs w:val="32"/>
        </w:rPr>
        <w:t>及</w:t>
      </w:r>
      <w:r>
        <w:rPr>
          <w:rFonts w:hint="eastAsia"/>
          <w:bCs/>
          <w:sz w:val="32"/>
          <w:szCs w:val="32"/>
          <w:lang w:val="zh-CN"/>
        </w:rPr>
        <w:t>码头</w:t>
      </w:r>
      <w:r>
        <w:rPr>
          <w:rFonts w:hint="eastAsia"/>
          <w:bCs/>
          <w:sz w:val="32"/>
          <w:szCs w:val="32"/>
        </w:rPr>
        <w:t>库</w:t>
      </w:r>
      <w:r>
        <w:rPr>
          <w:rFonts w:hint="eastAsia"/>
          <w:bCs/>
          <w:sz w:val="32"/>
          <w:szCs w:val="32"/>
          <w:lang w:val="zh-CN"/>
        </w:rPr>
        <w:t>。</w:t>
      </w:r>
      <w:r>
        <w:rPr>
          <w:rFonts w:hint="eastAsia"/>
          <w:bCs/>
          <w:sz w:val="32"/>
          <w:szCs w:val="32"/>
        </w:rPr>
        <w:t>加快天然气输配管道建设，实现集镇以上地区天然气管网全覆盖，提高城乡居民用气水平。</w:t>
      </w:r>
    </w:p>
    <w:tbl>
      <w:tblPr>
        <w:tblStyle w:val="2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widowControl/>
              <w:spacing w:line="560" w:lineRule="exact"/>
              <w:ind w:firstLine="0" w:firstLineChars="0"/>
              <w:jc w:val="center"/>
            </w:pPr>
            <w:r>
              <w:rPr>
                <w:rFonts w:hint="eastAsia" w:eastAsia="黑体"/>
                <w:szCs w:val="28"/>
              </w:rPr>
              <w:t>专栏七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560" w:lineRule="exact"/>
              <w:ind w:firstLine="562"/>
              <w:rPr>
                <w:bCs/>
                <w:szCs w:val="28"/>
              </w:rPr>
            </w:pPr>
            <w:r>
              <w:rPr>
                <w:rFonts w:hint="eastAsia"/>
                <w:b/>
                <w:szCs w:val="28"/>
              </w:rPr>
              <w:t>1.水电项目。</w:t>
            </w:r>
            <w:r>
              <w:rPr>
                <w:rFonts w:hint="eastAsia"/>
                <w:bCs/>
                <w:szCs w:val="28"/>
              </w:rPr>
              <w:t>新建农村小水电扶贫项目璧山渡水电站整改扩容工程，推动装机1800MW奉节县菜籽坝抽水蓄能电站前期工作，争取开工。</w:t>
            </w:r>
          </w:p>
          <w:p>
            <w:pPr>
              <w:spacing w:line="560" w:lineRule="exact"/>
              <w:ind w:firstLine="562"/>
              <w:rPr>
                <w:szCs w:val="28"/>
                <w:lang w:val="zh-CN"/>
              </w:rPr>
            </w:pPr>
            <w:r>
              <w:rPr>
                <w:rFonts w:hint="eastAsia"/>
                <w:b/>
                <w:szCs w:val="28"/>
              </w:rPr>
              <w:t>2.风力发电项目。</w:t>
            </w:r>
            <w:r>
              <w:rPr>
                <w:rFonts w:hint="eastAsia"/>
                <w:bCs/>
                <w:szCs w:val="28"/>
              </w:rPr>
              <w:t>新建尖子山、</w:t>
            </w:r>
            <w:r>
              <w:rPr>
                <w:rFonts w:hint="eastAsia"/>
                <w:bCs/>
                <w:szCs w:val="28"/>
                <w:lang w:val="zh-CN"/>
              </w:rPr>
              <w:t>分水岭、杉树包、金凤山风电场二期</w:t>
            </w:r>
            <w:r>
              <w:rPr>
                <w:rFonts w:hint="eastAsia"/>
                <w:bCs/>
                <w:szCs w:val="28"/>
              </w:rPr>
              <w:t>等风电项目</w:t>
            </w:r>
            <w:r>
              <w:rPr>
                <w:rFonts w:hint="eastAsia"/>
                <w:bCs/>
                <w:szCs w:val="28"/>
                <w:lang w:val="zh-CN"/>
              </w:rPr>
              <w:t>。</w:t>
            </w:r>
          </w:p>
          <w:p>
            <w:pPr>
              <w:spacing w:line="560" w:lineRule="exact"/>
              <w:ind w:firstLine="562"/>
              <w:rPr>
                <w:bCs/>
                <w:szCs w:val="28"/>
                <w:lang w:val="zh-CN"/>
              </w:rPr>
            </w:pPr>
            <w:r>
              <w:rPr>
                <w:b/>
                <w:szCs w:val="28"/>
              </w:rPr>
              <w:t>3.</w:t>
            </w:r>
            <w:r>
              <w:rPr>
                <w:rFonts w:hint="eastAsia"/>
                <w:b/>
                <w:szCs w:val="28"/>
                <w:lang w:val="zh-CN"/>
              </w:rPr>
              <w:t>光伏发电</w:t>
            </w:r>
            <w:r>
              <w:rPr>
                <w:rFonts w:hint="eastAsia"/>
                <w:b/>
                <w:szCs w:val="28"/>
              </w:rPr>
              <w:t>项目。</w:t>
            </w:r>
            <w:r>
              <w:rPr>
                <w:rFonts w:hint="eastAsia"/>
                <w:bCs/>
                <w:szCs w:val="28"/>
              </w:rPr>
              <w:t>新建水面光伏发电50万千瓦，陆地光伏发电450万千瓦</w:t>
            </w:r>
            <w:r>
              <w:rPr>
                <w:rFonts w:hint="eastAsia"/>
                <w:bCs/>
                <w:szCs w:val="28"/>
                <w:lang w:val="zh-CN"/>
              </w:rPr>
              <w:t>。</w:t>
            </w:r>
          </w:p>
          <w:p>
            <w:pPr>
              <w:spacing w:line="560" w:lineRule="exact"/>
              <w:ind w:firstLine="562"/>
              <w:rPr>
                <w:bCs/>
                <w:szCs w:val="28"/>
                <w:lang w:val="zh-CN"/>
              </w:rPr>
            </w:pPr>
            <w:r>
              <w:rPr>
                <w:b/>
                <w:szCs w:val="28"/>
              </w:rPr>
              <w:t>4</w:t>
            </w:r>
            <w:r>
              <w:rPr>
                <w:rFonts w:hint="eastAsia"/>
                <w:b/>
                <w:szCs w:val="28"/>
              </w:rPr>
              <w:t>.燃气</w:t>
            </w:r>
            <w:r>
              <w:rPr>
                <w:rFonts w:hint="eastAsia"/>
                <w:b/>
                <w:szCs w:val="28"/>
                <w:lang w:val="zh-CN"/>
              </w:rPr>
              <w:t>管道项目。</w:t>
            </w:r>
            <w:r>
              <w:rPr>
                <w:rFonts w:hint="eastAsia"/>
                <w:bCs/>
                <w:szCs w:val="28"/>
              </w:rPr>
              <w:t>新建</w:t>
            </w:r>
            <w:r>
              <w:rPr>
                <w:rFonts w:hint="eastAsia"/>
                <w:bCs/>
                <w:szCs w:val="28"/>
                <w:lang w:val="zh-CN"/>
              </w:rPr>
              <w:t>云阳-奉节-巫山天然气管道复线工程；</w:t>
            </w:r>
            <w:r>
              <w:rPr>
                <w:rFonts w:hint="eastAsia"/>
                <w:bCs/>
                <w:szCs w:val="28"/>
              </w:rPr>
              <w:t>建设</w:t>
            </w:r>
            <w:r>
              <w:rPr>
                <w:rFonts w:hint="eastAsia"/>
                <w:bCs/>
                <w:szCs w:val="28"/>
                <w:lang w:val="zh-CN"/>
              </w:rPr>
              <w:t>云奉南岸长输管网</w:t>
            </w:r>
            <w:r>
              <w:rPr>
                <w:rFonts w:hint="eastAsia"/>
                <w:bCs/>
                <w:szCs w:val="28"/>
              </w:rPr>
              <w:t>及覆盖</w:t>
            </w:r>
            <w:r>
              <w:rPr>
                <w:rFonts w:hint="eastAsia"/>
                <w:bCs/>
                <w:szCs w:val="28"/>
                <w:lang w:val="zh-CN"/>
              </w:rPr>
              <w:t>南岸片区</w:t>
            </w:r>
            <w:r>
              <w:rPr>
                <w:rFonts w:hint="eastAsia"/>
                <w:bCs/>
                <w:szCs w:val="28"/>
              </w:rPr>
              <w:t>11个</w:t>
            </w:r>
            <w:r>
              <w:rPr>
                <w:rFonts w:hint="eastAsia"/>
                <w:bCs/>
                <w:szCs w:val="28"/>
                <w:lang w:val="zh-CN"/>
              </w:rPr>
              <w:t>乡镇</w:t>
            </w:r>
            <w:r>
              <w:rPr>
                <w:rFonts w:hint="eastAsia"/>
                <w:bCs/>
                <w:szCs w:val="28"/>
              </w:rPr>
              <w:t>的</w:t>
            </w:r>
            <w:r>
              <w:rPr>
                <w:rFonts w:hint="eastAsia"/>
                <w:bCs/>
                <w:szCs w:val="28"/>
                <w:lang w:val="zh-CN"/>
              </w:rPr>
              <w:t>供气</w:t>
            </w:r>
            <w:r>
              <w:rPr>
                <w:rFonts w:hint="eastAsia"/>
                <w:bCs/>
                <w:szCs w:val="28"/>
              </w:rPr>
              <w:t>管网，改造</w:t>
            </w:r>
            <w:r>
              <w:rPr>
                <w:rFonts w:hint="eastAsia"/>
                <w:bCs/>
                <w:szCs w:val="28"/>
                <w:lang w:val="zh-CN"/>
              </w:rPr>
              <w:t>城区老旧小区燃气管道</w:t>
            </w:r>
            <w:r>
              <w:rPr>
                <w:rFonts w:hint="eastAsia"/>
                <w:bCs/>
                <w:szCs w:val="28"/>
              </w:rPr>
              <w:t>及其</w:t>
            </w:r>
            <w:r>
              <w:rPr>
                <w:rFonts w:hint="eastAsia"/>
                <w:bCs/>
                <w:szCs w:val="28"/>
                <w:lang w:val="zh-CN"/>
              </w:rPr>
              <w:t>配套设施。</w:t>
            </w:r>
          </w:p>
          <w:p>
            <w:pPr>
              <w:spacing w:line="560" w:lineRule="exact"/>
              <w:ind w:firstLine="562"/>
              <w:rPr>
                <w:bCs/>
                <w:szCs w:val="28"/>
                <w:lang w:val="zh-CN"/>
              </w:rPr>
            </w:pPr>
            <w:r>
              <w:rPr>
                <w:b/>
                <w:szCs w:val="28"/>
              </w:rPr>
              <w:t>5.</w:t>
            </w:r>
            <w:r>
              <w:rPr>
                <w:rFonts w:hint="eastAsia"/>
                <w:b/>
                <w:szCs w:val="28"/>
                <w:lang w:val="zh-CN"/>
              </w:rPr>
              <w:t>储气库</w:t>
            </w:r>
            <w:r>
              <w:rPr>
                <w:rFonts w:hint="eastAsia"/>
                <w:b/>
                <w:szCs w:val="28"/>
              </w:rPr>
              <w:t>项目。</w:t>
            </w:r>
            <w:r>
              <w:rPr>
                <w:rFonts w:hint="eastAsia"/>
                <w:bCs/>
                <w:szCs w:val="28"/>
              </w:rPr>
              <w:t>建设</w:t>
            </w:r>
            <w:r>
              <w:rPr>
                <w:rFonts w:hint="eastAsia"/>
                <w:bCs/>
                <w:szCs w:val="28"/>
                <w:lang w:val="zh-CN"/>
              </w:rPr>
              <w:t>永乐</w:t>
            </w:r>
            <w:r>
              <w:rPr>
                <w:rFonts w:hint="eastAsia"/>
                <w:bCs/>
                <w:szCs w:val="28"/>
              </w:rPr>
              <w:t>储气罐、</w:t>
            </w:r>
            <w:r>
              <w:rPr>
                <w:rFonts w:hint="eastAsia"/>
                <w:bCs/>
                <w:szCs w:val="28"/>
                <w:lang w:val="zh-CN"/>
              </w:rPr>
              <w:t>LNG船加注站</w:t>
            </w:r>
            <w:r>
              <w:rPr>
                <w:rFonts w:hint="eastAsia"/>
                <w:bCs/>
                <w:szCs w:val="28"/>
              </w:rPr>
              <w:t>及</w:t>
            </w:r>
            <w:r>
              <w:rPr>
                <w:rFonts w:hint="eastAsia"/>
                <w:bCs/>
                <w:szCs w:val="28"/>
                <w:lang w:val="zh-CN"/>
              </w:rPr>
              <w:t>码头、草堂工业园区储配站</w:t>
            </w:r>
            <w:r>
              <w:rPr>
                <w:rFonts w:hint="eastAsia"/>
                <w:bCs/>
                <w:szCs w:val="28"/>
              </w:rPr>
              <w:t>和</w:t>
            </w:r>
            <w:r>
              <w:rPr>
                <w:rFonts w:hint="eastAsia"/>
                <w:bCs/>
                <w:szCs w:val="28"/>
                <w:lang w:val="zh-CN"/>
              </w:rPr>
              <w:t>南岸片区LCNG加气站。</w:t>
            </w:r>
          </w:p>
          <w:p>
            <w:pPr>
              <w:spacing w:line="560" w:lineRule="exact"/>
              <w:ind w:firstLine="562"/>
              <w:rPr>
                <w:szCs w:val="28"/>
              </w:rPr>
            </w:pPr>
            <w:r>
              <w:rPr>
                <w:b/>
                <w:szCs w:val="28"/>
              </w:rPr>
              <w:t>6</w:t>
            </w:r>
            <w:r>
              <w:rPr>
                <w:rFonts w:hint="eastAsia"/>
                <w:b/>
                <w:szCs w:val="28"/>
              </w:rPr>
              <w:t>.高压输电网项目。</w:t>
            </w:r>
            <w:r>
              <w:rPr>
                <w:rFonts w:hint="eastAsia"/>
                <w:bCs/>
                <w:szCs w:val="28"/>
              </w:rPr>
              <w:t>建设奉节县尖子山至铁甲220kV线路工程，铁甲-朱衣</w:t>
            </w:r>
            <w:r>
              <w:rPr>
                <w:rFonts w:hint="eastAsia"/>
                <w:bCs/>
                <w:szCs w:val="28"/>
                <w:lang w:val="zh-CN"/>
              </w:rPr>
              <w:t>、大木-铁甲第三回</w:t>
            </w:r>
            <w:r>
              <w:rPr>
                <w:rFonts w:hint="eastAsia"/>
                <w:bCs/>
                <w:szCs w:val="28"/>
              </w:rPr>
              <w:t>110kV输电线路工程，</w:t>
            </w:r>
            <w:r>
              <w:rPr>
                <w:rFonts w:hint="eastAsia"/>
                <w:bCs/>
                <w:szCs w:val="28"/>
                <w:lang w:val="zh-CN"/>
              </w:rPr>
              <w:t>朱衣</w:t>
            </w:r>
            <w:r>
              <w:rPr>
                <w:rFonts w:hint="eastAsia"/>
                <w:bCs/>
                <w:szCs w:val="28"/>
              </w:rPr>
              <w:t>、</w:t>
            </w:r>
            <w:r>
              <w:rPr>
                <w:rFonts w:hint="eastAsia"/>
                <w:bCs/>
                <w:szCs w:val="28"/>
                <w:lang w:val="zh-CN"/>
              </w:rPr>
              <w:t>草堂</w:t>
            </w:r>
            <w:r>
              <w:rPr>
                <w:rFonts w:hint="eastAsia"/>
                <w:bCs/>
                <w:szCs w:val="28"/>
              </w:rPr>
              <w:t>和</w:t>
            </w:r>
            <w:r>
              <w:rPr>
                <w:rFonts w:hint="eastAsia"/>
                <w:bCs/>
                <w:szCs w:val="28"/>
                <w:lang w:val="zh-CN"/>
              </w:rPr>
              <w:t>清水3号110</w:t>
            </w:r>
            <w:r>
              <w:rPr>
                <w:rFonts w:hint="eastAsia"/>
                <w:bCs/>
                <w:szCs w:val="28"/>
              </w:rPr>
              <w:t>kV</w:t>
            </w:r>
            <w:r>
              <w:rPr>
                <w:rFonts w:hint="eastAsia"/>
                <w:bCs/>
                <w:szCs w:val="28"/>
                <w:lang w:val="zh-CN"/>
              </w:rPr>
              <w:t>变电</w:t>
            </w:r>
            <w:r>
              <w:rPr>
                <w:rFonts w:hint="eastAsia"/>
                <w:bCs/>
                <w:szCs w:val="28"/>
              </w:rPr>
              <w:t>站及线路</w:t>
            </w:r>
            <w:r>
              <w:rPr>
                <w:rFonts w:hint="eastAsia"/>
                <w:bCs/>
                <w:szCs w:val="28"/>
                <w:lang w:val="zh-CN"/>
              </w:rPr>
              <w:t>工程。</w:t>
            </w:r>
            <w:r>
              <w:rPr>
                <w:rFonts w:hint="eastAsia"/>
                <w:bCs/>
                <w:szCs w:val="28"/>
              </w:rPr>
              <w:t>建设</w:t>
            </w:r>
            <w:r>
              <w:rPr>
                <w:rFonts w:hint="eastAsia"/>
                <w:bCs/>
                <w:szCs w:val="28"/>
                <w:lang w:val="zh-CN"/>
              </w:rPr>
              <w:t>新民</w:t>
            </w:r>
            <w:r>
              <w:rPr>
                <w:rFonts w:hint="eastAsia"/>
                <w:bCs/>
                <w:szCs w:val="28"/>
              </w:rPr>
              <w:t>和下坝</w:t>
            </w:r>
            <w:r>
              <w:rPr>
                <w:rFonts w:hint="eastAsia"/>
                <w:bCs/>
                <w:szCs w:val="28"/>
                <w:lang w:val="zh-CN"/>
              </w:rPr>
              <w:t>35</w:t>
            </w:r>
            <w:r>
              <w:rPr>
                <w:rFonts w:hint="eastAsia"/>
                <w:bCs/>
                <w:szCs w:val="28"/>
              </w:rPr>
              <w:t>kV</w:t>
            </w:r>
            <w:r>
              <w:rPr>
                <w:rFonts w:hint="eastAsia"/>
                <w:bCs/>
                <w:szCs w:val="28"/>
                <w:lang w:val="zh-CN"/>
              </w:rPr>
              <w:t>变电站主变增容、甲高35kV变电站1号、2号主变增容工程，草堂110kV变电站35kV送出、甲高-羊市35</w:t>
            </w:r>
            <w:r>
              <w:rPr>
                <w:rFonts w:hint="eastAsia"/>
                <w:bCs/>
                <w:szCs w:val="28"/>
              </w:rPr>
              <w:t>kV线路</w:t>
            </w:r>
            <w:r>
              <w:rPr>
                <w:rFonts w:hint="eastAsia"/>
                <w:bCs/>
                <w:szCs w:val="28"/>
                <w:lang w:val="zh-CN"/>
              </w:rPr>
              <w:t>、纤维厂水电站35</w:t>
            </w:r>
            <w:r>
              <w:rPr>
                <w:rFonts w:hint="eastAsia"/>
                <w:bCs/>
                <w:szCs w:val="28"/>
              </w:rPr>
              <w:t>kV送出输电线路工程</w:t>
            </w:r>
            <w:r>
              <w:rPr>
                <w:rFonts w:hint="eastAsia"/>
                <w:bCs/>
                <w:szCs w:val="28"/>
                <w:lang w:val="zh-CN"/>
              </w:rPr>
              <w:t>，红马-汾河、红马-覃家包</w:t>
            </w:r>
            <w:r>
              <w:rPr>
                <w:rFonts w:hint="eastAsia"/>
                <w:bCs/>
                <w:szCs w:val="28"/>
              </w:rPr>
              <w:t>-新政、</w:t>
            </w:r>
            <w:r>
              <w:rPr>
                <w:rFonts w:hint="eastAsia"/>
                <w:bCs/>
                <w:szCs w:val="28"/>
                <w:lang w:val="zh-CN"/>
              </w:rPr>
              <w:t>大木-兴隆</w:t>
            </w:r>
            <w:r>
              <w:rPr>
                <w:rFonts w:hint="eastAsia"/>
                <w:bCs/>
                <w:szCs w:val="28"/>
              </w:rPr>
              <w:t>、</w:t>
            </w:r>
            <w:r>
              <w:rPr>
                <w:rFonts w:hint="eastAsia"/>
                <w:bCs/>
                <w:szCs w:val="28"/>
                <w:lang w:val="zh-CN"/>
              </w:rPr>
              <w:t>大木-吐祥</w:t>
            </w:r>
            <w:r>
              <w:rPr>
                <w:rFonts w:hint="eastAsia"/>
                <w:bCs/>
                <w:szCs w:val="28"/>
              </w:rPr>
              <w:t>和</w:t>
            </w:r>
            <w:r>
              <w:rPr>
                <w:rFonts w:hint="eastAsia"/>
                <w:bCs/>
                <w:szCs w:val="28"/>
                <w:lang w:val="zh-CN"/>
              </w:rPr>
              <w:t>羊市-安坪35</w:t>
            </w:r>
            <w:r>
              <w:rPr>
                <w:rFonts w:hint="eastAsia"/>
                <w:bCs/>
                <w:szCs w:val="28"/>
              </w:rPr>
              <w:t>kV</w:t>
            </w:r>
            <w:r>
              <w:rPr>
                <w:rFonts w:hint="eastAsia"/>
                <w:bCs/>
                <w:szCs w:val="28"/>
                <w:lang w:val="zh-CN"/>
              </w:rPr>
              <w:t>线路增容工程。</w:t>
            </w:r>
          </w:p>
        </w:tc>
      </w:tr>
    </w:tbl>
    <w:p>
      <w:pPr>
        <w:pStyle w:val="4"/>
        <w:spacing w:before="156" w:beforeLines="50" w:after="156" w:afterLines="50" w:line="560" w:lineRule="exact"/>
        <w:rPr>
          <w:rFonts w:ascii="Times New Roman" w:hAnsi="Times New Roman" w:cs="Times New Roman"/>
          <w:b w:val="0"/>
          <w:bCs w:val="0"/>
          <w:sz w:val="32"/>
        </w:rPr>
      </w:pPr>
      <w:bookmarkStart w:id="613" w:name="_Toc19720"/>
      <w:bookmarkStart w:id="614" w:name="_Toc11385"/>
      <w:bookmarkStart w:id="615" w:name="_Toc6365"/>
      <w:bookmarkStart w:id="616" w:name="_Toc27072"/>
      <w:bookmarkStart w:id="617" w:name="_Toc60584759"/>
      <w:r>
        <w:rPr>
          <w:rFonts w:hint="eastAsia" w:ascii="Times New Roman" w:hAnsi="Times New Roman" w:cs="Times New Roman"/>
          <w:b w:val="0"/>
          <w:bCs w:val="0"/>
          <w:sz w:val="32"/>
        </w:rPr>
        <w:t>第二十二章  建设智慧高效的新基建体系</w:t>
      </w:r>
      <w:bookmarkEnd w:id="613"/>
      <w:bookmarkEnd w:id="614"/>
      <w:bookmarkEnd w:id="615"/>
      <w:bookmarkEnd w:id="616"/>
      <w:bookmarkEnd w:id="617"/>
    </w:p>
    <w:p>
      <w:pPr>
        <w:spacing w:line="560" w:lineRule="exact"/>
        <w:ind w:firstLine="640"/>
        <w:rPr>
          <w:bCs/>
          <w:sz w:val="32"/>
          <w:szCs w:val="32"/>
        </w:rPr>
      </w:pPr>
      <w:r>
        <w:rPr>
          <w:rFonts w:hint="eastAsia"/>
          <w:bCs/>
          <w:sz w:val="32"/>
          <w:szCs w:val="32"/>
        </w:rPr>
        <w:t>加强通信基础设施建设，构建多网融合的通信网络体系，提升城乡通信服务保障能力，提高大数据、云计算、人工智能等现代化技术应用水平，提升公共管理和公共服务效率，持续增强现代农业、现代工业和现代服务业的发展创新动力。</w:t>
      </w:r>
    </w:p>
    <w:p>
      <w:pPr>
        <w:pStyle w:val="5"/>
        <w:spacing w:before="62" w:beforeLines="20" w:after="62" w:afterLines="20" w:line="560" w:lineRule="exact"/>
        <w:rPr>
          <w:rFonts w:ascii="仿宋_GB2312" w:hAnsi="仿宋_GB2312" w:eastAsia="仿宋_GB2312" w:cs="仿宋_GB2312"/>
          <w:sz w:val="32"/>
        </w:rPr>
      </w:pPr>
      <w:bookmarkStart w:id="618" w:name="_Toc26580"/>
      <w:bookmarkStart w:id="619" w:name="_Toc6788"/>
      <w:bookmarkStart w:id="620" w:name="_Toc60584760"/>
      <w:bookmarkStart w:id="621" w:name="_Toc31424"/>
      <w:bookmarkStart w:id="622" w:name="_Toc28062"/>
      <w:r>
        <w:rPr>
          <w:rFonts w:hint="eastAsia" w:ascii="仿宋_GB2312" w:hAnsi="仿宋_GB2312" w:eastAsia="仿宋_GB2312" w:cs="仿宋_GB2312"/>
          <w:sz w:val="32"/>
        </w:rPr>
        <w:t>第一节  加强通信基础设施建设</w:t>
      </w:r>
      <w:bookmarkEnd w:id="618"/>
      <w:bookmarkEnd w:id="619"/>
      <w:bookmarkEnd w:id="620"/>
      <w:bookmarkEnd w:id="621"/>
      <w:bookmarkEnd w:id="622"/>
    </w:p>
    <w:p>
      <w:pPr>
        <w:spacing w:line="560" w:lineRule="exact"/>
        <w:ind w:firstLine="640"/>
        <w:rPr>
          <w:bCs/>
          <w:sz w:val="32"/>
          <w:szCs w:val="32"/>
        </w:rPr>
      </w:pPr>
      <w:r>
        <w:rPr>
          <w:rFonts w:hint="eastAsia"/>
          <w:bCs/>
          <w:sz w:val="32"/>
          <w:szCs w:val="32"/>
        </w:rPr>
        <w:t>深入实施“光网·奉节”工程，加快实现4G网络和广播电视宽带网络全覆盖，推进5G网络和千兆光纤布局和建设，优化网络结构，扩容网内和网间带宽，全面提升骨干传输网络的流量疏导能力和互通效率。积极推进“三网”融合，加快建成宽带、泛在、融合、安全的新一代信息基础设施。继续推进农村网络建设，不断提升农村地区互联网接入能力，缩小城乡通信服务差别。实施直播卫星“户户通”工程和广播电视节目无线数字化覆盖工程，实现农村地区广播电视信号全覆盖。优化城乡邮电通信服务体系，提高邮电通信服务水平和效率。</w:t>
      </w:r>
    </w:p>
    <w:p>
      <w:pPr>
        <w:pStyle w:val="5"/>
        <w:spacing w:before="62" w:beforeLines="20" w:after="62" w:afterLines="20" w:line="560" w:lineRule="exact"/>
        <w:rPr>
          <w:rFonts w:ascii="仿宋_GB2312" w:hAnsi="仿宋_GB2312" w:eastAsia="仿宋_GB2312" w:cs="仿宋_GB2312"/>
          <w:sz w:val="32"/>
        </w:rPr>
      </w:pPr>
      <w:bookmarkStart w:id="623" w:name="_Toc20185"/>
      <w:bookmarkStart w:id="624" w:name="_Toc26045"/>
      <w:bookmarkStart w:id="625" w:name="_Toc9028"/>
      <w:bookmarkStart w:id="626" w:name="_Toc60584761"/>
      <w:bookmarkStart w:id="627" w:name="_Toc32157"/>
      <w:r>
        <w:rPr>
          <w:rFonts w:hint="eastAsia" w:ascii="仿宋_GB2312" w:hAnsi="仿宋_GB2312" w:eastAsia="仿宋_GB2312" w:cs="仿宋_GB2312"/>
          <w:sz w:val="32"/>
        </w:rPr>
        <w:t>第二节  加强网络安全管理和数据开放共享</w:t>
      </w:r>
      <w:bookmarkEnd w:id="623"/>
      <w:bookmarkEnd w:id="624"/>
      <w:bookmarkEnd w:id="625"/>
      <w:bookmarkEnd w:id="626"/>
      <w:bookmarkEnd w:id="627"/>
    </w:p>
    <w:p>
      <w:pPr>
        <w:spacing w:line="560" w:lineRule="exact"/>
        <w:ind w:firstLine="640"/>
        <w:rPr>
          <w:bCs/>
          <w:sz w:val="32"/>
          <w:szCs w:val="32"/>
        </w:rPr>
      </w:pPr>
      <w:r>
        <w:rPr>
          <w:rFonts w:hint="eastAsia"/>
          <w:bCs/>
          <w:sz w:val="32"/>
          <w:szCs w:val="32"/>
        </w:rPr>
        <w:t>加强网络安全管理。加快构建全县统一的网络管理服务中心，完善网络安全预警机制，强化网络安全，保障信息化网络及其设施有条不紊运行。</w:t>
      </w:r>
    </w:p>
    <w:p>
      <w:pPr>
        <w:spacing w:line="560" w:lineRule="exact"/>
        <w:ind w:firstLine="640" w:firstLineChars="0"/>
        <w:jc w:val="left"/>
        <w:rPr>
          <w:bCs/>
          <w:sz w:val="32"/>
          <w:szCs w:val="32"/>
        </w:rPr>
      </w:pPr>
      <w:r>
        <w:rPr>
          <w:rFonts w:hint="eastAsia"/>
          <w:bCs/>
          <w:sz w:val="32"/>
          <w:szCs w:val="32"/>
        </w:rPr>
        <w:t>构建共享平台。建立各部门、各单位数据统一目录管理、统一认证和统一交换，逐步实现与民生保障服务相关的政府数据集向社会开放。发展共享经济。推动大数据与生产资源、服务资源和科技资源融合共享，实现柔性生产和个性定制，共同向消费者提供服务，一产、二产业务向研发设计、营销物流、产品维护等方面延伸，将优质科技资源转化为产业发展优势。</w:t>
      </w:r>
    </w:p>
    <w:p>
      <w:pPr>
        <w:pStyle w:val="5"/>
        <w:spacing w:before="62" w:beforeLines="20" w:after="62" w:afterLines="20" w:line="560" w:lineRule="exact"/>
        <w:rPr>
          <w:rFonts w:ascii="仿宋_GB2312" w:hAnsi="仿宋_GB2312" w:eastAsia="仿宋_GB2312" w:cs="仿宋_GB2312"/>
          <w:sz w:val="32"/>
        </w:rPr>
      </w:pPr>
      <w:bookmarkStart w:id="628" w:name="_Toc60584762"/>
      <w:bookmarkStart w:id="629" w:name="_Toc16148"/>
      <w:bookmarkStart w:id="630" w:name="_Toc3708"/>
      <w:bookmarkStart w:id="631" w:name="_Toc20062"/>
      <w:bookmarkStart w:id="632" w:name="_Toc25510"/>
      <w:r>
        <w:rPr>
          <w:rFonts w:hint="eastAsia" w:ascii="仿宋_GB2312" w:hAnsi="仿宋_GB2312" w:eastAsia="仿宋_GB2312" w:cs="仿宋_GB2312"/>
          <w:sz w:val="32"/>
        </w:rPr>
        <w:t>第三节  推动大数据和智能化应用发展</w:t>
      </w:r>
      <w:bookmarkEnd w:id="628"/>
      <w:bookmarkEnd w:id="629"/>
      <w:bookmarkEnd w:id="630"/>
      <w:bookmarkEnd w:id="631"/>
      <w:bookmarkEnd w:id="632"/>
    </w:p>
    <w:p>
      <w:pPr>
        <w:spacing w:line="560" w:lineRule="exact"/>
        <w:ind w:firstLine="640"/>
        <w:rPr>
          <w:bCs/>
          <w:sz w:val="32"/>
          <w:szCs w:val="32"/>
        </w:rPr>
      </w:pPr>
      <w:r>
        <w:rPr>
          <w:rFonts w:hint="eastAsia"/>
          <w:bCs/>
          <w:sz w:val="32"/>
          <w:szCs w:val="32"/>
        </w:rPr>
        <w:t>推动大数据产业发展。构建自主可控的大数据产业链、价值链和生态系统，积极推动物联网、云计算、大数据以及人工智能等先进通信技术应用。推动城市“智能中枢”建设，建设“数字奉节”云服务平台、城市大数据资源中心和智慧城市综合服务平台，实现技术、业务、数据高度融合的跨层级、跨区域、跨系统、跨部门、跨业务的综合协同管理和服务体系。</w:t>
      </w:r>
    </w:p>
    <w:p>
      <w:pPr>
        <w:spacing w:line="560" w:lineRule="exact"/>
        <w:ind w:firstLine="640"/>
        <w:rPr>
          <w:bCs/>
          <w:sz w:val="32"/>
          <w:szCs w:val="32"/>
        </w:rPr>
      </w:pPr>
      <w:r>
        <w:rPr>
          <w:rFonts w:hint="eastAsia"/>
          <w:bCs/>
          <w:sz w:val="32"/>
          <w:szCs w:val="32"/>
        </w:rPr>
        <w:t>加强信息技术应用。强化政务服务、城乡规划和管理、公共服务和管理、名优特产销售、商贸物流服务、文化宣传和旅游推广等方面的网络应用，实现经济社会与现代通信技术融合发展。</w:t>
      </w:r>
    </w:p>
    <w:p>
      <w:pPr>
        <w:pStyle w:val="5"/>
        <w:numPr>
          <w:ilvl w:val="0"/>
          <w:numId w:val="1"/>
        </w:numPr>
        <w:spacing w:before="62" w:beforeLines="20" w:after="62" w:afterLines="20" w:line="560" w:lineRule="exact"/>
        <w:rPr>
          <w:rFonts w:ascii="仿宋_GB2312" w:hAnsi="仿宋_GB2312" w:eastAsia="仿宋_GB2312" w:cs="仿宋_GB2312"/>
          <w:sz w:val="32"/>
        </w:rPr>
      </w:pPr>
      <w:bookmarkStart w:id="633" w:name="_Toc24767"/>
      <w:bookmarkStart w:id="634" w:name="_Toc60584763"/>
      <w:r>
        <w:rPr>
          <w:rFonts w:hint="eastAsia" w:ascii="仿宋_GB2312" w:hAnsi="仿宋_GB2312" w:eastAsia="仿宋_GB2312" w:cs="仿宋_GB2312"/>
          <w:sz w:val="32"/>
        </w:rPr>
        <w:t xml:space="preserve"> </w:t>
      </w:r>
      <w:bookmarkStart w:id="635" w:name="_Toc8984"/>
      <w:r>
        <w:rPr>
          <w:rFonts w:hint="eastAsia" w:ascii="仿宋_GB2312" w:hAnsi="仿宋_GB2312" w:eastAsia="仿宋_GB2312" w:cs="仿宋_GB2312"/>
          <w:sz w:val="32"/>
        </w:rPr>
        <w:t>推动电动汽车充电基础设施发展</w:t>
      </w:r>
      <w:bookmarkEnd w:id="633"/>
      <w:bookmarkEnd w:id="634"/>
      <w:bookmarkEnd w:id="635"/>
    </w:p>
    <w:p>
      <w:pPr>
        <w:spacing w:line="560" w:lineRule="exact"/>
        <w:ind w:firstLine="640"/>
        <w:rPr>
          <w:bCs/>
          <w:sz w:val="32"/>
          <w:szCs w:val="32"/>
        </w:rPr>
      </w:pPr>
      <w:r>
        <w:rPr>
          <w:rFonts w:hint="eastAsia"/>
          <w:bCs/>
          <w:sz w:val="32"/>
          <w:szCs w:val="32"/>
        </w:rPr>
        <w:t>完善独立占地的充电基础设施布局，以用户居住地停车位、单位停车场、公交及出租车场站等配建的专用充电设施为主体，以公共建筑物停车场、社会公共停车场、临时停车位等配建的公共充电设施为辅助，以独立占地的城市快充站、换电站和高速公路服务区配建的城际快充站为补充，形成电动汽车充电基础设施体系，促进新能源汽车推广使用。至2025年，基本建成适度超前、车桩相随、智能高效的充电基础设施体系。</w:t>
      </w:r>
    </w:p>
    <w:tbl>
      <w:tblPr>
        <w:tblStyle w:val="28"/>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9060" w:type="dxa"/>
          </w:tcPr>
          <w:p>
            <w:pPr>
              <w:widowControl/>
              <w:spacing w:line="560" w:lineRule="exact"/>
              <w:ind w:firstLine="0" w:firstLineChars="0"/>
              <w:jc w:val="center"/>
            </w:pPr>
            <w:r>
              <w:rPr>
                <w:rFonts w:hint="eastAsia" w:eastAsia="黑体"/>
                <w:szCs w:val="28"/>
              </w:rPr>
              <w:t>专栏八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spacing w:line="560" w:lineRule="exact"/>
              <w:ind w:firstLine="562"/>
              <w:rPr>
                <w:bCs/>
                <w:szCs w:val="28"/>
              </w:rPr>
            </w:pPr>
            <w:r>
              <w:rPr>
                <w:rFonts w:hint="eastAsia"/>
                <w:b/>
                <w:szCs w:val="28"/>
              </w:rPr>
              <w:t>1.通讯基站建设项目。</w:t>
            </w:r>
            <w:r>
              <w:rPr>
                <w:rFonts w:hint="eastAsia"/>
                <w:bCs/>
                <w:szCs w:val="28"/>
              </w:rPr>
              <w:t>建设</w:t>
            </w:r>
            <w:r>
              <w:rPr>
                <w:rFonts w:hint="eastAsia"/>
                <w:bCs/>
                <w:szCs w:val="28"/>
                <w:lang w:val="zh-CN"/>
              </w:rPr>
              <w:t>5G基站</w:t>
            </w:r>
            <w:r>
              <w:rPr>
                <w:rFonts w:hint="eastAsia"/>
                <w:bCs/>
                <w:szCs w:val="28"/>
              </w:rPr>
              <w:t>2050个，初步形成5G网络；</w:t>
            </w:r>
            <w:r>
              <w:rPr>
                <w:rFonts w:hint="eastAsia"/>
                <w:bCs/>
                <w:szCs w:val="28"/>
                <w:lang w:val="zh-CN"/>
              </w:rPr>
              <w:t>建设</w:t>
            </w:r>
            <w:r>
              <w:rPr>
                <w:rFonts w:hint="eastAsia"/>
                <w:bCs/>
                <w:szCs w:val="28"/>
              </w:rPr>
              <w:t>4G基站600个，满足5G在重点地区覆盖、4G网络在全县全覆盖的需要</w:t>
            </w:r>
            <w:r>
              <w:rPr>
                <w:rFonts w:hint="eastAsia"/>
                <w:bCs/>
                <w:szCs w:val="28"/>
                <w:lang w:val="zh-CN"/>
              </w:rPr>
              <w:t>。</w:t>
            </w:r>
          </w:p>
          <w:p>
            <w:pPr>
              <w:spacing w:line="560" w:lineRule="exact"/>
              <w:ind w:firstLine="562"/>
              <w:rPr>
                <w:bCs/>
                <w:szCs w:val="28"/>
              </w:rPr>
            </w:pPr>
            <w:r>
              <w:rPr>
                <w:rFonts w:hint="eastAsia"/>
                <w:b/>
                <w:szCs w:val="28"/>
              </w:rPr>
              <w:t>2.传输光缆建设项目。</w:t>
            </w:r>
            <w:r>
              <w:rPr>
                <w:rFonts w:hint="eastAsia"/>
                <w:bCs/>
                <w:szCs w:val="28"/>
              </w:rPr>
              <w:t>建设通讯传输光缆</w:t>
            </w:r>
            <w:r>
              <w:rPr>
                <w:rFonts w:hint="eastAsia"/>
                <w:bCs/>
                <w:szCs w:val="28"/>
                <w:lang w:val="zh-CN"/>
              </w:rPr>
              <w:t>中国移动</w:t>
            </w:r>
            <w:r>
              <w:rPr>
                <w:rFonts w:hint="eastAsia"/>
                <w:bCs/>
                <w:szCs w:val="28"/>
              </w:rPr>
              <w:t>5000千米</w:t>
            </w:r>
            <w:r>
              <w:rPr>
                <w:rFonts w:hint="eastAsia"/>
                <w:bCs/>
                <w:szCs w:val="28"/>
                <w:lang w:val="zh-CN"/>
              </w:rPr>
              <w:t>、中国电信</w:t>
            </w:r>
            <w:r>
              <w:rPr>
                <w:rFonts w:hint="eastAsia"/>
                <w:bCs/>
                <w:szCs w:val="28"/>
              </w:rPr>
              <w:t>500千米</w:t>
            </w:r>
            <w:r>
              <w:rPr>
                <w:rFonts w:hint="eastAsia"/>
                <w:bCs/>
                <w:szCs w:val="28"/>
                <w:lang w:val="zh-CN"/>
              </w:rPr>
              <w:t>、中国联通</w:t>
            </w:r>
            <w:r>
              <w:rPr>
                <w:rFonts w:hint="eastAsia"/>
                <w:bCs/>
                <w:szCs w:val="28"/>
              </w:rPr>
              <w:t>800千米，形成三大通信网络在全县全覆盖。</w:t>
            </w:r>
          </w:p>
          <w:p>
            <w:pPr>
              <w:spacing w:line="560" w:lineRule="exact"/>
              <w:ind w:firstLine="562"/>
              <w:rPr>
                <w:bCs/>
                <w:szCs w:val="28"/>
              </w:rPr>
            </w:pPr>
            <w:r>
              <w:rPr>
                <w:rFonts w:hint="eastAsia"/>
                <w:b/>
                <w:szCs w:val="28"/>
              </w:rPr>
              <w:t>3.光网络端口。</w:t>
            </w:r>
            <w:r>
              <w:rPr>
                <w:rFonts w:hint="eastAsia"/>
                <w:bCs/>
                <w:szCs w:val="28"/>
              </w:rPr>
              <w:t>建设光网络端口</w:t>
            </w:r>
            <w:r>
              <w:rPr>
                <w:rFonts w:hint="eastAsia"/>
                <w:bCs/>
                <w:szCs w:val="28"/>
                <w:lang w:val="zh-CN"/>
              </w:rPr>
              <w:t>中国移动</w:t>
            </w:r>
            <w:r>
              <w:rPr>
                <w:rFonts w:hint="eastAsia"/>
                <w:bCs/>
                <w:szCs w:val="28"/>
              </w:rPr>
              <w:t>15万个</w:t>
            </w:r>
            <w:r>
              <w:rPr>
                <w:rFonts w:hint="eastAsia"/>
                <w:bCs/>
                <w:szCs w:val="28"/>
                <w:lang w:val="zh-CN"/>
              </w:rPr>
              <w:t>、中国电信</w:t>
            </w:r>
            <w:r>
              <w:rPr>
                <w:rFonts w:hint="eastAsia"/>
                <w:bCs/>
                <w:szCs w:val="28"/>
              </w:rPr>
              <w:t>3万个</w:t>
            </w:r>
            <w:r>
              <w:rPr>
                <w:rFonts w:hint="eastAsia"/>
                <w:bCs/>
                <w:szCs w:val="28"/>
                <w:lang w:val="zh-CN"/>
              </w:rPr>
              <w:t>、中国联通</w:t>
            </w:r>
            <w:r>
              <w:rPr>
                <w:rFonts w:hint="eastAsia"/>
                <w:bCs/>
                <w:szCs w:val="28"/>
              </w:rPr>
              <w:t>1万个，满足全县各乡镇用户接入需求。</w:t>
            </w:r>
          </w:p>
          <w:p>
            <w:pPr>
              <w:spacing w:line="560" w:lineRule="exact"/>
              <w:ind w:firstLine="562"/>
              <w:rPr>
                <w:bCs/>
                <w:szCs w:val="28"/>
                <w:lang w:val="zh-CN"/>
              </w:rPr>
            </w:pPr>
            <w:r>
              <w:rPr>
                <w:b/>
                <w:szCs w:val="28"/>
              </w:rPr>
              <w:t>4.</w:t>
            </w:r>
            <w:r>
              <w:rPr>
                <w:rFonts w:hint="eastAsia"/>
                <w:b/>
                <w:szCs w:val="28"/>
                <w:lang w:val="zh-CN"/>
              </w:rPr>
              <w:t>线路、动力配套改造</w:t>
            </w:r>
            <w:r>
              <w:rPr>
                <w:rFonts w:hint="eastAsia"/>
                <w:b/>
                <w:szCs w:val="28"/>
              </w:rPr>
              <w:t>。</w:t>
            </w:r>
            <w:r>
              <w:rPr>
                <w:rFonts w:hint="eastAsia"/>
                <w:bCs/>
                <w:szCs w:val="28"/>
              </w:rPr>
              <w:t>改造</w:t>
            </w:r>
            <w:r>
              <w:rPr>
                <w:rFonts w:hint="eastAsia"/>
                <w:bCs/>
                <w:szCs w:val="28"/>
                <w:lang w:val="zh-CN"/>
              </w:rPr>
              <w:t>中国联通</w:t>
            </w:r>
            <w:r>
              <w:rPr>
                <w:rFonts w:hint="eastAsia"/>
                <w:bCs/>
                <w:szCs w:val="28"/>
              </w:rPr>
              <w:t>输电线路及其配套电力供应系统，满足联通设备运行</w:t>
            </w:r>
            <w:r>
              <w:rPr>
                <w:rFonts w:hint="eastAsia"/>
                <w:bCs/>
                <w:szCs w:val="28"/>
                <w:lang w:val="zh-CN"/>
              </w:rPr>
              <w:t>。</w:t>
            </w:r>
          </w:p>
          <w:p>
            <w:pPr>
              <w:numPr>
                <w:ilvl w:val="0"/>
                <w:numId w:val="2"/>
              </w:numPr>
              <w:spacing w:line="560" w:lineRule="exact"/>
              <w:ind w:firstLine="562"/>
              <w:rPr>
                <w:bCs/>
                <w:szCs w:val="28"/>
                <w:lang w:val="zh-CN"/>
              </w:rPr>
            </w:pPr>
            <w:r>
              <w:rPr>
                <w:rFonts w:hint="eastAsia"/>
                <w:b/>
                <w:szCs w:val="28"/>
                <w:lang w:val="zh-CN"/>
              </w:rPr>
              <w:t>城市“智能中枢”</w:t>
            </w:r>
            <w:r>
              <w:rPr>
                <w:rFonts w:hint="eastAsia"/>
                <w:b/>
                <w:szCs w:val="28"/>
              </w:rPr>
              <w:t>。</w:t>
            </w:r>
            <w:r>
              <w:rPr>
                <w:rFonts w:hint="eastAsia"/>
                <w:bCs/>
                <w:szCs w:val="28"/>
                <w:lang w:val="zh-CN"/>
              </w:rPr>
              <w:t>基于数字重庆云平台，打造数字奉节云平台（含非结构化数据城市云平台），建设奉节县大数据资源池，包含基础数据库、部门政务数据资源池以及诗城奉节文旅、精准扶贫、城市交通、生态环境等主题数据库的建设；建设奉节县新型智慧城市综合服务平台，实现新型智慧城市建设总体架构展示；建设实体指挥调度大厅。</w:t>
            </w:r>
          </w:p>
          <w:p>
            <w:pPr>
              <w:pStyle w:val="2"/>
              <w:ind w:firstLine="562"/>
              <w:rPr>
                <w:lang w:val="zh-CN"/>
              </w:rPr>
            </w:pPr>
            <w:r>
              <w:rPr>
                <w:rFonts w:hint="eastAsia"/>
                <w:b/>
              </w:rPr>
              <w:t>6.新能源公共充电桩项目。</w:t>
            </w:r>
            <w:r>
              <w:rPr>
                <w:rFonts w:hint="eastAsia"/>
              </w:rPr>
              <w:t>建设公共快充桩360个、慢充桩1440个及分散式充电桩20200个。</w:t>
            </w:r>
          </w:p>
        </w:tc>
      </w:tr>
    </w:tbl>
    <w:p>
      <w:pPr>
        <w:spacing w:line="560" w:lineRule="exact"/>
        <w:ind w:firstLine="640"/>
        <w:rPr>
          <w:bCs/>
          <w:sz w:val="32"/>
          <w:szCs w:val="32"/>
        </w:rPr>
      </w:pPr>
    </w:p>
    <w:p>
      <w:pPr>
        <w:pStyle w:val="3"/>
        <w:spacing w:before="156" w:beforeLines="50" w:after="156" w:afterLines="50" w:line="560" w:lineRule="exact"/>
        <w:rPr>
          <w:rFonts w:ascii="黑体" w:hAnsi="黑体" w:eastAsia="黑体" w:cs="黑体"/>
          <w:b w:val="0"/>
          <w:bCs/>
        </w:rPr>
        <w:sectPr>
          <w:pgSz w:w="11906" w:h="16838"/>
          <w:pgMar w:top="1984" w:right="1531" w:bottom="1531" w:left="1531" w:header="907" w:footer="1191" w:gutter="0"/>
          <w:cols w:space="425" w:num="1"/>
          <w:docGrid w:type="lines" w:linePitch="312" w:charSpace="0"/>
        </w:sectPr>
      </w:pPr>
      <w:bookmarkStart w:id="636" w:name="_Toc10149"/>
      <w:bookmarkStart w:id="637" w:name="_Toc59993013"/>
      <w:bookmarkStart w:id="638" w:name="_Toc1675"/>
      <w:bookmarkStart w:id="639" w:name="_Toc17976"/>
      <w:bookmarkStart w:id="640" w:name="_Toc60584764"/>
      <w:bookmarkStart w:id="641" w:name="_Toc6859"/>
      <w:bookmarkStart w:id="642" w:name="_Toc31106"/>
    </w:p>
    <w:p>
      <w:pPr>
        <w:pStyle w:val="3"/>
        <w:spacing w:before="156" w:beforeLines="50" w:after="156" w:afterLines="50" w:line="560" w:lineRule="exact"/>
        <w:rPr>
          <w:rFonts w:ascii="黑体" w:hAnsi="黑体" w:eastAsia="黑体" w:cs="黑体"/>
          <w:b w:val="0"/>
          <w:bCs/>
        </w:rPr>
      </w:pPr>
      <w:bookmarkStart w:id="643" w:name="_Toc964"/>
      <w:r>
        <w:rPr>
          <w:rFonts w:hint="eastAsia" w:ascii="黑体" w:hAnsi="黑体" w:eastAsia="黑体" w:cs="黑体"/>
          <w:b w:val="0"/>
          <w:bCs/>
        </w:rPr>
        <w:t xml:space="preserve">第六篇  </w:t>
      </w:r>
      <w:bookmarkEnd w:id="248"/>
      <w:r>
        <w:rPr>
          <w:rFonts w:hint="eastAsia" w:ascii="黑体" w:hAnsi="黑体" w:eastAsia="黑体" w:cs="黑体"/>
          <w:b w:val="0"/>
          <w:bCs/>
        </w:rPr>
        <w:t>用好生态、人文“两个宝贝”，加快建设长江</w:t>
      </w:r>
      <w:bookmarkEnd w:id="643"/>
    </w:p>
    <w:p>
      <w:pPr>
        <w:pStyle w:val="3"/>
        <w:spacing w:before="156" w:beforeLines="50" w:after="156" w:afterLines="50" w:line="560" w:lineRule="exact"/>
        <w:rPr>
          <w:rFonts w:ascii="黑体" w:hAnsi="黑体" w:eastAsia="黑体" w:cs="黑体"/>
          <w:b w:val="0"/>
          <w:bCs/>
        </w:rPr>
      </w:pPr>
      <w:bookmarkStart w:id="644" w:name="_Toc27086"/>
      <w:r>
        <w:rPr>
          <w:rFonts w:hint="eastAsia" w:ascii="黑体" w:hAnsi="黑体" w:eastAsia="黑体" w:cs="黑体"/>
          <w:b w:val="0"/>
          <w:bCs/>
        </w:rPr>
        <w:t>三峡第一旅游目的地</w:t>
      </w:r>
      <w:bookmarkEnd w:id="249"/>
      <w:bookmarkEnd w:id="636"/>
      <w:bookmarkEnd w:id="637"/>
      <w:bookmarkEnd w:id="638"/>
      <w:bookmarkEnd w:id="639"/>
      <w:bookmarkEnd w:id="640"/>
      <w:bookmarkEnd w:id="641"/>
      <w:bookmarkEnd w:id="642"/>
      <w:bookmarkEnd w:id="644"/>
    </w:p>
    <w:p>
      <w:pPr>
        <w:spacing w:line="560" w:lineRule="exact"/>
        <w:ind w:firstLine="640"/>
        <w:rPr>
          <w:bCs/>
          <w:sz w:val="32"/>
          <w:szCs w:val="32"/>
        </w:rPr>
      </w:pPr>
      <w:bookmarkStart w:id="645" w:name="_Toc7166"/>
      <w:bookmarkStart w:id="646" w:name="_Toc59993032"/>
      <w:bookmarkStart w:id="647" w:name="_Toc545"/>
      <w:bookmarkStart w:id="648" w:name="_Toc18501"/>
      <w:r>
        <w:rPr>
          <w:rFonts w:hint="eastAsia"/>
          <w:bCs/>
          <w:sz w:val="32"/>
          <w:szCs w:val="32"/>
        </w:rPr>
        <w:t>以“诗·橙”文化为统领，用好生态和人文“两个宝贝”，按照“六言解夔、三地诗城、六张名片、四美奉节”的工作思路，构筑“三峡之巅—诗·橙奉节”的长江三峡第一旅游目的地，打造长江三峡文旅融合的典范、旅游高质量发展的渝东北“三峡版”和“N+旅游”大融合全域旅游标杆。</w:t>
      </w:r>
    </w:p>
    <w:p>
      <w:pPr>
        <w:pStyle w:val="4"/>
        <w:spacing w:before="156" w:beforeLines="50" w:after="156" w:afterLines="50" w:line="560" w:lineRule="exact"/>
        <w:rPr>
          <w:sz w:val="32"/>
        </w:rPr>
      </w:pPr>
      <w:bookmarkStart w:id="649" w:name="_Toc20086"/>
      <w:bookmarkStart w:id="650" w:name="_Toc59993014"/>
      <w:bookmarkStart w:id="651" w:name="_Toc25772"/>
      <w:bookmarkStart w:id="652" w:name="_Toc1619"/>
      <w:bookmarkStart w:id="653" w:name="_Toc19435"/>
      <w:bookmarkStart w:id="654" w:name="_Toc21747"/>
      <w:bookmarkStart w:id="655" w:name="_Toc23574"/>
      <w:bookmarkStart w:id="656" w:name="_Toc30636"/>
      <w:bookmarkStart w:id="657" w:name="_Toc60584765"/>
      <w:bookmarkStart w:id="658" w:name="_Toc4582"/>
      <w:r>
        <w:rPr>
          <w:rFonts w:hint="eastAsia" w:ascii="Times New Roman" w:hAnsi="Times New Roman" w:cs="Times New Roman"/>
          <w:b w:val="0"/>
          <w:bCs w:val="0"/>
          <w:sz w:val="32"/>
        </w:rPr>
        <w:t xml:space="preserve">第二十三章  </w:t>
      </w:r>
      <w:bookmarkEnd w:id="649"/>
      <w:r>
        <w:rPr>
          <w:rFonts w:hint="eastAsia" w:ascii="Times New Roman" w:hAnsi="Times New Roman" w:cs="Times New Roman"/>
          <w:b w:val="0"/>
          <w:bCs w:val="0"/>
          <w:sz w:val="32"/>
        </w:rPr>
        <w:t>提高社会文明程度</w:t>
      </w:r>
      <w:bookmarkEnd w:id="650"/>
      <w:bookmarkEnd w:id="651"/>
      <w:bookmarkEnd w:id="652"/>
      <w:bookmarkEnd w:id="653"/>
      <w:bookmarkEnd w:id="654"/>
      <w:bookmarkEnd w:id="655"/>
      <w:bookmarkEnd w:id="656"/>
      <w:bookmarkEnd w:id="657"/>
      <w:bookmarkEnd w:id="658"/>
    </w:p>
    <w:p>
      <w:pPr>
        <w:spacing w:line="560" w:lineRule="exact"/>
        <w:ind w:firstLine="640"/>
        <w:rPr>
          <w:bCs/>
          <w:sz w:val="32"/>
          <w:szCs w:val="32"/>
        </w:rPr>
      </w:pPr>
      <w:r>
        <w:rPr>
          <w:rFonts w:hint="eastAsia"/>
          <w:bCs/>
          <w:sz w:val="32"/>
          <w:szCs w:val="32"/>
        </w:rPr>
        <w:t>坚持马克思主义指导，坚定文化自信，坚持社会主义精神文明方向，高举中国特色社会主义的旗帜，推进理想、信念、价值观教育常态化、制度化，推进社会主义精神文明新风尚建设，形成适应时代要求的思想观念、精神面貌、行为规范、文明风尚，推动奉节社会文明程度的提高，涵养文化旅游融合发展的根脉。</w:t>
      </w:r>
    </w:p>
    <w:p>
      <w:pPr>
        <w:pStyle w:val="5"/>
        <w:spacing w:before="62" w:beforeLines="20" w:after="62" w:afterLines="20" w:line="560" w:lineRule="exact"/>
        <w:rPr>
          <w:rFonts w:ascii="仿宋_GB2312" w:hAnsi="仿宋_GB2312" w:eastAsia="仿宋_GB2312" w:cs="仿宋_GB2312"/>
          <w:sz w:val="32"/>
        </w:rPr>
      </w:pPr>
      <w:bookmarkStart w:id="659" w:name="_Toc18336"/>
      <w:bookmarkStart w:id="660" w:name="_Toc23372"/>
      <w:bookmarkStart w:id="661" w:name="_Toc943"/>
      <w:bookmarkStart w:id="662" w:name="_Toc59993015"/>
      <w:bookmarkStart w:id="663" w:name="_Toc25487"/>
      <w:bookmarkStart w:id="664" w:name="_Toc60584766"/>
      <w:bookmarkStart w:id="665" w:name="_Toc23399"/>
      <w:bookmarkStart w:id="666" w:name="_Toc19164"/>
      <w:r>
        <w:rPr>
          <w:rFonts w:hint="eastAsia" w:ascii="仿宋_GB2312" w:hAnsi="仿宋_GB2312" w:eastAsia="仿宋_GB2312" w:cs="仿宋_GB2312"/>
          <w:sz w:val="32"/>
        </w:rPr>
        <w:t xml:space="preserve">第一节  </w:t>
      </w:r>
      <w:bookmarkEnd w:id="659"/>
      <w:bookmarkEnd w:id="660"/>
      <w:bookmarkEnd w:id="661"/>
      <w:bookmarkEnd w:id="662"/>
      <w:bookmarkEnd w:id="663"/>
      <w:r>
        <w:rPr>
          <w:rFonts w:hint="eastAsia" w:ascii="仿宋_GB2312" w:hAnsi="仿宋_GB2312" w:eastAsia="仿宋_GB2312" w:cs="仿宋_GB2312"/>
          <w:sz w:val="32"/>
        </w:rPr>
        <w:t>推进核心价值观教育常态化、制度化</w:t>
      </w:r>
      <w:bookmarkEnd w:id="664"/>
      <w:bookmarkEnd w:id="665"/>
      <w:bookmarkEnd w:id="666"/>
    </w:p>
    <w:p>
      <w:pPr>
        <w:spacing w:line="560" w:lineRule="exact"/>
        <w:ind w:firstLine="640"/>
        <w:rPr>
          <w:bCs/>
          <w:sz w:val="32"/>
          <w:szCs w:val="32"/>
        </w:rPr>
      </w:pPr>
      <w:r>
        <w:rPr>
          <w:rFonts w:hint="eastAsia"/>
          <w:bCs/>
          <w:sz w:val="32"/>
          <w:szCs w:val="32"/>
        </w:rPr>
        <w:t>重点在全县推进</w:t>
      </w:r>
      <w:r>
        <w:rPr>
          <w:rFonts w:hint="eastAsia"/>
          <w:bCs/>
          <w:sz w:val="32"/>
          <w:szCs w:val="32"/>
          <w:lang w:eastAsia="zh-CN"/>
        </w:rPr>
        <w:t>习近平新时代中国特色社会主义思想</w:t>
      </w:r>
      <w:r>
        <w:rPr>
          <w:rFonts w:hint="eastAsia"/>
          <w:bCs/>
          <w:sz w:val="32"/>
          <w:szCs w:val="32"/>
        </w:rPr>
        <w:t>的学习教育，围绕中国共产党为什么“能”、马克思主义为什么“行”、中国特色社会主义为什么“好”等重大问题，加强理论学习，用先进思想铸魂育人，坚持社会主义先进文化的方向不动摇。持续推进中华民族伟大精神的教育宣传，加强党史、新中国史、改革开放史、社会主义发展史教育，加强爱国主义、集体主义、社会主义教育，弘扬党和人民在各个历史时期奋斗中形成的伟大精神。全面推进社会主义核心价值观的宣传弘扬，把社会主义核心价值观化于环境、融入制度、贯穿教育、融入法治建设，在全社会凝聚文明共识。创新推进奉节特色精神的传承弘扬，保护提升平安、青莲、竹园等红色革命遗址文化资源，打造奉节红色旅游扶贫示范基地和爱国主义教育基地，弘扬中国共产党人革命文化和爱国主义精神；保护传承公孙述筑城、鲍陋守城、杨素造大船、临危托孤、鲍超忠勇等故事，加强大中小学思想政治理论课一体化建设，推进“奉节精神”进校园，传承“奉公守节、自强不息”的奉节核心价值观。</w:t>
      </w:r>
    </w:p>
    <w:p>
      <w:pPr>
        <w:pStyle w:val="5"/>
        <w:spacing w:before="62" w:beforeLines="20" w:after="62" w:afterLines="20" w:line="560" w:lineRule="exact"/>
        <w:rPr>
          <w:rFonts w:ascii="仿宋_GB2312" w:hAnsi="仿宋_GB2312" w:eastAsia="仿宋_GB2312" w:cs="仿宋_GB2312"/>
          <w:sz w:val="32"/>
        </w:rPr>
      </w:pPr>
      <w:bookmarkStart w:id="667" w:name="_Toc7719"/>
      <w:bookmarkStart w:id="668" w:name="_Toc6954"/>
      <w:bookmarkStart w:id="669" w:name="_Toc20818"/>
      <w:bookmarkStart w:id="670" w:name="_Toc32273"/>
      <w:bookmarkStart w:id="671" w:name="_Toc13023"/>
      <w:bookmarkStart w:id="672" w:name="_Toc60584767"/>
      <w:bookmarkStart w:id="673" w:name="_Toc11128"/>
      <w:bookmarkStart w:id="674" w:name="_Toc59993016"/>
      <w:r>
        <w:rPr>
          <w:rFonts w:hint="eastAsia" w:ascii="仿宋_GB2312" w:hAnsi="仿宋_GB2312" w:eastAsia="仿宋_GB2312" w:cs="仿宋_GB2312"/>
          <w:sz w:val="32"/>
        </w:rPr>
        <w:t>第二节  加强社会主义精神文明新风尚建设</w:t>
      </w:r>
      <w:bookmarkEnd w:id="667"/>
      <w:bookmarkEnd w:id="668"/>
      <w:bookmarkEnd w:id="669"/>
      <w:bookmarkEnd w:id="670"/>
      <w:bookmarkEnd w:id="671"/>
      <w:bookmarkEnd w:id="672"/>
      <w:bookmarkEnd w:id="673"/>
      <w:bookmarkEnd w:id="674"/>
    </w:p>
    <w:p>
      <w:pPr>
        <w:spacing w:line="560" w:lineRule="exact"/>
        <w:ind w:firstLine="640"/>
        <w:rPr>
          <w:bCs/>
          <w:sz w:val="32"/>
          <w:szCs w:val="32"/>
        </w:rPr>
      </w:pPr>
      <w:r>
        <w:rPr>
          <w:rFonts w:hint="eastAsia"/>
          <w:bCs/>
          <w:sz w:val="32"/>
          <w:szCs w:val="32"/>
        </w:rPr>
        <w:t>深入推进公民道德建设，加强行为规则、公约性的道德建设，弘扬诚信文化，推进诚信建设，使公约守则内化于心、外化于行。全面推进精神文明创建工程，深化文明村镇、文明单位、文明家庭、文明校园等群众性精神文明创建活动，拓展新时代文明实践中心建设，创建全国县级文明城市。重点推进弘扬时代新风行动，开展诚信建设，以弘扬诚信文化；加强劳动创造幸福主题教育，以提倡艰苦奋斗、勤俭节约；加强家庭、家教、家风建设，以弘扬社会主义家庭文明新风尚；加强网络文明建设，以发展积极健康的网络文化；共同建设奉节的“时代新人库”“时代新人馆”。创新推进奉节特色文明风尚营造，健全志愿服务体系，结合诗城奉节和长江旅游目的地创建，推进全民阅读行动，以建设“书香奉节、诗香奉节”文化氛围；开展奉节文明旅游行动，以建设“吃得文明”“住得文明”“游得文明”“乐得文明”“购得文明”“上网文明”的旅游氛围。</w:t>
      </w:r>
    </w:p>
    <w:p>
      <w:pPr>
        <w:pStyle w:val="4"/>
        <w:spacing w:before="156" w:beforeLines="50" w:after="156" w:afterLines="50" w:line="560" w:lineRule="exact"/>
        <w:rPr>
          <w:rFonts w:ascii="Times New Roman" w:hAnsi="Times New Roman" w:cs="Times New Roman"/>
          <w:b w:val="0"/>
          <w:bCs w:val="0"/>
          <w:sz w:val="32"/>
        </w:rPr>
      </w:pPr>
      <w:bookmarkStart w:id="675" w:name="_Toc19569"/>
      <w:bookmarkStart w:id="676" w:name="_Toc15655"/>
      <w:bookmarkStart w:id="677" w:name="_Toc20099"/>
      <w:bookmarkStart w:id="678" w:name="_Toc14217"/>
      <w:bookmarkStart w:id="679" w:name="_Toc18032"/>
      <w:bookmarkStart w:id="680" w:name="_Toc60584768"/>
      <w:bookmarkStart w:id="681" w:name="_Toc16142"/>
      <w:bookmarkStart w:id="682" w:name="_Toc59993017"/>
      <w:bookmarkStart w:id="683" w:name="_Toc20272"/>
      <w:bookmarkStart w:id="684" w:name="_Toc28913"/>
      <w:r>
        <w:rPr>
          <w:rFonts w:hint="eastAsia" w:ascii="Times New Roman" w:hAnsi="Times New Roman" w:cs="Times New Roman"/>
          <w:b w:val="0"/>
          <w:bCs w:val="0"/>
          <w:sz w:val="32"/>
        </w:rPr>
        <w:t xml:space="preserve">第二十四章  </w:t>
      </w:r>
      <w:bookmarkEnd w:id="675"/>
      <w:r>
        <w:rPr>
          <w:rFonts w:hint="eastAsia" w:ascii="Times New Roman" w:hAnsi="Times New Roman" w:cs="Times New Roman"/>
          <w:b w:val="0"/>
          <w:bCs w:val="0"/>
          <w:sz w:val="32"/>
        </w:rPr>
        <w:t>建设区域性文体事业高地</w:t>
      </w:r>
      <w:bookmarkEnd w:id="676"/>
      <w:bookmarkEnd w:id="677"/>
      <w:bookmarkEnd w:id="678"/>
      <w:bookmarkEnd w:id="679"/>
      <w:bookmarkEnd w:id="680"/>
      <w:bookmarkEnd w:id="681"/>
      <w:bookmarkEnd w:id="682"/>
      <w:bookmarkEnd w:id="683"/>
      <w:bookmarkEnd w:id="684"/>
    </w:p>
    <w:p>
      <w:pPr>
        <w:spacing w:line="560" w:lineRule="exact"/>
        <w:ind w:firstLine="640"/>
        <w:rPr>
          <w:bCs/>
          <w:sz w:val="32"/>
          <w:szCs w:val="32"/>
        </w:rPr>
      </w:pPr>
      <w:r>
        <w:rPr>
          <w:rFonts w:hint="eastAsia"/>
          <w:bCs/>
          <w:sz w:val="32"/>
          <w:szCs w:val="32"/>
        </w:rPr>
        <w:t>坚持为人民服务、为社会主义服务的方向，通过实施文艺作品质量提升工程，区域性文化体育公共服务体系完善，奉节特色文化体育品牌创建，融媒体宣传推广和人才培养，构建全社会参与文化体育发展的社会氛围，推动建设成区域性文体事业高地，提供文旅发展的保障。</w:t>
      </w:r>
    </w:p>
    <w:p>
      <w:pPr>
        <w:pStyle w:val="5"/>
        <w:spacing w:before="62" w:beforeLines="20" w:after="62" w:afterLines="20" w:line="560" w:lineRule="exact"/>
        <w:rPr>
          <w:rFonts w:ascii="仿宋_GB2312" w:hAnsi="仿宋_GB2312" w:eastAsia="仿宋_GB2312" w:cs="仿宋_GB2312"/>
          <w:sz w:val="32"/>
        </w:rPr>
      </w:pPr>
      <w:bookmarkStart w:id="685" w:name="_Toc59993019"/>
      <w:bookmarkStart w:id="686" w:name="_Toc19336"/>
      <w:bookmarkStart w:id="687" w:name="_Toc25529"/>
      <w:bookmarkStart w:id="688" w:name="_Toc7937"/>
      <w:bookmarkStart w:id="689" w:name="_Toc2452"/>
      <w:bookmarkStart w:id="690" w:name="_Toc30309"/>
      <w:bookmarkStart w:id="691" w:name="_Toc60584769"/>
      <w:bookmarkStart w:id="692" w:name="_Toc25297"/>
      <w:r>
        <w:rPr>
          <w:rFonts w:hint="eastAsia" w:ascii="仿宋_GB2312" w:hAnsi="仿宋_GB2312" w:eastAsia="仿宋_GB2312" w:cs="仿宋_GB2312"/>
          <w:sz w:val="32"/>
        </w:rPr>
        <w:t xml:space="preserve">第一节  </w:t>
      </w:r>
      <w:bookmarkEnd w:id="685"/>
      <w:bookmarkEnd w:id="686"/>
      <w:bookmarkEnd w:id="687"/>
      <w:bookmarkEnd w:id="688"/>
      <w:bookmarkEnd w:id="689"/>
      <w:r>
        <w:rPr>
          <w:rFonts w:hint="eastAsia" w:ascii="仿宋_GB2312" w:hAnsi="仿宋_GB2312" w:eastAsia="仿宋_GB2312" w:cs="仿宋_GB2312"/>
          <w:sz w:val="32"/>
        </w:rPr>
        <w:t>不断繁荣发展区域文化事业</w:t>
      </w:r>
      <w:bookmarkEnd w:id="690"/>
      <w:bookmarkEnd w:id="691"/>
      <w:bookmarkEnd w:id="692"/>
    </w:p>
    <w:p>
      <w:pPr>
        <w:spacing w:line="560" w:lineRule="exact"/>
        <w:ind w:firstLine="640"/>
        <w:rPr>
          <w:bCs/>
          <w:sz w:val="32"/>
          <w:szCs w:val="32"/>
        </w:rPr>
      </w:pPr>
      <w:r>
        <w:rPr>
          <w:rFonts w:hint="eastAsia"/>
          <w:bCs/>
          <w:sz w:val="32"/>
          <w:szCs w:val="32"/>
        </w:rPr>
        <w:t>全面推进文艺作品质量提升工程，不断推出反映时代新气象、讴歌人民创造的文艺精品。重点推进区域性文化服务设施建设，加快中国诗词大会永久会址、夔州博物馆、美术馆、夔州文化馆的提档升级，建成一批高水平文化场馆，对县城进行整体风貌改造，打造新型公共文化空间，系统提升城市历史文化氛围感。健全公共文化服务标准体系，增强城乡公共文化服务体系一体化水平，进一步推动基层文化设施达标建设与功能提升。用好融媒体中心，巩固壮大主流舆论阵地。深入推进公共文化数字化建设，围绕“互联网＋公共文化体育服务”，推动文化公共服务线上线下融合发展，普及农村在线阅读、在线公益活动、在线短视频等文化传播新模式。实施文化惠民工程，优化县、乡镇（街道）、村（社区）三级文化设施布局，广泛开展群众性文化活动，以各种形式文化论坛和活动，引导奉节县全民参与开展文化创造和文化宣传，发展档案事业，深入推进全面阅读，提升全民文化素养。积极推进文化人才队伍建设，培育文化传承人，全面补齐文化人才短板；支持社会文艺团体、乡土文艺团体发展，为丰富基层民众文化生活、提升全民文化素养奠定基础；加强专业人才引进（培养）工作，广泛培育文化旅游创新、复合型人才。不断提高公共文化服务水平，在全县范围内推出一批丰富人民群众精神生活、增强人民群众精神力量的文化产品，充分利用新媒体技术创新传播手段和传播技术。</w:t>
      </w:r>
    </w:p>
    <w:p>
      <w:pPr>
        <w:pStyle w:val="5"/>
        <w:spacing w:before="62" w:beforeLines="20" w:after="62" w:afterLines="20" w:line="560" w:lineRule="exact"/>
        <w:rPr>
          <w:rFonts w:ascii="仿宋_GB2312" w:hAnsi="仿宋_GB2312" w:eastAsia="方正仿宋_GBK" w:cs="仿宋_GB2312"/>
          <w:sz w:val="32"/>
        </w:rPr>
      </w:pPr>
      <w:bookmarkStart w:id="693" w:name="_Toc3472"/>
      <w:bookmarkStart w:id="694" w:name="_Toc18539"/>
      <w:bookmarkStart w:id="695" w:name="_Toc58444304"/>
      <w:bookmarkStart w:id="696" w:name="_Toc59993020"/>
      <w:bookmarkStart w:id="697" w:name="_Toc11680"/>
      <w:bookmarkStart w:id="698" w:name="_Toc25068"/>
      <w:bookmarkStart w:id="699" w:name="_Toc16322"/>
      <w:bookmarkStart w:id="700" w:name="_Toc60584770"/>
      <w:bookmarkStart w:id="701" w:name="_Toc32068"/>
      <w:r>
        <w:rPr>
          <w:rFonts w:hint="eastAsia" w:ascii="仿宋_GB2312" w:hAnsi="仿宋_GB2312" w:eastAsia="仿宋_GB2312" w:cs="仿宋_GB2312"/>
          <w:sz w:val="32"/>
        </w:rPr>
        <w:t xml:space="preserve">第二节  </w:t>
      </w:r>
      <w:bookmarkEnd w:id="693"/>
      <w:bookmarkEnd w:id="694"/>
      <w:bookmarkEnd w:id="695"/>
      <w:bookmarkEnd w:id="696"/>
      <w:bookmarkEnd w:id="697"/>
      <w:bookmarkEnd w:id="698"/>
      <w:r>
        <w:rPr>
          <w:rFonts w:hint="eastAsia" w:ascii="仿宋_GB2312" w:hAnsi="仿宋_GB2312" w:eastAsia="仿宋_GB2312" w:cs="仿宋_GB2312"/>
          <w:sz w:val="32"/>
        </w:rPr>
        <w:t>建设区域性体育事业高地</w:t>
      </w:r>
      <w:bookmarkEnd w:id="699"/>
      <w:bookmarkEnd w:id="700"/>
      <w:bookmarkEnd w:id="701"/>
    </w:p>
    <w:p>
      <w:pPr>
        <w:spacing w:line="560" w:lineRule="exact"/>
        <w:ind w:firstLine="640"/>
      </w:pPr>
      <w:r>
        <w:rPr>
          <w:rFonts w:hint="eastAsia"/>
          <w:bCs/>
          <w:sz w:val="32"/>
          <w:szCs w:val="32"/>
        </w:rPr>
        <w:t>加快推进区域性体育服务公共设施建设，完善县体育运动中心、乡镇社区群众综合体育运动广场、村级群众休闲运动广场等，构建县、乡、村三级全民健身基础设施体系，提高健身步道等便民场所覆盖面，以高标准体育场馆建设和城市体育公园建设，推动全民健身运动深入开展，增强全县居民体质，促进群众体育和竞技体育全面发展。重点推进奉节特色全国知名体育运动品牌建设，不断推进文体事业深度融合。坚持“好山好水好运动、更高更强更极限”新理念，按照水、陆、空立体化发展路径，通过“极限运动+山水环境+文化旅游”，持续举办中国攀岩自然岩壁系列赛、国际登山极限挑战赛等国际化、专业性的知名极限体育赛事，促进“文、体、旅”产业融合发展，提升服务质量，打造“中国极限运动之都”。创新推进5G、大数据等新技术在体育服务业的实践和应用，推进“互联网+体育”发展，建设具有特色的群众体育服务体系，形成全民健身的良好社会氛围。持续推进体育人才培养，加强文化及体育志愿辅导队伍建设，重点服务于村（社区）级体系，形成思想灵活、经验丰富、技术过硬的人才梯队，不断提高公共体育领域的专业技术水平和服务保障能力。</w:t>
      </w:r>
    </w:p>
    <w:tbl>
      <w:tblPr>
        <w:tblStyle w:val="27"/>
        <w:tblW w:w="9060"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06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31" w:hRule="atLeast"/>
        </w:trPr>
        <w:tc>
          <w:tcPr>
            <w:tcW w:w="9060" w:type="dxa"/>
            <w:shd w:val="clear" w:color="auto" w:fill="auto"/>
            <w:vAlign w:val="center"/>
          </w:tcPr>
          <w:p>
            <w:pPr>
              <w:widowControl/>
              <w:spacing w:line="560" w:lineRule="exact"/>
              <w:ind w:firstLine="0" w:firstLineChars="0"/>
              <w:jc w:val="center"/>
              <w:rPr>
                <w:rFonts w:eastAsia="黑体"/>
                <w:b/>
                <w:bCs/>
                <w:kern w:val="0"/>
                <w:szCs w:val="28"/>
              </w:rPr>
            </w:pPr>
            <w:r>
              <w:rPr>
                <w:rFonts w:hint="eastAsia" w:eastAsia="黑体"/>
                <w:kern w:val="0"/>
                <w:szCs w:val="28"/>
              </w:rPr>
              <w:t xml:space="preserve">专栏九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40" w:hRule="atLeast"/>
        </w:trPr>
        <w:tc>
          <w:tcPr>
            <w:tcW w:w="9060" w:type="dxa"/>
            <w:shd w:val="clear" w:color="auto" w:fill="auto"/>
            <w:vAlign w:val="center"/>
          </w:tcPr>
          <w:p>
            <w:pPr>
              <w:widowControl/>
              <w:spacing w:line="560" w:lineRule="exact"/>
              <w:ind w:firstLine="560"/>
              <w:rPr>
                <w:kern w:val="0"/>
                <w:szCs w:val="28"/>
              </w:rPr>
            </w:pPr>
            <w:r>
              <w:rPr>
                <w:rFonts w:hint="eastAsia" w:eastAsia="黑体"/>
                <w:bCs/>
                <w:szCs w:val="28"/>
              </w:rPr>
              <w:t>建成三峡库区知名文体高地。</w:t>
            </w:r>
            <w:r>
              <w:rPr>
                <w:rFonts w:hint="eastAsia"/>
                <w:bCs/>
                <w:szCs w:val="28"/>
              </w:rPr>
              <w:t>优化文化体育基础设施布局，通过体育场和游泳馆建设、城市体育公园建设、夔州博物馆扩建项目、中国诗词大会永久会址建设、美术馆建设、图书馆改造及提升、文化馆改造及设施设备提升项目（大会堂）、县-乡镇（街道）-村(社区)三级文化体育基础设施建设、九天龙凤国际山水极限运动项目打造工程、三峡之巅山水极限运动项目打造工程等项目的实施，实现全县文化体育事业实现大发展大繁荣。</w:t>
            </w:r>
          </w:p>
        </w:tc>
      </w:tr>
    </w:tbl>
    <w:p>
      <w:pPr>
        <w:pStyle w:val="4"/>
        <w:spacing w:before="156" w:beforeLines="50" w:after="156" w:afterLines="50" w:line="560" w:lineRule="exact"/>
        <w:rPr>
          <w:rFonts w:ascii="Times New Roman" w:hAnsi="Times New Roman" w:cs="Times New Roman"/>
          <w:b w:val="0"/>
          <w:bCs w:val="0"/>
          <w:sz w:val="32"/>
        </w:rPr>
      </w:pPr>
      <w:bookmarkStart w:id="702" w:name="_Toc10431"/>
      <w:bookmarkStart w:id="703" w:name="_Toc59993021"/>
      <w:bookmarkStart w:id="704" w:name="_Toc25470"/>
      <w:bookmarkStart w:id="705" w:name="_Toc17299"/>
      <w:bookmarkStart w:id="706" w:name="_Toc2188"/>
      <w:bookmarkStart w:id="707" w:name="_Toc620"/>
      <w:bookmarkStart w:id="708" w:name="_Toc4803"/>
      <w:bookmarkStart w:id="709" w:name="_Toc1151"/>
      <w:bookmarkStart w:id="710" w:name="_Toc17950"/>
      <w:bookmarkStart w:id="711" w:name="_Toc60584771"/>
      <w:r>
        <w:rPr>
          <w:rFonts w:hint="eastAsia" w:ascii="Times New Roman" w:hAnsi="Times New Roman" w:cs="Times New Roman"/>
          <w:b w:val="0"/>
          <w:bCs w:val="0"/>
          <w:sz w:val="32"/>
        </w:rPr>
        <w:t xml:space="preserve">第二十五章  </w:t>
      </w:r>
      <w:bookmarkEnd w:id="702"/>
      <w:r>
        <w:rPr>
          <w:rFonts w:hint="eastAsia" w:ascii="Times New Roman" w:hAnsi="Times New Roman" w:cs="Times New Roman"/>
          <w:b w:val="0"/>
          <w:bCs w:val="0"/>
          <w:sz w:val="32"/>
        </w:rPr>
        <w:t>打造保护传承弘扬长江文化的典范</w:t>
      </w:r>
      <w:bookmarkEnd w:id="703"/>
      <w:bookmarkEnd w:id="704"/>
      <w:bookmarkEnd w:id="705"/>
      <w:bookmarkEnd w:id="706"/>
      <w:bookmarkEnd w:id="707"/>
      <w:bookmarkEnd w:id="708"/>
      <w:bookmarkEnd w:id="709"/>
      <w:bookmarkEnd w:id="710"/>
      <w:bookmarkEnd w:id="711"/>
    </w:p>
    <w:p>
      <w:pPr>
        <w:spacing w:line="560" w:lineRule="exact"/>
        <w:ind w:firstLine="640"/>
        <w:rPr>
          <w:bCs/>
          <w:sz w:val="32"/>
          <w:szCs w:val="32"/>
        </w:rPr>
      </w:pPr>
      <w:r>
        <w:rPr>
          <w:rFonts w:hint="eastAsia"/>
          <w:bCs/>
          <w:sz w:val="32"/>
          <w:szCs w:val="32"/>
        </w:rPr>
        <w:t>以“中华诗城”这一长江文化品牌为引领，加快中华诗词文化滨江诗城文化长廊建设，打造长江诗歌文化高地，持续加强长江文化保护传承与输出弘扬，不断推进文化创造性转化、创新性发展，打造保护传承弘扬长江文化的奉节典范，找准奉节在长江文化体系中的位置，延续地方历史文脉。要保护好文物和文化遗产，将区域历史文化、山水文化与城乡发展相融合，突出奉节诗城、山水特色，更多采用“微改造”的“绣花”功夫，对县内历史文化街区进行修复。</w:t>
      </w:r>
    </w:p>
    <w:p>
      <w:pPr>
        <w:pStyle w:val="5"/>
        <w:spacing w:before="62" w:beforeLines="20" w:after="62" w:afterLines="20" w:line="560" w:lineRule="exact"/>
        <w:rPr>
          <w:rFonts w:eastAsia="仿宋_GB2312"/>
          <w:sz w:val="32"/>
        </w:rPr>
      </w:pPr>
      <w:bookmarkStart w:id="712" w:name="_Toc16058"/>
      <w:bookmarkStart w:id="713" w:name="_Toc10375"/>
      <w:bookmarkStart w:id="714" w:name="_Toc20013"/>
      <w:bookmarkStart w:id="715" w:name="_Toc59993022"/>
      <w:bookmarkStart w:id="716" w:name="_Toc21346"/>
      <w:bookmarkStart w:id="717" w:name="_Toc6748"/>
      <w:bookmarkStart w:id="718" w:name="_Toc60584772"/>
      <w:bookmarkStart w:id="719" w:name="_Toc2251"/>
      <w:r>
        <w:rPr>
          <w:rFonts w:eastAsia="仿宋_GB2312"/>
          <w:sz w:val="32"/>
        </w:rPr>
        <w:t xml:space="preserve">第一节  </w:t>
      </w:r>
      <w:bookmarkEnd w:id="712"/>
      <w:bookmarkEnd w:id="713"/>
      <w:bookmarkEnd w:id="714"/>
      <w:bookmarkEnd w:id="715"/>
      <w:bookmarkEnd w:id="716"/>
      <w:r>
        <w:rPr>
          <w:rFonts w:hint="eastAsia" w:ascii="仿宋_GB2312" w:hAnsi="仿宋_GB2312" w:eastAsia="仿宋_GB2312" w:cs="仿宋_GB2312"/>
          <w:sz w:val="32"/>
        </w:rPr>
        <w:t>塑造“三峡之巅·中华诗城”大文化IP</w:t>
      </w:r>
      <w:bookmarkEnd w:id="717"/>
      <w:bookmarkEnd w:id="718"/>
      <w:bookmarkEnd w:id="719"/>
    </w:p>
    <w:p>
      <w:pPr>
        <w:spacing w:line="560" w:lineRule="exact"/>
        <w:ind w:firstLine="640"/>
        <w:rPr>
          <w:bCs/>
          <w:sz w:val="32"/>
          <w:szCs w:val="32"/>
        </w:rPr>
      </w:pPr>
      <w:r>
        <w:rPr>
          <w:rFonts w:hint="eastAsia"/>
          <w:bCs/>
          <w:sz w:val="32"/>
          <w:szCs w:val="32"/>
        </w:rPr>
        <w:t>深入推进夔州“中华诗城”这一长江文化品牌建设，有组织、有计划、分步骤的构建目的地IP品牌体系，加快中华诗词文化滨江诗城文化长廊建设，打造三峡之巅的诗意天地、诗歌高地和诗人圣地“三地诗城”。持续推进诗歌主题大文化体系建设，以诗歌串联奉节历史文化主线，挖掘各个主题的诗歌，主要包括廉政奉公之诗歌、峡江文化之诗歌、三国文化之诗歌、民俗文化之诗歌、移民文化之诗歌和新时代诗歌文化等，形成一批系统性研究成果集成。积极推进城乡文化地标建设，做好城乡空间文化氛围提升工程，全面提升奉节文化形象，高水平举办一批具有国际影响力的历史文化活动，建成诗词大会永久会址，推动塑造“三峡之巅·中华诗城”大文化IP。</w:t>
      </w:r>
    </w:p>
    <w:p>
      <w:pPr>
        <w:pStyle w:val="5"/>
        <w:spacing w:before="62" w:beforeLines="20" w:after="62" w:afterLines="20" w:line="560" w:lineRule="exact"/>
        <w:rPr>
          <w:rFonts w:eastAsia="仿宋_GB2312"/>
          <w:sz w:val="32"/>
        </w:rPr>
      </w:pPr>
      <w:bookmarkStart w:id="720" w:name="_Toc9112"/>
      <w:bookmarkStart w:id="721" w:name="_Toc26913"/>
      <w:bookmarkStart w:id="722" w:name="_Toc10155"/>
      <w:bookmarkStart w:id="723" w:name="_Toc59993023"/>
      <w:bookmarkStart w:id="724" w:name="_Toc28447"/>
      <w:bookmarkStart w:id="725" w:name="_Toc24283"/>
      <w:bookmarkStart w:id="726" w:name="_Toc15928"/>
      <w:bookmarkStart w:id="727" w:name="_Toc60584773"/>
      <w:r>
        <w:rPr>
          <w:rFonts w:eastAsia="仿宋_GB2312"/>
          <w:sz w:val="32"/>
        </w:rPr>
        <w:t xml:space="preserve">第二节  </w:t>
      </w:r>
      <w:bookmarkEnd w:id="720"/>
      <w:bookmarkEnd w:id="721"/>
      <w:bookmarkEnd w:id="722"/>
      <w:bookmarkEnd w:id="723"/>
      <w:bookmarkEnd w:id="724"/>
      <w:r>
        <w:rPr>
          <w:rFonts w:hint="eastAsia" w:eastAsia="仿宋_GB2312"/>
          <w:sz w:val="32"/>
        </w:rPr>
        <w:t>留住城市发展的“根”和“魂”</w:t>
      </w:r>
      <w:bookmarkEnd w:id="725"/>
      <w:bookmarkEnd w:id="726"/>
      <w:bookmarkEnd w:id="727"/>
    </w:p>
    <w:p>
      <w:pPr>
        <w:spacing w:line="560" w:lineRule="exact"/>
        <w:ind w:firstLine="640"/>
        <w:rPr>
          <w:bCs/>
          <w:sz w:val="32"/>
          <w:szCs w:val="32"/>
        </w:rPr>
      </w:pPr>
      <w:r>
        <w:rPr>
          <w:rFonts w:hint="eastAsia"/>
          <w:bCs/>
          <w:sz w:val="32"/>
          <w:szCs w:val="32"/>
        </w:rPr>
        <w:t>持续推进奉节文化遗产保护传承。开展奉节历史文物、历史文化名村、传统村落、传统建筑和古树名木和非物质文化遗产保护、非遗传承人扶持等长江文物和文化遗产的保护传承工作，</w:t>
      </w:r>
      <w:r>
        <w:rPr>
          <w:rFonts w:hint="eastAsia"/>
          <w:sz w:val="32"/>
        </w:rPr>
        <w:t>留住城市发展的“根”和“魂”，</w:t>
      </w:r>
      <w:r>
        <w:rPr>
          <w:rFonts w:hint="eastAsia"/>
          <w:bCs/>
          <w:sz w:val="32"/>
          <w:szCs w:val="32"/>
        </w:rPr>
        <w:t>更多采用“微改造”的“绣花”功夫，对县内历史文化名村和名街进行修复。开展世界级、国家级遗产创建工作，让更多文化瑰宝活在当下、服务当代。深入推进夔州文化精神的输出弘扬，挖掘奉节的长江历史文化、山水文化内涵，以夔文化、三国文化、移民文化、</w:t>
      </w:r>
      <w:r>
        <w:rPr>
          <w:rFonts w:hint="eastAsia"/>
          <w:bCs/>
          <w:sz w:val="32"/>
          <w:szCs w:val="32"/>
          <w:lang w:eastAsia="zh-CN"/>
        </w:rPr>
        <w:t>峡</w:t>
      </w:r>
      <w:r>
        <w:rPr>
          <w:rFonts w:hint="eastAsia"/>
          <w:bCs/>
          <w:sz w:val="32"/>
          <w:szCs w:val="32"/>
        </w:rPr>
        <w:t>江文化精神内涵为指导，争创品牌教育服务基地，宣传优秀传统文化独特魅力和时代价值，建设政德党性教育基地和“奉公守节”廉政文化教育基地，推动奉节精神和核心文化的对外输出。以滨江路为平台，以奉节当地历史文化为脉络和特色，建设“诗橙滨江文化长廊”。</w:t>
      </w:r>
    </w:p>
    <w:p>
      <w:pPr>
        <w:spacing w:line="560" w:lineRule="exact"/>
        <w:ind w:firstLine="640"/>
        <w:rPr>
          <w:bCs/>
          <w:sz w:val="32"/>
          <w:szCs w:val="32"/>
        </w:rPr>
      </w:pPr>
      <w:r>
        <w:rPr>
          <w:rFonts w:hint="eastAsia"/>
          <w:bCs/>
          <w:sz w:val="32"/>
          <w:szCs w:val="32"/>
        </w:rPr>
        <w:t>推进奉节乡土文化复兴。持续开展“诗词六进”，坚定文化自信，在讲好奉节故事中增强群众的自豪感，在推进乡村文化振兴中提升群众的获得感。保护乡村中世世代代累积的世家大族名门望族的家训、家风、家教，让其世代传承，培养新乡贤，让其作为新文明的传递者，建设几个有奉节特色的“农村主题博物馆”。</w:t>
      </w:r>
    </w:p>
    <w:p>
      <w:pPr>
        <w:pStyle w:val="5"/>
        <w:spacing w:before="62" w:beforeLines="20" w:after="62" w:afterLines="20" w:line="560" w:lineRule="exact"/>
        <w:ind w:firstLine="640"/>
        <w:rPr>
          <w:sz w:val="32"/>
        </w:rPr>
      </w:pPr>
      <w:bookmarkStart w:id="728" w:name="_Toc11600"/>
      <w:bookmarkStart w:id="729" w:name="_Toc59993024"/>
      <w:bookmarkStart w:id="730" w:name="_Toc2128"/>
      <w:bookmarkStart w:id="731" w:name="_Toc60584774"/>
      <w:bookmarkStart w:id="732" w:name="_Toc15710"/>
      <w:bookmarkStart w:id="733" w:name="_Toc27070"/>
      <w:bookmarkStart w:id="734" w:name="_Toc15578"/>
      <w:bookmarkStart w:id="735" w:name="_Toc10461"/>
      <w:r>
        <w:rPr>
          <w:rFonts w:eastAsia="仿宋_GB2312"/>
          <w:sz w:val="32"/>
        </w:rPr>
        <w:t xml:space="preserve">第三节  </w:t>
      </w:r>
      <w:r>
        <w:rPr>
          <w:rFonts w:hint="eastAsia" w:eastAsia="仿宋_GB2312"/>
          <w:sz w:val="32"/>
        </w:rPr>
        <w:t>构建文化创造性发展新图景</w:t>
      </w:r>
      <w:bookmarkEnd w:id="728"/>
      <w:bookmarkEnd w:id="729"/>
      <w:bookmarkEnd w:id="730"/>
      <w:bookmarkEnd w:id="731"/>
      <w:bookmarkEnd w:id="732"/>
      <w:bookmarkEnd w:id="733"/>
      <w:bookmarkEnd w:id="734"/>
      <w:bookmarkEnd w:id="735"/>
    </w:p>
    <w:p>
      <w:pPr>
        <w:spacing w:line="560" w:lineRule="exact"/>
        <w:ind w:firstLine="640"/>
        <w:rPr>
          <w:bCs/>
          <w:sz w:val="32"/>
          <w:szCs w:val="32"/>
        </w:rPr>
      </w:pPr>
      <w:r>
        <w:rPr>
          <w:rFonts w:hint="eastAsia"/>
          <w:bCs/>
          <w:sz w:val="32"/>
          <w:szCs w:val="32"/>
        </w:rPr>
        <w:t>构建文化创造性发展新图景。加快推进优秀传统文化资源数字化进程，利用奉节人文特色，运用“文化+”“旅游+”“互联网+”和高新技术，改造提升传统文化产业，推动高新科技在演艺娱乐、工艺美术、游戏游艺等传统文化产业中的应用，引导传统文化产业转型升级。重点推进文化科技企业培育，围绕影视制作、文学网络视听、移动媒体等新兴文化业态，培育一批特色鲜明、创新能力强的文化科技企业，重点培育文化领军企业，结合新国民特征研究，开发创作一系列以“诗”和“橙”文化主题的特色文化产品。</w:t>
      </w:r>
    </w:p>
    <w:p>
      <w:pPr>
        <w:spacing w:line="560" w:lineRule="exact"/>
        <w:ind w:firstLine="640"/>
        <w:rPr>
          <w:bCs/>
          <w:sz w:val="32"/>
          <w:szCs w:val="32"/>
        </w:rPr>
      </w:pPr>
      <w:r>
        <w:rPr>
          <w:rFonts w:hint="eastAsia"/>
          <w:bCs/>
          <w:sz w:val="32"/>
          <w:szCs w:val="32"/>
        </w:rPr>
        <w:t>推进文创新产业平台建设，引导支持骨干文化企业与科研单位组建技术创新战略联盟，建设一批文化科技创新平台和成果供需对接平台，建立产学研一体化和利益共享、风险共担机制；创新发展节会经济，持续举办中国白帝城国际诗歌节、“奉节橙香”手工艺大赛、“诗橙长江”光影大赛等节会、会展活动，与生态工业、特色农业、旅游营销等同步同办，实现文化搭台，经济唱戏。</w:t>
      </w:r>
    </w:p>
    <w:p>
      <w:pPr>
        <w:pStyle w:val="4"/>
        <w:spacing w:before="156" w:beforeLines="50" w:after="156" w:afterLines="50" w:line="560" w:lineRule="exact"/>
        <w:rPr>
          <w:rFonts w:ascii="Times New Roman" w:hAnsi="Times New Roman" w:cs="Times New Roman"/>
          <w:b w:val="0"/>
          <w:bCs w:val="0"/>
          <w:sz w:val="32"/>
        </w:rPr>
      </w:pPr>
      <w:bookmarkStart w:id="736" w:name="_Toc16400"/>
      <w:bookmarkStart w:id="737" w:name="_Toc14761"/>
      <w:bookmarkStart w:id="738" w:name="_Toc59993025"/>
      <w:bookmarkStart w:id="739" w:name="_Toc30200"/>
      <w:bookmarkStart w:id="740" w:name="_Toc14066"/>
      <w:bookmarkStart w:id="741" w:name="_Toc30383"/>
      <w:bookmarkStart w:id="742" w:name="_Toc60584775"/>
      <w:bookmarkStart w:id="743" w:name="_Toc32635"/>
      <w:bookmarkStart w:id="744" w:name="_Toc1783"/>
      <w:r>
        <w:rPr>
          <w:rFonts w:hint="eastAsia" w:ascii="Times New Roman" w:hAnsi="Times New Roman" w:cs="Times New Roman"/>
          <w:b w:val="0"/>
          <w:bCs w:val="0"/>
          <w:sz w:val="32"/>
        </w:rPr>
        <w:t>第二十六章  促进文旅融合发展</w:t>
      </w:r>
      <w:bookmarkEnd w:id="736"/>
      <w:bookmarkEnd w:id="737"/>
      <w:bookmarkEnd w:id="738"/>
      <w:bookmarkEnd w:id="739"/>
      <w:bookmarkEnd w:id="740"/>
      <w:bookmarkEnd w:id="741"/>
      <w:bookmarkEnd w:id="742"/>
      <w:bookmarkEnd w:id="743"/>
      <w:bookmarkEnd w:id="744"/>
    </w:p>
    <w:p>
      <w:pPr>
        <w:spacing w:line="560" w:lineRule="exact"/>
        <w:ind w:firstLine="640"/>
        <w:rPr>
          <w:bCs/>
          <w:sz w:val="32"/>
          <w:szCs w:val="32"/>
        </w:rPr>
      </w:pPr>
      <w:r>
        <w:rPr>
          <w:rFonts w:hint="eastAsia"/>
          <w:bCs/>
          <w:sz w:val="32"/>
          <w:szCs w:val="32"/>
        </w:rPr>
        <w:t>将奉节的长江历史文化、山水文化与城乡发展相融合，深入推进文旅、城旅、交旅、农旅、商旅、体旅等多旅融合，开展结构优化、景点提质、产品创新、服务提档、营销创新、区域合作，形成“农业围绕旅游增价值、工业围绕旅游出产品、服务业围绕旅游成规模”的泛旅游产业新格局，建设全域旅游大融合标杆，形成文旅发展支撑。</w:t>
      </w:r>
    </w:p>
    <w:p>
      <w:pPr>
        <w:pStyle w:val="5"/>
        <w:spacing w:before="62" w:beforeLines="20" w:after="62" w:afterLines="20" w:line="560" w:lineRule="exact"/>
        <w:rPr>
          <w:rFonts w:eastAsia="仿宋_GB2312"/>
          <w:sz w:val="32"/>
        </w:rPr>
      </w:pPr>
      <w:bookmarkStart w:id="745" w:name="_Toc15770"/>
      <w:bookmarkStart w:id="746" w:name="_Toc59993026"/>
      <w:bookmarkStart w:id="747" w:name="_Toc27085"/>
      <w:bookmarkStart w:id="748" w:name="_Toc14796"/>
      <w:bookmarkStart w:id="749" w:name="_Toc8321"/>
      <w:bookmarkStart w:id="750" w:name="_Toc26259"/>
      <w:bookmarkStart w:id="751" w:name="_Toc10336"/>
      <w:bookmarkStart w:id="752" w:name="_Toc60584776"/>
      <w:r>
        <w:rPr>
          <w:rFonts w:eastAsia="仿宋_GB2312"/>
          <w:sz w:val="32"/>
        </w:rPr>
        <w:t xml:space="preserve">第一节  </w:t>
      </w:r>
      <w:r>
        <w:rPr>
          <w:rFonts w:hint="eastAsia" w:eastAsia="仿宋_GB2312"/>
          <w:sz w:val="32"/>
        </w:rPr>
        <w:t>构建新型全域旅游发展格局</w:t>
      </w:r>
      <w:bookmarkEnd w:id="745"/>
      <w:bookmarkEnd w:id="746"/>
      <w:bookmarkEnd w:id="747"/>
      <w:bookmarkEnd w:id="748"/>
      <w:bookmarkEnd w:id="749"/>
      <w:bookmarkEnd w:id="750"/>
      <w:bookmarkEnd w:id="751"/>
      <w:bookmarkEnd w:id="752"/>
    </w:p>
    <w:p>
      <w:pPr>
        <w:ind w:firstLine="640"/>
        <w:rPr>
          <w:bCs/>
          <w:sz w:val="32"/>
          <w:szCs w:val="32"/>
        </w:rPr>
      </w:pPr>
      <w:r>
        <w:rPr>
          <w:rFonts w:hint="eastAsia"/>
          <w:bCs/>
          <w:sz w:val="32"/>
          <w:szCs w:val="32"/>
        </w:rPr>
        <w:t>深入推进完善“精品+多元”的全域旅游空间结构，与国土空间规划有机整合，以文化生态保护红线为基础，优化各景区开发边界和开发红线，发挥资源禀赋和特色优势，突出一体化多旅融合，推进区域协调发展，加快打造“一核一廊三区多点”文化旅游产业发展新格局，全面提升文化旅游产业竞争力。重点推进区域性文旅特色功能区和重点文化旅游产业带建设，以重点文化旅游景区、文化旅游街区、非物质文化遗产村落、文化旅游综合体等为支撑，“大景区”与“微旅游”结合起来，形成一批具有辐射性、带动性、示范性的文旅产业增长极，不断打造中高端文化旅游新业态。</w:t>
      </w:r>
    </w:p>
    <w:p>
      <w:pPr>
        <w:pStyle w:val="5"/>
        <w:spacing w:before="62" w:beforeLines="20" w:after="62" w:afterLines="20" w:line="560" w:lineRule="exact"/>
        <w:rPr>
          <w:rFonts w:eastAsia="仿宋_GB2312"/>
          <w:sz w:val="32"/>
        </w:rPr>
      </w:pPr>
      <w:bookmarkStart w:id="753" w:name="_Toc21291"/>
      <w:bookmarkStart w:id="754" w:name="_Toc60584777"/>
      <w:bookmarkStart w:id="755" w:name="_Toc28389"/>
      <w:r>
        <w:rPr>
          <w:rFonts w:hint="eastAsia" w:eastAsia="仿宋_GB2312"/>
          <w:sz w:val="32"/>
        </w:rPr>
        <w:t>第二节  推进建设一批“硬核”景区</w:t>
      </w:r>
      <w:bookmarkEnd w:id="753"/>
      <w:bookmarkEnd w:id="754"/>
      <w:bookmarkEnd w:id="755"/>
    </w:p>
    <w:p>
      <w:pPr>
        <w:ind w:firstLine="640"/>
        <w:rPr>
          <w:bCs/>
          <w:sz w:val="32"/>
          <w:szCs w:val="32"/>
        </w:rPr>
      </w:pPr>
      <w:r>
        <w:rPr>
          <w:rFonts w:hint="eastAsia"/>
          <w:bCs/>
          <w:sz w:val="32"/>
          <w:szCs w:val="32"/>
        </w:rPr>
        <w:t>全面推进打造A级景区群，围绕打造世界级旅游目的地目标，促进“文化+景区”深度融合，开展景区“创A升A”工作，推进景区景点提质升级。重点推进建设三峡原乡示范点，依山就势，打造不同主题景观，建设一个成熟一个，建成一批原乡精品项目，提升综合发展实力和品牌合力。创新推进建设特色旅游街区，以文化、生态两个宝贝的创造性转化、创新性发展为手段。结合“康养旅游”热潮，建设旅游综合体，以旅游休闲为导向土地综合开发，建设高品质休闲聚集区。加快推进国家“四区”品牌创建示范工作，以目标导向实施文化旅游高质量发展相关重点工程，全力做好国家全域旅游示范区、国家文化产业和旅游产业融合发展示范区、国家健康旅游示范基地、国家中医药健康旅游示范区、国家体育旅游示范区等国家级品牌创建示范工作。</w:t>
      </w:r>
    </w:p>
    <w:p>
      <w:pPr>
        <w:pStyle w:val="5"/>
        <w:rPr>
          <w:rFonts w:eastAsia="仿宋_GB2312"/>
          <w:sz w:val="32"/>
        </w:rPr>
      </w:pPr>
      <w:bookmarkStart w:id="756" w:name="_Toc13137"/>
      <w:bookmarkStart w:id="757" w:name="_Toc1448"/>
      <w:bookmarkStart w:id="758" w:name="_Toc59993027"/>
      <w:bookmarkStart w:id="759" w:name="_Toc23141"/>
      <w:bookmarkStart w:id="760" w:name="_Toc28431"/>
      <w:bookmarkStart w:id="761" w:name="_Toc30939"/>
      <w:bookmarkStart w:id="762" w:name="_Toc60584778"/>
      <w:bookmarkStart w:id="763" w:name="_Toc18227"/>
      <w:r>
        <w:rPr>
          <w:rFonts w:eastAsia="仿宋_GB2312"/>
          <w:sz w:val="32"/>
        </w:rPr>
        <w:t>第</w:t>
      </w:r>
      <w:r>
        <w:rPr>
          <w:rFonts w:hint="eastAsia" w:eastAsia="仿宋_GB2312"/>
          <w:sz w:val="32"/>
        </w:rPr>
        <w:t>三</w:t>
      </w:r>
      <w:r>
        <w:rPr>
          <w:rFonts w:eastAsia="仿宋_GB2312"/>
          <w:sz w:val="32"/>
        </w:rPr>
        <w:t xml:space="preserve">节  </w:t>
      </w:r>
      <w:bookmarkEnd w:id="756"/>
      <w:bookmarkEnd w:id="757"/>
      <w:bookmarkEnd w:id="758"/>
      <w:bookmarkEnd w:id="759"/>
      <w:bookmarkEnd w:id="760"/>
      <w:r>
        <w:rPr>
          <w:rFonts w:hint="eastAsia" w:eastAsia="仿宋_GB2312"/>
          <w:sz w:val="32"/>
        </w:rPr>
        <w:t>构建“五维一体”文旅产业体系</w:t>
      </w:r>
      <w:bookmarkEnd w:id="761"/>
      <w:bookmarkEnd w:id="762"/>
      <w:bookmarkEnd w:id="763"/>
    </w:p>
    <w:p>
      <w:pPr>
        <w:ind w:firstLine="640"/>
        <w:rPr>
          <w:bCs/>
          <w:szCs w:val="32"/>
        </w:rPr>
      </w:pPr>
      <w:r>
        <w:rPr>
          <w:rFonts w:hint="eastAsia"/>
          <w:bCs/>
          <w:sz w:val="32"/>
          <w:szCs w:val="32"/>
        </w:rPr>
        <w:t>全面推进六大旅游目的地建设，深入实施“旅游+”战略，构建“旅游+N——灵动水系+文化深植+森林康养+地貌奇观+乡村田园”五维一体的文旅产业发展体系，强化大景区、大旅游意识，推动旅游与工业、农业、生态、文化、教育、体育、医疗等产业融合渗透，把资源优势转化为产业优势，与其他产业深度融合打造策划一批新的旅游项目，擦亮自驾行摄、生态康养、诗歌朝圣、民俗美食、科考研学、极限体育目的地游等“六张名片”的品质+创意全季节体验产品。持续推进七条旅游精品线路构建，完善特色主题旅游线路，重点打造瞿塘峡深度游、“两峡一峰”水上游、自驾行摄等主题游线路。积极推进“四区两遗”创建，加快白帝城·瞿塘峡国家5A级景区、国家全域旅游示范区、国家生态旅游度假区、九天龙凤旅游度假区和白帝城大遗址世界文化遗产、天坑·地缝世界地质公园等景区创建工作。创新建设“诗橙圣殿”、“梦回三国”、“夜游白帝”等体验性项目，不断增加奉节旅游景区的多维体验感。</w:t>
      </w:r>
      <w:bookmarkStart w:id="764" w:name="_Toc59993028"/>
      <w:bookmarkStart w:id="765" w:name="_Toc7285"/>
      <w:bookmarkStart w:id="766" w:name="_Toc19379"/>
    </w:p>
    <w:bookmarkEnd w:id="764"/>
    <w:bookmarkEnd w:id="765"/>
    <w:bookmarkEnd w:id="766"/>
    <w:p>
      <w:pPr>
        <w:pStyle w:val="5"/>
        <w:spacing w:before="62" w:beforeLines="20" w:after="62" w:afterLines="20" w:line="560" w:lineRule="exact"/>
        <w:rPr>
          <w:rFonts w:eastAsia="仿宋_GB2312"/>
          <w:sz w:val="32"/>
        </w:rPr>
      </w:pPr>
      <w:bookmarkStart w:id="767" w:name="_Toc9727"/>
      <w:bookmarkStart w:id="768" w:name="_Toc1480"/>
      <w:bookmarkStart w:id="769" w:name="_Toc25044"/>
      <w:bookmarkStart w:id="770" w:name="_Toc2893"/>
      <w:bookmarkStart w:id="771" w:name="_Toc56242181"/>
      <w:bookmarkStart w:id="772" w:name="_Toc59993029"/>
      <w:bookmarkStart w:id="773" w:name="_Toc60584779"/>
      <w:bookmarkStart w:id="774" w:name="_Toc272"/>
      <w:bookmarkStart w:id="775" w:name="_Toc3000"/>
      <w:bookmarkStart w:id="776" w:name="_Toc58444263"/>
      <w:r>
        <w:rPr>
          <w:rFonts w:eastAsia="仿宋_GB2312"/>
          <w:sz w:val="32"/>
        </w:rPr>
        <w:t xml:space="preserve">第四节  </w:t>
      </w:r>
      <w:r>
        <w:rPr>
          <w:rFonts w:hint="eastAsia" w:eastAsia="仿宋_GB2312"/>
          <w:sz w:val="32"/>
        </w:rPr>
        <w:t>加强服务体系提档升级</w:t>
      </w:r>
      <w:bookmarkEnd w:id="767"/>
      <w:bookmarkEnd w:id="768"/>
      <w:bookmarkEnd w:id="769"/>
      <w:bookmarkEnd w:id="770"/>
      <w:bookmarkEnd w:id="771"/>
      <w:bookmarkEnd w:id="772"/>
      <w:bookmarkEnd w:id="773"/>
      <w:bookmarkEnd w:id="774"/>
      <w:bookmarkEnd w:id="775"/>
      <w:bookmarkEnd w:id="776"/>
    </w:p>
    <w:p>
      <w:pPr>
        <w:ind w:firstLine="640"/>
        <w:rPr>
          <w:bCs/>
          <w:sz w:val="32"/>
          <w:szCs w:val="32"/>
        </w:rPr>
      </w:pPr>
      <w:r>
        <w:rPr>
          <w:rFonts w:hint="eastAsia"/>
          <w:bCs/>
          <w:sz w:val="32"/>
          <w:szCs w:val="32"/>
        </w:rPr>
        <w:t>全面健全完善旅游服务体系，提升旅游服务品质，以实现游客便利化。建立行业主管部门、市场监管部门、综合执法部门、地方政府和景区景点共同协作的文旅综合治理联动机制，以创建文明县城为契机，加强市场监管机制、市场综合整治、信用评价体系建设，建立旅游市场的长效监管机制。加快推进文旅服务设施提档升级，按国际通行旅游服务标准，围绕打造“快旅慢游”全方位服务体系目标，推进旅游要素转型升级，健全“吃、住、游、购、娱”等配套要素体系，提升文化旅游便利度，提供高品质、高质量的旅游体验感受。深入推进文旅环境提档升级，进行全域环境整治，激活景观灵魂、构建魅力奉节，建立全域旅游特色的景观体系，构建“大奉节、大旅游”格局，实现“处处是诗景、时时能体验、事事可融入、人人可参与”，实现全域背景环境美化。重点推进智慧旅游建设，完善构建基于大数据的智慧旅游体系，加快建设奉节县智慧旅游云数据中心及智慧旅游服务平台，全面提升奉节县旅游管理和服务水平。</w:t>
      </w:r>
    </w:p>
    <w:p>
      <w:pPr>
        <w:pStyle w:val="5"/>
        <w:spacing w:before="62" w:beforeLines="20" w:after="62" w:afterLines="20" w:line="560" w:lineRule="exact"/>
        <w:rPr>
          <w:rFonts w:eastAsia="仿宋_GB2312"/>
          <w:sz w:val="32"/>
        </w:rPr>
      </w:pPr>
      <w:bookmarkStart w:id="777" w:name="_Toc32194"/>
      <w:bookmarkStart w:id="778" w:name="_Toc56242182"/>
      <w:bookmarkStart w:id="779" w:name="_Toc14411"/>
      <w:bookmarkStart w:id="780" w:name="_Toc12600"/>
      <w:bookmarkStart w:id="781" w:name="_Toc10107"/>
      <w:bookmarkStart w:id="782" w:name="_Toc20167"/>
      <w:bookmarkStart w:id="783" w:name="_Toc58444264"/>
      <w:bookmarkStart w:id="784" w:name="_Toc60584780"/>
      <w:bookmarkStart w:id="785" w:name="_Toc11254"/>
      <w:bookmarkStart w:id="786" w:name="_Toc59993030"/>
      <w:r>
        <w:rPr>
          <w:rFonts w:eastAsia="仿宋_GB2312"/>
          <w:sz w:val="32"/>
        </w:rPr>
        <w:t xml:space="preserve">第五节  </w:t>
      </w:r>
      <w:r>
        <w:rPr>
          <w:rFonts w:hint="eastAsia" w:eastAsia="仿宋_GB2312"/>
          <w:sz w:val="32"/>
        </w:rPr>
        <w:t>推动新媒体营销宣传创新</w:t>
      </w:r>
      <w:bookmarkEnd w:id="777"/>
      <w:bookmarkEnd w:id="778"/>
      <w:bookmarkEnd w:id="779"/>
      <w:bookmarkEnd w:id="780"/>
      <w:bookmarkEnd w:id="781"/>
      <w:bookmarkEnd w:id="782"/>
      <w:bookmarkEnd w:id="783"/>
      <w:bookmarkEnd w:id="784"/>
      <w:bookmarkEnd w:id="785"/>
      <w:bookmarkEnd w:id="786"/>
    </w:p>
    <w:p>
      <w:pPr>
        <w:ind w:firstLine="640"/>
        <w:rPr>
          <w:bCs/>
          <w:sz w:val="32"/>
          <w:szCs w:val="32"/>
        </w:rPr>
      </w:pPr>
      <w:r>
        <w:rPr>
          <w:rFonts w:hint="eastAsia"/>
          <w:bCs/>
          <w:sz w:val="32"/>
          <w:szCs w:val="32"/>
        </w:rPr>
        <w:t>积极推进营销手段创新化、多样化，唱响“三峡之巅 诗·橙奉节”核心品牌，整合全域范围内文化旅游营销渠道，利用大数据智慧营销、社会媒体营销、网络营销、微信公共平台、创意活动营销、解释活动营销、节庆宣传活动、体验式营销宣传等方式，加强营销推广力度，建立全媒体营销网络，探索“旅游+直播”的营销模式，扩大社会影响力。积极推进“四区两遗”创建和A级景区的创建宣传工作。根据不同季节选择将不同景区在奉节、湖北、重庆、成都等城市官微公众号上进行推介宣传。</w:t>
      </w:r>
    </w:p>
    <w:p>
      <w:pPr>
        <w:pStyle w:val="5"/>
        <w:spacing w:before="62" w:beforeLines="20" w:after="62" w:afterLines="20" w:line="560" w:lineRule="exact"/>
        <w:rPr>
          <w:rFonts w:eastAsia="仿宋_GB2312"/>
          <w:sz w:val="32"/>
        </w:rPr>
      </w:pPr>
      <w:bookmarkStart w:id="787" w:name="_Toc27968"/>
      <w:bookmarkStart w:id="788" w:name="_Toc7190"/>
      <w:bookmarkStart w:id="789" w:name="_Toc6865"/>
      <w:bookmarkStart w:id="790" w:name="_Toc59993031"/>
      <w:bookmarkStart w:id="791" w:name="_Toc7659"/>
      <w:bookmarkStart w:id="792" w:name="_Toc60584781"/>
      <w:bookmarkStart w:id="793" w:name="_Toc13149"/>
      <w:r>
        <w:rPr>
          <w:rFonts w:eastAsia="仿宋_GB2312"/>
          <w:sz w:val="32"/>
        </w:rPr>
        <w:t>第六节  强化区域协同合作</w:t>
      </w:r>
      <w:r>
        <w:rPr>
          <w:rFonts w:hint="eastAsia" w:eastAsia="仿宋_GB2312"/>
          <w:sz w:val="32"/>
        </w:rPr>
        <w:t>升级</w:t>
      </w:r>
      <w:bookmarkEnd w:id="787"/>
      <w:bookmarkEnd w:id="788"/>
      <w:bookmarkEnd w:id="789"/>
      <w:bookmarkEnd w:id="790"/>
      <w:bookmarkEnd w:id="791"/>
      <w:bookmarkEnd w:id="792"/>
      <w:bookmarkEnd w:id="793"/>
    </w:p>
    <w:p>
      <w:pPr>
        <w:ind w:firstLine="640"/>
        <w:rPr>
          <w:bCs/>
          <w:szCs w:val="32"/>
        </w:rPr>
      </w:pPr>
      <w:r>
        <w:rPr>
          <w:rFonts w:hint="eastAsia"/>
          <w:bCs/>
          <w:sz w:val="32"/>
          <w:szCs w:val="32"/>
        </w:rPr>
        <w:t>积极推进建立区域旅游环线，发挥奉节区位和旅游资源优势，以及“空铁路水”多式联运交通枢纽节点的优势，推动实现奉节旅游交通“快进”，加快融入大金三角（川陕渝）和小金三角（奉巫巫）旅游发展大格局，增强与主城区、宜昌、西安、张家界的跨区域旅游发展协作，推动形成一批新旅游环线，分享和拓展客源市场，努力成为大小金三角的游客集散中心。积极推进携手建设无障碍旅游区，坚持“资源共享、景区互推、客源互送、商品互进、有序竞争、实现合作”的原则，加快推进三峡旅游由“一线游”向“一片游”转变，推进区域文旅发展一体化，强化全域谋划一域，一域服务全局，合作推动区域长期共赢，找准自身定位，携手重塑长江三峡文旅品牌，着力推进区域文旅差异化发展。积极融入国家“一带一路”、长江经济带、成渝地区双城经济圈、郑万高铁沿线城市旅游联盟、省际区域旅游大合作等重大战略，以建设成为“三峡黄金旅游带上的文化旅游中心城市”为目标，大力促进奉节文化旅游产业的快速发展。</w:t>
      </w:r>
    </w:p>
    <w:tbl>
      <w:tblPr>
        <w:tblStyle w:val="27"/>
        <w:tblW w:w="9060"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06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9060" w:type="dxa"/>
          </w:tcPr>
          <w:p>
            <w:pPr>
              <w:widowControl/>
              <w:spacing w:line="560" w:lineRule="exact"/>
              <w:ind w:firstLine="0" w:firstLineChars="0"/>
              <w:jc w:val="center"/>
              <w:rPr>
                <w:rFonts w:eastAsia="黑体"/>
                <w:b/>
                <w:bCs/>
                <w:kern w:val="0"/>
                <w:szCs w:val="28"/>
              </w:rPr>
            </w:pPr>
            <w:r>
              <w:rPr>
                <w:rFonts w:hint="eastAsia" w:eastAsia="黑体"/>
                <w:kern w:val="0"/>
                <w:szCs w:val="28"/>
              </w:rPr>
              <w:t>专栏十</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9060" w:type="dxa"/>
            <w:shd w:val="clear" w:color="auto" w:fill="auto"/>
            <w:vAlign w:val="center"/>
          </w:tcPr>
          <w:p>
            <w:pPr>
              <w:spacing w:line="560" w:lineRule="exact"/>
              <w:ind w:firstLine="562"/>
              <w:rPr>
                <w:szCs w:val="28"/>
              </w:rPr>
            </w:pPr>
            <w:r>
              <w:rPr>
                <w:rFonts w:hint="eastAsia"/>
                <w:b/>
                <w:bCs/>
                <w:szCs w:val="28"/>
              </w:rPr>
              <w:t>1.创建升级景区景点。</w:t>
            </w:r>
            <w:r>
              <w:rPr>
                <w:rFonts w:hint="eastAsia"/>
                <w:bCs/>
                <w:szCs w:val="28"/>
              </w:rPr>
              <w:t>争创3个国家5A级景区、1个国家级旅游度假区、10个以上4A级景区和20个以上3A级景区，重点建设瞿塘峡·白帝城景区、九天龙凤旅游度假区、天坑·地缝景区、旱夔门（迷宫河）探险景区、平安红色文化特色小镇等一批新业态核心项目。</w:t>
            </w:r>
          </w:p>
          <w:p>
            <w:pPr>
              <w:spacing w:line="560" w:lineRule="exact"/>
              <w:ind w:firstLine="562"/>
              <w:rPr>
                <w:bCs/>
                <w:szCs w:val="28"/>
              </w:rPr>
            </w:pPr>
            <w:r>
              <w:rPr>
                <w:rFonts w:hint="eastAsia"/>
                <w:b/>
                <w:bCs/>
                <w:szCs w:val="28"/>
              </w:rPr>
              <w:t>2.九天龙凤片区建设重点项目。</w:t>
            </w:r>
            <w:r>
              <w:rPr>
                <w:rFonts w:hint="eastAsia"/>
                <w:bCs/>
                <w:szCs w:val="28"/>
              </w:rPr>
              <w:t>主要包括九天龙凤国家级生态康养度假区项目、民俗风情文化体验区建设项目、奉节喀斯特地貌主题公园、龙桥土家族乡村风貌休闲绿道、奉节休闲养生旅游文化综合体、九盘河景区开发项目、奉节县茅草坝房车营地项目等。</w:t>
            </w:r>
          </w:p>
          <w:p>
            <w:pPr>
              <w:spacing w:line="560" w:lineRule="exact"/>
              <w:ind w:firstLine="562"/>
              <w:rPr>
                <w:bCs/>
                <w:szCs w:val="28"/>
              </w:rPr>
            </w:pPr>
            <w:r>
              <w:rPr>
                <w:rFonts w:hint="eastAsia"/>
                <w:b/>
                <w:bCs/>
                <w:szCs w:val="28"/>
              </w:rPr>
              <w:t>3.白帝城瞿塘峡片区建设重点项目。</w:t>
            </w:r>
            <w:r>
              <w:rPr>
                <w:rFonts w:hint="eastAsia"/>
                <w:bCs/>
                <w:szCs w:val="28"/>
              </w:rPr>
              <w:t>主要包括（大夔门生态山水文化休闲度假区）环草堂湖开发项目、“三峡之巅</w:t>
            </w:r>
            <w:r>
              <w:rPr>
                <w:bCs/>
                <w:szCs w:val="28"/>
              </w:rPr>
              <w:t xml:space="preserve"> </w:t>
            </w:r>
            <w:r>
              <w:rPr>
                <w:rFonts w:hint="eastAsia"/>
                <w:bCs/>
                <w:szCs w:val="28"/>
              </w:rPr>
              <w:t>诗·橙奉节”全媒体营销项目、《归来三峡》观演节目优化项目、白帝城·瞿塘峡国家5A级景区创建工程、夔州古城文化旅游服务综合体、奉节白帝城展示中心及考古遗址公园建设项目、奉节县“三峡之巅”景区建设项目、奉节县草堂湖库岸综合整治工程、奉节三峡康养旅游示范项目、奉节海军军事文化传播基地、奉建高速白帝城长江大桥旅游体验项目、奉节县桃子山游客服务点、奉节县宝塔坪游客换乘中心及国际旅游游轮母港项目、中国编剧交易年会项目、中华诗城文化产业聚集区（诗歌小镇）及历史文化街区项目等。</w:t>
            </w:r>
          </w:p>
          <w:p>
            <w:pPr>
              <w:spacing w:line="560" w:lineRule="exact"/>
              <w:ind w:firstLine="562"/>
              <w:rPr>
                <w:bCs/>
                <w:szCs w:val="28"/>
              </w:rPr>
            </w:pPr>
            <w:r>
              <w:rPr>
                <w:rFonts w:hint="eastAsia"/>
                <w:b/>
                <w:bCs/>
                <w:szCs w:val="28"/>
              </w:rPr>
              <w:t>4.平安青莲片区建设重点项目。</w:t>
            </w:r>
            <w:r>
              <w:rPr>
                <w:rFonts w:hint="eastAsia"/>
                <w:bCs/>
                <w:szCs w:val="28"/>
              </w:rPr>
              <w:t>主要包括奉节川东游击队（奉节）红色特色旅游小镇项目、关门山大峡谷生态旅游度假区项目、长龙山道教文化体验区项目、竹园历史文化名镇建设项目等。</w:t>
            </w:r>
          </w:p>
          <w:p>
            <w:pPr>
              <w:spacing w:line="560" w:lineRule="exact"/>
              <w:ind w:firstLine="562"/>
              <w:rPr>
                <w:bCs/>
                <w:szCs w:val="28"/>
              </w:rPr>
            </w:pPr>
            <w:r>
              <w:rPr>
                <w:rFonts w:hint="eastAsia"/>
                <w:b/>
                <w:bCs/>
                <w:szCs w:val="28"/>
              </w:rPr>
              <w:t>5.城市功能提升建设重点项目。</w:t>
            </w:r>
            <w:r>
              <w:rPr>
                <w:rFonts w:hint="eastAsia"/>
                <w:bCs/>
                <w:szCs w:val="28"/>
              </w:rPr>
              <w:t>主要包括全域智慧旅游平台工程、“中华诗城”文化旅游精品工程、长江南岸滨江文化长廊项目、城市星级酒店及涉外酒店建设项目、夔州府国家级非遗产业示范区建设项目、诗城文化品牌创建工程、市县级文物保护点修缮整治项目、中华优秀诗歌文化传承发展示范区项目等。</w:t>
            </w:r>
          </w:p>
          <w:p>
            <w:pPr>
              <w:spacing w:line="560" w:lineRule="exact"/>
              <w:ind w:firstLine="562"/>
              <w:rPr>
                <w:bCs/>
                <w:kern w:val="0"/>
                <w:szCs w:val="28"/>
              </w:rPr>
            </w:pPr>
            <w:r>
              <w:rPr>
                <w:rFonts w:hint="eastAsia"/>
                <w:b/>
                <w:bCs/>
                <w:szCs w:val="28"/>
              </w:rPr>
              <w:t>6.乡村旅游发展重点项目。</w:t>
            </w:r>
            <w:r>
              <w:rPr>
                <w:rFonts w:hint="eastAsia"/>
                <w:bCs/>
                <w:szCs w:val="28"/>
              </w:rPr>
              <w:t>主要包括奉节清水绿岸乡村旅游项目、奉节县中国长江柑橘博览园项目、奉节县乡村旅游示范点项目、云雾土家族乡土家文化博物馆项目、云雾土家族乡民俗风情街项目、云雾土家族乡屏峰石林旅游开发项目、云雾土家族乡红椿坝旅游开发项目、五马镇樟木村生态产业观光园4A级景区项目、云雾土家族乡公共服务设施建设项目等。</w:t>
            </w:r>
          </w:p>
        </w:tc>
      </w:tr>
    </w:tbl>
    <w:p>
      <w:pPr>
        <w:spacing w:line="560" w:lineRule="exact"/>
        <w:ind w:firstLine="562"/>
        <w:rPr>
          <w:rFonts w:ascii="黑体" w:hAnsi="黑体" w:eastAsia="黑体" w:cs="黑体"/>
          <w:b/>
          <w:bCs/>
        </w:rPr>
        <w:sectPr>
          <w:pgSz w:w="11906" w:h="16838"/>
          <w:pgMar w:top="1984" w:right="1531" w:bottom="1531" w:left="1531" w:header="907" w:footer="1191" w:gutter="0"/>
          <w:cols w:space="425" w:num="1"/>
          <w:docGrid w:type="lines" w:linePitch="312" w:charSpace="0"/>
        </w:sectPr>
      </w:pPr>
      <w:r>
        <w:rPr>
          <w:rFonts w:hint="eastAsia" w:ascii="黑体" w:hAnsi="黑体" w:eastAsia="黑体" w:cs="黑体"/>
          <w:b/>
          <w:bCs/>
        </w:rPr>
        <w:t xml:space="preserve"> </w:t>
      </w:r>
      <w:bookmarkStart w:id="794" w:name="_Toc13357"/>
      <w:bookmarkStart w:id="795" w:name="_Toc25446"/>
    </w:p>
    <w:p>
      <w:pPr>
        <w:pStyle w:val="3"/>
        <w:spacing w:before="156" w:beforeLines="50" w:after="156" w:afterLines="50" w:line="560" w:lineRule="exact"/>
        <w:rPr>
          <w:rFonts w:ascii="黑体" w:hAnsi="黑体" w:eastAsia="黑体" w:cs="黑体"/>
          <w:b w:val="0"/>
          <w:bCs/>
        </w:rPr>
      </w:pPr>
      <w:bookmarkStart w:id="796" w:name="_Toc12964"/>
      <w:bookmarkStart w:id="797" w:name="_Toc60584782"/>
      <w:bookmarkStart w:id="798" w:name="_Toc2561"/>
      <w:r>
        <w:rPr>
          <w:rFonts w:hint="eastAsia" w:ascii="黑体" w:hAnsi="黑体" w:eastAsia="黑体" w:cs="黑体"/>
          <w:b w:val="0"/>
          <w:bCs/>
        </w:rPr>
        <w:t>第七篇  全力推进乡村振兴，加快建设渝东北三峡库区山地特色高效农业示范区</w:t>
      </w:r>
      <w:bookmarkEnd w:id="645"/>
      <w:bookmarkEnd w:id="646"/>
      <w:bookmarkEnd w:id="647"/>
      <w:bookmarkEnd w:id="648"/>
      <w:bookmarkEnd w:id="794"/>
      <w:bookmarkEnd w:id="795"/>
      <w:bookmarkEnd w:id="796"/>
      <w:bookmarkEnd w:id="797"/>
      <w:bookmarkEnd w:id="798"/>
    </w:p>
    <w:p>
      <w:pPr>
        <w:spacing w:line="560" w:lineRule="exact"/>
        <w:ind w:firstLine="640"/>
      </w:pPr>
      <w:bookmarkStart w:id="799" w:name="_Toc4325"/>
      <w:r>
        <w:rPr>
          <w:rFonts w:hint="eastAsia"/>
          <w:bCs/>
          <w:sz w:val="32"/>
          <w:szCs w:val="32"/>
        </w:rPr>
        <w:t>落实优先发展农业农村战略，围绕“产业兴旺、生态宜居、乡风文明、治理有效、生活富裕”总要求，按照“产业振兴靠企业、人才振兴靠环境、文化振兴靠群众、生态振兴靠集中、组织振兴靠干部”的工作路径，实现巩固拓展脱贫攻坚成果同乡村振兴有效衔接，打造乡村振兴“奉节样本”。</w:t>
      </w:r>
    </w:p>
    <w:bookmarkEnd w:id="799"/>
    <w:p>
      <w:pPr>
        <w:pStyle w:val="4"/>
        <w:spacing w:before="156" w:beforeLines="50" w:after="156" w:afterLines="50" w:line="560" w:lineRule="exact"/>
        <w:rPr>
          <w:rFonts w:ascii="Times New Roman" w:hAnsi="Times New Roman" w:cs="Times New Roman"/>
          <w:b w:val="0"/>
          <w:bCs w:val="0"/>
          <w:sz w:val="32"/>
        </w:rPr>
      </w:pPr>
      <w:bookmarkStart w:id="800" w:name="_Toc2345"/>
      <w:bookmarkStart w:id="801" w:name="_Toc28724"/>
      <w:bookmarkStart w:id="802" w:name="_Toc3045"/>
      <w:bookmarkStart w:id="803" w:name="_Toc31315"/>
      <w:bookmarkStart w:id="804" w:name="_Toc6533"/>
      <w:bookmarkStart w:id="805" w:name="_Toc4732"/>
      <w:bookmarkStart w:id="806" w:name="_Toc60584783"/>
      <w:bookmarkStart w:id="807" w:name="_Toc1523"/>
      <w:bookmarkStart w:id="808" w:name="_Toc59993033"/>
      <w:bookmarkStart w:id="809" w:name="_Toc56242207"/>
      <w:bookmarkStart w:id="810" w:name="_Toc3384"/>
      <w:bookmarkStart w:id="811" w:name="_Toc58444284"/>
      <w:bookmarkStart w:id="812" w:name="_Toc60584787"/>
      <w:bookmarkStart w:id="813" w:name="_Toc25624"/>
      <w:bookmarkStart w:id="814" w:name="_Toc14551"/>
      <w:bookmarkStart w:id="815" w:name="_Toc14636"/>
      <w:bookmarkStart w:id="816" w:name="_Toc59993037"/>
      <w:bookmarkStart w:id="817" w:name="_Toc12676"/>
      <w:bookmarkStart w:id="818" w:name="_Toc6936"/>
      <w:r>
        <w:rPr>
          <w:rFonts w:hint="eastAsia" w:ascii="Times New Roman" w:hAnsi="Times New Roman" w:cs="Times New Roman"/>
          <w:b w:val="0"/>
          <w:bCs w:val="0"/>
          <w:sz w:val="32"/>
        </w:rPr>
        <w:t>第二十七章  完善农业特色产业体系</w:t>
      </w:r>
      <w:bookmarkEnd w:id="800"/>
      <w:bookmarkEnd w:id="801"/>
      <w:bookmarkEnd w:id="802"/>
      <w:bookmarkEnd w:id="803"/>
      <w:bookmarkEnd w:id="804"/>
      <w:bookmarkEnd w:id="805"/>
      <w:bookmarkEnd w:id="806"/>
      <w:bookmarkEnd w:id="807"/>
      <w:bookmarkEnd w:id="808"/>
    </w:p>
    <w:p>
      <w:pPr>
        <w:spacing w:line="560" w:lineRule="exact"/>
        <w:ind w:firstLine="640"/>
        <w:rPr>
          <w:bCs/>
          <w:sz w:val="32"/>
          <w:szCs w:val="32"/>
        </w:rPr>
      </w:pPr>
      <w:r>
        <w:rPr>
          <w:rFonts w:hint="eastAsia"/>
          <w:bCs/>
          <w:sz w:val="32"/>
          <w:szCs w:val="32"/>
        </w:rPr>
        <w:t>按照“保供增收促发展，绿色生态可持续”的总体发展思路，在保障粮食供给的前提下，通过合理优化产业布局、推进</w:t>
      </w:r>
      <w:r>
        <w:rPr>
          <w:rFonts w:hint="eastAsia"/>
          <w:bCs/>
          <w:sz w:val="32"/>
          <w:szCs w:val="32"/>
          <w:lang w:eastAsia="zh-CN"/>
        </w:rPr>
        <w:t>一二三产业融合</w:t>
      </w:r>
      <w:r>
        <w:rPr>
          <w:rFonts w:hint="eastAsia"/>
          <w:bCs/>
          <w:sz w:val="32"/>
          <w:szCs w:val="32"/>
        </w:rPr>
        <w:t>发展、培育农业品牌等措施，加快农业现代化，加快农业产业体系建设，积极推进农业提质增效。</w:t>
      </w:r>
    </w:p>
    <w:p>
      <w:pPr>
        <w:pStyle w:val="5"/>
        <w:spacing w:before="62" w:beforeLines="20" w:after="62" w:afterLines="20" w:line="560" w:lineRule="exact"/>
        <w:rPr>
          <w:rFonts w:eastAsia="仿宋_GB2312"/>
          <w:sz w:val="32"/>
        </w:rPr>
      </w:pPr>
      <w:bookmarkStart w:id="819" w:name="_Toc3429"/>
      <w:bookmarkStart w:id="820" w:name="_Toc5448"/>
      <w:r>
        <w:rPr>
          <w:rFonts w:eastAsia="仿宋_GB2312"/>
          <w:sz w:val="32"/>
        </w:rPr>
        <w:t xml:space="preserve">第一节  </w:t>
      </w:r>
      <w:r>
        <w:rPr>
          <w:rFonts w:hint="eastAsia" w:eastAsia="仿宋_GB2312"/>
          <w:sz w:val="32"/>
        </w:rPr>
        <w:t>稳定</w:t>
      </w:r>
      <w:r>
        <w:rPr>
          <w:rFonts w:eastAsia="仿宋_GB2312"/>
          <w:sz w:val="32"/>
        </w:rPr>
        <w:t>粮食供给</w:t>
      </w:r>
      <w:bookmarkEnd w:id="819"/>
      <w:bookmarkEnd w:id="820"/>
    </w:p>
    <w:p>
      <w:pPr>
        <w:spacing w:line="560" w:lineRule="exact"/>
        <w:ind w:firstLine="640"/>
        <w:rPr>
          <w:bCs/>
          <w:sz w:val="32"/>
          <w:szCs w:val="32"/>
        </w:rPr>
      </w:pPr>
      <w:r>
        <w:rPr>
          <w:rFonts w:hint="eastAsia"/>
          <w:bCs/>
          <w:sz w:val="32"/>
          <w:szCs w:val="32"/>
        </w:rPr>
        <w:t>落实国家粮食安全战略，坚持“藏粮于地、藏粮于技”，保障粮食产量稳定，实施高标准农田建设工程，强化农业科技和装备支撑。落实最严格的耕地保护制度，开展农村乱占耕地建房问题整治。实施优质粮食工程，提高农业良种化水平。落实“米袋子”“菜篮子”负责制，完善粮食储备管理体制，保障粮棉油等重要农产品和肉菜蛋奶果等农副产品供给安全。</w:t>
      </w:r>
    </w:p>
    <w:p>
      <w:pPr>
        <w:pStyle w:val="5"/>
        <w:spacing w:before="62" w:beforeLines="20" w:after="62" w:afterLines="20" w:line="560" w:lineRule="exact"/>
        <w:rPr>
          <w:rFonts w:eastAsia="仿宋_GB2312"/>
          <w:sz w:val="32"/>
        </w:rPr>
      </w:pPr>
      <w:bookmarkStart w:id="821" w:name="_Toc7801"/>
      <w:bookmarkStart w:id="822" w:name="_Toc13176"/>
      <w:r>
        <w:rPr>
          <w:rFonts w:hint="eastAsia" w:eastAsia="仿宋_GB2312"/>
          <w:sz w:val="32"/>
        </w:rPr>
        <w:t xml:space="preserve">第二节  </w:t>
      </w:r>
      <w:r>
        <w:rPr>
          <w:rFonts w:eastAsia="仿宋_GB2312"/>
          <w:sz w:val="32"/>
        </w:rPr>
        <w:t>构建山地特色高效农业体系</w:t>
      </w:r>
      <w:bookmarkEnd w:id="821"/>
      <w:bookmarkEnd w:id="822"/>
    </w:p>
    <w:p>
      <w:pPr>
        <w:spacing w:line="560" w:lineRule="exact"/>
        <w:ind w:firstLine="640"/>
      </w:pPr>
      <w:r>
        <w:rPr>
          <w:rFonts w:hint="eastAsia"/>
          <w:bCs/>
          <w:sz w:val="32"/>
          <w:szCs w:val="32"/>
        </w:rPr>
        <w:t>着力稳政策、稳面积、稳产量，持续加大粮油等特色农产品投入和扶持力度，确保粮食安全，确保重要农产品的供给。强化农业产业链、价值链、信息链、创新链等措施，加大高标准农田建设力度，加大农产品仓储物流市场建设力度，加大农业机械化推广力度，加大农业科技创新与推广力度，不断提升农业产业效益。突出示范引领，强力推进国家现代农业园建设，持续推进特色产业小镇建设，布局建设农产品加工产业园，不断完善农产品线上线下市场体系。</w:t>
      </w:r>
    </w:p>
    <w:p>
      <w:pPr>
        <w:pStyle w:val="5"/>
        <w:spacing w:before="62" w:beforeLines="20" w:after="62" w:afterLines="20" w:line="560" w:lineRule="exact"/>
        <w:rPr>
          <w:rFonts w:eastAsia="仿宋_GB2312"/>
          <w:sz w:val="32"/>
        </w:rPr>
      </w:pPr>
      <w:bookmarkStart w:id="823" w:name="_Toc9557"/>
      <w:bookmarkStart w:id="824" w:name="_Toc60584784"/>
      <w:bookmarkStart w:id="825" w:name="_Toc25692"/>
      <w:bookmarkStart w:id="826" w:name="_Toc56242185"/>
      <w:bookmarkStart w:id="827" w:name="_Toc7766"/>
      <w:bookmarkStart w:id="828" w:name="_Toc58444267"/>
      <w:bookmarkStart w:id="829" w:name="_Toc9321"/>
      <w:bookmarkStart w:id="830" w:name="_Toc59993034"/>
      <w:bookmarkStart w:id="831" w:name="_Toc16816"/>
      <w:bookmarkStart w:id="832" w:name="_Toc9768"/>
      <w:bookmarkStart w:id="833" w:name="_Toc2094"/>
      <w:r>
        <w:rPr>
          <w:rFonts w:eastAsia="仿宋_GB2312"/>
          <w:sz w:val="32"/>
        </w:rPr>
        <w:t>第</w:t>
      </w:r>
      <w:r>
        <w:rPr>
          <w:rFonts w:hint="eastAsia" w:eastAsia="仿宋_GB2312"/>
          <w:sz w:val="32"/>
        </w:rPr>
        <w:t>三</w:t>
      </w:r>
      <w:r>
        <w:rPr>
          <w:rFonts w:eastAsia="仿宋_GB2312"/>
          <w:sz w:val="32"/>
        </w:rPr>
        <w:t>节  优化农业产业布局</w:t>
      </w:r>
      <w:bookmarkEnd w:id="823"/>
      <w:bookmarkEnd w:id="824"/>
      <w:bookmarkEnd w:id="825"/>
      <w:bookmarkEnd w:id="826"/>
      <w:bookmarkEnd w:id="827"/>
      <w:bookmarkEnd w:id="828"/>
      <w:bookmarkEnd w:id="829"/>
      <w:bookmarkEnd w:id="830"/>
      <w:bookmarkEnd w:id="831"/>
      <w:bookmarkEnd w:id="832"/>
      <w:bookmarkEnd w:id="833"/>
    </w:p>
    <w:p>
      <w:pPr>
        <w:spacing w:line="560" w:lineRule="exact"/>
        <w:ind w:firstLine="640"/>
        <w:rPr>
          <w:sz w:val="32"/>
          <w:szCs w:val="32"/>
        </w:rPr>
      </w:pPr>
      <w:r>
        <w:rPr>
          <w:rFonts w:hint="eastAsia"/>
          <w:bCs/>
          <w:sz w:val="32"/>
          <w:szCs w:val="32"/>
        </w:rPr>
        <w:t>按照“小规模、多品种、高品质、好价钱”方向，大力发展现代山地特色高效农业，提升优质农产品供给能力。以保障粮食安全为前提，毫不放松抓好粮食生产，实施“藏粮于地、藏粮于技”战略。加快形成“一园两区三带四个五化”的“12345”产业布局。“一园”即国家级奉节县现代农业产业园，强化全产业链制度体系及标准化建设，发展国内一流、世界领先的现代脐橙产业，打造中国脐橙奉节典范。“两区”即城郊和兴隆镇2个农旅融合区，结合全域旅游，促进农旅产业融合发展。“三带”即低山特色脐橙产业带、中山特色经果林产业带和高山特色蔬菜药材产业带。优化农业产业结构，继续调减低效作物种植面积，增加白茶、中药材等高效作物种植比重，实施以高标准农田建设为代表的绿色农业提升工程。</w:t>
      </w:r>
      <w:r>
        <w:rPr>
          <w:rFonts w:hint="eastAsia"/>
          <w:sz w:val="32"/>
          <w:szCs w:val="32"/>
        </w:rPr>
        <w:t>全面构建现代畜禽养殖产业体系，建立健全稳定动物防疫体系，加快构建加工流通体系，持续推动绿色循环发展。依托山地特点因地制宜发展林下经济，采用种养结合模式，探索发展林</w:t>
      </w:r>
      <w:r>
        <w:rPr>
          <w:sz w:val="32"/>
          <w:szCs w:val="32"/>
        </w:rPr>
        <w:t>-菜模式</w:t>
      </w:r>
      <w:r>
        <w:rPr>
          <w:rFonts w:hint="eastAsia"/>
          <w:sz w:val="32"/>
          <w:szCs w:val="32"/>
        </w:rPr>
        <w:t>、林</w:t>
      </w:r>
      <w:r>
        <w:rPr>
          <w:sz w:val="32"/>
          <w:szCs w:val="32"/>
        </w:rPr>
        <w:t>-</w:t>
      </w:r>
      <w:r>
        <w:rPr>
          <w:rFonts w:hint="eastAsia"/>
          <w:sz w:val="32"/>
          <w:szCs w:val="32"/>
        </w:rPr>
        <w:t>药模式、</w:t>
      </w:r>
      <w:r>
        <w:rPr>
          <w:sz w:val="32"/>
          <w:szCs w:val="32"/>
        </w:rPr>
        <w:t>林</w:t>
      </w:r>
      <w:r>
        <w:rPr>
          <w:rFonts w:hint="eastAsia"/>
          <w:sz w:val="32"/>
          <w:szCs w:val="32"/>
        </w:rPr>
        <w:t>-</w:t>
      </w:r>
      <w:r>
        <w:rPr>
          <w:sz w:val="32"/>
          <w:szCs w:val="32"/>
        </w:rPr>
        <w:t>禽模式和林</w:t>
      </w:r>
      <w:r>
        <w:rPr>
          <w:rFonts w:hint="eastAsia"/>
          <w:sz w:val="32"/>
          <w:szCs w:val="32"/>
        </w:rPr>
        <w:t>-</w:t>
      </w:r>
      <w:r>
        <w:rPr>
          <w:sz w:val="32"/>
          <w:szCs w:val="32"/>
        </w:rPr>
        <w:t>畜模式</w:t>
      </w:r>
      <w:r>
        <w:rPr>
          <w:rFonts w:hint="eastAsia"/>
          <w:sz w:val="32"/>
          <w:szCs w:val="32"/>
        </w:rPr>
        <w:t>，散养香猪、走地鸡、笨鹅等畜禽。</w:t>
      </w:r>
      <w:r>
        <w:rPr>
          <w:rFonts w:hint="eastAsia"/>
          <w:bCs/>
          <w:sz w:val="32"/>
          <w:szCs w:val="32"/>
        </w:rPr>
        <w:t>海拔600米以下区域进一步优化低山特色脐橙产业；海拔600－1000米之间区域，重点发展以木本油料、白茶、蚕桑、脆李为主的中山特色经果林产业；海拔1000米以上区域重点发展以畜牧、中药材、高山蔬菜、烟叶为主的高山特色产业。建设标准农业、品质农业、品牌农业、智慧农业“四个农业”。</w:t>
      </w:r>
      <w:r>
        <w:rPr>
          <w:rFonts w:hint="eastAsia"/>
          <w:sz w:val="32"/>
          <w:szCs w:val="32"/>
        </w:rPr>
        <w:t xml:space="preserve">提高农业经济质量效益和核心竞争力，推进农业组织化、标准化、市场化、品牌化、智慧化“五化现代农业”。 </w:t>
      </w:r>
    </w:p>
    <w:p>
      <w:pPr>
        <w:pStyle w:val="5"/>
        <w:spacing w:before="62" w:beforeLines="20" w:after="62" w:afterLines="20" w:line="560" w:lineRule="exact"/>
        <w:rPr>
          <w:rFonts w:eastAsia="仿宋_GB2312"/>
          <w:sz w:val="32"/>
        </w:rPr>
      </w:pPr>
      <w:bookmarkStart w:id="834" w:name="_Toc59993035"/>
      <w:bookmarkStart w:id="835" w:name="_Toc58444268"/>
      <w:bookmarkStart w:id="836" w:name="_Toc14222"/>
      <w:bookmarkStart w:id="837" w:name="_Toc15175"/>
      <w:bookmarkStart w:id="838" w:name="_Toc56242186"/>
      <w:bookmarkStart w:id="839" w:name="_Toc23485"/>
      <w:bookmarkStart w:id="840" w:name="_Toc27653"/>
      <w:bookmarkStart w:id="841" w:name="_Toc12089"/>
      <w:bookmarkStart w:id="842" w:name="_Toc25172"/>
      <w:bookmarkStart w:id="843" w:name="_Toc10554"/>
      <w:bookmarkStart w:id="844" w:name="_Toc60584785"/>
      <w:r>
        <w:rPr>
          <w:rFonts w:eastAsia="仿宋_GB2312"/>
          <w:sz w:val="32"/>
        </w:rPr>
        <w:t>第</w:t>
      </w:r>
      <w:r>
        <w:rPr>
          <w:rFonts w:hint="eastAsia" w:eastAsia="仿宋_GB2312"/>
          <w:sz w:val="32"/>
        </w:rPr>
        <w:t>四</w:t>
      </w:r>
      <w:r>
        <w:rPr>
          <w:rFonts w:eastAsia="仿宋_GB2312"/>
          <w:sz w:val="32"/>
        </w:rPr>
        <w:t>节  推进</w:t>
      </w:r>
      <w:r>
        <w:rPr>
          <w:rFonts w:hint="eastAsia" w:eastAsia="仿宋_GB2312"/>
          <w:sz w:val="32"/>
          <w:lang w:eastAsia="zh-CN"/>
        </w:rPr>
        <w:t>一二三产业融合</w:t>
      </w:r>
      <w:r>
        <w:rPr>
          <w:rFonts w:eastAsia="仿宋_GB2312"/>
          <w:sz w:val="32"/>
        </w:rPr>
        <w:t>发展</w:t>
      </w:r>
      <w:bookmarkEnd w:id="834"/>
      <w:bookmarkEnd w:id="835"/>
      <w:bookmarkEnd w:id="836"/>
      <w:bookmarkEnd w:id="837"/>
      <w:bookmarkEnd w:id="838"/>
      <w:bookmarkEnd w:id="839"/>
      <w:bookmarkEnd w:id="840"/>
      <w:bookmarkEnd w:id="841"/>
      <w:bookmarkEnd w:id="842"/>
      <w:bookmarkEnd w:id="843"/>
      <w:bookmarkEnd w:id="844"/>
    </w:p>
    <w:p>
      <w:pPr>
        <w:spacing w:line="560" w:lineRule="exact"/>
        <w:ind w:firstLine="640"/>
        <w:rPr>
          <w:sz w:val="32"/>
          <w:szCs w:val="32"/>
        </w:rPr>
      </w:pPr>
      <w:r>
        <w:rPr>
          <w:rFonts w:hint="eastAsia"/>
          <w:sz w:val="32"/>
          <w:szCs w:val="32"/>
        </w:rPr>
        <w:t>推进创新主体融合。构建政府引导、农民主体、企业引领、科研协同、金融助力的发展格局，积极发展以产业园、融合园等集聚载体为单元，龙头企业与基地农民分工明确、优势互补、风险共担、利益共享的产业化联合体，不断提升农业标准化和组织化程度。加快完善供销联社五大体系建设，促进“三社”融合发展，助推农业产业发展。</w:t>
      </w:r>
    </w:p>
    <w:p>
      <w:pPr>
        <w:spacing w:line="560" w:lineRule="exact"/>
        <w:ind w:firstLine="640"/>
        <w:rPr>
          <w:sz w:val="32"/>
          <w:szCs w:val="32"/>
        </w:rPr>
      </w:pPr>
      <w:r>
        <w:rPr>
          <w:rFonts w:hint="eastAsia"/>
          <w:sz w:val="32"/>
          <w:szCs w:val="32"/>
        </w:rPr>
        <w:t>务实推进业态融合。以加工流通带动业态融合，建设农产品产地运输通道和营销服务平台，试点实施农产品仓储保鲜冷链物流设施建设工程，结合电子商务发展健全标准体系和物流体系，引导和大力发展直供直销、会员农业、专卖店等业态。以功能拓展带动业态融合，拓展现代农业产业园、融合园、特色经营主体的观光、休闲和体验等功能。以信息技术带动业态融合，发展数字农业、智慧农业、信任农业、认养农业、可视农业等业态。</w:t>
      </w:r>
      <w:r>
        <w:rPr>
          <w:rFonts w:hint="eastAsia"/>
          <w:sz w:val="32"/>
          <w:szCs w:val="24"/>
        </w:rPr>
        <w:t>推进农业大数据平台建设，加快推广数字脐橙、智能养蚕等技术，发挥“村播计划”示范县优势，打造特色农产品直播基地。</w:t>
      </w:r>
    </w:p>
    <w:p>
      <w:pPr>
        <w:spacing w:line="560" w:lineRule="exact"/>
        <w:ind w:firstLine="640"/>
        <w:rPr>
          <w:sz w:val="32"/>
          <w:szCs w:val="32"/>
        </w:rPr>
      </w:pPr>
      <w:r>
        <w:rPr>
          <w:rFonts w:hint="eastAsia"/>
          <w:sz w:val="32"/>
          <w:szCs w:val="32"/>
        </w:rPr>
        <w:t>搭建产业融合载体。以资源集聚区和物流节点为重点，培育生产、加工、流通、物流、体验、品牌、电商于一体的产业集群，加快融入重庆市优势特色产业集群，</w:t>
      </w:r>
      <w:r>
        <w:rPr>
          <w:rFonts w:hint="eastAsia"/>
          <w:sz w:val="32"/>
          <w:szCs w:val="24"/>
        </w:rPr>
        <w:t>以标准农业、品质农业、品牌农业、智慧农业为方向，以国家级现代农业产业园为引领，争创一批市、县级现代农业园区，提高农业质量效益和品牌竞争力。培育发展农业龙头企业，加快发展休闲农业、乡村旅游、农村电商，拓展农民增收空间。推动农业产业“接二连三”，提升产品附加值。</w:t>
      </w:r>
    </w:p>
    <w:p>
      <w:pPr>
        <w:pStyle w:val="5"/>
        <w:spacing w:before="62" w:beforeLines="20" w:after="62" w:afterLines="20" w:line="560" w:lineRule="exact"/>
        <w:rPr>
          <w:rFonts w:eastAsia="仿宋_GB2312"/>
          <w:sz w:val="32"/>
        </w:rPr>
      </w:pPr>
      <w:bookmarkStart w:id="845" w:name="_Toc15975"/>
      <w:bookmarkStart w:id="846" w:name="_Toc59993036"/>
      <w:bookmarkStart w:id="847" w:name="_Toc31626"/>
      <w:bookmarkStart w:id="848" w:name="_Toc60584786"/>
      <w:bookmarkStart w:id="849" w:name="_Toc31828"/>
      <w:bookmarkStart w:id="850" w:name="_Toc9086"/>
      <w:bookmarkStart w:id="851" w:name="_Toc56242187"/>
      <w:bookmarkStart w:id="852" w:name="_Toc11852"/>
      <w:bookmarkStart w:id="853" w:name="_Toc58444269"/>
      <w:bookmarkStart w:id="854" w:name="_Toc21331"/>
      <w:bookmarkStart w:id="855" w:name="_Toc9558"/>
      <w:r>
        <w:rPr>
          <w:rFonts w:eastAsia="仿宋_GB2312"/>
          <w:sz w:val="32"/>
        </w:rPr>
        <w:t>第</w:t>
      </w:r>
      <w:r>
        <w:rPr>
          <w:rFonts w:hint="eastAsia" w:eastAsia="仿宋_GB2312"/>
          <w:sz w:val="32"/>
        </w:rPr>
        <w:t>五</w:t>
      </w:r>
      <w:r>
        <w:rPr>
          <w:rFonts w:eastAsia="仿宋_GB2312"/>
          <w:sz w:val="32"/>
        </w:rPr>
        <w:t>节  提升农产品市场竞争力</w:t>
      </w:r>
      <w:bookmarkEnd w:id="845"/>
      <w:bookmarkEnd w:id="846"/>
      <w:bookmarkEnd w:id="847"/>
      <w:bookmarkEnd w:id="848"/>
      <w:bookmarkEnd w:id="849"/>
      <w:bookmarkEnd w:id="850"/>
      <w:bookmarkEnd w:id="851"/>
      <w:bookmarkEnd w:id="852"/>
      <w:bookmarkEnd w:id="853"/>
      <w:bookmarkEnd w:id="854"/>
      <w:bookmarkEnd w:id="855"/>
    </w:p>
    <w:p>
      <w:pPr>
        <w:spacing w:line="560" w:lineRule="exact"/>
        <w:ind w:firstLine="640"/>
        <w:rPr>
          <w:sz w:val="32"/>
          <w:szCs w:val="32"/>
        </w:rPr>
      </w:pPr>
      <w:r>
        <w:rPr>
          <w:rFonts w:hint="eastAsia"/>
          <w:sz w:val="32"/>
          <w:szCs w:val="32"/>
        </w:rPr>
        <w:t>保护和利用好奉节脐橙区域公共品牌，壮大农业区域公共品牌。加快推进绿色食品、有机食品、农产品地理标志认证，创建一批特色突出、特性鲜明的农业区域公用品牌。以企业为主力军，加强商标注册和品牌培育，培育一批企业品牌和产品品牌。积极开展“两品一标”认证，加快形成一批具有较强国际竞争力的品牌产品和驰（著）名商标。以特色产业为依托，加快培育有一定规模的企业做好品牌营销。强化农户和涉农企业的品牌意识，积极培育品牌文化，引导和帮助企业扩大广告宣传，讲好品牌故事。</w:t>
      </w:r>
    </w:p>
    <w:tbl>
      <w:tblPr>
        <w:tblStyle w:val="27"/>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Borders>
              <w:top w:val="single" w:color="auto" w:sz="4" w:space="0"/>
              <w:left w:val="single" w:color="auto" w:sz="4" w:space="0"/>
              <w:bottom w:val="single" w:color="auto" w:sz="4" w:space="0"/>
              <w:right w:val="single" w:color="auto" w:sz="4" w:space="0"/>
            </w:tcBorders>
          </w:tcPr>
          <w:p>
            <w:pPr>
              <w:widowControl/>
              <w:spacing w:line="560" w:lineRule="exact"/>
              <w:ind w:firstLine="0" w:firstLineChars="0"/>
              <w:jc w:val="center"/>
              <w:rPr>
                <w:rFonts w:eastAsia="黑体"/>
                <w:b/>
                <w:kern w:val="0"/>
                <w:szCs w:val="28"/>
              </w:rPr>
            </w:pPr>
            <w:r>
              <w:rPr>
                <w:rFonts w:hint="eastAsia" w:eastAsia="黑体"/>
                <w:bCs/>
                <w:kern w:val="0"/>
                <w:szCs w:val="28"/>
              </w:rPr>
              <w:t>专栏十一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Borders>
              <w:top w:val="single" w:color="auto" w:sz="4" w:space="0"/>
              <w:left w:val="single" w:color="auto" w:sz="4" w:space="0"/>
              <w:bottom w:val="single" w:color="auto" w:sz="4" w:space="0"/>
              <w:right w:val="single" w:color="auto" w:sz="4" w:space="0"/>
            </w:tcBorders>
            <w:shd w:val="clear" w:color="auto" w:fill="auto"/>
          </w:tcPr>
          <w:p>
            <w:pPr>
              <w:spacing w:line="560" w:lineRule="exact"/>
              <w:ind w:firstLine="562"/>
              <w:rPr>
                <w:szCs w:val="28"/>
              </w:rPr>
            </w:pPr>
            <w:r>
              <w:rPr>
                <w:rFonts w:hint="eastAsia"/>
                <w:b/>
                <w:bCs/>
                <w:szCs w:val="28"/>
              </w:rPr>
              <w:t>1.现代农业产业园。</w:t>
            </w:r>
            <w:r>
              <w:rPr>
                <w:rFonts w:hint="eastAsia"/>
                <w:szCs w:val="28"/>
              </w:rPr>
              <w:t>创建一批国家、省、市和县级现代农业产业园，强化科技支撑，改善设施装备，促进产业融合，创新体制机制，推进可持续发展，提高现代农业发展质量效益和竞争力。</w:t>
            </w:r>
          </w:p>
          <w:p>
            <w:pPr>
              <w:spacing w:line="560" w:lineRule="exact"/>
              <w:ind w:firstLine="562"/>
              <w:rPr>
                <w:szCs w:val="28"/>
              </w:rPr>
            </w:pPr>
            <w:r>
              <w:rPr>
                <w:rFonts w:hint="eastAsia"/>
                <w:b/>
                <w:bCs/>
                <w:szCs w:val="28"/>
              </w:rPr>
              <w:t>2.高标准农田。</w:t>
            </w:r>
            <w:r>
              <w:rPr>
                <w:rFonts w:hint="eastAsia"/>
                <w:szCs w:val="28"/>
              </w:rPr>
              <w:t>确保全县新建高标准农田28.5万亩以上。按照“七化”，即宜机化、水利化、生态化、园田化、标准化、规模化、智能化目标进行规划设计，全力建设集中连片、旱涝保收、节水高效、稳产高产、生态友好的高标准农田。</w:t>
            </w:r>
          </w:p>
          <w:p>
            <w:pPr>
              <w:spacing w:line="560" w:lineRule="exact"/>
              <w:ind w:firstLine="562"/>
              <w:rPr>
                <w:szCs w:val="28"/>
              </w:rPr>
            </w:pPr>
            <w:r>
              <w:rPr>
                <w:rFonts w:hint="eastAsia"/>
                <w:b/>
                <w:bCs/>
                <w:szCs w:val="28"/>
              </w:rPr>
              <w:t>3.农业产业发展。</w:t>
            </w:r>
            <w:r>
              <w:rPr>
                <w:rFonts w:hint="eastAsia"/>
                <w:szCs w:val="28"/>
              </w:rPr>
              <w:t>以保障粮食安全为前提，发展山地特色高效农业，按照“三带”产业布局，提质增效发展脐橙、</w:t>
            </w:r>
            <w:r>
              <w:rPr>
                <w:rFonts w:hint="eastAsia"/>
                <w:bCs/>
                <w:szCs w:val="28"/>
              </w:rPr>
              <w:t>木本油料</w:t>
            </w:r>
            <w:r>
              <w:rPr>
                <w:rFonts w:hint="eastAsia"/>
                <w:szCs w:val="28"/>
              </w:rPr>
              <w:t>、中药材、桑蚕、烟叶等已有较好基础的产业，增量扩面发展生猪、白茶、花椒等产业。</w:t>
            </w:r>
          </w:p>
          <w:p>
            <w:pPr>
              <w:spacing w:line="560" w:lineRule="exact"/>
              <w:ind w:firstLine="562"/>
              <w:rPr>
                <w:szCs w:val="28"/>
              </w:rPr>
            </w:pPr>
            <w:r>
              <w:rPr>
                <w:rFonts w:hint="eastAsia"/>
                <w:b/>
                <w:bCs/>
                <w:szCs w:val="28"/>
              </w:rPr>
              <w:t>4.智慧农业。</w:t>
            </w:r>
            <w:r>
              <w:rPr>
                <w:rFonts w:hint="eastAsia"/>
                <w:szCs w:val="28"/>
              </w:rPr>
              <w:t>推动生猪、蛋鸡、蚕桑、蔬菜、果树等重点产业生产和加工环节智能化；支持农业智能监测、生产设备、病虫防控设备的购置；推动益农信息社常态化运营；提升数字化管理和线上服务水平。</w:t>
            </w:r>
          </w:p>
          <w:p>
            <w:pPr>
              <w:spacing w:line="560" w:lineRule="exact"/>
              <w:ind w:firstLine="562"/>
              <w:rPr>
                <w:b/>
                <w:szCs w:val="28"/>
              </w:rPr>
            </w:pPr>
            <w:r>
              <w:rPr>
                <w:rFonts w:hint="eastAsia"/>
                <w:b/>
                <w:bCs/>
                <w:szCs w:val="28"/>
              </w:rPr>
              <w:t>5.</w:t>
            </w:r>
            <w:r>
              <w:rPr>
                <w:rFonts w:hint="eastAsia"/>
                <w:b/>
                <w:bCs/>
                <w:szCs w:val="28"/>
                <w:lang w:eastAsia="zh-CN"/>
              </w:rPr>
              <w:t>一二三产业融合</w:t>
            </w:r>
            <w:r>
              <w:rPr>
                <w:rFonts w:hint="eastAsia"/>
                <w:b/>
                <w:bCs/>
                <w:szCs w:val="28"/>
              </w:rPr>
              <w:t>发展。</w:t>
            </w:r>
            <w:r>
              <w:rPr>
                <w:rFonts w:hint="eastAsia"/>
                <w:szCs w:val="28"/>
              </w:rPr>
              <w:t>积极发展农产品加工业和农业生产性服务业，建设甲高三峡之巅特级初榨橄榄油厂，建设牛羊猪屠宰及肉制品精深加工厂，提升加工物流设施装备，延长优势产业链条，完善商贸物流设施，建设奉节县万吨冷库建设项目，拓展农业多种功能，推进农旅融合发展，打造休闲农业及乡村旅游示范点，围绕农业产业、乡村旅游资源发展乡村旅游，升级交通道路，完善接待设施，规范接待水平。</w:t>
            </w:r>
          </w:p>
        </w:tc>
      </w:tr>
    </w:tbl>
    <w:p>
      <w:pPr>
        <w:spacing w:line="560" w:lineRule="exact"/>
        <w:ind w:firstLine="560"/>
      </w:pPr>
    </w:p>
    <w:p>
      <w:pPr>
        <w:widowControl/>
        <w:ind w:firstLine="0" w:firstLineChars="0"/>
        <w:contextualSpacing w:val="0"/>
        <w:jc w:val="left"/>
        <w:rPr>
          <w:sz w:val="32"/>
          <w:szCs w:val="32"/>
        </w:rPr>
      </w:pPr>
      <w:r>
        <w:rPr>
          <w:sz w:val="32"/>
          <w:szCs w:val="32"/>
        </w:rPr>
        <w:br w:type="page"/>
      </w:r>
    </w:p>
    <w:p>
      <w:pPr>
        <w:pStyle w:val="4"/>
        <w:spacing w:before="156" w:beforeLines="50" w:after="156" w:afterLines="50" w:line="560" w:lineRule="exact"/>
        <w:rPr>
          <w:rFonts w:ascii="Times New Roman" w:hAnsi="Times New Roman" w:cs="Times New Roman"/>
          <w:b w:val="0"/>
          <w:bCs w:val="0"/>
          <w:sz w:val="32"/>
        </w:rPr>
      </w:pPr>
      <w:bookmarkStart w:id="856" w:name="_Toc21101"/>
      <w:bookmarkStart w:id="857" w:name="_Toc26122"/>
      <w:r>
        <w:rPr>
          <w:rFonts w:hint="eastAsia" w:ascii="Times New Roman" w:hAnsi="Times New Roman" w:cs="Times New Roman"/>
          <w:b w:val="0"/>
          <w:bCs w:val="0"/>
          <w:sz w:val="32"/>
        </w:rPr>
        <w:t xml:space="preserve">第二十八章 </w:t>
      </w:r>
      <w:bookmarkEnd w:id="809"/>
      <w:bookmarkEnd w:id="810"/>
      <w:bookmarkEnd w:id="811"/>
      <w:r>
        <w:rPr>
          <w:rFonts w:hint="eastAsia" w:ascii="Times New Roman" w:hAnsi="Times New Roman" w:cs="Times New Roman"/>
          <w:b w:val="0"/>
          <w:bCs w:val="0"/>
          <w:sz w:val="32"/>
        </w:rPr>
        <w:t xml:space="preserve"> 改善农村人居环境</w:t>
      </w:r>
      <w:bookmarkEnd w:id="812"/>
      <w:bookmarkEnd w:id="813"/>
      <w:bookmarkEnd w:id="814"/>
      <w:bookmarkEnd w:id="815"/>
      <w:bookmarkEnd w:id="816"/>
      <w:bookmarkEnd w:id="817"/>
      <w:bookmarkEnd w:id="818"/>
      <w:bookmarkEnd w:id="856"/>
      <w:bookmarkEnd w:id="857"/>
    </w:p>
    <w:p>
      <w:pPr>
        <w:spacing w:line="560" w:lineRule="exact"/>
        <w:ind w:firstLine="640"/>
        <w:rPr>
          <w:bCs/>
          <w:sz w:val="32"/>
          <w:szCs w:val="32"/>
        </w:rPr>
      </w:pPr>
      <w:r>
        <w:rPr>
          <w:rFonts w:hint="eastAsia"/>
          <w:bCs/>
          <w:sz w:val="32"/>
          <w:szCs w:val="32"/>
        </w:rPr>
        <w:t>以保障农民基本生活条件为底线，以村庄环境整治为重点，稳步推进宜居乡村建设，保护和修复自然环境和田园景观，强化历史文化名村、传统村落和民居的保护监管，发展休闲农业、乡村旅游、文化创意等产业，全面改善农村生产生活条件。</w:t>
      </w:r>
    </w:p>
    <w:p>
      <w:pPr>
        <w:pStyle w:val="5"/>
        <w:spacing w:before="62" w:beforeLines="20" w:after="62" w:afterLines="20" w:line="560" w:lineRule="exact"/>
        <w:rPr>
          <w:rFonts w:eastAsia="仿宋_GB2312"/>
          <w:sz w:val="32"/>
        </w:rPr>
      </w:pPr>
      <w:bookmarkStart w:id="858" w:name="_Toc26690"/>
      <w:bookmarkStart w:id="859" w:name="_Toc11650"/>
      <w:bookmarkStart w:id="860" w:name="_Toc20378"/>
      <w:bookmarkStart w:id="861" w:name="_Toc59993038"/>
      <w:bookmarkStart w:id="862" w:name="_Toc60584788"/>
      <w:bookmarkStart w:id="863" w:name="_Toc18118"/>
      <w:bookmarkStart w:id="864" w:name="_Toc8937"/>
      <w:bookmarkStart w:id="865" w:name="_Toc29730"/>
      <w:r>
        <w:rPr>
          <w:rFonts w:eastAsia="仿宋_GB2312"/>
          <w:sz w:val="32"/>
        </w:rPr>
        <w:t>第一节  加强农村生活环境改善</w:t>
      </w:r>
      <w:bookmarkEnd w:id="858"/>
      <w:bookmarkEnd w:id="859"/>
      <w:bookmarkEnd w:id="860"/>
      <w:bookmarkEnd w:id="861"/>
      <w:bookmarkEnd w:id="862"/>
      <w:bookmarkEnd w:id="863"/>
      <w:bookmarkEnd w:id="864"/>
      <w:bookmarkEnd w:id="865"/>
    </w:p>
    <w:p>
      <w:pPr>
        <w:spacing w:line="560" w:lineRule="exact"/>
        <w:ind w:firstLine="640"/>
        <w:rPr>
          <w:bCs/>
          <w:sz w:val="32"/>
          <w:szCs w:val="32"/>
        </w:rPr>
      </w:pPr>
      <w:r>
        <w:rPr>
          <w:rFonts w:hint="eastAsia"/>
          <w:bCs/>
          <w:sz w:val="32"/>
          <w:szCs w:val="32"/>
        </w:rPr>
        <w:t>实施乡村建设行动，推进农村差异化发展，编制完善村庄规划，保护传统村落和乡村风貌，完善乡村水、电、路、气、通讯、广播电视、物流等基础设施，完善村服务中心，提升农房建设质量。系统开展“清洁家园、和谐邻里”活动，全面提升农村生活质量，推行“三清一改”村庄清洁行动，集中整治村庄环境卫生；加快建设“四好农村路”，建设一批旅游路、产业路、便民路；深入实施农村“厕所革命”，推进农村厕所改造、农村公厕以及旅游公厕建设；健全农村生活垃圾收运处置体系，深化“户集、村收、乡镇转运、区域处理”模式。</w:t>
      </w:r>
    </w:p>
    <w:p>
      <w:pPr>
        <w:pStyle w:val="5"/>
        <w:spacing w:before="62" w:beforeLines="20" w:after="62" w:afterLines="20" w:line="560" w:lineRule="exact"/>
        <w:rPr>
          <w:rFonts w:eastAsia="仿宋_GB2312"/>
          <w:sz w:val="32"/>
        </w:rPr>
      </w:pPr>
      <w:bookmarkStart w:id="866" w:name="_Toc60584789"/>
      <w:bookmarkStart w:id="867" w:name="_Toc59993039"/>
      <w:bookmarkStart w:id="868" w:name="_Toc20628"/>
      <w:bookmarkStart w:id="869" w:name="_Toc22213"/>
      <w:bookmarkStart w:id="870" w:name="_Toc21379"/>
      <w:bookmarkStart w:id="871" w:name="_Toc646"/>
      <w:bookmarkStart w:id="872" w:name="_Toc20434"/>
      <w:bookmarkStart w:id="873" w:name="_Toc13881"/>
      <w:r>
        <w:rPr>
          <w:rFonts w:eastAsia="仿宋_GB2312"/>
          <w:sz w:val="32"/>
        </w:rPr>
        <w:t>第二节  深化农业面源污染防治</w:t>
      </w:r>
      <w:bookmarkEnd w:id="866"/>
      <w:bookmarkEnd w:id="867"/>
      <w:bookmarkEnd w:id="868"/>
      <w:bookmarkEnd w:id="869"/>
      <w:bookmarkEnd w:id="870"/>
      <w:bookmarkEnd w:id="871"/>
      <w:bookmarkEnd w:id="872"/>
      <w:bookmarkEnd w:id="873"/>
    </w:p>
    <w:p>
      <w:pPr>
        <w:spacing w:line="560" w:lineRule="exact"/>
        <w:ind w:firstLine="640"/>
        <w:rPr>
          <w:bCs/>
          <w:sz w:val="32"/>
          <w:szCs w:val="32"/>
        </w:rPr>
      </w:pPr>
      <w:r>
        <w:rPr>
          <w:rFonts w:hint="eastAsia"/>
          <w:bCs/>
          <w:sz w:val="32"/>
          <w:szCs w:val="32"/>
        </w:rPr>
        <w:t>防治种植业环境污染。示范推广生物农药、高效低毒低残留农药，实现农药化肥使用量负增长；推进病虫害统防统治和绿色防控，提高设施农业、经济园艺作物重点区域测土配方施肥覆盖率，加大有机肥替代化肥力度；推进农作物秸秆综合利用，开展区域性秸秆综合利用试点示范；完善废弃农膜和农业投入品包装废弃物回收利用制度。</w:t>
      </w:r>
    </w:p>
    <w:p>
      <w:pPr>
        <w:spacing w:line="560" w:lineRule="exact"/>
        <w:ind w:firstLine="640"/>
      </w:pPr>
      <w:r>
        <w:rPr>
          <w:rFonts w:hint="eastAsia"/>
          <w:bCs/>
          <w:sz w:val="32"/>
          <w:szCs w:val="32"/>
        </w:rPr>
        <w:t>防治养殖业环境污染。严格畜禽养殖和水产养殖禁养区、限养区管理，推进规模化畜禽养殖场污染治理设施建设，发展绿色水产养殖。</w:t>
      </w:r>
    </w:p>
    <w:tbl>
      <w:tblPr>
        <w:tblStyle w:val="27"/>
        <w:tblW w:w="9060"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06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9060" w:type="dxa"/>
          </w:tcPr>
          <w:p>
            <w:pPr>
              <w:widowControl/>
              <w:spacing w:line="560" w:lineRule="exact"/>
              <w:ind w:firstLine="0" w:firstLineChars="0"/>
              <w:jc w:val="center"/>
              <w:rPr>
                <w:rFonts w:eastAsia="黑体"/>
                <w:b/>
                <w:bCs/>
                <w:kern w:val="0"/>
                <w:szCs w:val="28"/>
              </w:rPr>
            </w:pPr>
            <w:r>
              <w:rPr>
                <w:rFonts w:hint="eastAsia" w:eastAsia="黑体"/>
                <w:kern w:val="0"/>
                <w:szCs w:val="28"/>
              </w:rPr>
              <w:t>专栏十二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9060" w:type="dxa"/>
            <w:shd w:val="clear" w:color="auto" w:fill="auto"/>
            <w:vAlign w:val="center"/>
          </w:tcPr>
          <w:p>
            <w:pPr>
              <w:spacing w:line="560" w:lineRule="exact"/>
              <w:ind w:firstLine="562"/>
              <w:rPr>
                <w:bCs/>
                <w:szCs w:val="28"/>
              </w:rPr>
            </w:pPr>
            <w:r>
              <w:rPr>
                <w:rFonts w:hint="eastAsia"/>
                <w:b/>
                <w:szCs w:val="28"/>
              </w:rPr>
              <w:t>1.农村生活环境改善。</w:t>
            </w:r>
            <w:r>
              <w:rPr>
                <w:rFonts w:hint="eastAsia"/>
                <w:bCs/>
                <w:szCs w:val="28"/>
              </w:rPr>
              <w:t>对全县30个乡镇185个行政村，进行农村垃圾治理、厕所粪污治理、生活污水治理、村容村貌提升。</w:t>
            </w:r>
          </w:p>
          <w:p>
            <w:pPr>
              <w:spacing w:line="560" w:lineRule="exact"/>
              <w:ind w:firstLine="562"/>
              <w:rPr>
                <w:bCs/>
                <w:kern w:val="0"/>
                <w:szCs w:val="28"/>
              </w:rPr>
            </w:pPr>
            <w:r>
              <w:rPr>
                <w:rFonts w:hint="eastAsia"/>
                <w:b/>
                <w:szCs w:val="28"/>
              </w:rPr>
              <w:t>2.农业面源污染防治。</w:t>
            </w:r>
            <w:r>
              <w:rPr>
                <w:rFonts w:hint="eastAsia"/>
                <w:bCs/>
                <w:szCs w:val="28"/>
              </w:rPr>
              <w:t>建设长江沿岸农药减量使用示范片，用果菜茶有机肥替代化肥，推动长江经济带化肥减量行动；开展梅溪河、新民河流域的农业面源污染综合治理；高标准改建畜禽圈舍10万㎡，对规模养殖场进行粪污综合利用。</w:t>
            </w:r>
          </w:p>
        </w:tc>
      </w:tr>
    </w:tbl>
    <w:p>
      <w:pPr>
        <w:pStyle w:val="4"/>
        <w:spacing w:before="156" w:beforeLines="50" w:after="156" w:afterLines="50" w:line="560" w:lineRule="exact"/>
        <w:rPr>
          <w:rFonts w:ascii="Times New Roman" w:hAnsi="Times New Roman" w:cs="Times New Roman"/>
          <w:b w:val="0"/>
          <w:bCs w:val="0"/>
          <w:sz w:val="32"/>
        </w:rPr>
      </w:pPr>
      <w:bookmarkStart w:id="874" w:name="_Toc17905"/>
      <w:bookmarkStart w:id="875" w:name="_Toc32488"/>
      <w:bookmarkStart w:id="876" w:name="_Toc59993040"/>
      <w:bookmarkStart w:id="877" w:name="_Toc60584790"/>
      <w:bookmarkStart w:id="878" w:name="_Toc6280"/>
      <w:bookmarkStart w:id="879" w:name="_Toc19614"/>
      <w:bookmarkStart w:id="880" w:name="_Toc1119"/>
      <w:bookmarkStart w:id="881" w:name="_Toc6497"/>
      <w:bookmarkStart w:id="882" w:name="_Toc8169"/>
      <w:bookmarkStart w:id="883" w:name="_Toc13930"/>
      <w:r>
        <w:rPr>
          <w:rFonts w:hint="eastAsia" w:ascii="Times New Roman" w:hAnsi="Times New Roman" w:cs="Times New Roman"/>
          <w:b w:val="0"/>
          <w:bCs w:val="0"/>
          <w:sz w:val="32"/>
        </w:rPr>
        <w:t xml:space="preserve">第二十九章  </w:t>
      </w:r>
      <w:bookmarkEnd w:id="874"/>
      <w:r>
        <w:rPr>
          <w:rFonts w:hint="eastAsia" w:ascii="Times New Roman" w:hAnsi="Times New Roman" w:cs="Times New Roman"/>
          <w:b w:val="0"/>
          <w:bCs w:val="0"/>
          <w:sz w:val="32"/>
        </w:rPr>
        <w:t>健全乡村治理新体系</w:t>
      </w:r>
      <w:bookmarkEnd w:id="875"/>
      <w:bookmarkEnd w:id="876"/>
      <w:bookmarkEnd w:id="877"/>
      <w:bookmarkEnd w:id="878"/>
      <w:bookmarkEnd w:id="879"/>
      <w:bookmarkEnd w:id="880"/>
      <w:bookmarkEnd w:id="881"/>
      <w:bookmarkEnd w:id="882"/>
      <w:bookmarkEnd w:id="883"/>
    </w:p>
    <w:p>
      <w:pPr>
        <w:spacing w:line="560" w:lineRule="exact"/>
        <w:ind w:firstLine="640"/>
        <w:rPr>
          <w:bCs/>
          <w:sz w:val="32"/>
          <w:szCs w:val="32"/>
        </w:rPr>
      </w:pPr>
      <w:r>
        <w:rPr>
          <w:rFonts w:hint="eastAsia"/>
          <w:bCs/>
          <w:sz w:val="32"/>
          <w:szCs w:val="32"/>
        </w:rPr>
        <w:t>推进乡村治理体系和治理能力现代化，建立健全党委领导、政府负责、社会协同、公众参与、法治保障的现代乡村社会治理体制。</w:t>
      </w:r>
    </w:p>
    <w:p>
      <w:pPr>
        <w:pStyle w:val="5"/>
        <w:spacing w:before="62" w:beforeLines="20" w:after="62" w:afterLines="20" w:line="560" w:lineRule="exact"/>
        <w:rPr>
          <w:rFonts w:eastAsia="仿宋_GB2312"/>
          <w:sz w:val="32"/>
        </w:rPr>
      </w:pPr>
      <w:bookmarkStart w:id="884" w:name="_Toc20269"/>
      <w:bookmarkStart w:id="885" w:name="_Toc60584791"/>
      <w:bookmarkStart w:id="886" w:name="_Toc4126"/>
      <w:bookmarkStart w:id="887" w:name="_Toc2669"/>
      <w:bookmarkStart w:id="888" w:name="_Toc2626"/>
      <w:bookmarkStart w:id="889" w:name="_Toc4870"/>
      <w:bookmarkStart w:id="890" w:name="_Toc15606"/>
      <w:bookmarkStart w:id="891" w:name="_Toc59993041"/>
      <w:r>
        <w:rPr>
          <w:rFonts w:eastAsia="仿宋_GB2312"/>
          <w:sz w:val="32"/>
        </w:rPr>
        <w:t>第一节  完善村民自治机制</w:t>
      </w:r>
      <w:bookmarkEnd w:id="884"/>
      <w:bookmarkEnd w:id="885"/>
      <w:bookmarkEnd w:id="886"/>
      <w:bookmarkEnd w:id="887"/>
      <w:bookmarkEnd w:id="888"/>
      <w:bookmarkEnd w:id="889"/>
      <w:bookmarkEnd w:id="890"/>
      <w:bookmarkEnd w:id="891"/>
    </w:p>
    <w:p>
      <w:pPr>
        <w:spacing w:line="560" w:lineRule="exact"/>
        <w:ind w:firstLine="640"/>
        <w:rPr>
          <w:bCs/>
          <w:sz w:val="32"/>
          <w:szCs w:val="32"/>
        </w:rPr>
      </w:pPr>
      <w:r>
        <w:rPr>
          <w:rFonts w:hint="eastAsia"/>
          <w:bCs/>
          <w:sz w:val="32"/>
          <w:szCs w:val="32"/>
        </w:rPr>
        <w:t>村民自治在乡村治理体系中处于基础性地位，发挥着主体性、根本性作用。坚持自治为基，制定完善并充分发挥自治章程、村规民约在农村基层治理中的独特功能，根据实际组建红白理事会、管水协会、管路协会、清洁家园理事会、乡贤议事会等社区社会组织。进一步健全村务监督委员会，推行村级事务阳光运行。依托村民会议、村民代表会议、村民议事会、村民理事会、村民监事会等，形成民事民议、民事民办、民事民管的多层次基层协商格局。实施乡风文明培育行动，积极培育和践行社会主义核心价值观，新时代文明实践积分银行实现全覆盖并有效运行，营造健康向上的文化环境，传承农村优秀传统文化。推动乡村治理重心下移，尽可能把资源、服务、管理下放到基层，继续开展以村民小组或自然村为基本单元的村民自治试点工作，健全和创新村党组织领导的充满活力的村民自治机制。</w:t>
      </w:r>
    </w:p>
    <w:p>
      <w:pPr>
        <w:pStyle w:val="5"/>
        <w:spacing w:before="62" w:beforeLines="20" w:after="62" w:afterLines="20" w:line="560" w:lineRule="exact"/>
        <w:rPr>
          <w:rFonts w:eastAsia="仿宋_GB2312"/>
          <w:sz w:val="32"/>
        </w:rPr>
      </w:pPr>
      <w:bookmarkStart w:id="892" w:name="_Toc60584792"/>
      <w:bookmarkStart w:id="893" w:name="_Toc32576"/>
      <w:bookmarkStart w:id="894" w:name="_Toc59993042"/>
      <w:bookmarkStart w:id="895" w:name="_Toc11354"/>
      <w:bookmarkStart w:id="896" w:name="_Toc26426"/>
      <w:bookmarkStart w:id="897" w:name="_Toc20147"/>
      <w:bookmarkStart w:id="898" w:name="_Toc16870"/>
      <w:bookmarkStart w:id="899" w:name="_Toc29706"/>
      <w:r>
        <w:rPr>
          <w:rFonts w:eastAsia="仿宋_GB2312"/>
          <w:sz w:val="32"/>
        </w:rPr>
        <w:t>第二节  加强村级权力有效监督</w:t>
      </w:r>
      <w:bookmarkEnd w:id="892"/>
      <w:bookmarkEnd w:id="893"/>
      <w:bookmarkEnd w:id="894"/>
      <w:bookmarkEnd w:id="895"/>
      <w:bookmarkEnd w:id="896"/>
      <w:bookmarkEnd w:id="897"/>
      <w:bookmarkEnd w:id="898"/>
      <w:bookmarkEnd w:id="899"/>
    </w:p>
    <w:p>
      <w:pPr>
        <w:spacing w:line="560" w:lineRule="exact"/>
        <w:ind w:firstLine="640"/>
        <w:rPr>
          <w:bCs/>
          <w:sz w:val="32"/>
          <w:szCs w:val="32"/>
        </w:rPr>
      </w:pPr>
      <w:r>
        <w:rPr>
          <w:rFonts w:hint="eastAsia"/>
          <w:bCs/>
          <w:sz w:val="32"/>
          <w:szCs w:val="32"/>
        </w:rPr>
        <w:t>加强村级民主监督组织建设，是进一步加强基层民主政治建设、推动农村党风廉政建设、维护基层稳定的重要保障。充分发挥村务监督委员会作用，加强村级民主监督。进一步推进村务公开建设，坚持强化四访四议、公示公开，组织并引导村民参与到乡村治理中来，在完善民主选举的基础上，规范民主决策机制，主动接受民主监督，通畅村民与基层党组织和政府的沟通渠道。创新村民议事形式，完善议事决策主体和程序，落实群众知情权和决策权。加强乡村法律服务供给，为推进平安乡村、法治乡村建设提供法治保障。</w:t>
      </w:r>
    </w:p>
    <w:p>
      <w:pPr>
        <w:pStyle w:val="5"/>
        <w:spacing w:before="62" w:beforeLines="20" w:after="62" w:afterLines="20" w:line="560" w:lineRule="exact"/>
        <w:rPr>
          <w:rFonts w:eastAsia="仿宋_GB2312"/>
          <w:sz w:val="32"/>
        </w:rPr>
      </w:pPr>
      <w:bookmarkStart w:id="900" w:name="_Toc12559"/>
      <w:bookmarkStart w:id="901" w:name="_Toc60584793"/>
      <w:bookmarkStart w:id="902" w:name="_Toc17105"/>
      <w:bookmarkStart w:id="903" w:name="_Toc59993043"/>
      <w:bookmarkStart w:id="904" w:name="_Toc26301"/>
      <w:bookmarkStart w:id="905" w:name="_Toc7180"/>
      <w:bookmarkStart w:id="906" w:name="_Toc4113"/>
      <w:bookmarkStart w:id="907" w:name="_Toc21146"/>
      <w:r>
        <w:rPr>
          <w:rFonts w:eastAsia="仿宋_GB2312"/>
          <w:sz w:val="32"/>
        </w:rPr>
        <w:t>第三节  提高干部综合领导能力</w:t>
      </w:r>
      <w:bookmarkEnd w:id="900"/>
      <w:bookmarkEnd w:id="901"/>
      <w:bookmarkEnd w:id="902"/>
      <w:bookmarkEnd w:id="903"/>
      <w:bookmarkEnd w:id="904"/>
      <w:bookmarkEnd w:id="905"/>
      <w:bookmarkEnd w:id="906"/>
      <w:bookmarkEnd w:id="907"/>
    </w:p>
    <w:p>
      <w:pPr>
        <w:spacing w:line="560" w:lineRule="exact"/>
        <w:ind w:firstLine="640"/>
      </w:pPr>
      <w:r>
        <w:rPr>
          <w:rFonts w:hint="eastAsia"/>
          <w:bCs/>
          <w:sz w:val="32"/>
          <w:szCs w:val="32"/>
        </w:rPr>
        <w:t>加强村委会统一领导，把村民的思想、行动、力量和智慧凝聚起来，齐心聚力搞好乡村经济，打造充满活力、和谐有序的善治乡村，形成共建共治共享的乡村治理格局。一方面，选优配强领头人。严把选人用人关，大力选拔党性强、致富水平高、服务意识优、作风好的干部为领头人；另一方面，加强领头人的教育培训，健全激励机制和管理机制，促进他们履职尽责、干事创业，调动群众的积极性、主动性和创造性，带领群众投身乡村振兴新实践，帮助群众拓展致富渠道，增强致富技能，增强群众获得感、幸福感。</w:t>
      </w:r>
    </w:p>
    <w:p>
      <w:pPr>
        <w:pStyle w:val="4"/>
        <w:spacing w:before="156" w:beforeLines="50" w:after="156" w:afterLines="50" w:line="560" w:lineRule="exact"/>
        <w:rPr>
          <w:rFonts w:hint="eastAsia" w:ascii="Times New Roman" w:hAnsi="Times New Roman" w:eastAsia="黑体" w:cs="Times New Roman"/>
          <w:b w:val="0"/>
          <w:bCs w:val="0"/>
          <w:sz w:val="32"/>
          <w:lang w:eastAsia="zh-CN"/>
        </w:rPr>
      </w:pPr>
      <w:bookmarkStart w:id="908" w:name="_Toc30639"/>
      <w:bookmarkStart w:id="909" w:name="_Toc60584794"/>
      <w:bookmarkStart w:id="910" w:name="_Toc7589"/>
      <w:bookmarkStart w:id="911" w:name="_Toc10907"/>
      <w:bookmarkStart w:id="912" w:name="_Toc5012"/>
      <w:bookmarkStart w:id="913" w:name="_Toc32377"/>
      <w:bookmarkStart w:id="914" w:name="_Toc30404"/>
      <w:bookmarkStart w:id="915" w:name="_Toc20069"/>
      <w:bookmarkStart w:id="916" w:name="_Toc59993044"/>
      <w:r>
        <w:rPr>
          <w:rFonts w:hint="eastAsia" w:ascii="Times New Roman" w:hAnsi="Times New Roman" w:cs="Times New Roman"/>
          <w:b w:val="0"/>
          <w:bCs w:val="0"/>
          <w:sz w:val="32"/>
        </w:rPr>
        <w:t>第三十章  实现</w:t>
      </w:r>
      <w:bookmarkEnd w:id="908"/>
      <w:bookmarkEnd w:id="909"/>
      <w:bookmarkEnd w:id="910"/>
      <w:bookmarkEnd w:id="911"/>
      <w:bookmarkEnd w:id="912"/>
      <w:bookmarkEnd w:id="913"/>
      <w:r>
        <w:rPr>
          <w:rFonts w:hint="eastAsia" w:ascii="Times New Roman" w:hAnsi="Times New Roman" w:cs="Times New Roman"/>
          <w:b w:val="0"/>
          <w:bCs w:val="0"/>
          <w:sz w:val="32"/>
          <w:lang w:eastAsia="zh-CN"/>
        </w:rPr>
        <w:t>巩固拓展脱贫攻坚成果同乡村振兴有效衔接</w:t>
      </w:r>
    </w:p>
    <w:p>
      <w:pPr>
        <w:spacing w:line="560" w:lineRule="exact"/>
        <w:ind w:firstLine="640"/>
        <w:rPr>
          <w:rFonts w:eastAsia="方正仿宋_GBK"/>
          <w:sz w:val="32"/>
          <w:szCs w:val="32"/>
        </w:rPr>
      </w:pPr>
      <w:r>
        <w:rPr>
          <w:rFonts w:hint="eastAsia"/>
          <w:bCs/>
          <w:sz w:val="32"/>
          <w:szCs w:val="32"/>
        </w:rPr>
        <w:t>全面贯彻落实习近平总书记强调的“脱贫攻坚取得胜利后，要全面推进乡村振兴，这是“三农”工作重心的历史性转移。要坚决守住脱贫攻坚成果，做好巩固拓展脱贫攻坚成果同乡村振兴有效衔接，工作不留空档，政策不留空白”的指示。遵照党中央“脱贫攻坚目标任务完成后，对摆脱贫困的县，从脱贫之日起设立5年过渡期”的决定。在“十四五”时期，保持主要帮扶政策总体稳定，逐步实现由集中资源支持脱贫攻坚向全面推进乡村振兴平稳过渡。</w:t>
      </w:r>
    </w:p>
    <w:p>
      <w:pPr>
        <w:pStyle w:val="5"/>
        <w:spacing w:before="62" w:beforeLines="20" w:after="62" w:afterLines="20" w:line="560" w:lineRule="exact"/>
        <w:rPr>
          <w:rFonts w:eastAsia="仿宋_GB2312"/>
          <w:sz w:val="32"/>
        </w:rPr>
      </w:pPr>
      <w:bookmarkStart w:id="917" w:name="_Toc60584795"/>
      <w:bookmarkStart w:id="918" w:name="_Toc6953"/>
      <w:bookmarkStart w:id="919" w:name="_Toc4164"/>
      <w:bookmarkStart w:id="920" w:name="_Toc24105"/>
      <w:bookmarkStart w:id="921" w:name="_Toc23989"/>
      <w:bookmarkStart w:id="922" w:name="_Toc29184"/>
      <w:r>
        <w:rPr>
          <w:rFonts w:eastAsia="仿宋_GB2312"/>
          <w:sz w:val="32"/>
        </w:rPr>
        <w:t>第一节  做好脱贫攻坚与乡村振兴有效衔接</w:t>
      </w:r>
      <w:bookmarkEnd w:id="917"/>
      <w:bookmarkEnd w:id="918"/>
      <w:bookmarkEnd w:id="919"/>
      <w:bookmarkEnd w:id="920"/>
      <w:bookmarkEnd w:id="921"/>
      <w:bookmarkEnd w:id="922"/>
    </w:p>
    <w:p>
      <w:pPr>
        <w:spacing w:line="560" w:lineRule="exact"/>
        <w:ind w:firstLine="640"/>
        <w:rPr>
          <w:bCs/>
          <w:sz w:val="32"/>
          <w:szCs w:val="32"/>
        </w:rPr>
      </w:pPr>
      <w:r>
        <w:rPr>
          <w:rFonts w:hint="eastAsia"/>
          <w:bCs/>
          <w:sz w:val="32"/>
          <w:szCs w:val="32"/>
        </w:rPr>
        <w:t>在脱贫攻坚成果巩固拓展期间，坚持落实“四个不摘”要求，做到摘帽不摘责任、摘帽不摘政策、摘帽不摘帮扶、摘帽不摘监管，保持政策总体稳定，健全稳定脱贫长效机制，全面巩固“户销号、村出列、县摘帽”脱贫成果。继续保持在资金、项目、人才、技术等方面的投入支持，做好规划、政策、工作、保障对接，接续推进脱贫攻坚组织体系、投入体系、考核体系、人员体系平稳衔接乡村振兴。借鉴脱贫攻坚成功经验，健全完善选派驻村第一书记制度，抓实抓细基层党支部“头雁”工程，大力培育致富带头人，全面提升乡村</w:t>
      </w:r>
      <w:r>
        <w:rPr>
          <w:rFonts w:hint="eastAsia"/>
          <w:bCs/>
          <w:sz w:val="32"/>
          <w:szCs w:val="32"/>
          <w:lang w:eastAsia="zh-CN"/>
        </w:rPr>
        <w:t>治理体系和治理能力现代化</w:t>
      </w:r>
      <w:r>
        <w:rPr>
          <w:rFonts w:hint="eastAsia"/>
          <w:bCs/>
          <w:sz w:val="32"/>
          <w:szCs w:val="32"/>
        </w:rPr>
        <w:t>水平。</w:t>
      </w:r>
    </w:p>
    <w:p>
      <w:pPr>
        <w:pStyle w:val="5"/>
        <w:spacing w:before="62" w:beforeLines="20" w:after="62" w:afterLines="20" w:line="560" w:lineRule="exact"/>
        <w:rPr>
          <w:rFonts w:eastAsia="仿宋_GB2312"/>
          <w:sz w:val="32"/>
        </w:rPr>
      </w:pPr>
      <w:bookmarkStart w:id="923" w:name="_Toc27457"/>
      <w:bookmarkStart w:id="924" w:name="_Toc21782"/>
      <w:bookmarkStart w:id="925" w:name="_Toc27554"/>
      <w:bookmarkStart w:id="926" w:name="_Toc3498"/>
      <w:bookmarkStart w:id="927" w:name="_Toc20237"/>
      <w:bookmarkStart w:id="928" w:name="_Toc60584796"/>
      <w:r>
        <w:rPr>
          <w:rFonts w:eastAsia="仿宋_GB2312"/>
          <w:sz w:val="32"/>
        </w:rPr>
        <w:t>第二节  健全完善防返贫动态监测和帮扶</w:t>
      </w:r>
      <w:bookmarkEnd w:id="923"/>
      <w:bookmarkEnd w:id="924"/>
      <w:bookmarkEnd w:id="925"/>
      <w:bookmarkEnd w:id="926"/>
      <w:bookmarkEnd w:id="927"/>
      <w:bookmarkEnd w:id="928"/>
    </w:p>
    <w:p>
      <w:pPr>
        <w:spacing w:line="560" w:lineRule="exact"/>
        <w:ind w:firstLine="640"/>
        <w:rPr>
          <w:bCs/>
          <w:sz w:val="32"/>
          <w:szCs w:val="32"/>
        </w:rPr>
      </w:pPr>
      <w:r>
        <w:rPr>
          <w:rFonts w:hint="eastAsia"/>
          <w:bCs/>
          <w:sz w:val="32"/>
          <w:szCs w:val="32"/>
        </w:rPr>
        <w:t>围绕“已脱贫人口总体稳定、边缘致贫人口动态监测、坚决阻止源头返致贫”的要求，用好全国扶贫开发信息系统和市级精准扶贫大数据信息平台，对脱贫户、贫困边缘户、大病户、残疾户等精准分类和管理，采取“网格员+帮扶责任人+监测责任人+村干部”的网格化管理机制，定期进行摸排汇总、分析研判、精准帮扶，切实做到提前干预、提前预警，确保从源头阻止新致贫、新返贫。加强社会保障政策措施的研究探索，参照低保动态调整政策体系，制定出台与相对贫困标准相衔接政策措施。加强对无劳动能力和因病、因残、因灾等意外变故人员的监测帮扶，健全完善低保、临时救助等综合性社会保障措施和政策。</w:t>
      </w:r>
    </w:p>
    <w:p>
      <w:pPr>
        <w:pStyle w:val="5"/>
        <w:spacing w:before="62" w:beforeLines="20" w:after="62" w:afterLines="20" w:line="560" w:lineRule="exact"/>
        <w:rPr>
          <w:rFonts w:eastAsia="仿宋_GB2312"/>
          <w:sz w:val="32"/>
        </w:rPr>
      </w:pPr>
      <w:bookmarkStart w:id="929" w:name="_Toc27319"/>
      <w:bookmarkStart w:id="930" w:name="_Toc1261"/>
      <w:bookmarkStart w:id="931" w:name="_Toc26668"/>
      <w:bookmarkStart w:id="932" w:name="_Toc10992"/>
      <w:bookmarkStart w:id="933" w:name="_Toc60584797"/>
      <w:bookmarkStart w:id="934" w:name="_Toc9819"/>
      <w:r>
        <w:rPr>
          <w:rFonts w:eastAsia="仿宋_GB2312"/>
          <w:sz w:val="32"/>
        </w:rPr>
        <w:t>第三节  构建市场主导化帮扶体系</w:t>
      </w:r>
      <w:bookmarkEnd w:id="929"/>
      <w:bookmarkEnd w:id="930"/>
      <w:bookmarkEnd w:id="931"/>
      <w:bookmarkEnd w:id="932"/>
      <w:bookmarkEnd w:id="933"/>
      <w:bookmarkEnd w:id="934"/>
    </w:p>
    <w:p>
      <w:pPr>
        <w:spacing w:line="560" w:lineRule="exact"/>
        <w:ind w:firstLine="640"/>
      </w:pPr>
      <w:r>
        <w:rPr>
          <w:rFonts w:hint="eastAsia"/>
          <w:bCs/>
          <w:sz w:val="32"/>
          <w:szCs w:val="32"/>
        </w:rPr>
        <w:t>围绕巩固拓展脱贫攻坚成果需要，继续建好用足财政专项资金项目库，进一步加强评估和论证，滚动策划、储备、实施一批巩固拓展脱贫攻坚成果项目。持续推进中国西部消费扶贫中心奉节馆、线上线下消费扶贫专区、中国社会扶贫网、消费扶贫专柜带贫助销作用，常态化组织开展消费扶贫活动。坚持管好用好扶贫车间，加强扶贫企业和产品认证，完善扶贫产品质量管控及溯源体系，促进扶贫产品卖得更好、卖得更远。持续加强东西部扶贫协作、中央单位定点帮扶、辽宁省和重庆沙坪坝区对口帮扶，探索推进由单一协作帮扶上升为全面区域协同发展，推动人才交流、招商引资、产业培育、劳务协作方面优势互补、拓展延伸。进一步提升“百企帮百村”品牌及成果，健全完善股权化分红、“订单”带动、共建园区、返租倒包等利益联结机制，让更多群体通过发展产业稳定增收。</w:t>
      </w:r>
    </w:p>
    <w:p>
      <w:pPr>
        <w:pStyle w:val="4"/>
        <w:spacing w:before="156" w:beforeLines="50" w:after="156" w:afterLines="50" w:line="560" w:lineRule="exact"/>
        <w:rPr>
          <w:rFonts w:ascii="Times New Roman" w:hAnsi="Times New Roman" w:cs="Times New Roman"/>
          <w:b w:val="0"/>
          <w:bCs w:val="0"/>
          <w:sz w:val="32"/>
        </w:rPr>
      </w:pPr>
      <w:bookmarkStart w:id="935" w:name="_Toc19517"/>
      <w:bookmarkStart w:id="936" w:name="_Toc17169"/>
      <w:bookmarkStart w:id="937" w:name="_Toc9770"/>
      <w:bookmarkStart w:id="938" w:name="_Toc12841"/>
      <w:bookmarkStart w:id="939" w:name="_Toc60584798"/>
      <w:bookmarkStart w:id="940" w:name="_Toc27535"/>
      <w:r>
        <w:rPr>
          <w:rFonts w:hint="eastAsia" w:ascii="Times New Roman" w:hAnsi="Times New Roman" w:cs="Times New Roman"/>
          <w:b w:val="0"/>
          <w:bCs w:val="0"/>
          <w:sz w:val="32"/>
        </w:rPr>
        <w:t>第三十一章  推进以人为核心的奉节特色新型城镇化</w:t>
      </w:r>
      <w:bookmarkEnd w:id="914"/>
      <w:bookmarkEnd w:id="915"/>
      <w:bookmarkEnd w:id="916"/>
      <w:bookmarkEnd w:id="935"/>
      <w:bookmarkEnd w:id="936"/>
      <w:bookmarkEnd w:id="937"/>
      <w:bookmarkEnd w:id="938"/>
      <w:bookmarkEnd w:id="939"/>
      <w:bookmarkEnd w:id="940"/>
    </w:p>
    <w:p>
      <w:pPr>
        <w:spacing w:line="560" w:lineRule="exact"/>
        <w:ind w:firstLine="640"/>
        <w:rPr>
          <w:bCs/>
          <w:sz w:val="32"/>
          <w:szCs w:val="32"/>
        </w:rPr>
      </w:pPr>
      <w:r>
        <w:rPr>
          <w:rFonts w:hint="eastAsia"/>
          <w:bCs/>
          <w:sz w:val="32"/>
          <w:szCs w:val="32"/>
        </w:rPr>
        <w:t>全面统筹城乡基础设施建设，显著提升城镇化质量，使更多人民群众享有安全健康、较高品质的城市生活，促进经济行稳致远、社会安定和谐，为2035年基本实现社会主义现代化提供强大动力和坚实支撑。</w:t>
      </w:r>
    </w:p>
    <w:p>
      <w:pPr>
        <w:pStyle w:val="5"/>
        <w:spacing w:before="62" w:beforeLines="20" w:after="62" w:afterLines="20" w:line="560" w:lineRule="exact"/>
        <w:rPr>
          <w:rFonts w:eastAsia="仿宋_GB2312"/>
          <w:sz w:val="32"/>
        </w:rPr>
      </w:pPr>
      <w:bookmarkStart w:id="941" w:name="_Toc24821"/>
      <w:bookmarkStart w:id="942" w:name="_Toc21913"/>
      <w:bookmarkStart w:id="943" w:name="_Toc59993045"/>
      <w:bookmarkStart w:id="944" w:name="_Toc1390"/>
      <w:bookmarkStart w:id="945" w:name="_Toc18318"/>
      <w:bookmarkStart w:id="946" w:name="_Toc21710"/>
      <w:bookmarkStart w:id="947" w:name="_Toc60584799"/>
      <w:bookmarkStart w:id="948" w:name="_Toc2868"/>
      <w:r>
        <w:rPr>
          <w:rFonts w:eastAsia="仿宋_GB2312"/>
          <w:sz w:val="32"/>
        </w:rPr>
        <w:t>第一节  加快农业转移人口市民化</w:t>
      </w:r>
      <w:bookmarkEnd w:id="941"/>
      <w:bookmarkEnd w:id="942"/>
      <w:bookmarkEnd w:id="943"/>
      <w:bookmarkEnd w:id="944"/>
      <w:bookmarkEnd w:id="945"/>
      <w:bookmarkEnd w:id="946"/>
      <w:bookmarkEnd w:id="947"/>
      <w:bookmarkEnd w:id="948"/>
    </w:p>
    <w:p>
      <w:pPr>
        <w:spacing w:line="560" w:lineRule="exact"/>
        <w:ind w:firstLine="640"/>
        <w:rPr>
          <w:bCs/>
          <w:sz w:val="32"/>
          <w:szCs w:val="32"/>
        </w:rPr>
      </w:pPr>
      <w:r>
        <w:rPr>
          <w:rFonts w:hint="eastAsia"/>
          <w:bCs/>
          <w:sz w:val="32"/>
          <w:szCs w:val="32"/>
        </w:rPr>
        <w:t>推动农业转移人口在城镇稳业安居，加快农业转移人口市民化，提高市民化质量，更好满足他们融入城市的期盼。深化户籍制度改革，以城市存量农业转移人口为重点，不断放宽户籍准入限制，完善差别化落户政策。强化基本公共服务保障，以公办学校为主将农业转移人口随迁子女纳入流入地义务教育保障范围。将非户籍常住人口纳入保障性住房体系，提高农业转移人口住房保障水平。聚焦智能制造、家政服务等用工矛盾突出行业开展大规模职业技能培训，提高农民工就业居住稳定性。健全农业转移人口市民化机制，完善财政转移支付与农业转移人口市民化挂钩政策，利用好财政性建设资金对吸纳落户较多城镇的基础设施投资补助机制，建立城镇建设用地年度指标同吸纳农业转移人口落户数量挂钩机制。依法保障进城落户农民农村土地承包权、宅基地使用权、集体收益分配权，畅通“三权”自愿有偿市场化退出渠道。</w:t>
      </w:r>
    </w:p>
    <w:p>
      <w:pPr>
        <w:pStyle w:val="5"/>
        <w:keepNext w:val="0"/>
        <w:keepLines w:val="0"/>
        <w:numPr>
          <w:ilvl w:val="255"/>
          <w:numId w:val="0"/>
        </w:numPr>
        <w:spacing w:before="62" w:beforeLines="20" w:after="62" w:afterLines="20" w:line="560" w:lineRule="exact"/>
        <w:rPr>
          <w:rFonts w:eastAsia="仿宋_GB2312"/>
          <w:sz w:val="32"/>
        </w:rPr>
        <w:sectPr>
          <w:pgSz w:w="11906" w:h="16838"/>
          <w:pgMar w:top="1984" w:right="1531" w:bottom="1531" w:left="1531" w:header="907" w:footer="1191" w:gutter="0"/>
          <w:cols w:space="425" w:num="1"/>
          <w:docGrid w:type="lines" w:linePitch="312" w:charSpace="0"/>
        </w:sectPr>
      </w:pPr>
      <w:bookmarkStart w:id="949" w:name="_Toc19850"/>
      <w:bookmarkStart w:id="950" w:name="_Toc21324"/>
    </w:p>
    <w:p>
      <w:pPr>
        <w:pStyle w:val="5"/>
        <w:keepNext w:val="0"/>
        <w:keepLines w:val="0"/>
        <w:numPr>
          <w:ilvl w:val="255"/>
          <w:numId w:val="0"/>
        </w:numPr>
        <w:spacing w:before="62" w:beforeLines="20" w:after="62" w:afterLines="20" w:line="560" w:lineRule="exact"/>
        <w:rPr>
          <w:rFonts w:eastAsia="仿宋_GB2312"/>
          <w:sz w:val="32"/>
        </w:rPr>
      </w:pPr>
      <w:bookmarkStart w:id="951" w:name="_Toc13792"/>
      <w:bookmarkStart w:id="952" w:name="_Toc60584800"/>
      <w:bookmarkStart w:id="953" w:name="_Toc20968"/>
      <w:r>
        <w:rPr>
          <w:rFonts w:eastAsia="仿宋_GB2312"/>
          <w:sz w:val="32"/>
        </w:rPr>
        <w:t>第二节  完善提升集镇基础设施</w:t>
      </w:r>
      <w:bookmarkEnd w:id="949"/>
      <w:bookmarkEnd w:id="950"/>
      <w:bookmarkEnd w:id="951"/>
      <w:bookmarkEnd w:id="952"/>
      <w:bookmarkEnd w:id="953"/>
    </w:p>
    <w:p>
      <w:pPr>
        <w:spacing w:line="560" w:lineRule="exact"/>
        <w:ind w:firstLine="640"/>
        <w:rPr>
          <w:bCs/>
          <w:sz w:val="32"/>
          <w:szCs w:val="32"/>
        </w:rPr>
      </w:pPr>
      <w:r>
        <w:rPr>
          <w:rFonts w:hint="eastAsia"/>
          <w:bCs/>
          <w:sz w:val="32"/>
          <w:szCs w:val="32"/>
        </w:rPr>
        <w:t>加快村改社区、乡改镇、镇改街道步伐，提高城镇人口占比。推进居民集中生活点建设，引导农民就地就近城镇化。争取财政、企业债券融资、信贷支持，推动场镇集镇公共服务设施提标扩面，环境卫生设施提级扩能、市政公用设施提档升级、产业培育设施提质增效。严格城镇和农村建筑风貌管控，打造美丽家园。</w:t>
      </w:r>
      <w:bookmarkStart w:id="954" w:name="_Toc5926"/>
      <w:bookmarkStart w:id="955" w:name="_Toc59993047"/>
      <w:bookmarkStart w:id="956" w:name="_Toc6264"/>
    </w:p>
    <w:p>
      <w:pPr>
        <w:pStyle w:val="5"/>
        <w:spacing w:before="62" w:beforeLines="20" w:after="62" w:afterLines="20" w:line="560" w:lineRule="exact"/>
        <w:rPr>
          <w:rFonts w:eastAsia="仿宋_GB2312"/>
          <w:sz w:val="32"/>
        </w:rPr>
      </w:pPr>
      <w:bookmarkStart w:id="957" w:name="_Toc60584801"/>
      <w:bookmarkStart w:id="958" w:name="_Toc13342"/>
      <w:bookmarkStart w:id="959" w:name="_Toc18529"/>
      <w:bookmarkStart w:id="960" w:name="_Toc2206"/>
      <w:bookmarkStart w:id="961" w:name="_Toc14231"/>
      <w:r>
        <w:rPr>
          <w:rFonts w:eastAsia="仿宋_GB2312"/>
          <w:sz w:val="32"/>
        </w:rPr>
        <w:t>第三节  统筹城乡一体化发展</w:t>
      </w:r>
      <w:bookmarkEnd w:id="954"/>
      <w:bookmarkEnd w:id="955"/>
      <w:bookmarkEnd w:id="956"/>
      <w:bookmarkEnd w:id="957"/>
      <w:bookmarkEnd w:id="958"/>
      <w:bookmarkEnd w:id="959"/>
      <w:bookmarkEnd w:id="960"/>
      <w:bookmarkEnd w:id="961"/>
    </w:p>
    <w:p>
      <w:pPr>
        <w:spacing w:line="560" w:lineRule="exact"/>
        <w:ind w:firstLine="640"/>
        <w:rPr>
          <w:bCs/>
          <w:sz w:val="32"/>
          <w:szCs w:val="32"/>
        </w:rPr>
      </w:pPr>
      <w:r>
        <w:rPr>
          <w:rFonts w:hint="eastAsia"/>
          <w:bCs/>
          <w:sz w:val="32"/>
          <w:szCs w:val="32"/>
        </w:rPr>
        <w:t>突出城区的集聚和辐射能力，县域形成城区、重点镇、一般镇三级城镇结构。大力推动试点小城镇、试点社区、试点村建设，重点扶持兴隆镇、吐祥镇、竹园镇、公平镇、白帝镇、甲高镇、康乐镇等成为商贸强镇，充分发挥一般镇的优势，培育壮大特色产业职能，打造一批贸易集镇，促进返乡创业园建设，解决居民就地就近就业。加强与城区的联系，强化公共服务基本职能，构建特色鲜明、分工协作、协调发展的城镇职能结构，为全县实现均衡、协调的城乡一体化格局奠定基础。</w:t>
      </w:r>
    </w:p>
    <w:p>
      <w:pPr>
        <w:ind w:firstLine="560"/>
      </w:pPr>
    </w:p>
    <w:p>
      <w:pPr>
        <w:pStyle w:val="3"/>
        <w:jc w:val="both"/>
        <w:sectPr>
          <w:pgSz w:w="11906" w:h="16838"/>
          <w:pgMar w:top="1984" w:right="1531" w:bottom="1531" w:left="1531" w:header="907" w:footer="1191" w:gutter="0"/>
          <w:cols w:space="425" w:num="1"/>
          <w:docGrid w:type="lines" w:linePitch="312" w:charSpace="0"/>
        </w:sectPr>
      </w:pPr>
      <w:bookmarkStart w:id="962" w:name="_Toc2843"/>
      <w:bookmarkStart w:id="963" w:name="_Toc11706"/>
      <w:bookmarkStart w:id="964" w:name="_Toc21477"/>
    </w:p>
    <w:p>
      <w:pPr>
        <w:pStyle w:val="3"/>
        <w:spacing w:before="156" w:beforeLines="50" w:after="156" w:afterLines="50" w:line="560" w:lineRule="exact"/>
        <w:rPr>
          <w:rFonts w:ascii="黑体" w:hAnsi="黑体" w:eastAsia="黑体" w:cs="黑体"/>
          <w:b w:val="0"/>
          <w:bCs/>
        </w:rPr>
      </w:pPr>
      <w:bookmarkStart w:id="965" w:name="_Toc31677"/>
      <w:bookmarkStart w:id="966" w:name="_Toc59993048"/>
      <w:bookmarkStart w:id="967" w:name="_Toc18278"/>
      <w:bookmarkStart w:id="968" w:name="_Toc60584802"/>
      <w:bookmarkStart w:id="969" w:name="_Toc31631"/>
      <w:bookmarkStart w:id="970" w:name="_Toc24937"/>
      <w:bookmarkStart w:id="971" w:name="_Toc22135"/>
      <w:r>
        <w:rPr>
          <w:rFonts w:hint="eastAsia" w:ascii="黑体" w:hAnsi="黑体" w:eastAsia="黑体" w:cs="黑体"/>
          <w:b w:val="0"/>
          <w:bCs/>
        </w:rPr>
        <w:t xml:space="preserve">第八篇  </w:t>
      </w:r>
      <w:bookmarkEnd w:id="962"/>
      <w:r>
        <w:rPr>
          <w:rFonts w:hint="eastAsia" w:ascii="黑体" w:hAnsi="黑体" w:eastAsia="黑体" w:cs="黑体"/>
          <w:b w:val="0"/>
          <w:bCs/>
        </w:rPr>
        <w:t>全力推进产业转型升级，加快建设渝东北三峡库区大健康产业发展示范区</w:t>
      </w:r>
      <w:bookmarkEnd w:id="963"/>
      <w:bookmarkEnd w:id="964"/>
      <w:bookmarkEnd w:id="965"/>
      <w:bookmarkEnd w:id="966"/>
      <w:bookmarkEnd w:id="967"/>
      <w:bookmarkEnd w:id="968"/>
      <w:bookmarkEnd w:id="969"/>
      <w:bookmarkEnd w:id="970"/>
      <w:bookmarkEnd w:id="971"/>
    </w:p>
    <w:p>
      <w:pPr>
        <w:spacing w:line="560" w:lineRule="exact"/>
        <w:ind w:firstLine="640"/>
        <w:rPr>
          <w:bCs/>
          <w:sz w:val="32"/>
          <w:szCs w:val="32"/>
        </w:rPr>
      </w:pPr>
      <w:r>
        <w:rPr>
          <w:rFonts w:hint="eastAsia"/>
          <w:bCs/>
          <w:sz w:val="32"/>
          <w:szCs w:val="32"/>
        </w:rPr>
        <w:t>按照生态产业化、产业生态化的发展思路，以绿色发展为基本遵循，以创新驱动和改革开放为根本动力，以</w:t>
      </w:r>
      <w:r>
        <w:rPr>
          <w:rFonts w:hint="eastAsia"/>
          <w:bCs/>
          <w:sz w:val="32"/>
          <w:szCs w:val="32"/>
          <w:lang w:eastAsia="zh-CN"/>
        </w:rPr>
        <w:t>一二三产业融合</w:t>
      </w:r>
      <w:r>
        <w:rPr>
          <w:rFonts w:hint="eastAsia"/>
          <w:bCs/>
          <w:sz w:val="32"/>
          <w:szCs w:val="32"/>
        </w:rPr>
        <w:t>发展为主要路径，培育发展产业集群，推动全县产业发展实现质量变革、效率变革、动力变革，引领全县产业高质量发展。</w:t>
      </w:r>
    </w:p>
    <w:p>
      <w:pPr>
        <w:pStyle w:val="4"/>
        <w:spacing w:before="156" w:beforeLines="50" w:after="156" w:afterLines="50" w:line="560" w:lineRule="exact"/>
        <w:rPr>
          <w:rFonts w:ascii="Times New Roman" w:hAnsi="Times New Roman" w:cs="Times New Roman"/>
          <w:b w:val="0"/>
          <w:bCs w:val="0"/>
          <w:sz w:val="32"/>
        </w:rPr>
      </w:pPr>
      <w:bookmarkStart w:id="972" w:name="_Toc7503"/>
      <w:bookmarkStart w:id="973" w:name="_Toc31507"/>
      <w:bookmarkStart w:id="974" w:name="_Toc21486"/>
      <w:bookmarkStart w:id="975" w:name="_Toc59993049"/>
      <w:bookmarkStart w:id="976" w:name="_Toc1787"/>
      <w:bookmarkStart w:id="977" w:name="_Toc60584803"/>
      <w:bookmarkStart w:id="978" w:name="_Toc9049"/>
      <w:bookmarkStart w:id="979" w:name="_Toc10711"/>
      <w:bookmarkStart w:id="980" w:name="_Toc30447"/>
      <w:bookmarkStart w:id="981" w:name="_Toc31572"/>
      <w:r>
        <w:rPr>
          <w:rFonts w:hint="eastAsia" w:ascii="Times New Roman" w:hAnsi="Times New Roman" w:cs="Times New Roman"/>
          <w:b w:val="0"/>
          <w:bCs w:val="0"/>
          <w:sz w:val="32"/>
        </w:rPr>
        <w:t xml:space="preserve">第三十二章  </w:t>
      </w:r>
      <w:bookmarkEnd w:id="972"/>
      <w:r>
        <w:rPr>
          <w:rFonts w:hint="eastAsia" w:ascii="Times New Roman" w:hAnsi="Times New Roman" w:cs="Times New Roman"/>
          <w:b w:val="0"/>
          <w:bCs w:val="0"/>
          <w:sz w:val="32"/>
        </w:rPr>
        <w:t>提质发展服务业</w:t>
      </w:r>
      <w:bookmarkEnd w:id="973"/>
      <w:bookmarkEnd w:id="974"/>
      <w:bookmarkEnd w:id="975"/>
      <w:bookmarkEnd w:id="976"/>
      <w:bookmarkEnd w:id="977"/>
      <w:bookmarkEnd w:id="978"/>
      <w:bookmarkEnd w:id="979"/>
      <w:bookmarkEnd w:id="980"/>
      <w:bookmarkEnd w:id="981"/>
    </w:p>
    <w:p>
      <w:pPr>
        <w:spacing w:line="560" w:lineRule="exact"/>
        <w:ind w:firstLine="640"/>
        <w:rPr>
          <w:bCs/>
          <w:sz w:val="32"/>
          <w:szCs w:val="32"/>
        </w:rPr>
      </w:pPr>
      <w:r>
        <w:rPr>
          <w:rFonts w:hint="eastAsia"/>
          <w:bCs/>
          <w:sz w:val="32"/>
          <w:szCs w:val="32"/>
        </w:rPr>
        <w:t>着眼于服务经济时代的到来，坚持扩大内需战略基点，进一步促进生产性服务业向专业化和价值链高端延伸，生活性服务业向高端化和品质化提升，推动服务业同先进制造业、现代农业深度融合，加快推进服务业数字化。</w:t>
      </w:r>
    </w:p>
    <w:p>
      <w:pPr>
        <w:pStyle w:val="5"/>
        <w:spacing w:before="62" w:beforeLines="20" w:after="62" w:afterLines="20" w:line="560" w:lineRule="exact"/>
        <w:rPr>
          <w:rFonts w:eastAsia="仿宋_GB2312"/>
          <w:sz w:val="32"/>
        </w:rPr>
      </w:pPr>
      <w:bookmarkStart w:id="982" w:name="_Toc59993050"/>
      <w:bookmarkStart w:id="983" w:name="_Toc9428"/>
      <w:bookmarkStart w:id="984" w:name="_Toc21815"/>
      <w:bookmarkStart w:id="985" w:name="_Toc21091"/>
      <w:bookmarkStart w:id="986" w:name="_Toc17772"/>
      <w:bookmarkStart w:id="987" w:name="_Toc60584804"/>
      <w:bookmarkStart w:id="988" w:name="_Toc1831"/>
      <w:bookmarkStart w:id="989" w:name="_Toc17296"/>
      <w:r>
        <w:rPr>
          <w:rFonts w:eastAsia="仿宋_GB2312"/>
          <w:sz w:val="32"/>
        </w:rPr>
        <w:t xml:space="preserve">第一节  </w:t>
      </w:r>
      <w:r>
        <w:rPr>
          <w:rFonts w:hint="eastAsia" w:eastAsia="仿宋_GB2312"/>
          <w:sz w:val="32"/>
        </w:rPr>
        <w:t>着力增创</w:t>
      </w:r>
      <w:r>
        <w:rPr>
          <w:rFonts w:eastAsia="仿宋_GB2312"/>
          <w:sz w:val="32"/>
        </w:rPr>
        <w:t>生产性服务业</w:t>
      </w:r>
      <w:bookmarkEnd w:id="982"/>
      <w:bookmarkEnd w:id="983"/>
      <w:bookmarkEnd w:id="984"/>
      <w:bookmarkEnd w:id="985"/>
      <w:bookmarkEnd w:id="986"/>
      <w:r>
        <w:rPr>
          <w:rFonts w:hint="eastAsia" w:eastAsia="仿宋_GB2312"/>
          <w:sz w:val="32"/>
        </w:rPr>
        <w:t>优势</w:t>
      </w:r>
      <w:bookmarkEnd w:id="987"/>
      <w:bookmarkEnd w:id="988"/>
      <w:bookmarkEnd w:id="989"/>
    </w:p>
    <w:p>
      <w:pPr>
        <w:spacing w:line="560" w:lineRule="exact"/>
        <w:ind w:firstLine="640"/>
        <w:rPr>
          <w:bCs/>
          <w:sz w:val="32"/>
          <w:szCs w:val="32"/>
        </w:rPr>
      </w:pPr>
      <w:r>
        <w:rPr>
          <w:rFonts w:hint="eastAsia"/>
          <w:bCs/>
          <w:sz w:val="32"/>
          <w:szCs w:val="32"/>
        </w:rPr>
        <w:t>强化科技创新能力提升要求，加快信息服务和科技服务发展，推动企业发展自主品牌和研发设计，积极鼓励建设创业基地、科技服务中心等创新服务载体。推动现代物流发展，联动“三铁五高六港两机一网”大交通格局，打造“通道+枢纽+网络”的物流运行体系，建设“三园区两中心一基地”渝陕鄂现代商贸物流基地，提升产业集聚能力。建设冷链物流服务系统，完善冷链设施层级和网络布局，延伸冷链物流产业链。探索“互联网+快递”融合发展模式，推进邮政快递行业与电子商务、制造业协同发展，加快快递综合服务信息平台、便民智能快件箱等基础设施建设，提升城乡“最后一公里”服务能力。大力发展新兴服务业，加快推进奉节县电子商务进农村综合示范“一核两心三基地五升级多节点”工程，加速建设农村电商物流综合服务站点，积极鼓励短视频直播等新模式发展。推动建设与奉节未来产业发展相配套、规模适度、布局合理、层次分明、业态先进的会展服务，高水平办好诗歌节、橙博会、三峡原乡·国际美食节、渝东北年货购物节等重要节庆展会活动，打造极具影响力的渝东北会展名城。着力提升金融创新能力和服务水平，创新中小金融产品和服务体系，推进服务业标准化、品牌化建设。</w:t>
      </w:r>
    </w:p>
    <w:tbl>
      <w:tblPr>
        <w:tblStyle w:val="27"/>
        <w:tblW w:w="9060"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906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9060" w:type="dxa"/>
          </w:tcPr>
          <w:p>
            <w:pPr>
              <w:spacing w:line="560" w:lineRule="exact"/>
              <w:ind w:firstLine="0" w:firstLineChars="0"/>
              <w:jc w:val="center"/>
              <w:rPr>
                <w:rFonts w:eastAsia="黑体"/>
                <w:b/>
                <w:szCs w:val="28"/>
              </w:rPr>
            </w:pPr>
            <w:r>
              <w:rPr>
                <w:rFonts w:hint="eastAsia" w:eastAsia="黑体"/>
                <w:bCs/>
                <w:szCs w:val="28"/>
              </w:rPr>
              <w:t>专栏十三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9060" w:type="dxa"/>
          </w:tcPr>
          <w:p>
            <w:pPr>
              <w:spacing w:line="560" w:lineRule="exact"/>
              <w:ind w:firstLine="562"/>
              <w:textAlignment w:val="baseline"/>
              <w:rPr>
                <w:rStyle w:val="66"/>
                <w:bCs/>
                <w:szCs w:val="28"/>
              </w:rPr>
            </w:pPr>
            <w:r>
              <w:rPr>
                <w:rStyle w:val="66"/>
                <w:b/>
                <w:szCs w:val="28"/>
              </w:rPr>
              <w:t>1.白马物流园区。</w:t>
            </w:r>
            <w:r>
              <w:rPr>
                <w:rFonts w:hint="eastAsia"/>
                <w:bCs/>
                <w:szCs w:val="28"/>
              </w:rPr>
              <w:t>完善多式联运、物资分拨、县内配送等功能，建设冷链物流集散中心，满足日用货物周转集散的物流需求。</w:t>
            </w:r>
          </w:p>
          <w:p>
            <w:pPr>
              <w:spacing w:line="560" w:lineRule="exact"/>
              <w:ind w:firstLine="562"/>
              <w:textAlignment w:val="baseline"/>
              <w:rPr>
                <w:rStyle w:val="66"/>
                <w:bCs/>
                <w:szCs w:val="28"/>
              </w:rPr>
            </w:pPr>
            <w:r>
              <w:rPr>
                <w:rStyle w:val="66"/>
                <w:b/>
                <w:szCs w:val="28"/>
              </w:rPr>
              <w:t>2.</w:t>
            </w:r>
            <w:r>
              <w:rPr>
                <w:rStyle w:val="67"/>
                <w:rFonts w:hint="eastAsia" w:ascii="仿宋_GB2312" w:hAnsi="仿宋_GB2312" w:cs="仿宋_GB2312"/>
                <w:b/>
                <w:kern w:val="2"/>
                <w:szCs w:val="28"/>
              </w:rPr>
              <w:t>金盆建材物流园区</w:t>
            </w:r>
            <w:r>
              <w:rPr>
                <w:rStyle w:val="66"/>
                <w:b/>
                <w:szCs w:val="28"/>
              </w:rPr>
              <w:t>。</w:t>
            </w:r>
            <w:r>
              <w:rPr>
                <w:rFonts w:hint="eastAsia"/>
                <w:bCs/>
                <w:szCs w:val="28"/>
              </w:rPr>
              <w:t>集中建材、农资等大宗物资运输周转配送功能，满足仓储集散需求。</w:t>
            </w:r>
          </w:p>
          <w:p>
            <w:pPr>
              <w:spacing w:line="560" w:lineRule="exact"/>
              <w:ind w:firstLine="562"/>
              <w:textAlignment w:val="baseline"/>
              <w:rPr>
                <w:bCs/>
                <w:szCs w:val="28"/>
              </w:rPr>
            </w:pPr>
            <w:r>
              <w:rPr>
                <w:rStyle w:val="66"/>
                <w:b/>
                <w:szCs w:val="28"/>
              </w:rPr>
              <w:t>3.</w:t>
            </w:r>
            <w:r>
              <w:rPr>
                <w:rStyle w:val="67"/>
                <w:rFonts w:hint="eastAsia" w:ascii="仿宋_GB2312" w:hAnsi="仿宋_GB2312" w:cs="仿宋_GB2312"/>
                <w:b/>
                <w:kern w:val="2"/>
                <w:szCs w:val="28"/>
              </w:rPr>
              <w:t>康乐物流园区</w:t>
            </w:r>
            <w:r>
              <w:rPr>
                <w:rStyle w:val="66"/>
                <w:b/>
                <w:szCs w:val="28"/>
              </w:rPr>
              <w:t>。</w:t>
            </w:r>
            <w:r>
              <w:rPr>
                <w:rFonts w:hint="eastAsia"/>
                <w:bCs/>
                <w:szCs w:val="28"/>
              </w:rPr>
              <w:t>包含粮油批发市场及粮油加工厂、农副产品加工等。</w:t>
            </w:r>
          </w:p>
          <w:p>
            <w:pPr>
              <w:spacing w:line="560" w:lineRule="exact"/>
              <w:ind w:firstLine="562"/>
              <w:textAlignment w:val="baseline"/>
              <w:rPr>
                <w:bCs/>
                <w:szCs w:val="28"/>
              </w:rPr>
            </w:pPr>
            <w:r>
              <w:rPr>
                <w:rStyle w:val="66"/>
                <w:b/>
                <w:szCs w:val="28"/>
              </w:rPr>
              <w:t>4.</w:t>
            </w:r>
            <w:r>
              <w:rPr>
                <w:rStyle w:val="67"/>
                <w:rFonts w:hint="eastAsia" w:ascii="仿宋_GB2312" w:hAnsi="仿宋_GB2312" w:cs="仿宋_GB2312"/>
                <w:b/>
                <w:kern w:val="2"/>
                <w:szCs w:val="28"/>
              </w:rPr>
              <w:t>县域综合型共同配送中心及配套交通设施项目</w:t>
            </w:r>
            <w:r>
              <w:rPr>
                <w:rStyle w:val="66"/>
                <w:b/>
                <w:szCs w:val="28"/>
              </w:rPr>
              <w:t>。</w:t>
            </w:r>
            <w:r>
              <w:rPr>
                <w:rFonts w:hint="eastAsia"/>
                <w:bCs/>
                <w:szCs w:val="28"/>
              </w:rPr>
              <w:t>新建公用型仓储设施和配备自动化设施设备，配套完善物流疏散通道及干溪沟桥梁等工程。</w:t>
            </w:r>
          </w:p>
          <w:p>
            <w:pPr>
              <w:pStyle w:val="68"/>
              <w:widowControl/>
              <w:spacing w:line="560" w:lineRule="exact"/>
              <w:ind w:firstLine="562"/>
              <w:rPr>
                <w:rFonts w:ascii="Times New Roman" w:hAnsi="Times New Roman" w:eastAsia="仿宋_GB2312"/>
                <w:kern w:val="30"/>
                <w:sz w:val="28"/>
              </w:rPr>
            </w:pPr>
            <w:r>
              <w:rPr>
                <w:rStyle w:val="66"/>
                <w:b/>
                <w:bCs w:val="0"/>
                <w:szCs w:val="28"/>
              </w:rPr>
              <w:t>5.</w:t>
            </w:r>
            <w:r>
              <w:rPr>
                <w:rStyle w:val="67"/>
                <w:rFonts w:hint="eastAsia" w:ascii="仿宋_GB2312" w:hAnsi="仿宋_GB2312" w:cs="仿宋_GB2312"/>
                <w:b/>
                <w:bCs w:val="0"/>
                <w:kern w:val="2"/>
                <w:szCs w:val="28"/>
              </w:rPr>
              <w:t>奉节县农产品物流集散中心（农产品批发市场）</w:t>
            </w:r>
            <w:r>
              <w:rPr>
                <w:rStyle w:val="66"/>
                <w:rFonts w:ascii="Calibri" w:hAnsi="Calibri" w:eastAsia="仿宋"/>
                <w:b/>
                <w:kern w:val="2"/>
                <w:szCs w:val="28"/>
              </w:rPr>
              <w:t>。</w:t>
            </w:r>
            <w:r>
              <w:rPr>
                <w:rFonts w:hint="eastAsia" w:ascii="Times New Roman" w:hAnsi="Times New Roman" w:eastAsia="仿宋_GB2312"/>
                <w:kern w:val="30"/>
                <w:sz w:val="28"/>
              </w:rPr>
              <w:t>建设多功能一体的农产品物流集散中心，配套冷链仓储、加工、包装、物流配送服务。</w:t>
            </w:r>
          </w:p>
          <w:p>
            <w:pPr>
              <w:pStyle w:val="68"/>
              <w:widowControl/>
              <w:spacing w:line="560" w:lineRule="exact"/>
              <w:ind w:firstLine="562"/>
              <w:rPr>
                <w:rFonts w:ascii="Times New Roman" w:hAnsi="Times New Roman" w:eastAsia="仿宋_GB2312"/>
                <w:kern w:val="30"/>
                <w:sz w:val="28"/>
              </w:rPr>
            </w:pPr>
            <w:r>
              <w:rPr>
                <w:rStyle w:val="66"/>
                <w:b/>
                <w:kern w:val="2"/>
                <w:szCs w:val="28"/>
              </w:rPr>
              <w:t>6.</w:t>
            </w:r>
            <w:r>
              <w:rPr>
                <w:rStyle w:val="67"/>
                <w:b/>
                <w:kern w:val="2"/>
                <w:szCs w:val="28"/>
              </w:rPr>
              <w:t>奉节县农产品冷链物流及肉制品加工销售基地。</w:t>
            </w:r>
            <w:r>
              <w:rPr>
                <w:rFonts w:hint="eastAsia" w:ascii="Times New Roman" w:hAnsi="Times New Roman" w:eastAsia="仿宋_GB2312"/>
                <w:kern w:val="30"/>
                <w:sz w:val="28"/>
              </w:rPr>
              <w:t>建设冷冻冷藏立体冷库，建设奉节腊肉网货加工示范基地及网货供应包装基地等配套设施。</w:t>
            </w:r>
          </w:p>
          <w:p>
            <w:pPr>
              <w:pStyle w:val="33"/>
              <w:widowControl/>
              <w:spacing w:line="560" w:lineRule="exact"/>
              <w:ind w:firstLine="562"/>
              <w:rPr>
                <w:rFonts w:ascii="Times New Roman" w:hAnsi="Times New Roman" w:eastAsia="仿宋_GB2312"/>
                <w:kern w:val="30"/>
                <w:sz w:val="28"/>
              </w:rPr>
            </w:pPr>
            <w:r>
              <w:rPr>
                <w:rStyle w:val="66"/>
                <w:b/>
                <w:bCs w:val="0"/>
                <w:szCs w:val="28"/>
              </w:rPr>
              <w:t>7.</w:t>
            </w:r>
            <w:r>
              <w:rPr>
                <w:rStyle w:val="67"/>
                <w:b/>
                <w:bCs w:val="0"/>
                <w:kern w:val="2"/>
                <w:szCs w:val="28"/>
              </w:rPr>
              <w:t>奉节县中南石油成品油库扩能改造。</w:t>
            </w:r>
            <w:r>
              <w:rPr>
                <w:rFonts w:hint="eastAsia" w:ascii="Times New Roman" w:hAnsi="Times New Roman" w:eastAsia="仿宋_GB2312"/>
                <w:kern w:val="30"/>
                <w:sz w:val="28"/>
              </w:rPr>
              <w:t>建成后成品油存储量达30000吨。</w:t>
            </w:r>
          </w:p>
          <w:p>
            <w:pPr>
              <w:ind w:firstLine="562"/>
              <w:rPr>
                <w:szCs w:val="28"/>
              </w:rPr>
            </w:pPr>
            <w:r>
              <w:rPr>
                <w:rStyle w:val="67"/>
                <w:b/>
                <w:kern w:val="2"/>
                <w:szCs w:val="28"/>
              </w:rPr>
              <w:t>8.奉节县万吨冷库建设项目。</w:t>
            </w:r>
            <w:r>
              <w:rPr>
                <w:bCs/>
                <w:szCs w:val="28"/>
              </w:rPr>
              <w:t>在永乐镇酒溜村拟建设仓储物流冷库设备设施</w:t>
            </w:r>
            <w:r>
              <w:rPr>
                <w:rFonts w:hint="eastAsia"/>
                <w:bCs/>
                <w:szCs w:val="28"/>
              </w:rPr>
              <w:t>5万立方米。</w:t>
            </w:r>
          </w:p>
        </w:tc>
      </w:tr>
    </w:tbl>
    <w:p>
      <w:pPr>
        <w:pStyle w:val="5"/>
        <w:spacing w:before="62" w:beforeLines="20" w:after="62" w:afterLines="20" w:line="560" w:lineRule="exact"/>
        <w:rPr>
          <w:rFonts w:eastAsia="仿宋_GB2312"/>
          <w:sz w:val="32"/>
        </w:rPr>
      </w:pPr>
      <w:bookmarkStart w:id="990" w:name="_Toc60584805"/>
      <w:bookmarkStart w:id="991" w:name="_Toc17851"/>
      <w:bookmarkStart w:id="992" w:name="_Toc4778"/>
      <w:bookmarkStart w:id="993" w:name="_Toc29163"/>
      <w:bookmarkStart w:id="994" w:name="_Toc1699"/>
      <w:bookmarkStart w:id="995" w:name="_Toc11964"/>
      <w:bookmarkStart w:id="996" w:name="_Toc26195"/>
      <w:bookmarkStart w:id="997" w:name="_Toc59993051"/>
      <w:r>
        <w:rPr>
          <w:rFonts w:eastAsia="仿宋_GB2312"/>
          <w:sz w:val="32"/>
        </w:rPr>
        <w:t xml:space="preserve">第二节  </w:t>
      </w:r>
      <w:r>
        <w:rPr>
          <w:rFonts w:hint="eastAsia" w:eastAsia="仿宋_GB2312"/>
          <w:sz w:val="32"/>
        </w:rPr>
        <w:t>稳步提升</w:t>
      </w:r>
      <w:r>
        <w:rPr>
          <w:rFonts w:eastAsia="仿宋_GB2312"/>
          <w:sz w:val="32"/>
        </w:rPr>
        <w:t>生活性服务业品质</w:t>
      </w:r>
      <w:bookmarkEnd w:id="990"/>
      <w:bookmarkEnd w:id="991"/>
      <w:bookmarkEnd w:id="992"/>
      <w:bookmarkEnd w:id="993"/>
      <w:bookmarkEnd w:id="994"/>
      <w:bookmarkEnd w:id="995"/>
      <w:bookmarkEnd w:id="996"/>
      <w:bookmarkEnd w:id="997"/>
    </w:p>
    <w:p>
      <w:pPr>
        <w:spacing w:line="560" w:lineRule="exact"/>
        <w:ind w:firstLine="640"/>
        <w:rPr>
          <w:bCs/>
          <w:sz w:val="32"/>
          <w:szCs w:val="32"/>
        </w:rPr>
      </w:pPr>
      <w:r>
        <w:rPr>
          <w:rFonts w:hint="eastAsia"/>
          <w:bCs/>
          <w:sz w:val="32"/>
          <w:szCs w:val="32"/>
        </w:rPr>
        <w:t>全面创新服务业业态，积极促进传统商贸流通转型升级，加快城市综合体建设及特色街区打造，引导商贸流通业集聚发展。完善社区商业网点建设，积极实施“便民消费进社区、便民服务进家庭”工程，打造“一刻钟便民生活服务圈”。大力推进农村市场体系建设和新农村现代流通服务网络工程，完善农村市场服务体系，高标准建设农产品综合交易市场。推动电商进农村、进企业、进社区，实现线上线下融合发展，积极发展新零售、新业态，丰富夜间经济、直播电商、社交电商等消费新场景。完善现代服务业特种行业制度和政策供给，加强机制创新和模式创新，逐渐建成布局合理、管理精细、经营规范的供能服务和再生资源回收体系。大力发展功能性房地产，促进房地产业结构性调整，推动房地产业健康有序发展。培育和挖掘新消费增长点，加快发展教育培训、文化创意、绿色康养等产业，建设文化养生、中药养生及山地养生健康产业示范区项目。</w:t>
      </w:r>
    </w:p>
    <w:tbl>
      <w:tblPr>
        <w:tblStyle w:val="27"/>
        <w:tblW w:w="9060"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906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9060" w:type="dxa"/>
          </w:tcPr>
          <w:p>
            <w:pPr>
              <w:spacing w:line="560" w:lineRule="exact"/>
              <w:ind w:firstLine="0" w:firstLineChars="0"/>
              <w:jc w:val="center"/>
              <w:rPr>
                <w:rFonts w:eastAsia="黑体"/>
                <w:b/>
                <w:szCs w:val="28"/>
              </w:rPr>
            </w:pPr>
            <w:r>
              <w:rPr>
                <w:rFonts w:hint="eastAsia" w:eastAsia="黑体"/>
                <w:bCs/>
                <w:szCs w:val="28"/>
              </w:rPr>
              <w:t>专栏十四</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9060" w:type="dxa"/>
          </w:tcPr>
          <w:p>
            <w:pPr>
              <w:spacing w:line="560" w:lineRule="exact"/>
              <w:ind w:firstLine="562"/>
              <w:textAlignment w:val="baseline"/>
              <w:rPr>
                <w:rStyle w:val="66"/>
                <w:szCs w:val="28"/>
              </w:rPr>
            </w:pPr>
            <w:r>
              <w:rPr>
                <w:rStyle w:val="66"/>
                <w:b/>
                <w:bCs/>
                <w:szCs w:val="28"/>
              </w:rPr>
              <w:t>1.飞洋·万汇中心商贸综合体。</w:t>
            </w:r>
            <w:r>
              <w:rPr>
                <w:rStyle w:val="66"/>
                <w:szCs w:val="28"/>
              </w:rPr>
              <w:t>汇集宽景高层、品质中心大宅、体验式商业爱琴海购物公园、商务公寓、浪漫金街五大产品，打造政务中心、商业中心、休闲中心、人文中心和生活中心</w:t>
            </w:r>
            <w:r>
              <w:rPr>
                <w:rStyle w:val="66"/>
                <w:rFonts w:hint="eastAsia"/>
                <w:szCs w:val="28"/>
              </w:rPr>
              <w:t>，打造</w:t>
            </w:r>
            <w:r>
              <w:rPr>
                <w:rStyle w:val="66"/>
                <w:szCs w:val="28"/>
              </w:rPr>
              <w:t>渝东北旗舰级城市综合体</w:t>
            </w:r>
            <w:r>
              <w:rPr>
                <w:rStyle w:val="66"/>
                <w:rFonts w:hint="eastAsia"/>
                <w:szCs w:val="28"/>
              </w:rPr>
              <w:t>。</w:t>
            </w:r>
          </w:p>
          <w:p>
            <w:pPr>
              <w:spacing w:line="560" w:lineRule="exact"/>
              <w:ind w:firstLine="562"/>
              <w:textAlignment w:val="baseline"/>
              <w:rPr>
                <w:rStyle w:val="66"/>
                <w:szCs w:val="28"/>
              </w:rPr>
            </w:pPr>
            <w:r>
              <w:rPr>
                <w:rStyle w:val="66"/>
                <w:b/>
                <w:bCs/>
                <w:szCs w:val="28"/>
              </w:rPr>
              <w:t>2.再生资源回收市场。</w:t>
            </w:r>
            <w:r>
              <w:rPr>
                <w:rStyle w:val="66"/>
                <w:szCs w:val="28"/>
              </w:rPr>
              <w:t>建设再生资源信息网络平台和再生资源分拣中心，主要包括分拣中心厂房、仓库用房、办公用房和相关配套设施，对可用废弃物充分回收利用，再生资源实行规范化交易和集中处理。</w:t>
            </w:r>
          </w:p>
          <w:p>
            <w:pPr>
              <w:spacing w:line="560" w:lineRule="exact"/>
              <w:ind w:firstLine="562"/>
              <w:textAlignment w:val="baseline"/>
              <w:rPr>
                <w:rStyle w:val="66"/>
                <w:szCs w:val="28"/>
              </w:rPr>
            </w:pPr>
            <w:r>
              <w:rPr>
                <w:rStyle w:val="66"/>
                <w:b/>
                <w:bCs/>
                <w:szCs w:val="28"/>
              </w:rPr>
              <w:t>3.</w:t>
            </w:r>
            <w:r>
              <w:rPr>
                <w:rStyle w:val="66"/>
                <w:rFonts w:hint="eastAsia"/>
                <w:b/>
                <w:bCs/>
                <w:szCs w:val="28"/>
              </w:rPr>
              <w:t>夔门印像夜市经济集聚区</w:t>
            </w:r>
            <w:r>
              <w:rPr>
                <w:rStyle w:val="66"/>
                <w:b/>
                <w:bCs/>
                <w:szCs w:val="28"/>
              </w:rPr>
              <w:t>。</w:t>
            </w:r>
            <w:r>
              <w:rPr>
                <w:rStyle w:val="66"/>
                <w:szCs w:val="28"/>
              </w:rPr>
              <w:t>对整个街区提档升级，建设奉节夜间经济消费集聚区，完善基础设施建设和附属配套功能。</w:t>
            </w:r>
          </w:p>
          <w:p>
            <w:pPr>
              <w:spacing w:line="560" w:lineRule="exact"/>
              <w:ind w:firstLine="562"/>
              <w:textAlignment w:val="baseline"/>
              <w:rPr>
                <w:rStyle w:val="66"/>
                <w:szCs w:val="28"/>
              </w:rPr>
            </w:pPr>
            <w:r>
              <w:rPr>
                <w:rStyle w:val="66"/>
                <w:rFonts w:hint="eastAsia"/>
                <w:b/>
                <w:bCs/>
                <w:szCs w:val="28"/>
              </w:rPr>
              <w:t>4</w:t>
            </w:r>
            <w:r>
              <w:rPr>
                <w:rStyle w:val="66"/>
                <w:b/>
                <w:bCs/>
                <w:szCs w:val="28"/>
              </w:rPr>
              <w:t>.藠头出口示范基地。</w:t>
            </w:r>
            <w:r>
              <w:rPr>
                <w:rStyle w:val="66"/>
                <w:szCs w:val="28"/>
              </w:rPr>
              <w:t>新建藠头出口加工厂，内设分选、风干及包装等标准化设施设备，配套2000亩藠头种植基地。</w:t>
            </w:r>
          </w:p>
          <w:p>
            <w:pPr>
              <w:spacing w:line="560" w:lineRule="exact"/>
              <w:ind w:firstLine="562"/>
              <w:textAlignment w:val="baseline"/>
              <w:rPr>
                <w:rStyle w:val="66"/>
                <w:szCs w:val="28"/>
              </w:rPr>
            </w:pPr>
            <w:r>
              <w:rPr>
                <w:rStyle w:val="66"/>
                <w:rFonts w:hint="eastAsia"/>
                <w:b/>
                <w:bCs/>
                <w:szCs w:val="28"/>
              </w:rPr>
              <w:t>5</w:t>
            </w:r>
            <w:r>
              <w:rPr>
                <w:rStyle w:val="66"/>
                <w:b/>
                <w:bCs/>
                <w:szCs w:val="28"/>
              </w:rPr>
              <w:t>.奉节县城区“中央厨房”建设项目。</w:t>
            </w:r>
            <w:r>
              <w:rPr>
                <w:rStyle w:val="66"/>
                <w:szCs w:val="28"/>
              </w:rPr>
              <w:t>依托“中央厨房+”项目，推动冷链物流资源共享，建立农产品产销环节的全程冷链物流体系，构建全程农产品冷链流通链条。</w:t>
            </w:r>
          </w:p>
          <w:p>
            <w:pPr>
              <w:spacing w:line="560" w:lineRule="exact"/>
              <w:ind w:firstLine="562"/>
              <w:textAlignment w:val="baseline"/>
              <w:rPr>
                <w:rStyle w:val="66"/>
                <w:szCs w:val="28"/>
              </w:rPr>
            </w:pPr>
            <w:r>
              <w:rPr>
                <w:rStyle w:val="66"/>
                <w:rFonts w:hint="eastAsia"/>
                <w:b/>
                <w:bCs/>
                <w:szCs w:val="28"/>
              </w:rPr>
              <w:t>6</w:t>
            </w:r>
            <w:r>
              <w:rPr>
                <w:rStyle w:val="66"/>
                <w:b/>
                <w:bCs/>
                <w:szCs w:val="28"/>
              </w:rPr>
              <w:t>.奉节县智能快件箱。</w:t>
            </w:r>
            <w:r>
              <w:rPr>
                <w:rStyle w:val="66"/>
                <w:szCs w:val="28"/>
              </w:rPr>
              <w:t>在城区主要街道小区布局智能快件箱，完善配送末端智能服务。</w:t>
            </w:r>
          </w:p>
          <w:p>
            <w:pPr>
              <w:spacing w:line="560" w:lineRule="exact"/>
              <w:ind w:firstLine="562"/>
              <w:rPr>
                <w:rStyle w:val="66"/>
                <w:rFonts w:eastAsia="仿宋"/>
                <w:bCs/>
                <w:szCs w:val="28"/>
              </w:rPr>
            </w:pPr>
            <w:r>
              <w:rPr>
                <w:rStyle w:val="66"/>
                <w:rFonts w:hint="eastAsia"/>
                <w:b/>
                <w:bCs/>
                <w:szCs w:val="28"/>
              </w:rPr>
              <w:t>7</w:t>
            </w:r>
            <w:r>
              <w:rPr>
                <w:rStyle w:val="66"/>
                <w:b/>
                <w:bCs/>
                <w:szCs w:val="28"/>
              </w:rPr>
              <w:t>.</w:t>
            </w:r>
            <w:r>
              <w:rPr>
                <w:rStyle w:val="66"/>
                <w:rFonts w:ascii="仿宋" w:hAnsi="仿宋" w:eastAsia="仿宋"/>
                <w:b/>
                <w:szCs w:val="28"/>
              </w:rPr>
              <w:t>乡镇农贸市场或农产品产地集配中心建设项目。</w:t>
            </w:r>
            <w:r>
              <w:rPr>
                <w:rStyle w:val="66"/>
                <w:rFonts w:ascii="仿宋" w:hAnsi="仿宋" w:eastAsia="仿宋"/>
                <w:bCs/>
                <w:szCs w:val="28"/>
              </w:rPr>
              <w:t>在有产业基础和条件的乡镇，建设乡镇农贸市场或农产品产地集配中心。以实现产地农产品集散为目的，建设一批具集货、检测、分选、加工、冷藏、配送和信息平台等基本功能的乡镇农贸市场或农产品产地集配中心，</w:t>
            </w:r>
            <w:r>
              <w:rPr>
                <w:rStyle w:val="66"/>
                <w:rFonts w:eastAsia="仿宋"/>
                <w:bCs/>
                <w:szCs w:val="28"/>
              </w:rPr>
              <w:t>形成“多渠道、少环节、促增收”流通新格局。</w:t>
            </w:r>
          </w:p>
          <w:p>
            <w:pPr>
              <w:pStyle w:val="2"/>
              <w:ind w:firstLine="562"/>
            </w:pPr>
            <w:r>
              <w:rPr>
                <w:rStyle w:val="66"/>
                <w:rFonts w:ascii="仿宋" w:hAnsi="仿宋" w:eastAsia="仿宋"/>
                <w:b/>
                <w:szCs w:val="28"/>
              </w:rPr>
              <w:t>8</w:t>
            </w:r>
            <w:r>
              <w:rPr>
                <w:rStyle w:val="66"/>
                <w:rFonts w:hint="eastAsia" w:ascii="仿宋" w:hAnsi="仿宋" w:eastAsia="仿宋"/>
                <w:b/>
                <w:szCs w:val="28"/>
              </w:rPr>
              <w:t>.规范化智慧化农贸市场建设项目。</w:t>
            </w:r>
            <w:r>
              <w:rPr>
                <w:rStyle w:val="66"/>
                <w:rFonts w:hint="eastAsia" w:ascii="仿宋" w:hAnsi="仿宋" w:eastAsia="仿宋"/>
                <w:szCs w:val="28"/>
              </w:rPr>
              <w:t>在永安、鱼复、西部新区、夔门街道建设规范化农贸市场6个，建设智慧化农贸市场1个。</w:t>
            </w:r>
          </w:p>
        </w:tc>
      </w:tr>
    </w:tbl>
    <w:p>
      <w:pPr>
        <w:pStyle w:val="5"/>
        <w:spacing w:before="62" w:beforeLines="20" w:after="62" w:afterLines="20" w:line="560" w:lineRule="exact"/>
        <w:rPr>
          <w:rFonts w:eastAsia="仿宋_GB2312"/>
          <w:sz w:val="32"/>
        </w:rPr>
      </w:pPr>
      <w:bookmarkStart w:id="998" w:name="_Toc31972"/>
      <w:bookmarkStart w:id="999" w:name="_Toc59993052"/>
      <w:bookmarkStart w:id="1000" w:name="_Toc29351"/>
      <w:bookmarkStart w:id="1001" w:name="_Toc60584806"/>
      <w:bookmarkStart w:id="1002" w:name="_Toc19765"/>
      <w:bookmarkStart w:id="1003" w:name="_Toc30357"/>
      <w:bookmarkStart w:id="1004" w:name="_Toc27324"/>
      <w:bookmarkStart w:id="1005" w:name="_Toc12816"/>
      <w:r>
        <w:rPr>
          <w:rFonts w:eastAsia="仿宋_GB2312"/>
          <w:sz w:val="32"/>
        </w:rPr>
        <w:t xml:space="preserve">第三节  </w:t>
      </w:r>
      <w:r>
        <w:rPr>
          <w:rFonts w:hint="eastAsia" w:eastAsia="仿宋_GB2312"/>
          <w:sz w:val="32"/>
        </w:rPr>
        <w:t>积极</w:t>
      </w:r>
      <w:r>
        <w:rPr>
          <w:rFonts w:eastAsia="仿宋_GB2312"/>
          <w:sz w:val="32"/>
        </w:rPr>
        <w:t>推动数字经济</w:t>
      </w:r>
      <w:r>
        <w:rPr>
          <w:rFonts w:hint="eastAsia" w:eastAsia="仿宋_GB2312"/>
          <w:sz w:val="32"/>
        </w:rPr>
        <w:t>快速</w:t>
      </w:r>
      <w:r>
        <w:rPr>
          <w:rFonts w:eastAsia="仿宋_GB2312"/>
          <w:sz w:val="32"/>
        </w:rPr>
        <w:t>发展</w:t>
      </w:r>
      <w:bookmarkEnd w:id="998"/>
      <w:bookmarkEnd w:id="999"/>
      <w:bookmarkEnd w:id="1000"/>
      <w:bookmarkEnd w:id="1001"/>
      <w:bookmarkEnd w:id="1002"/>
      <w:bookmarkEnd w:id="1003"/>
      <w:bookmarkEnd w:id="1004"/>
      <w:bookmarkEnd w:id="1005"/>
    </w:p>
    <w:p>
      <w:pPr>
        <w:spacing w:line="560" w:lineRule="exact"/>
        <w:ind w:firstLine="640"/>
        <w:rPr>
          <w:bCs/>
          <w:sz w:val="32"/>
          <w:szCs w:val="32"/>
        </w:rPr>
      </w:pPr>
      <w:r>
        <w:rPr>
          <w:rFonts w:hint="eastAsia"/>
          <w:bCs/>
          <w:sz w:val="32"/>
          <w:szCs w:val="32"/>
        </w:rPr>
        <w:t>以建设“数字奉节”为目标，构建全领域全方位大数据网络体系。通过城市信息基础设施、城市公共基础数据库、城市公共信息平台以及一批重点应用领域建设，积极推进数字智慧服务体系建设。加强与国内信息产业巨头合作，抓好城市大数据资源中心和政务服务平台建设。强化数字技术在公共卫生、自然灾害、事故灾难、社会安全等突发公共事件应对中的运用，全面提升预警和应急处置能力。支持金融、旅游、电信、教育、医疗、环境、交通、商业、家庭服务、社会治理、城市管理等应用人工智能技术。加快推进特色电商平台发展壮大，促进电子商务多领域应用，通过整合各类线上、线下的产业资源和物流配套体系，推动农村电子商务增效升级，创新发展电商新模式，拓展电商新服务。</w:t>
      </w:r>
    </w:p>
    <w:tbl>
      <w:tblPr>
        <w:tblStyle w:val="27"/>
        <w:tblW w:w="9060"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906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9060" w:type="dxa"/>
          </w:tcPr>
          <w:p>
            <w:pPr>
              <w:spacing w:line="560" w:lineRule="exact"/>
              <w:ind w:firstLine="0" w:firstLineChars="0"/>
              <w:jc w:val="center"/>
              <w:rPr>
                <w:rFonts w:eastAsia="黑体"/>
                <w:b/>
                <w:szCs w:val="28"/>
              </w:rPr>
            </w:pPr>
            <w:r>
              <w:rPr>
                <w:rFonts w:hint="eastAsia" w:eastAsia="黑体"/>
                <w:bCs/>
                <w:szCs w:val="28"/>
              </w:rPr>
              <w:t>专栏十五</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9060" w:type="dxa"/>
          </w:tcPr>
          <w:p>
            <w:pPr>
              <w:spacing w:line="560" w:lineRule="exact"/>
              <w:ind w:firstLine="562"/>
              <w:rPr>
                <w:bCs/>
                <w:szCs w:val="28"/>
              </w:rPr>
            </w:pPr>
            <w:r>
              <w:rPr>
                <w:rFonts w:hint="eastAsia"/>
                <w:b/>
                <w:szCs w:val="28"/>
              </w:rPr>
              <w:t>1.智慧商贸服务体系。</w:t>
            </w:r>
            <w:r>
              <w:rPr>
                <w:rFonts w:hint="eastAsia"/>
                <w:bCs/>
                <w:szCs w:val="28"/>
              </w:rPr>
              <w:t>积极推动传统专业市场电商化改造，加快发展</w:t>
            </w:r>
            <w:r>
              <w:rPr>
                <w:bCs/>
                <w:szCs w:val="28"/>
              </w:rPr>
              <w:t xml:space="preserve"> </w:t>
            </w:r>
            <w:r>
              <w:rPr>
                <w:rFonts w:hint="eastAsia"/>
                <w:bCs/>
                <w:szCs w:val="28"/>
              </w:rPr>
              <w:t>O2O模式，提升信息化管理、信息发布、智慧物流以及安全监测等水平。鼓励农民利用电商平台采购各类农资和商品，积极发展农村电子商务，建设原产地云仓。</w:t>
            </w:r>
          </w:p>
          <w:p>
            <w:pPr>
              <w:spacing w:line="560" w:lineRule="exact"/>
              <w:ind w:firstLine="562"/>
              <w:rPr>
                <w:bCs/>
                <w:szCs w:val="28"/>
              </w:rPr>
            </w:pPr>
            <w:r>
              <w:rPr>
                <w:rFonts w:hint="eastAsia"/>
                <w:b/>
                <w:bCs/>
                <w:szCs w:val="28"/>
              </w:rPr>
              <w:t>2.智慧医疗服务体系。</w:t>
            </w:r>
            <w:r>
              <w:rPr>
                <w:rFonts w:hint="eastAsia"/>
                <w:bCs/>
                <w:szCs w:val="28"/>
              </w:rPr>
              <w:t>完善</w:t>
            </w:r>
            <w:r>
              <w:rPr>
                <w:bCs/>
                <w:szCs w:val="28"/>
              </w:rPr>
              <w:t>智慧医疗基础支撑体系，</w:t>
            </w:r>
            <w:r>
              <w:rPr>
                <w:rFonts w:hint="eastAsia"/>
                <w:bCs/>
                <w:szCs w:val="28"/>
              </w:rPr>
              <w:t>优化</w:t>
            </w:r>
            <w:r>
              <w:rPr>
                <w:bCs/>
                <w:szCs w:val="28"/>
              </w:rPr>
              <w:t>区域全民健康信息平台，</w:t>
            </w:r>
            <w:r>
              <w:rPr>
                <w:rFonts w:hint="eastAsia"/>
                <w:bCs/>
                <w:szCs w:val="28"/>
              </w:rPr>
              <w:t>完善</w:t>
            </w:r>
            <w:r>
              <w:rPr>
                <w:bCs/>
                <w:szCs w:val="28"/>
              </w:rPr>
              <w:t>“</w:t>
            </w:r>
            <w:r>
              <w:rPr>
                <w:rFonts w:hint="eastAsia"/>
                <w:bCs/>
                <w:szCs w:val="28"/>
              </w:rPr>
              <w:t>人</w:t>
            </w:r>
            <w:r>
              <w:rPr>
                <w:bCs/>
                <w:szCs w:val="28"/>
              </w:rPr>
              <w:t>口家庭、</w:t>
            </w:r>
            <w:r>
              <w:rPr>
                <w:rFonts w:hint="eastAsia"/>
                <w:bCs/>
                <w:szCs w:val="28"/>
              </w:rPr>
              <w:t>电子健康档案、电子病历</w:t>
            </w:r>
            <w:r>
              <w:rPr>
                <w:bCs/>
                <w:szCs w:val="28"/>
              </w:rPr>
              <w:t>”</w:t>
            </w:r>
            <w:r>
              <w:rPr>
                <w:rFonts w:hint="eastAsia"/>
                <w:bCs/>
                <w:szCs w:val="28"/>
              </w:rPr>
              <w:t>三</w:t>
            </w:r>
            <w:r>
              <w:rPr>
                <w:bCs/>
                <w:szCs w:val="28"/>
              </w:rPr>
              <w:t>大数据库</w:t>
            </w:r>
            <w:r>
              <w:rPr>
                <w:rFonts w:hint="eastAsia"/>
                <w:bCs/>
                <w:szCs w:val="28"/>
              </w:rPr>
              <w:t>，构建</w:t>
            </w:r>
            <w:r>
              <w:rPr>
                <w:bCs/>
                <w:szCs w:val="28"/>
              </w:rPr>
              <w:t>卫生健康</w:t>
            </w:r>
            <w:r>
              <w:rPr>
                <w:rFonts w:hint="eastAsia"/>
                <w:bCs/>
                <w:szCs w:val="28"/>
              </w:rPr>
              <w:t>信息</w:t>
            </w:r>
            <w:r>
              <w:rPr>
                <w:bCs/>
                <w:szCs w:val="28"/>
              </w:rPr>
              <w:t>智能网，</w:t>
            </w:r>
            <w:r>
              <w:rPr>
                <w:rFonts w:hint="eastAsia"/>
                <w:bCs/>
                <w:szCs w:val="28"/>
              </w:rPr>
              <w:t>建立</w:t>
            </w:r>
            <w:r>
              <w:rPr>
                <w:bCs/>
                <w:szCs w:val="28"/>
              </w:rPr>
              <w:t>数据安全体系</w:t>
            </w:r>
            <w:r>
              <w:rPr>
                <w:rFonts w:hint="eastAsia"/>
                <w:bCs/>
                <w:szCs w:val="28"/>
              </w:rPr>
              <w:t>。</w:t>
            </w:r>
            <w:r>
              <w:rPr>
                <w:bCs/>
                <w:szCs w:val="28"/>
              </w:rPr>
              <w:t>深化智慧医疗</w:t>
            </w:r>
            <w:r>
              <w:rPr>
                <w:rFonts w:hint="eastAsia"/>
                <w:bCs/>
                <w:szCs w:val="28"/>
              </w:rPr>
              <w:t>应用</w:t>
            </w:r>
            <w:r>
              <w:rPr>
                <w:bCs/>
                <w:szCs w:val="28"/>
              </w:rPr>
              <w:t>体系，</w:t>
            </w:r>
            <w:r>
              <w:rPr>
                <w:rFonts w:hint="eastAsia"/>
                <w:bCs/>
                <w:szCs w:val="28"/>
              </w:rPr>
              <w:t>加强</w:t>
            </w:r>
            <w:r>
              <w:rPr>
                <w:bCs/>
                <w:szCs w:val="28"/>
              </w:rPr>
              <w:t>智能化</w:t>
            </w:r>
            <w:r>
              <w:rPr>
                <w:rFonts w:hint="eastAsia"/>
                <w:bCs/>
                <w:szCs w:val="28"/>
              </w:rPr>
              <w:t>行业管理服务</w:t>
            </w:r>
            <w:r>
              <w:rPr>
                <w:bCs/>
                <w:szCs w:val="28"/>
              </w:rPr>
              <w:t>应用，</w:t>
            </w:r>
            <w:r>
              <w:rPr>
                <w:rFonts w:hint="eastAsia"/>
                <w:bCs/>
                <w:szCs w:val="28"/>
              </w:rPr>
              <w:t>推动</w:t>
            </w:r>
            <w:r>
              <w:rPr>
                <w:bCs/>
                <w:szCs w:val="28"/>
              </w:rPr>
              <w:t>智能化公共卫生</w:t>
            </w:r>
            <w:r>
              <w:rPr>
                <w:rFonts w:hint="eastAsia"/>
                <w:bCs/>
                <w:szCs w:val="28"/>
              </w:rPr>
              <w:t>服务</w:t>
            </w:r>
            <w:r>
              <w:rPr>
                <w:bCs/>
                <w:szCs w:val="28"/>
              </w:rPr>
              <w:t>，</w:t>
            </w:r>
            <w:r>
              <w:rPr>
                <w:rFonts w:hint="eastAsia"/>
                <w:bCs/>
                <w:szCs w:val="28"/>
              </w:rPr>
              <w:t>持续</w:t>
            </w:r>
            <w:r>
              <w:rPr>
                <w:bCs/>
                <w:szCs w:val="28"/>
              </w:rPr>
              <w:t>推进</w:t>
            </w:r>
            <w:r>
              <w:rPr>
                <w:rFonts w:hint="eastAsia"/>
                <w:bCs/>
                <w:szCs w:val="28"/>
              </w:rPr>
              <w:t>智慧医院示范</w:t>
            </w:r>
            <w:r>
              <w:rPr>
                <w:bCs/>
                <w:szCs w:val="28"/>
              </w:rPr>
              <w:t>建设，</w:t>
            </w:r>
            <w:r>
              <w:rPr>
                <w:rFonts w:hint="eastAsia"/>
                <w:bCs/>
                <w:szCs w:val="28"/>
              </w:rPr>
              <w:t>推广</w:t>
            </w:r>
            <w:r>
              <w:rPr>
                <w:bCs/>
                <w:szCs w:val="28"/>
              </w:rPr>
              <w:t>个性化健康管理</w:t>
            </w:r>
            <w:r>
              <w:rPr>
                <w:rFonts w:hint="eastAsia"/>
                <w:bCs/>
                <w:szCs w:val="28"/>
              </w:rPr>
              <w:t>服务应</w:t>
            </w:r>
            <w:r>
              <w:rPr>
                <w:bCs/>
                <w:szCs w:val="28"/>
              </w:rPr>
              <w:t>用</w:t>
            </w:r>
            <w:r>
              <w:rPr>
                <w:rFonts w:hint="eastAsia"/>
                <w:bCs/>
                <w:szCs w:val="28"/>
              </w:rPr>
              <w:t>。</w:t>
            </w:r>
            <w:r>
              <w:rPr>
                <w:bCs/>
                <w:szCs w:val="28"/>
              </w:rPr>
              <w:t>打造智慧医疗产</w:t>
            </w:r>
            <w:r>
              <w:rPr>
                <w:rFonts w:hint="eastAsia"/>
                <w:bCs/>
                <w:szCs w:val="28"/>
              </w:rPr>
              <w:t>业体系，</w:t>
            </w:r>
            <w:r>
              <w:rPr>
                <w:bCs/>
                <w:szCs w:val="28"/>
              </w:rPr>
              <w:t>培育健康医疗信息服务新业态、</w:t>
            </w:r>
            <w:r>
              <w:rPr>
                <w:rFonts w:hint="eastAsia"/>
                <w:bCs/>
                <w:szCs w:val="28"/>
              </w:rPr>
              <w:t>壮大</w:t>
            </w:r>
            <w:r>
              <w:rPr>
                <w:bCs/>
                <w:szCs w:val="28"/>
              </w:rPr>
              <w:t>健康医疗信息</w:t>
            </w:r>
            <w:r>
              <w:rPr>
                <w:rFonts w:hint="eastAsia"/>
                <w:bCs/>
                <w:szCs w:val="28"/>
              </w:rPr>
              <w:t>技术</w:t>
            </w:r>
            <w:r>
              <w:rPr>
                <w:bCs/>
                <w:szCs w:val="28"/>
              </w:rPr>
              <w:t>新产业。</w:t>
            </w:r>
          </w:p>
          <w:p>
            <w:pPr>
              <w:spacing w:line="560" w:lineRule="exact"/>
              <w:ind w:firstLine="562"/>
              <w:rPr>
                <w:bCs/>
                <w:szCs w:val="28"/>
              </w:rPr>
            </w:pPr>
            <w:r>
              <w:rPr>
                <w:rFonts w:hint="eastAsia"/>
                <w:b/>
                <w:szCs w:val="28"/>
              </w:rPr>
              <w:t>3.智慧社区服务体系。</w:t>
            </w:r>
            <w:r>
              <w:rPr>
                <w:rFonts w:hint="eastAsia"/>
                <w:bCs/>
                <w:szCs w:val="28"/>
              </w:rPr>
              <w:t>对光纤、宽带等社区基础信息设施进行提升改造，新装定位器、感应器等设备，新建云交换平台、信息数据库、安防系统等平台。由政府辅助建设通信基站、光纤等基础设施，引入专业智慧社区企业进行运营和管理。</w:t>
            </w:r>
          </w:p>
          <w:p>
            <w:pPr>
              <w:spacing w:line="560" w:lineRule="exact"/>
              <w:ind w:firstLine="562"/>
              <w:rPr>
                <w:bCs/>
                <w:szCs w:val="28"/>
              </w:rPr>
            </w:pPr>
            <w:r>
              <w:rPr>
                <w:rFonts w:hint="eastAsia"/>
                <w:b/>
                <w:szCs w:val="28"/>
              </w:rPr>
              <w:t>4.智慧旅游服务体系。</w:t>
            </w:r>
            <w:r>
              <w:rPr>
                <w:rFonts w:hint="eastAsia"/>
                <w:bCs/>
                <w:szCs w:val="28"/>
              </w:rPr>
              <w:t>大力支持利用物联网、云计算、高性能信息处理、智能数据挖掘等技术在旅游体验、旅游经济、旅游活动、旅游管理等方面的应用。实施奉节县旅游云大数据平台化运作，重点支持研发奉节旅游在线应用、旅游集散中心电子商务平台、智慧数据分析管理应用平台等，开发奉节旅游APP和微信公众号，加快发展“互联网+景区”、“互联网+民宿”等新兴旅游模式。</w:t>
            </w:r>
          </w:p>
          <w:p>
            <w:pPr>
              <w:spacing w:line="560" w:lineRule="exact"/>
              <w:ind w:firstLine="562"/>
              <w:rPr>
                <w:kern w:val="0"/>
                <w:szCs w:val="28"/>
              </w:rPr>
            </w:pPr>
            <w:r>
              <w:rPr>
                <w:rFonts w:hint="eastAsia"/>
                <w:b/>
                <w:szCs w:val="28"/>
              </w:rPr>
              <w:t>5.智慧政务服务体系。</w:t>
            </w:r>
            <w:r>
              <w:rPr>
                <w:rFonts w:hint="eastAsia"/>
                <w:bCs/>
                <w:szCs w:val="28"/>
              </w:rPr>
              <w:t>加快电子政务云和网上政务大厅建设，促进涵盖网络、资源、平台、标准等内容的政务一体化，实现政府资源整合、流程优化和业务协同，为市民提供更为便捷高效的公共服务。</w:t>
            </w:r>
          </w:p>
        </w:tc>
      </w:tr>
    </w:tbl>
    <w:p>
      <w:pPr>
        <w:pStyle w:val="4"/>
        <w:spacing w:before="156" w:beforeLines="50" w:after="156" w:afterLines="50" w:line="560" w:lineRule="exact"/>
        <w:rPr>
          <w:rFonts w:ascii="Times New Roman" w:hAnsi="Times New Roman" w:cs="Times New Roman"/>
          <w:b w:val="0"/>
          <w:bCs w:val="0"/>
          <w:sz w:val="32"/>
        </w:rPr>
      </w:pPr>
      <w:bookmarkStart w:id="1006" w:name="_Toc14336"/>
      <w:bookmarkStart w:id="1007" w:name="_Toc3557"/>
      <w:bookmarkStart w:id="1008" w:name="_Toc59993053"/>
      <w:bookmarkStart w:id="1009" w:name="_Toc18225"/>
      <w:bookmarkStart w:id="1010" w:name="_Toc10797"/>
      <w:bookmarkStart w:id="1011" w:name="_Toc31489"/>
      <w:bookmarkStart w:id="1012" w:name="_Toc27327"/>
      <w:bookmarkStart w:id="1013" w:name="_Toc60584807"/>
      <w:bookmarkStart w:id="1014" w:name="_Toc23028"/>
      <w:bookmarkStart w:id="1015" w:name="_Toc3643"/>
      <w:r>
        <w:rPr>
          <w:rFonts w:hint="eastAsia" w:ascii="Times New Roman" w:hAnsi="Times New Roman" w:cs="Times New Roman"/>
          <w:b w:val="0"/>
          <w:bCs w:val="0"/>
          <w:sz w:val="32"/>
        </w:rPr>
        <w:t xml:space="preserve">第三十三章  </w:t>
      </w:r>
      <w:bookmarkEnd w:id="1006"/>
      <w:r>
        <w:rPr>
          <w:rFonts w:hint="eastAsia" w:ascii="Times New Roman" w:hAnsi="Times New Roman" w:cs="Times New Roman"/>
          <w:b w:val="0"/>
          <w:bCs w:val="0"/>
          <w:sz w:val="32"/>
        </w:rPr>
        <w:t>加快生态工业发展</w:t>
      </w:r>
      <w:bookmarkEnd w:id="1007"/>
      <w:bookmarkEnd w:id="1008"/>
      <w:bookmarkEnd w:id="1009"/>
      <w:bookmarkEnd w:id="1010"/>
      <w:bookmarkEnd w:id="1011"/>
      <w:bookmarkEnd w:id="1012"/>
      <w:bookmarkEnd w:id="1013"/>
      <w:bookmarkEnd w:id="1014"/>
      <w:bookmarkEnd w:id="1015"/>
    </w:p>
    <w:p>
      <w:pPr>
        <w:spacing w:line="560" w:lineRule="exact"/>
        <w:ind w:firstLine="640"/>
        <w:rPr>
          <w:bCs/>
          <w:sz w:val="32"/>
          <w:szCs w:val="32"/>
        </w:rPr>
      </w:pPr>
      <w:bookmarkStart w:id="1016" w:name="_Toc30669"/>
      <w:bookmarkStart w:id="1017" w:name="_Toc30455"/>
      <w:bookmarkStart w:id="1018" w:name="_Toc22308"/>
      <w:bookmarkStart w:id="1019" w:name="_Toc1037"/>
      <w:bookmarkStart w:id="1020" w:name="_Toc59993057"/>
      <w:bookmarkStart w:id="1021" w:name="_Toc29343"/>
      <w:r>
        <w:rPr>
          <w:rFonts w:hint="eastAsia"/>
          <w:bCs/>
          <w:sz w:val="32"/>
          <w:szCs w:val="32"/>
        </w:rPr>
        <w:t>把工业高质量发展放到更加突出位置，巩固壮大实体经济根基，坚持集群发展，发挥特色优势，推进产业结构调整，鼓励传统产业改造升级，加快战略性新兴产业及生产性服务业发展。积极培育引进创新平台，着力延伸产业链、提升价值链，加大品牌培育力度，加快提高工业的整体素质和竞争力，形成更具创新力、更高附加值、更安全可靠的产业链供应链，力争工业总产值达到500亿元量级。</w:t>
      </w:r>
    </w:p>
    <w:p>
      <w:pPr>
        <w:pStyle w:val="5"/>
        <w:spacing w:before="62" w:beforeLines="20" w:after="62" w:afterLines="20" w:line="560" w:lineRule="exact"/>
        <w:rPr>
          <w:rFonts w:eastAsia="仿宋_GB2312"/>
          <w:sz w:val="32"/>
        </w:rPr>
      </w:pPr>
      <w:bookmarkStart w:id="1022" w:name="_Toc11959"/>
      <w:bookmarkStart w:id="1023" w:name="_Toc3934"/>
      <w:bookmarkStart w:id="1024" w:name="_Toc60584808"/>
      <w:bookmarkStart w:id="1025" w:name="_Toc9726"/>
      <w:bookmarkStart w:id="1026" w:name="_Toc25863"/>
      <w:bookmarkStart w:id="1027" w:name="_Toc19658"/>
      <w:bookmarkStart w:id="1028" w:name="_Toc59993054"/>
      <w:bookmarkStart w:id="1029" w:name="_Toc25496"/>
      <w:r>
        <w:rPr>
          <w:rFonts w:eastAsia="仿宋_GB2312"/>
          <w:sz w:val="32"/>
        </w:rPr>
        <w:t>第一节  优化工业空间布局</w:t>
      </w:r>
      <w:bookmarkEnd w:id="1022"/>
      <w:bookmarkEnd w:id="1023"/>
      <w:bookmarkEnd w:id="1024"/>
      <w:bookmarkEnd w:id="1025"/>
      <w:bookmarkEnd w:id="1026"/>
      <w:bookmarkEnd w:id="1027"/>
      <w:bookmarkEnd w:id="1028"/>
      <w:bookmarkEnd w:id="1029"/>
    </w:p>
    <w:p>
      <w:pPr>
        <w:spacing w:line="560" w:lineRule="exact"/>
        <w:ind w:firstLine="640"/>
        <w:rPr>
          <w:bCs/>
          <w:sz w:val="32"/>
          <w:szCs w:val="32"/>
        </w:rPr>
      </w:pPr>
      <w:r>
        <w:rPr>
          <w:rFonts w:hint="eastAsia"/>
          <w:bCs/>
          <w:sz w:val="32"/>
          <w:szCs w:val="32"/>
        </w:rPr>
        <w:t>按照“布局集中、用地集约、产业集聚”的原则，结合奉节资源环境承载能力和产业比较优势，统筹考虑区域产业、城镇和生态空间，加快形成功能定位清晰、产业特色鲜明、循环特征突出的产业集聚区，优化全县工业发展空间布局，加强生产布局的统筹协调。严格按照草堂和康乐组团产业发展定位，推进产业空间布局调整优化，有序推动企业入园和重点企业搬迁改造，着力构建“一园两组团多节点”的生态工业空间格局。在重点乡镇和其他有条件的地方推进返乡创业园、扶贫车间、小微企业基地建设，鼓励利用政府闲置资产和闲置工业用地、重点乡镇建设预留产业发展空间，用于生态工业发展。强化工业园公共服务能力提升，加大关键核心技术研发和引进力度，构建产学研协同创新体系，围绕奉节县重点工业产业领域和前沿技术研发需求，选准主攻方向，集中优势资源，规划布局一批科研基础平台，提升自主创新能力。积极推进重点产业建设，提升产业链供应链现代化水平，立足奉节县优势产业，打造新兴产业链，推动传统产业高端化、智能化、绿色化。依托工业园区草堂、康乐组团，坚持集群发展，发挥特色优势，打造眼镜、特色农产品加工、新型材料、特色生物制药、数字经济5个50亿级产业集群和1个500亿级绿色能源、1个200亿级装配式建筑材料产业集群。</w:t>
      </w:r>
    </w:p>
    <w:p>
      <w:pPr>
        <w:pStyle w:val="5"/>
        <w:spacing w:before="62" w:beforeLines="20" w:after="62" w:afterLines="20" w:line="560" w:lineRule="exact"/>
        <w:ind w:firstLine="640"/>
        <w:rPr>
          <w:rFonts w:eastAsia="仿宋_GB2312"/>
          <w:sz w:val="32"/>
        </w:rPr>
      </w:pPr>
      <w:bookmarkStart w:id="1030" w:name="_Toc28000"/>
      <w:bookmarkStart w:id="1031" w:name="_Toc5011"/>
      <w:bookmarkStart w:id="1032" w:name="_Toc18572"/>
      <w:bookmarkStart w:id="1033" w:name="_Toc21598"/>
      <w:bookmarkStart w:id="1034" w:name="_Toc60584809"/>
      <w:bookmarkStart w:id="1035" w:name="_Toc1679"/>
      <w:r>
        <w:rPr>
          <w:rFonts w:eastAsia="仿宋_GB2312"/>
          <w:sz w:val="32"/>
        </w:rPr>
        <w:t>第二节  打造中国西部（重庆）眼镜产业园</w:t>
      </w:r>
      <w:bookmarkEnd w:id="1030"/>
      <w:bookmarkEnd w:id="1031"/>
      <w:bookmarkEnd w:id="1032"/>
      <w:bookmarkEnd w:id="1033"/>
      <w:bookmarkEnd w:id="1034"/>
      <w:bookmarkEnd w:id="1035"/>
    </w:p>
    <w:p>
      <w:pPr>
        <w:spacing w:line="560" w:lineRule="exact"/>
        <w:ind w:firstLine="640"/>
        <w:rPr>
          <w:bCs/>
          <w:sz w:val="32"/>
          <w:szCs w:val="32"/>
        </w:rPr>
      </w:pPr>
      <w:r>
        <w:rPr>
          <w:rFonts w:hint="eastAsia"/>
          <w:bCs/>
          <w:sz w:val="32"/>
          <w:szCs w:val="32"/>
        </w:rPr>
        <w:t>做大眼镜及眼健康产业集群。做大做强中国西部（重庆）眼镜产业园区，突破环保工艺、原料供应掣肘，推进眼镜生产的全业态发展，积极承接东部沿海地区眼镜产业转移，大力引进和培育眼镜制造及眼健康产品生产企业，以镜架、镜片、成镜、表面处理等配套产业及洗眼液、滴眼液、护眼仪等眼健康产品为重点方向，建设眼镜研发检测中心。鼓励眼镜生产企业与体育、时装、景点、咖啡厅、书店等时尚消费场景合作，共同设计产品，实现眼镜产业跨界融合，完善眼镜产业生态，打造集原辅材料供应、研发设计、生产销售、产品展示和贸易结算于一体的眼镜产业集群，推动眼镜企业上市，打造眼镜特色小镇，建成集“互联网+工业+商业+物流+配套”为一体的智能化中国西部（重庆）眼镜产业基地。</w:t>
      </w:r>
    </w:p>
    <w:p>
      <w:pPr>
        <w:pStyle w:val="5"/>
        <w:spacing w:before="62" w:beforeLines="20" w:after="62" w:afterLines="20" w:line="560" w:lineRule="exact"/>
        <w:ind w:firstLine="640"/>
        <w:rPr>
          <w:rFonts w:eastAsia="仿宋_GB2312"/>
          <w:sz w:val="32"/>
        </w:rPr>
      </w:pPr>
      <w:bookmarkStart w:id="1036" w:name="_Toc60584810"/>
      <w:bookmarkStart w:id="1037" w:name="_Toc1704"/>
      <w:bookmarkStart w:id="1038" w:name="_Toc10079"/>
      <w:r>
        <w:rPr>
          <w:rFonts w:hint="eastAsia" w:eastAsia="仿宋_GB2312"/>
          <w:sz w:val="32"/>
        </w:rPr>
        <w:t>第三节  打造三峡库区有影响力的特色农产品加工基地</w:t>
      </w:r>
      <w:bookmarkEnd w:id="1036"/>
      <w:bookmarkEnd w:id="1037"/>
      <w:bookmarkEnd w:id="1038"/>
    </w:p>
    <w:p>
      <w:pPr>
        <w:spacing w:line="560" w:lineRule="exact"/>
        <w:ind w:firstLine="640"/>
        <w:rPr>
          <w:bCs/>
          <w:sz w:val="32"/>
          <w:szCs w:val="32"/>
        </w:rPr>
      </w:pPr>
      <w:r>
        <w:rPr>
          <w:rFonts w:hint="eastAsia"/>
          <w:bCs/>
          <w:sz w:val="32"/>
          <w:szCs w:val="32"/>
        </w:rPr>
        <w:t>依托奉节山地特色绿色农产品资源，加快生态化、智能化、绿色化农产品加工技术应用，重点提升智能化果品精选初加工技术水平，加快传统食品生态加工技术改造，鼓励企业采用食品精深加工技术，提高中高档食品比重，促进产业由低端向中高端延伸。建立原料控制、食品加工制造、食品包装、装备制造、安全控制、物流配送和终端销售等方面的完整食品产业链，实现产供销一体化。重点推进实施脐橙及副产物利用、木本油料、蚕桑高新技术精深加工，打造初加工、精深加工、副产利用的农产品加工体系，做精脐橙“甜蜜产业”，做大木本油料“黄金产业”，占领高端农产品市场。将特色农产品加工与生态旅游相结合，丰富小包装、易携带的“奉节好礼”旅游产品。以脐橙和盬子鸡为代表，打造三峡特色美食基地，建设特色绿色食品加工基地</w:t>
      </w:r>
      <w:r>
        <w:rPr>
          <w:rFonts w:hint="eastAsia" w:ascii="仿宋_GB2312" w:hAnsi="仿宋_GB2312" w:cs="仿宋_GB2312"/>
          <w:bCs/>
          <w:sz w:val="32"/>
          <w:szCs w:val="32"/>
        </w:rPr>
        <w:t>；以“非遗村”为基地，集聚工艺美术产业，打造三峡文创基地。</w:t>
      </w:r>
      <w:r>
        <w:rPr>
          <w:rFonts w:hint="eastAsia"/>
          <w:bCs/>
          <w:sz w:val="32"/>
          <w:szCs w:val="32"/>
        </w:rPr>
        <w:t>打造产业特色突出、空间布局合理的特色农产品加工集群。</w:t>
      </w:r>
    </w:p>
    <w:p>
      <w:pPr>
        <w:pStyle w:val="5"/>
        <w:spacing w:before="62" w:beforeLines="20" w:after="62" w:afterLines="20" w:line="560" w:lineRule="exact"/>
        <w:ind w:firstLine="640"/>
        <w:rPr>
          <w:rFonts w:eastAsia="仿宋_GB2312"/>
          <w:sz w:val="32"/>
        </w:rPr>
      </w:pPr>
      <w:bookmarkStart w:id="1039" w:name="_Toc20764"/>
      <w:bookmarkStart w:id="1040" w:name="_Toc60584811"/>
      <w:bookmarkStart w:id="1041" w:name="_Toc11417"/>
      <w:r>
        <w:rPr>
          <w:rFonts w:hint="eastAsia" w:eastAsia="仿宋_GB2312"/>
          <w:sz w:val="32"/>
        </w:rPr>
        <w:t>第四节  打造节能环保新型材料产业集群</w:t>
      </w:r>
      <w:bookmarkEnd w:id="1039"/>
      <w:bookmarkEnd w:id="1040"/>
      <w:bookmarkEnd w:id="1041"/>
    </w:p>
    <w:p>
      <w:pPr>
        <w:spacing w:line="560" w:lineRule="exact"/>
        <w:ind w:firstLine="640"/>
        <w:rPr>
          <w:bCs/>
          <w:sz w:val="32"/>
          <w:szCs w:val="32"/>
        </w:rPr>
      </w:pPr>
      <w:r>
        <w:rPr>
          <w:rFonts w:hint="eastAsia"/>
          <w:bCs/>
          <w:sz w:val="32"/>
          <w:szCs w:val="32"/>
        </w:rPr>
        <w:t>积极推进现有材料工业的技术提升和产业升级，科学利用矿产资源，转变开发利用方式，提高矿产资源利用水平，引导水泥、制砖、玻璃深加工等传统建材行业规范发展，研发扩展新产品种类。重点开发新型墙体材料、高效节能保温材料、轻量化车厢体等新型环保建材。研发创新纳米材料应用，打造纳米材料基地。</w:t>
      </w:r>
      <w:r>
        <w:rPr>
          <w:rFonts w:hint="eastAsia" w:ascii="仿宋_GB2312" w:hAnsi="仿宋_GB2312" w:cs="仿宋_GB2312"/>
          <w:bCs/>
          <w:sz w:val="32"/>
          <w:szCs w:val="32"/>
        </w:rPr>
        <w:t>研发玻璃纤维、石墨烯等新型材料开发应用，建设复合材料产业园，打造复合材料产业基地。</w:t>
      </w:r>
      <w:r>
        <w:rPr>
          <w:rFonts w:hint="eastAsia"/>
          <w:bCs/>
          <w:sz w:val="32"/>
          <w:szCs w:val="32"/>
        </w:rPr>
        <w:t>加快建设下游循环经济产业园，充分利用煤炭清选和发电产生的二次产物生产建材，形成“煤—电—石膏—石膏板”“煤—电—粉煤灰—新型墙材”两条循环产业链。强化建材产业与建筑业、生产性服务业等关联产业深度融合，延伸上下游产业链条，建成以绿色建材制造为支撑的新型建筑材料产业集群。</w:t>
      </w:r>
    </w:p>
    <w:p>
      <w:pPr>
        <w:pStyle w:val="5"/>
        <w:spacing w:before="62" w:beforeLines="20" w:after="62" w:afterLines="20" w:line="560" w:lineRule="exact"/>
        <w:ind w:firstLine="640"/>
        <w:rPr>
          <w:rFonts w:eastAsia="仿宋_GB2312"/>
          <w:sz w:val="32"/>
        </w:rPr>
      </w:pPr>
      <w:bookmarkStart w:id="1042" w:name="_Toc60584812"/>
      <w:bookmarkStart w:id="1043" w:name="_Toc29775"/>
      <w:bookmarkStart w:id="1044" w:name="_Toc20651"/>
      <w:r>
        <w:rPr>
          <w:rFonts w:hint="eastAsia" w:eastAsia="仿宋_GB2312"/>
          <w:sz w:val="32"/>
        </w:rPr>
        <w:t>第五节  打造三峡库区特色生物制药研发生产基地</w:t>
      </w:r>
      <w:bookmarkEnd w:id="1042"/>
      <w:bookmarkEnd w:id="1043"/>
      <w:bookmarkEnd w:id="1044"/>
    </w:p>
    <w:p>
      <w:pPr>
        <w:spacing w:line="560" w:lineRule="exact"/>
        <w:ind w:firstLine="640"/>
        <w:rPr>
          <w:bCs/>
          <w:sz w:val="32"/>
          <w:szCs w:val="32"/>
        </w:rPr>
      </w:pPr>
      <w:r>
        <w:rPr>
          <w:rFonts w:hint="eastAsia"/>
          <w:bCs/>
          <w:sz w:val="32"/>
          <w:szCs w:val="32"/>
        </w:rPr>
        <w:t>引进国内大型生物制药企业，补足产业链关键环节和缺失</w:t>
      </w:r>
      <w:bookmarkStart w:id="1045" w:name="_Toc4574_WPSOffice_Level2"/>
      <w:r>
        <w:rPr>
          <w:rFonts w:hint="eastAsia"/>
          <w:bCs/>
          <w:sz w:val="32"/>
          <w:szCs w:val="32"/>
        </w:rPr>
        <w:t>环节，大力实施补链、强链和扩链招商</w:t>
      </w:r>
      <w:bookmarkEnd w:id="1045"/>
      <w:r>
        <w:rPr>
          <w:rFonts w:hint="eastAsia"/>
          <w:bCs/>
          <w:sz w:val="32"/>
          <w:szCs w:val="32"/>
        </w:rPr>
        <w:t>，以中药材深加工为主，积极发展特色生物制药产业，做大中药材“康养产业”，不断完善中药全产业链条。大力推动川党参、贝母、川牛膝等中药材精深加工，着力培育和打造一批中药提取、饮片开发、保健品生产、大宗交易等龙头带动企业，推进中药保健品、功能性食品的研究和开发，开发适合药食同源的家用产品、馈赠礼品，不断推动产品创新，突破品种结构，丰富产品门类，打造三峡库区生物制药研发生产基地，建设融中药材种植、中医医疗服务、中医药健康养老服务于一体的中医药健康旅游示范区。</w:t>
      </w:r>
    </w:p>
    <w:p>
      <w:pPr>
        <w:pStyle w:val="5"/>
        <w:spacing w:before="62" w:beforeLines="20" w:after="62" w:afterLines="20" w:line="560" w:lineRule="exact"/>
        <w:ind w:firstLine="640"/>
        <w:rPr>
          <w:rFonts w:eastAsia="仿宋_GB2312"/>
          <w:sz w:val="32"/>
        </w:rPr>
      </w:pPr>
      <w:bookmarkStart w:id="1046" w:name="_Toc6822"/>
      <w:bookmarkStart w:id="1047" w:name="_Toc10355"/>
      <w:bookmarkStart w:id="1048" w:name="_Toc60584813"/>
      <w:r>
        <w:rPr>
          <w:rFonts w:hint="eastAsia" w:eastAsia="仿宋_GB2312"/>
          <w:sz w:val="32"/>
        </w:rPr>
        <w:t>第六节  打造数字经济发展新高地</w:t>
      </w:r>
      <w:bookmarkEnd w:id="1046"/>
      <w:bookmarkEnd w:id="1047"/>
      <w:bookmarkEnd w:id="1048"/>
    </w:p>
    <w:p>
      <w:pPr>
        <w:spacing w:line="560" w:lineRule="exact"/>
        <w:ind w:firstLine="640"/>
        <w:rPr>
          <w:bCs/>
          <w:sz w:val="32"/>
          <w:szCs w:val="32"/>
        </w:rPr>
      </w:pPr>
      <w:r>
        <w:rPr>
          <w:rFonts w:hint="eastAsia"/>
          <w:bCs/>
          <w:sz w:val="32"/>
          <w:szCs w:val="32"/>
        </w:rPr>
        <w:t>以“数字奉节”建设为核心，以数字产业化和产业数字化为主线，以夯实智能化基础设施为支撑，以数字技术应用、产业数字化转型升级和公共服务数字化变革为重要推动力，聚焦数字经济基础设施、数字产业化发展、产业数字化转型、政务管理数字化应用、公共服务数字化变革等五大任务，不断提升传统产业数字化、智能化水平，加快物联、数联、智联布局。着力构建5G、工业互联网、数据共享平台，实现全县各部门、各领域数据的统一目录管理、统一认证和统一交换，推进经济社会各领域数字化转型步伐，促进数字经济与实体经济、城市治理、社会民生深度融合，加速重构经济发展与政府治理模式的新型经济形态，打造数字经济发展新高地。</w:t>
      </w:r>
    </w:p>
    <w:p>
      <w:pPr>
        <w:pStyle w:val="5"/>
        <w:spacing w:before="62" w:beforeLines="20" w:after="62" w:afterLines="20" w:line="560" w:lineRule="exact"/>
        <w:ind w:firstLine="640"/>
        <w:rPr>
          <w:rFonts w:eastAsia="仿宋_GB2312"/>
          <w:sz w:val="32"/>
        </w:rPr>
      </w:pPr>
      <w:bookmarkStart w:id="1049" w:name="_Toc60584814"/>
      <w:bookmarkStart w:id="1050" w:name="_Toc31630"/>
      <w:bookmarkStart w:id="1051" w:name="_Toc25664"/>
      <w:r>
        <w:rPr>
          <w:rFonts w:eastAsia="仿宋_GB2312"/>
          <w:sz w:val="32"/>
        </w:rPr>
        <w:t>第七节</w:t>
      </w:r>
      <w:r>
        <w:rPr>
          <w:rFonts w:hint="eastAsia" w:eastAsia="仿宋_GB2312"/>
          <w:sz w:val="32"/>
        </w:rPr>
        <w:t xml:space="preserve">  打造西部装配式建筑产业与技术高地</w:t>
      </w:r>
      <w:bookmarkEnd w:id="1049"/>
      <w:bookmarkEnd w:id="1050"/>
      <w:bookmarkEnd w:id="1051"/>
    </w:p>
    <w:p>
      <w:pPr>
        <w:spacing w:line="560" w:lineRule="exact"/>
        <w:ind w:firstLine="640"/>
      </w:pPr>
      <w:r>
        <w:rPr>
          <w:rFonts w:hint="eastAsia"/>
          <w:bCs/>
          <w:sz w:val="32"/>
          <w:szCs w:val="32"/>
        </w:rPr>
        <w:t>按照“政府引导、市场主导、龙头带动、集群高效”的原则，规划建设装配式建筑产业园，制定精准产业推进措施，以保障性住房建设为突破口，在老旧小区改造、重点区域建设中率先推进装配式建筑。以建设示范基地为重点，实现科技进步、产业模式、产业价值。围绕智能化产品生产、部品部件生产和装备制造装配式建筑制造业，设计咨询、施工安装装配式设计施工业，研发检测、物流运输、教育培训装配式建筑配套服务业，全面提升建筑品质。初步形成涵盖装配式建筑研发设计、部品部件生产、施工安装、装备制造、物流运输、装饰装修和运行维护的产业链，引进发展</w:t>
      </w:r>
      <w:r>
        <w:rPr>
          <w:bCs/>
          <w:sz w:val="32"/>
          <w:szCs w:val="32"/>
        </w:rPr>
        <w:t>3</w:t>
      </w:r>
      <w:r>
        <w:rPr>
          <w:rFonts w:hint="eastAsia"/>
          <w:bCs/>
          <w:sz w:val="32"/>
          <w:szCs w:val="32"/>
        </w:rPr>
        <w:t>个行业</w:t>
      </w:r>
      <w:r>
        <w:rPr>
          <w:bCs/>
          <w:sz w:val="32"/>
          <w:szCs w:val="32"/>
        </w:rPr>
        <w:t>8</w:t>
      </w:r>
      <w:r>
        <w:rPr>
          <w:rFonts w:hint="eastAsia"/>
          <w:bCs/>
          <w:sz w:val="32"/>
          <w:szCs w:val="32"/>
        </w:rPr>
        <w:t>大门类</w:t>
      </w:r>
      <w:r>
        <w:rPr>
          <w:bCs/>
          <w:sz w:val="32"/>
          <w:szCs w:val="32"/>
        </w:rPr>
        <w:t>100</w:t>
      </w:r>
      <w:r>
        <w:rPr>
          <w:rFonts w:hint="eastAsia"/>
          <w:bCs/>
          <w:sz w:val="32"/>
          <w:szCs w:val="32"/>
        </w:rPr>
        <w:t>余种技术产品企业，打造装配式建筑产业生态圈，装配式建筑占新建建筑比例达到20</w:t>
      </w:r>
      <w:r>
        <w:rPr>
          <w:bCs/>
          <w:sz w:val="32"/>
          <w:szCs w:val="32"/>
        </w:rPr>
        <w:t xml:space="preserve">% </w:t>
      </w:r>
      <w:r>
        <w:rPr>
          <w:rFonts w:hint="eastAsia"/>
          <w:bCs/>
          <w:sz w:val="32"/>
          <w:szCs w:val="32"/>
        </w:rPr>
        <w:t>以上，形成技术超前、绿色环保、协调发展的现代建筑产业体系，逐步发展为西部装配式建筑产业高地与技术高地。</w:t>
      </w:r>
    </w:p>
    <w:p>
      <w:pPr>
        <w:pStyle w:val="5"/>
        <w:spacing w:line="560" w:lineRule="exact"/>
      </w:pPr>
      <w:bookmarkStart w:id="1052" w:name="_Toc60584815"/>
      <w:bookmarkStart w:id="1053" w:name="_Toc19524"/>
      <w:bookmarkStart w:id="1054" w:name="_Toc7295"/>
      <w:bookmarkStart w:id="1055" w:name="_Toc29435"/>
      <w:bookmarkStart w:id="1056" w:name="_Toc31853"/>
      <w:r>
        <w:rPr>
          <w:rFonts w:eastAsia="仿宋_GB2312"/>
          <w:sz w:val="32"/>
        </w:rPr>
        <w:t>第八节  健全生态工业服务体系</w:t>
      </w:r>
      <w:bookmarkEnd w:id="1052"/>
      <w:bookmarkEnd w:id="1053"/>
      <w:bookmarkEnd w:id="1054"/>
      <w:bookmarkEnd w:id="1055"/>
      <w:bookmarkEnd w:id="1056"/>
    </w:p>
    <w:p>
      <w:pPr>
        <w:spacing w:line="560" w:lineRule="exact"/>
        <w:ind w:firstLine="640"/>
      </w:pPr>
      <w:r>
        <w:rPr>
          <w:bCs/>
          <w:sz w:val="32"/>
          <w:szCs w:val="32"/>
        </w:rPr>
        <w:t>持续实施小微企业培育、规模企业培育、大企业大集团及总部经济培育、企业上市培育“四大培育工程”，培育一批“专精特新”“隐型冠军”企业，提升企业发展的层次和质量。支持企业外联重组，通过延伸产业链、发展产业配套、补齐产业发展缺环等措施推动产业集聚发展。切实推动企业“上云、上规、上市”。引导全员创办市场主体，鼓励村居干部带头、农民转型、务工人员返乡、大学生创业、成功人士投资等方式兴办工业企业，促进工业领域市场主体大发展、大提升。提升服务能力，建立中小企业公共服务平台，完善园区功能配套，充实完善园区服务平台，积极为企业提供咨询、财务、代办、法律等服务。引进培育一批专业化、开放型的设计企业，做强工业设计、检验检测等科技服务业，建设创新设计集群。鼓励企业加强电子商务应用，发展网络营销实现品牌培育和市场扩张，鼓励中小微企业依托第三方电子商务服务平台开展业务，深化电子商务应用。推进信息技术在物流智能化管理方面的应用，优化物流企业供应链管理服务，推广企业零库存管理等现代企业管理模式，提升现代物流服务水平。重点建设信息技术平台，发展信息技术集成、信息资源开发与共享、服务外包等信息服务业，形成对制造业</w:t>
      </w:r>
      <w:r>
        <w:rPr>
          <w:rFonts w:hint="eastAsia"/>
          <w:bCs/>
          <w:sz w:val="32"/>
          <w:szCs w:val="32"/>
        </w:rPr>
        <w:t>的</w:t>
      </w:r>
      <w:r>
        <w:rPr>
          <w:bCs/>
          <w:sz w:val="32"/>
          <w:szCs w:val="32"/>
        </w:rPr>
        <w:t>有力支撑。</w:t>
      </w:r>
    </w:p>
    <w:tbl>
      <w:tblPr>
        <w:tblStyle w:val="2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ind w:firstLine="0" w:firstLineChars="0"/>
              <w:jc w:val="center"/>
              <w:rPr>
                <w:b/>
                <w:szCs w:val="28"/>
              </w:rPr>
            </w:pPr>
            <w:r>
              <w:rPr>
                <w:rFonts w:hint="eastAsia" w:eastAsia="黑体"/>
                <w:bCs/>
                <w:szCs w:val="28"/>
              </w:rPr>
              <w:t>专栏十六</w:t>
            </w:r>
            <w:r>
              <w:rPr>
                <w:rFonts w:eastAsia="黑体"/>
                <w:bCs/>
                <w:szCs w:val="2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560" w:lineRule="exact"/>
              <w:ind w:firstLine="562"/>
              <w:rPr>
                <w:bCs/>
                <w:szCs w:val="28"/>
              </w:rPr>
            </w:pPr>
            <w:r>
              <w:rPr>
                <w:rFonts w:hint="eastAsia"/>
                <w:b/>
                <w:szCs w:val="28"/>
              </w:rPr>
              <w:t>1.工业基础设施类。</w:t>
            </w:r>
            <w:r>
              <w:rPr>
                <w:rFonts w:hint="eastAsia"/>
                <w:bCs/>
                <w:szCs w:val="28"/>
              </w:rPr>
              <w:t>重点推进生态工业园三期标准厂房、康乐消落区岸线生态综合治理工程（二期）、环草堂湖库岸整治及道路工程（工业园区污水处理厂-伍家嘴大桥段）、生态工业园眼镜镜架表面处理车间及工业污水处理厂、工业园区（康乐组团）基础设施完善工程、眼镜小镇建设工程、生态工业园加油站配套建设工程、“非遗村”、小微企业创业园、食品加工产业等项目建设。</w:t>
            </w:r>
          </w:p>
          <w:p>
            <w:pPr>
              <w:spacing w:line="560" w:lineRule="exact"/>
              <w:ind w:firstLine="562"/>
              <w:rPr>
                <w:szCs w:val="28"/>
              </w:rPr>
            </w:pPr>
            <w:r>
              <w:rPr>
                <w:rFonts w:hint="eastAsia"/>
                <w:b/>
                <w:szCs w:val="28"/>
              </w:rPr>
              <w:t>2.工业产业类。</w:t>
            </w:r>
            <w:r>
              <w:rPr>
                <w:rFonts w:hint="eastAsia"/>
                <w:bCs/>
                <w:szCs w:val="28"/>
              </w:rPr>
              <w:t>重点推进规模化生物天然气工程试点项目、眼镜产业设计及制造项目、复合材料产业项目、装配式建筑产业基地建设项目、木本油料综合加工项目、中药材精深加工项目、自动缫丝制绸深加工等项目建设。</w:t>
            </w:r>
          </w:p>
        </w:tc>
      </w:tr>
    </w:tbl>
    <w:p>
      <w:pPr>
        <w:pStyle w:val="4"/>
        <w:spacing w:before="156" w:beforeLines="50" w:after="156" w:afterLines="50" w:line="560" w:lineRule="exact"/>
        <w:rPr>
          <w:rFonts w:ascii="Times New Roman" w:hAnsi="Times New Roman" w:cs="Times New Roman"/>
          <w:b w:val="0"/>
          <w:bCs w:val="0"/>
          <w:sz w:val="32"/>
        </w:rPr>
      </w:pPr>
      <w:bookmarkStart w:id="1057" w:name="_Toc5549"/>
      <w:bookmarkStart w:id="1058" w:name="_Toc60584816"/>
      <w:bookmarkStart w:id="1059" w:name="_Toc28698"/>
      <w:r>
        <w:rPr>
          <w:rFonts w:hint="eastAsia" w:ascii="Times New Roman" w:hAnsi="Times New Roman" w:cs="Times New Roman"/>
          <w:b w:val="0"/>
          <w:bCs w:val="0"/>
          <w:sz w:val="32"/>
        </w:rPr>
        <w:t>第三十四章  培育发展大健康产业</w:t>
      </w:r>
      <w:bookmarkEnd w:id="1016"/>
      <w:bookmarkEnd w:id="1017"/>
      <w:bookmarkEnd w:id="1057"/>
      <w:bookmarkEnd w:id="1058"/>
      <w:bookmarkEnd w:id="1059"/>
    </w:p>
    <w:p>
      <w:pPr>
        <w:spacing w:line="560" w:lineRule="exact"/>
        <w:ind w:firstLine="640"/>
        <w:rPr>
          <w:bCs/>
          <w:sz w:val="32"/>
          <w:szCs w:val="32"/>
        </w:rPr>
      </w:pPr>
      <w:r>
        <w:rPr>
          <w:rFonts w:hint="eastAsia"/>
          <w:bCs/>
          <w:sz w:val="32"/>
          <w:szCs w:val="32"/>
        </w:rPr>
        <w:t>把握疫情催生的市场机遇，顺应大健康产业加快发展、创新发展、融合发展、聚集发展的趋势特点，依托长江南北两岸各具特色的自然文化优势，以“云龙长兴”南部山区300平方公里区域为核心载体，优化大健康产业空间布局，增加健康服务和产品供给，加快构建具有区域影响力的大健康产业体系，建设成为重庆打造全国大健康产业融合发展先行区的重要支撑。</w:t>
      </w:r>
    </w:p>
    <w:p>
      <w:pPr>
        <w:pStyle w:val="5"/>
        <w:spacing w:before="62" w:beforeLines="20" w:after="62" w:afterLines="20" w:line="560" w:lineRule="exact"/>
        <w:rPr>
          <w:rFonts w:eastAsia="仿宋_GB2312"/>
          <w:sz w:val="32"/>
        </w:rPr>
      </w:pPr>
      <w:bookmarkStart w:id="1060" w:name="_Toc11248"/>
      <w:bookmarkStart w:id="1061" w:name="_Toc3832"/>
      <w:bookmarkStart w:id="1062" w:name="_Toc60584817"/>
      <w:bookmarkStart w:id="1063" w:name="_Toc1344"/>
      <w:bookmarkStart w:id="1064" w:name="_Toc20954"/>
      <w:r>
        <w:rPr>
          <w:rFonts w:eastAsia="仿宋_GB2312"/>
          <w:sz w:val="32"/>
        </w:rPr>
        <w:t>第一节  优化大健康产业布局</w:t>
      </w:r>
      <w:bookmarkEnd w:id="1060"/>
      <w:bookmarkEnd w:id="1061"/>
      <w:bookmarkEnd w:id="1062"/>
      <w:bookmarkEnd w:id="1063"/>
      <w:bookmarkEnd w:id="1064"/>
    </w:p>
    <w:p>
      <w:pPr>
        <w:widowControl/>
        <w:spacing w:line="560" w:lineRule="exact"/>
        <w:ind w:firstLine="640" w:firstLineChars="0"/>
        <w:rPr>
          <w:bCs/>
          <w:sz w:val="32"/>
          <w:szCs w:val="32"/>
        </w:rPr>
      </w:pPr>
      <w:r>
        <w:rPr>
          <w:rFonts w:hint="eastAsia"/>
          <w:bCs/>
          <w:sz w:val="32"/>
          <w:szCs w:val="32"/>
        </w:rPr>
        <w:t>按照“发挥优势、突出特色、分工合作、协作共赢”的原则，建好引力场、育强驱动力、形成新优势，推动大健康产业全地域、全季节、全产业、全领域发展，着力构建“一核一圈两片”大健康产业发展布局。“一核”即中国诗橙大健康产业创新引领核，以县城、工业园区、物流园区为载体，重点聚集医疗健康综合服务、中医药加工、健康食品加工、技术平台支撑、创新企业孵化、康养与文旅融合等功能；“一圈”即长江两岸生态观光康养融合圈，以瞿塘峡·白帝城景区、安坪峡江鲜脐城、永乐三峡第一村、康乐天鹅湖休闲美食城等为载体，重点聚集生态观光旅游、脐橙养生旅游、峡江文化旅游等功能。“两片”即北部文化康养发展片和南部生态康养发展片，北部文化康养发展片以平安青莲片区红色文化、长龙山道教文化等为依托，重点聚集红色旅游、生态康养、健康食品种植、中药材种植等功能；南部生态康养发展片以九天龙凤、天坑·地缝等“云龙长兴”核心景区为载体，以土家文化为依托，重点聚集旅游度假、中医药种植、高山蔬菜种植、产业融合、健康服务等功能。</w:t>
      </w:r>
    </w:p>
    <w:bookmarkEnd w:id="1018"/>
    <w:bookmarkEnd w:id="1019"/>
    <w:bookmarkEnd w:id="1020"/>
    <w:bookmarkEnd w:id="1021"/>
    <w:p>
      <w:pPr>
        <w:widowControl/>
        <w:spacing w:line="560" w:lineRule="exact"/>
        <w:ind w:firstLine="640" w:firstLineChars="0"/>
        <w:rPr>
          <w:bCs/>
          <w:sz w:val="32"/>
          <w:szCs w:val="32"/>
        </w:rPr>
      </w:pPr>
      <w:bookmarkStart w:id="1065" w:name="_Toc59993058"/>
      <w:bookmarkStart w:id="1066" w:name="_Toc32623"/>
    </w:p>
    <w:p>
      <w:pPr>
        <w:ind w:firstLine="0" w:firstLineChars="0"/>
        <w:jc w:val="center"/>
        <w:rPr>
          <w:rFonts w:eastAsiaTheme="minorEastAsia"/>
        </w:rPr>
      </w:pPr>
      <w:r>
        <w:rPr>
          <w:rFonts w:hint="eastAsia" w:eastAsiaTheme="minorEastAsia"/>
        </w:rPr>
        <w:drawing>
          <wp:inline distT="0" distB="0" distL="114300" distR="114300">
            <wp:extent cx="4661535" cy="5712460"/>
            <wp:effectExtent l="0" t="0" r="0" b="0"/>
            <wp:docPr id="5" name="图片 3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31"/>
                    <pic:cNvPicPr>
                      <a:picLocks noChangeAspect="true"/>
                    </pic:cNvPicPr>
                  </pic:nvPicPr>
                  <pic:blipFill>
                    <a:blip r:embed="rId20" cstate="print">
                      <a:extLst>
                        <a:ext uri="{28A0092B-C50C-407E-A947-70E740481C1C}">
                          <a14:useLocalDpi xmlns:a14="http://schemas.microsoft.com/office/drawing/2010/main" val="false"/>
                        </a:ext>
                      </a:extLst>
                    </a:blip>
                    <a:stretch>
                      <a:fillRect/>
                    </a:stretch>
                  </pic:blipFill>
                  <pic:spPr>
                    <a:xfrm>
                      <a:off x="0" y="0"/>
                      <a:ext cx="4661535" cy="5712976"/>
                    </a:xfrm>
                    <a:prstGeom prst="rect">
                      <a:avLst/>
                    </a:prstGeom>
                  </pic:spPr>
                </pic:pic>
              </a:graphicData>
            </a:graphic>
          </wp:inline>
        </w:drawing>
      </w:r>
    </w:p>
    <w:p>
      <w:pPr>
        <w:widowControl/>
        <w:spacing w:line="560" w:lineRule="exact"/>
        <w:ind w:firstLine="562"/>
        <w:jc w:val="center"/>
        <w:rPr>
          <w:b/>
          <w:szCs w:val="28"/>
        </w:rPr>
      </w:pPr>
      <w:r>
        <w:rPr>
          <w:rFonts w:hint="eastAsia" w:asciiTheme="minorEastAsia" w:hAnsiTheme="minorEastAsia" w:eastAsiaTheme="minorEastAsia" w:cstheme="minorEastAsia"/>
          <w:b/>
          <w:szCs w:val="28"/>
        </w:rPr>
        <w:t>图</w:t>
      </w:r>
      <w:r>
        <w:rPr>
          <w:rFonts w:hint="eastAsia"/>
          <w:b/>
          <w:szCs w:val="28"/>
        </w:rPr>
        <w:t xml:space="preserve">8-1 </w:t>
      </w:r>
      <w:r>
        <w:rPr>
          <w:rFonts w:hint="eastAsia" w:asciiTheme="minorEastAsia" w:hAnsiTheme="minorEastAsia" w:eastAsiaTheme="minorEastAsia" w:cstheme="minorEastAsia"/>
          <w:b/>
          <w:szCs w:val="28"/>
        </w:rPr>
        <w:t>奉节大健康产业发展总体布局图</w:t>
      </w:r>
    </w:p>
    <w:p>
      <w:pPr>
        <w:pStyle w:val="5"/>
        <w:spacing w:before="62" w:beforeLines="20" w:after="62" w:afterLines="20" w:line="560" w:lineRule="exact"/>
      </w:pPr>
      <w:bookmarkStart w:id="1067" w:name="_Toc1706"/>
      <w:bookmarkStart w:id="1068" w:name="_Toc8850"/>
      <w:bookmarkStart w:id="1069" w:name="_Toc29702"/>
      <w:bookmarkStart w:id="1070" w:name="_Toc60584818"/>
      <w:bookmarkStart w:id="1071" w:name="_Toc665"/>
      <w:bookmarkStart w:id="1072" w:name="_Toc31722"/>
      <w:r>
        <w:rPr>
          <w:rFonts w:eastAsia="仿宋_GB2312"/>
          <w:sz w:val="32"/>
        </w:rPr>
        <w:t>第二节  增强大健康产品供给</w:t>
      </w:r>
      <w:bookmarkEnd w:id="1067"/>
      <w:bookmarkEnd w:id="1068"/>
      <w:bookmarkEnd w:id="1069"/>
      <w:bookmarkEnd w:id="1070"/>
      <w:bookmarkEnd w:id="1071"/>
    </w:p>
    <w:p>
      <w:pPr>
        <w:widowControl/>
        <w:adjustRightInd w:val="0"/>
        <w:snapToGrid w:val="0"/>
        <w:spacing w:line="560" w:lineRule="exact"/>
        <w:ind w:firstLine="640"/>
        <w:rPr>
          <w:bCs/>
          <w:sz w:val="32"/>
          <w:szCs w:val="32"/>
        </w:rPr>
      </w:pPr>
      <w:r>
        <w:rPr>
          <w:bCs/>
          <w:sz w:val="32"/>
          <w:szCs w:val="32"/>
        </w:rPr>
        <w:t>充分利用“花漾欣春、爽爽盛夏、炫彩金秋、冰雪韵冬”等县域优质生态环境资源禀赋，依托“诗词文化”“三国文化”“江峡文化”“</w:t>
      </w:r>
      <w:r>
        <w:rPr>
          <w:rFonts w:hint="eastAsia"/>
          <w:bCs/>
          <w:sz w:val="32"/>
          <w:szCs w:val="32"/>
        </w:rPr>
        <w:t>红色</w:t>
      </w:r>
      <w:r>
        <w:rPr>
          <w:bCs/>
          <w:sz w:val="32"/>
          <w:szCs w:val="32"/>
        </w:rPr>
        <w:t>文化”等特色，做大做强“国医养生、风景养眼、美食养身、运动养体、文化养心、宜居养气”六大产品，唱响生态康养旅游品牌“三峡原乡•康养奉节”，着力增强大健康产品供给。</w:t>
      </w:r>
      <w:r>
        <w:rPr>
          <w:rFonts w:hint="eastAsia"/>
          <w:bCs/>
          <w:sz w:val="32"/>
          <w:szCs w:val="32"/>
        </w:rPr>
        <w:t>以工业园区为重点，</w:t>
      </w:r>
      <w:r>
        <w:rPr>
          <w:bCs/>
          <w:sz w:val="32"/>
          <w:szCs w:val="32"/>
        </w:rPr>
        <w:t>加快建设大健康特色产业园区，鼓励企业加快保健品、生物制剂等产品开发，拓展生物制药在大健康产业各领域的应用新空间</w:t>
      </w:r>
      <w:r>
        <w:rPr>
          <w:rFonts w:hint="eastAsia"/>
          <w:bCs/>
          <w:sz w:val="32"/>
          <w:szCs w:val="32"/>
        </w:rPr>
        <w:t>，推动“</w:t>
      </w:r>
      <w:r>
        <w:rPr>
          <w:bCs/>
          <w:sz w:val="32"/>
          <w:szCs w:val="32"/>
        </w:rPr>
        <w:t>国医养生</w:t>
      </w:r>
      <w:r>
        <w:rPr>
          <w:rFonts w:hint="eastAsia"/>
          <w:bCs/>
          <w:sz w:val="32"/>
          <w:szCs w:val="32"/>
        </w:rPr>
        <w:t>”快速发展</w:t>
      </w:r>
      <w:r>
        <w:rPr>
          <w:bCs/>
          <w:sz w:val="32"/>
          <w:szCs w:val="32"/>
        </w:rPr>
        <w:t>。</w:t>
      </w:r>
      <w:r>
        <w:rPr>
          <w:rFonts w:hint="eastAsia"/>
          <w:bCs/>
          <w:sz w:val="32"/>
          <w:szCs w:val="32"/>
        </w:rPr>
        <w:t>以重点景区为重点，加快旅游资源开发，打造一批具有国际影响力的拳头景区，推动“</w:t>
      </w:r>
      <w:r>
        <w:rPr>
          <w:bCs/>
          <w:sz w:val="32"/>
          <w:szCs w:val="32"/>
        </w:rPr>
        <w:t>风景养眼</w:t>
      </w:r>
      <w:r>
        <w:rPr>
          <w:rFonts w:hint="eastAsia"/>
          <w:bCs/>
          <w:sz w:val="32"/>
          <w:szCs w:val="32"/>
        </w:rPr>
        <w:t>”实现新突破。以县城及集镇为重点，</w:t>
      </w:r>
      <w:r>
        <w:rPr>
          <w:bCs/>
          <w:sz w:val="32"/>
          <w:szCs w:val="32"/>
        </w:rPr>
        <w:t>开发推广盬子鸡、夔门醉虾、斑鸠豆腐、纤夫烧肉等本土传统食品，坚持“用鲜菜、放好油、减盐分”等方式改进菜品质量，提高营养转化效率，建成一批健康食品特色街区，推动“美食养身”</w:t>
      </w:r>
      <w:r>
        <w:rPr>
          <w:rFonts w:hint="eastAsia"/>
          <w:bCs/>
          <w:sz w:val="32"/>
          <w:szCs w:val="32"/>
        </w:rPr>
        <w:t>集聚发展</w:t>
      </w:r>
      <w:r>
        <w:rPr>
          <w:bCs/>
          <w:sz w:val="32"/>
          <w:szCs w:val="32"/>
        </w:rPr>
        <w:t>。</w:t>
      </w:r>
      <w:r>
        <w:rPr>
          <w:rFonts w:hint="eastAsia"/>
          <w:bCs/>
          <w:sz w:val="32"/>
          <w:szCs w:val="32"/>
        </w:rPr>
        <w:t>以九天龙凤户外运动旅游开发为重点，建设一批</w:t>
      </w:r>
      <w:r>
        <w:rPr>
          <w:bCs/>
          <w:sz w:val="32"/>
          <w:szCs w:val="32"/>
        </w:rPr>
        <w:t>极限运动户外</w:t>
      </w:r>
      <w:r>
        <w:rPr>
          <w:rFonts w:hint="eastAsia"/>
          <w:bCs/>
          <w:sz w:val="32"/>
          <w:szCs w:val="32"/>
        </w:rPr>
        <w:t>训练</w:t>
      </w:r>
      <w:r>
        <w:rPr>
          <w:bCs/>
          <w:sz w:val="32"/>
          <w:szCs w:val="32"/>
        </w:rPr>
        <w:t>基地</w:t>
      </w:r>
      <w:r>
        <w:rPr>
          <w:rFonts w:hint="eastAsia"/>
          <w:bCs/>
          <w:sz w:val="32"/>
          <w:szCs w:val="32"/>
        </w:rPr>
        <w:t>、生态体育公园、露营基地等</w:t>
      </w:r>
      <w:r>
        <w:rPr>
          <w:bCs/>
          <w:sz w:val="32"/>
          <w:szCs w:val="32"/>
        </w:rPr>
        <w:t>养身</w:t>
      </w:r>
      <w:r>
        <w:rPr>
          <w:rFonts w:hint="eastAsia"/>
          <w:bCs/>
          <w:sz w:val="32"/>
          <w:szCs w:val="32"/>
        </w:rPr>
        <w:t>载体，推动“</w:t>
      </w:r>
      <w:r>
        <w:rPr>
          <w:bCs/>
          <w:sz w:val="32"/>
          <w:szCs w:val="32"/>
        </w:rPr>
        <w:t>运动养体</w:t>
      </w:r>
      <w:r>
        <w:rPr>
          <w:rFonts w:hint="eastAsia"/>
          <w:bCs/>
          <w:sz w:val="32"/>
          <w:szCs w:val="32"/>
        </w:rPr>
        <w:t>”潜力提升。以诗词文化、三国文化、峡江文化、红色文化、土家文化等文化传承保护为重点，打造一批文化小镇、研学基地等</w:t>
      </w:r>
      <w:r>
        <w:rPr>
          <w:bCs/>
          <w:sz w:val="32"/>
          <w:szCs w:val="32"/>
        </w:rPr>
        <w:t>养体</w:t>
      </w:r>
      <w:r>
        <w:rPr>
          <w:rFonts w:hint="eastAsia"/>
          <w:bCs/>
          <w:sz w:val="32"/>
          <w:szCs w:val="32"/>
        </w:rPr>
        <w:t>载体，推动“</w:t>
      </w:r>
      <w:r>
        <w:rPr>
          <w:bCs/>
          <w:sz w:val="32"/>
          <w:szCs w:val="32"/>
        </w:rPr>
        <w:t>文化养心</w:t>
      </w:r>
      <w:r>
        <w:rPr>
          <w:rFonts w:hint="eastAsia"/>
          <w:bCs/>
          <w:sz w:val="32"/>
          <w:szCs w:val="32"/>
        </w:rPr>
        <w:t>”全面发展。以“云龙长兴”南部山区为核心载体，加快建设一批集医疗康复服务、生活护理服务、精神心理服务、老年文化服务等的医养结合基地和生态康养小镇，推动“宜居养气”提速发展。</w:t>
      </w:r>
    </w:p>
    <w:p>
      <w:pPr>
        <w:pStyle w:val="5"/>
        <w:spacing w:before="62" w:beforeLines="20" w:after="62" w:afterLines="20" w:line="560" w:lineRule="exact"/>
        <w:rPr>
          <w:rFonts w:eastAsia="仿宋_GB2312"/>
          <w:sz w:val="32"/>
        </w:rPr>
      </w:pPr>
      <w:bookmarkStart w:id="1073" w:name="_Toc22577"/>
      <w:bookmarkStart w:id="1074" w:name="_Toc30009"/>
      <w:bookmarkStart w:id="1075" w:name="_Toc12766"/>
      <w:bookmarkStart w:id="1076" w:name="_Toc60584819"/>
      <w:bookmarkStart w:id="1077" w:name="_Toc2649"/>
      <w:r>
        <w:rPr>
          <w:rFonts w:eastAsia="仿宋_GB2312"/>
          <w:sz w:val="32"/>
        </w:rPr>
        <w:t>第三节  完善大健康服务体系</w:t>
      </w:r>
      <w:bookmarkEnd w:id="1073"/>
      <w:bookmarkEnd w:id="1074"/>
      <w:bookmarkEnd w:id="1075"/>
      <w:bookmarkEnd w:id="1076"/>
      <w:bookmarkEnd w:id="1077"/>
    </w:p>
    <w:p>
      <w:pPr>
        <w:widowControl/>
        <w:adjustRightInd w:val="0"/>
        <w:snapToGrid w:val="0"/>
        <w:spacing w:line="540" w:lineRule="exact"/>
        <w:ind w:firstLine="640"/>
        <w:rPr>
          <w:bCs/>
          <w:sz w:val="32"/>
          <w:szCs w:val="32"/>
        </w:rPr>
      </w:pPr>
      <w:r>
        <w:rPr>
          <w:rFonts w:hint="eastAsia"/>
          <w:bCs/>
          <w:sz w:val="32"/>
          <w:szCs w:val="32"/>
        </w:rPr>
        <w:t>坚持政府主导与市场运作相结合，加强顶层设计，做好奉节县大健康产业发展规划，完善大健康产业服务配套体系。构建大健康投融资平台，设立健康养生专项引导基金，大力推广应用PPP、EOD等模式，引进一批国际一流的大健康产业投资者和专业运营商，通过资金、品牌、管理、技术等要素的输出，扩大大健康产业规模，增强大健康产业发展后劲。建设大健康创新孵化平台，整合政、产、学、研、金、介、贸等优势资源，强化投融资对接、院企校企合作、企业创新、产品开发等科技服务，建设一批健康养生创业基地和孵化平台，引导形成“创业苗圃（众创空间）+专业孵化器+特色加速器+产业园区”的全链条孵化群落。建设大健康数据信息体系，依托重庆全民健康信息平台，加快疾病预防控制、妇幼健康服务等公共卫生管理信息系统建设，整合全生命周期医疗健康服务信息，推进医疗健康大数据开放共享、深度挖掘和广泛应用。实施人才培养引进工程，围绕“高精尖”紧缺人才，在居留落户、社保医保、子女入学、配偶就业、资金扶持、职称评聘等方面开辟绿色通道，重点引进大健康产业研发创新、市场营销、康复保健、经营管理等高层次人才，培育壮大支撑大健康产业发展的人才队伍。</w:t>
      </w:r>
    </w:p>
    <w:p>
      <w:pPr>
        <w:widowControl/>
        <w:ind w:firstLine="0" w:firstLineChars="0"/>
        <w:contextualSpacing w:val="0"/>
        <w:jc w:val="left"/>
        <w:rPr>
          <w:rFonts w:eastAsia="仿宋"/>
          <w:bCs/>
          <w:szCs w:val="28"/>
        </w:rPr>
      </w:pPr>
      <w:r>
        <w:br w:type="page"/>
      </w:r>
    </w:p>
    <w:tbl>
      <w:tblPr>
        <w:tblStyle w:val="27"/>
        <w:tblW w:w="9060"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906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9060" w:type="dxa"/>
          </w:tcPr>
          <w:p>
            <w:pPr>
              <w:spacing w:line="560" w:lineRule="exact"/>
              <w:ind w:firstLine="0" w:firstLineChars="0"/>
              <w:jc w:val="center"/>
              <w:rPr>
                <w:rFonts w:eastAsia="黑体"/>
                <w:b/>
                <w:szCs w:val="28"/>
              </w:rPr>
            </w:pPr>
            <w:r>
              <w:rPr>
                <w:rFonts w:hint="eastAsia" w:eastAsia="黑体"/>
                <w:bCs/>
                <w:szCs w:val="28"/>
              </w:rPr>
              <w:t>专栏十七</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9060" w:type="dxa"/>
          </w:tcPr>
          <w:p>
            <w:pPr>
              <w:spacing w:line="560" w:lineRule="exact"/>
              <w:ind w:firstLine="562"/>
              <w:rPr>
                <w:bCs/>
                <w:szCs w:val="28"/>
              </w:rPr>
            </w:pPr>
            <w:r>
              <w:rPr>
                <w:rFonts w:hint="eastAsia"/>
                <w:b/>
                <w:szCs w:val="28"/>
              </w:rPr>
              <w:t>1.智慧养老服务体系。</w:t>
            </w:r>
            <w:r>
              <w:rPr>
                <w:rFonts w:hint="eastAsia"/>
                <w:bCs/>
                <w:szCs w:val="28"/>
              </w:rPr>
              <w:t>建设民政养老领域统一平台，采用政府和企业合作的机制，实现县民政局、下属单位和各智慧养老机构、社区、家庭共享定制使用。将居家养老与机构养老、残疾人康复有机结合起来，建立家院互融信息网络“一体化”管理系统。</w:t>
            </w:r>
          </w:p>
          <w:p>
            <w:pPr>
              <w:spacing w:line="560" w:lineRule="exact"/>
              <w:ind w:firstLine="562"/>
              <w:rPr>
                <w:szCs w:val="28"/>
              </w:rPr>
            </w:pPr>
            <w:r>
              <w:rPr>
                <w:rFonts w:hint="eastAsia"/>
                <w:b/>
                <w:szCs w:val="28"/>
              </w:rPr>
              <w:t>2.康养小镇。</w:t>
            </w:r>
            <w:r>
              <w:rPr>
                <w:rFonts w:hint="eastAsia"/>
                <w:bCs/>
                <w:szCs w:val="28"/>
              </w:rPr>
              <w:t>加快兴隆生态康养小镇、土家族风情康养小镇、长龙山禅意康养小镇、诗词康养小镇等特色小镇项目建设；依托特色山水资源，加快建设百岛湖运动基地、九盘河漂流基地；立足于奉节特色美食，积极打造三峡特色美食目的地。</w:t>
            </w:r>
          </w:p>
        </w:tc>
      </w:tr>
      <w:bookmarkEnd w:id="1065"/>
      <w:bookmarkEnd w:id="1066"/>
      <w:bookmarkEnd w:id="1072"/>
    </w:tbl>
    <w:p>
      <w:pPr>
        <w:widowControl/>
        <w:ind w:firstLine="0" w:firstLineChars="0"/>
        <w:contextualSpacing w:val="0"/>
        <w:jc w:val="left"/>
        <w:rPr>
          <w:rFonts w:ascii="黑体" w:hAnsi="黑体" w:eastAsia="黑体" w:cs="黑体"/>
          <w:bCs/>
          <w:kern w:val="44"/>
          <w:sz w:val="36"/>
        </w:rPr>
      </w:pPr>
      <w:bookmarkStart w:id="1078" w:name="_Toc5310"/>
      <w:bookmarkStart w:id="1079" w:name="_Toc26064"/>
      <w:bookmarkStart w:id="1080" w:name="_Toc4938"/>
      <w:bookmarkStart w:id="1081" w:name="_Toc24848"/>
      <w:bookmarkStart w:id="1082" w:name="_Toc59993099"/>
      <w:bookmarkStart w:id="1083" w:name="_Toc2479"/>
      <w:bookmarkStart w:id="1084" w:name="_Toc6225"/>
      <w:r>
        <w:rPr>
          <w:rFonts w:ascii="黑体" w:hAnsi="黑体" w:eastAsia="黑体" w:cs="黑体"/>
          <w:b/>
          <w:bCs/>
        </w:rPr>
        <w:br w:type="page"/>
      </w:r>
    </w:p>
    <w:p>
      <w:pPr>
        <w:pStyle w:val="3"/>
        <w:spacing w:before="156" w:beforeLines="50" w:after="156" w:afterLines="50" w:line="560" w:lineRule="exact"/>
        <w:rPr>
          <w:rFonts w:ascii="黑体" w:hAnsi="黑体" w:eastAsia="黑体" w:cs="黑体"/>
          <w:b w:val="0"/>
          <w:bCs/>
        </w:rPr>
      </w:pPr>
      <w:bookmarkStart w:id="1085" w:name="_Toc22912"/>
      <w:bookmarkStart w:id="1086" w:name="_Toc28935"/>
      <w:bookmarkStart w:id="1087" w:name="_Toc60584820"/>
      <w:r>
        <w:rPr>
          <w:rFonts w:hint="eastAsia" w:ascii="黑体" w:hAnsi="黑体" w:eastAsia="黑体" w:cs="黑体"/>
          <w:b w:val="0"/>
          <w:bCs/>
        </w:rPr>
        <w:t>第九篇  在更高起点推进体制机制改革</w:t>
      </w:r>
      <w:bookmarkEnd w:id="1078"/>
      <w:bookmarkEnd w:id="1079"/>
      <w:bookmarkEnd w:id="1080"/>
      <w:bookmarkEnd w:id="1081"/>
      <w:bookmarkEnd w:id="1082"/>
      <w:bookmarkEnd w:id="1083"/>
      <w:bookmarkEnd w:id="1084"/>
      <w:bookmarkEnd w:id="1085"/>
      <w:bookmarkEnd w:id="1086"/>
      <w:bookmarkEnd w:id="1087"/>
    </w:p>
    <w:p>
      <w:pPr>
        <w:spacing w:line="560" w:lineRule="exact"/>
        <w:ind w:firstLine="640"/>
      </w:pPr>
      <w:r>
        <w:rPr>
          <w:rFonts w:hint="eastAsia"/>
          <w:bCs/>
          <w:sz w:val="32"/>
          <w:szCs w:val="32"/>
        </w:rPr>
        <w:t>全面深化体制机制改革创新，坚持和完善社会主义基本经济制度，充分发挥市场在资源配置中的决定性作用，更好发挥政府作用，推动有效市场和有为政府更好结合，激发市场和社会活力。</w:t>
      </w:r>
    </w:p>
    <w:p>
      <w:pPr>
        <w:pStyle w:val="4"/>
        <w:spacing w:before="156" w:beforeLines="50" w:after="156" w:afterLines="50" w:line="560" w:lineRule="exact"/>
        <w:rPr>
          <w:rFonts w:ascii="Times New Roman" w:hAnsi="Times New Roman" w:cs="Times New Roman"/>
          <w:b w:val="0"/>
          <w:bCs w:val="0"/>
          <w:sz w:val="32"/>
        </w:rPr>
      </w:pPr>
      <w:bookmarkStart w:id="1088" w:name="_Toc20026"/>
      <w:bookmarkStart w:id="1089" w:name="_Toc30954"/>
      <w:bookmarkStart w:id="1090" w:name="_Toc60584821"/>
      <w:bookmarkStart w:id="1091" w:name="_Toc7203"/>
      <w:bookmarkStart w:id="1092" w:name="_Toc30303"/>
      <w:bookmarkStart w:id="1093" w:name="_Toc3850"/>
      <w:bookmarkStart w:id="1094" w:name="_Toc59993100"/>
      <w:bookmarkStart w:id="1095" w:name="_Toc11411"/>
      <w:bookmarkStart w:id="1096" w:name="_Toc7995"/>
      <w:bookmarkStart w:id="1097" w:name="_Toc22401"/>
      <w:r>
        <w:rPr>
          <w:rFonts w:hint="eastAsia" w:ascii="Times New Roman" w:hAnsi="Times New Roman" w:cs="Times New Roman"/>
          <w:b w:val="0"/>
          <w:bCs w:val="0"/>
          <w:sz w:val="32"/>
        </w:rPr>
        <w:t>第三十五章  加快政府职能转变，优化营商环境</w:t>
      </w:r>
      <w:bookmarkEnd w:id="1088"/>
      <w:bookmarkEnd w:id="1089"/>
      <w:bookmarkEnd w:id="1090"/>
      <w:bookmarkEnd w:id="1091"/>
      <w:bookmarkEnd w:id="1092"/>
      <w:bookmarkEnd w:id="1093"/>
      <w:bookmarkEnd w:id="1094"/>
      <w:bookmarkEnd w:id="1095"/>
      <w:bookmarkEnd w:id="1096"/>
      <w:bookmarkEnd w:id="1097"/>
    </w:p>
    <w:p>
      <w:pPr>
        <w:spacing w:line="560" w:lineRule="exact"/>
        <w:ind w:firstLine="640"/>
        <w:rPr>
          <w:bCs/>
          <w:sz w:val="32"/>
          <w:szCs w:val="32"/>
        </w:rPr>
      </w:pPr>
      <w:r>
        <w:rPr>
          <w:rFonts w:hint="eastAsia"/>
          <w:bCs/>
          <w:sz w:val="32"/>
          <w:szCs w:val="32"/>
        </w:rPr>
        <w:t>深化“放管服”改革，聚焦企业设立、经营发展、退出全生命周期服务体系，持续落实“四减”“四办”工作和优化投资环境“六个一”机制，加快推进行政审批“三集中三到位”和“最多跑一次”改革，最大限度精简行政审批事项和环节，加快服务型政府建设。</w:t>
      </w:r>
    </w:p>
    <w:p>
      <w:pPr>
        <w:pStyle w:val="5"/>
        <w:spacing w:before="62" w:beforeLines="20" w:after="62" w:afterLines="20" w:line="560" w:lineRule="exact"/>
        <w:rPr>
          <w:rFonts w:eastAsia="仿宋_GB2312"/>
          <w:sz w:val="32"/>
        </w:rPr>
      </w:pPr>
      <w:bookmarkStart w:id="1098" w:name="_Toc8298"/>
      <w:bookmarkStart w:id="1099" w:name="_Toc60584822"/>
      <w:bookmarkStart w:id="1100" w:name="_Toc8874"/>
      <w:bookmarkStart w:id="1101" w:name="_Toc28487"/>
      <w:bookmarkStart w:id="1102" w:name="_Toc59993101"/>
      <w:bookmarkStart w:id="1103" w:name="_Toc10380"/>
      <w:bookmarkStart w:id="1104" w:name="_Toc14647"/>
      <w:bookmarkStart w:id="1105" w:name="_Toc9283"/>
      <w:r>
        <w:rPr>
          <w:rFonts w:eastAsia="仿宋_GB2312"/>
          <w:sz w:val="32"/>
        </w:rPr>
        <w:t>第一节  加强政府自身能力建设</w:t>
      </w:r>
      <w:bookmarkEnd w:id="1098"/>
      <w:bookmarkEnd w:id="1099"/>
      <w:bookmarkEnd w:id="1100"/>
      <w:bookmarkEnd w:id="1101"/>
      <w:bookmarkEnd w:id="1102"/>
      <w:bookmarkEnd w:id="1103"/>
      <w:bookmarkEnd w:id="1104"/>
      <w:bookmarkEnd w:id="1105"/>
    </w:p>
    <w:p>
      <w:pPr>
        <w:spacing w:line="560" w:lineRule="exact"/>
        <w:ind w:firstLine="640"/>
        <w:rPr>
          <w:bCs/>
          <w:sz w:val="32"/>
          <w:szCs w:val="32"/>
        </w:rPr>
      </w:pPr>
      <w:r>
        <w:rPr>
          <w:rFonts w:hint="eastAsia"/>
          <w:bCs/>
          <w:sz w:val="32"/>
          <w:szCs w:val="32"/>
        </w:rPr>
        <w:t>牢牢锁定奉节县“十四五”时期高质量发展目标，完善政府目标管理绩效考核体系，健全奖优惩劣制度，落实容错纠错机制，拉紧保障工作落实的闭环链条。强化服务职能，进一步转变工作作风，严格落实重大行政决策程序制度，提高决策水平，用制度管人，规范行为。积极做好政务信息公开工作，接受社会和人民群众的监督，让公共权力在阳光下运行。不断优化政务环境与融资环境，加强营商相关法制建设，为企业发展提供有力支撑。完善现代市场监管机制体制，提升市场综合监管能力，破除制约企业发展的各种障碍。深入开展“互联网+政务服务”，强化县、乡、村三级政务服务能力建设，打造“奉公办”政务品牌，切实履行好社会管理和公共服务职能，减少办事环节、简化办事手续。坚持多联系群众，下基层、进企业、深入调查研究，下大力气解决好群众和企业关心关注的热点问题，优化发展环境，营造干事创业的良好局面。</w:t>
      </w:r>
    </w:p>
    <w:p>
      <w:pPr>
        <w:pStyle w:val="5"/>
        <w:spacing w:before="62" w:beforeLines="20" w:after="62" w:afterLines="20" w:line="560" w:lineRule="exact"/>
        <w:rPr>
          <w:rFonts w:eastAsia="仿宋_GB2312"/>
          <w:sz w:val="32"/>
        </w:rPr>
      </w:pPr>
      <w:bookmarkStart w:id="1106" w:name="_Toc60584823"/>
      <w:bookmarkStart w:id="1107" w:name="_Toc19153"/>
      <w:bookmarkStart w:id="1108" w:name="_Toc23412"/>
      <w:bookmarkStart w:id="1109" w:name="_Toc59993102"/>
      <w:bookmarkStart w:id="1110" w:name="_Toc12705"/>
      <w:bookmarkStart w:id="1111" w:name="_Toc18633"/>
      <w:bookmarkStart w:id="1112" w:name="_Toc7985"/>
      <w:bookmarkStart w:id="1113" w:name="_Toc7788"/>
      <w:r>
        <w:rPr>
          <w:rFonts w:eastAsia="仿宋_GB2312"/>
          <w:sz w:val="32"/>
        </w:rPr>
        <w:t>第二节  切实推动民法典全面有效实施</w:t>
      </w:r>
      <w:bookmarkEnd w:id="1106"/>
      <w:bookmarkEnd w:id="1107"/>
      <w:bookmarkEnd w:id="1108"/>
      <w:bookmarkEnd w:id="1109"/>
      <w:bookmarkEnd w:id="1110"/>
      <w:bookmarkEnd w:id="1111"/>
      <w:bookmarkEnd w:id="1112"/>
    </w:p>
    <w:p>
      <w:pPr>
        <w:spacing w:line="560" w:lineRule="exact"/>
        <w:ind w:firstLine="640"/>
        <w:rPr>
          <w:bCs/>
          <w:sz w:val="32"/>
          <w:szCs w:val="32"/>
        </w:rPr>
      </w:pPr>
      <w:r>
        <w:rPr>
          <w:rFonts w:hint="eastAsia"/>
          <w:bCs/>
          <w:sz w:val="32"/>
          <w:szCs w:val="32"/>
        </w:rPr>
        <w:t>坚持以习近平新时代中国特色社会主义思想为指导，以学习宣传、贯彻实施民法典为契机，大力推进法治奉节建设，确保民法典在奉有效实施、落地生根，将法律优势转化为效能治理。不断提高各级干部运用民法典维护人民权益、化解矛盾纠纷、促进社会和谐稳定的能力和水平，深入开展普法宣传工作，进一步引导群众在日常生活中养成自觉守法的意识，丰富形式、创新载体，提高法治宣传覆盖面、针对性和实效性。完善相关立法的法律法规体系，推进同民法典相关联、相配套的地方性法规规章和制度建设，探索大数据智能化发展、互联网治理、新职业发展等领域地方立法。全面加强民法典实施的组织领导，落实领导责任，及时协调解决民法典实施中的突出困难问题，形成整体合力，推动各项工作纳入规范化、制度化轨道，提升实施成效，为建设人民满意的平安奉节、法治奉节贡献力量。</w:t>
      </w:r>
    </w:p>
    <w:p>
      <w:pPr>
        <w:pStyle w:val="5"/>
        <w:spacing w:before="62" w:beforeLines="20" w:after="62" w:afterLines="20" w:line="560" w:lineRule="exact"/>
        <w:rPr>
          <w:rFonts w:eastAsia="仿宋_GB2312"/>
          <w:sz w:val="32"/>
        </w:rPr>
      </w:pPr>
      <w:bookmarkStart w:id="1114" w:name="_Toc59993103"/>
      <w:bookmarkStart w:id="1115" w:name="_Toc28800"/>
      <w:bookmarkStart w:id="1116" w:name="_Toc60584824"/>
      <w:bookmarkStart w:id="1117" w:name="_Toc6938"/>
      <w:bookmarkStart w:id="1118" w:name="_Toc10634"/>
      <w:bookmarkStart w:id="1119" w:name="_Toc4195"/>
      <w:bookmarkStart w:id="1120" w:name="_Toc27322"/>
      <w:r>
        <w:rPr>
          <w:rFonts w:eastAsia="仿宋_GB2312"/>
          <w:sz w:val="32"/>
        </w:rPr>
        <w:t>第三节  持续打造最优营商环境</w:t>
      </w:r>
      <w:bookmarkEnd w:id="1113"/>
      <w:bookmarkEnd w:id="1114"/>
      <w:bookmarkEnd w:id="1115"/>
      <w:bookmarkEnd w:id="1116"/>
      <w:bookmarkEnd w:id="1117"/>
      <w:bookmarkEnd w:id="1118"/>
      <w:bookmarkEnd w:id="1119"/>
      <w:bookmarkEnd w:id="1120"/>
    </w:p>
    <w:p>
      <w:pPr>
        <w:spacing w:line="560" w:lineRule="exact"/>
        <w:ind w:firstLine="640"/>
        <w:rPr>
          <w:bCs/>
          <w:sz w:val="32"/>
          <w:szCs w:val="32"/>
        </w:rPr>
      </w:pPr>
      <w:r>
        <w:rPr>
          <w:rFonts w:hint="eastAsia"/>
          <w:bCs/>
          <w:sz w:val="32"/>
          <w:szCs w:val="32"/>
        </w:rPr>
        <w:t>对标国际国内先进水平，健全持续优化营商环境的工作机制，要把深化“放管服”改革、优化营商环境作为守初心、担使命的实际行动，将任务分工项目化、清单化、责任化，严格定岗、定责、定人，用干事创业敢担当的实际行动抓好落实，为全县经济社会发展注入新动能、激发新活力、增创新优势。深化“最多跑一次”改革，加大落实</w:t>
      </w:r>
      <w:r>
        <w:rPr>
          <w:rFonts w:hint="eastAsia"/>
          <w:bCs/>
          <w:sz w:val="32"/>
          <w:szCs w:val="32"/>
          <w:lang w:eastAsia="zh-CN"/>
        </w:rPr>
        <w:t>“双随机、一公开”</w:t>
      </w:r>
      <w:r>
        <w:rPr>
          <w:rFonts w:hint="eastAsia"/>
          <w:bCs/>
          <w:sz w:val="32"/>
          <w:szCs w:val="32"/>
        </w:rPr>
        <w:t>制度力度，健全公共安全体制机制，简化审批审核程序，下放审批权限。多维度、立体化、全方位地推动营商环境持续优化，着力形成具有市场化、法制化、便利化营商环境，使营商环境真正成为奉节的金字招牌。同时，进一步加强统筹兼顾，全面整体推进，将深化“放管服”改革、优化营商环境工作纳入到各部门和各单位年度考核。</w:t>
      </w:r>
    </w:p>
    <w:p>
      <w:pPr>
        <w:pStyle w:val="4"/>
        <w:spacing w:before="156" w:beforeLines="50" w:after="156" w:afterLines="50" w:line="560" w:lineRule="exact"/>
        <w:rPr>
          <w:rFonts w:ascii="Times New Roman" w:hAnsi="Times New Roman" w:cs="Times New Roman"/>
          <w:b w:val="0"/>
          <w:bCs w:val="0"/>
          <w:sz w:val="32"/>
        </w:rPr>
      </w:pPr>
      <w:bookmarkStart w:id="1121" w:name="_Toc12403"/>
      <w:bookmarkStart w:id="1122" w:name="_Toc15533"/>
      <w:bookmarkStart w:id="1123" w:name="_Toc60584825"/>
      <w:bookmarkStart w:id="1124" w:name="_Toc17473"/>
      <w:bookmarkStart w:id="1125" w:name="_Toc31054"/>
      <w:bookmarkStart w:id="1126" w:name="_Toc25728"/>
      <w:bookmarkStart w:id="1127" w:name="_Toc59993104"/>
      <w:bookmarkStart w:id="1128" w:name="_Toc30735"/>
      <w:bookmarkStart w:id="1129" w:name="_Toc24273"/>
      <w:bookmarkStart w:id="1130" w:name="_Toc17767"/>
      <w:r>
        <w:rPr>
          <w:rFonts w:hint="eastAsia" w:ascii="Times New Roman" w:hAnsi="Times New Roman" w:cs="Times New Roman"/>
          <w:b w:val="0"/>
          <w:bCs w:val="0"/>
          <w:sz w:val="32"/>
        </w:rPr>
        <w:t>第三十六章  建设高标准市场体系，培育市场主体</w:t>
      </w:r>
      <w:bookmarkEnd w:id="1121"/>
      <w:bookmarkEnd w:id="1122"/>
      <w:bookmarkEnd w:id="1123"/>
      <w:bookmarkEnd w:id="1124"/>
      <w:bookmarkEnd w:id="1125"/>
      <w:bookmarkEnd w:id="1126"/>
      <w:bookmarkEnd w:id="1127"/>
      <w:bookmarkEnd w:id="1128"/>
      <w:bookmarkEnd w:id="1129"/>
      <w:bookmarkEnd w:id="1130"/>
    </w:p>
    <w:p>
      <w:pPr>
        <w:spacing w:line="560" w:lineRule="exact"/>
        <w:ind w:firstLine="640"/>
        <w:rPr>
          <w:bCs/>
          <w:sz w:val="32"/>
          <w:szCs w:val="32"/>
        </w:rPr>
      </w:pPr>
      <w:r>
        <w:rPr>
          <w:rFonts w:hint="eastAsia"/>
          <w:bCs/>
          <w:sz w:val="32"/>
          <w:szCs w:val="32"/>
        </w:rPr>
        <w:t>坚持平等准入、公正监管、开放有序、诚信守法、落实统一的市场准入负面清单制度，加快清理废除阻碍统一市场和公平竞争的各项规定和做法，放宽市场准入，同时优化市场监管能力，提升税收共治水平，维护公平的市场秩序。</w:t>
      </w:r>
    </w:p>
    <w:p>
      <w:pPr>
        <w:pStyle w:val="5"/>
        <w:spacing w:before="62" w:beforeLines="20" w:after="62" w:afterLines="20" w:line="560" w:lineRule="exact"/>
        <w:rPr>
          <w:rFonts w:eastAsia="仿宋_GB2312"/>
          <w:sz w:val="32"/>
        </w:rPr>
      </w:pPr>
      <w:bookmarkStart w:id="1131" w:name="_Toc18705"/>
      <w:bookmarkStart w:id="1132" w:name="_Toc22571"/>
      <w:bookmarkStart w:id="1133" w:name="_Toc27973"/>
      <w:bookmarkStart w:id="1134" w:name="_Toc60584826"/>
      <w:bookmarkStart w:id="1135" w:name="_Toc26951"/>
      <w:bookmarkStart w:id="1136" w:name="_Toc59993105"/>
      <w:bookmarkStart w:id="1137" w:name="_Toc9857"/>
      <w:bookmarkStart w:id="1138" w:name="_Toc16115"/>
      <w:r>
        <w:rPr>
          <w:rFonts w:eastAsia="仿宋_GB2312"/>
          <w:sz w:val="32"/>
        </w:rPr>
        <w:t>第一节  健全社会信用体系</w:t>
      </w:r>
      <w:bookmarkEnd w:id="1131"/>
      <w:bookmarkEnd w:id="1132"/>
      <w:bookmarkEnd w:id="1133"/>
      <w:bookmarkEnd w:id="1134"/>
      <w:bookmarkEnd w:id="1135"/>
      <w:bookmarkEnd w:id="1136"/>
      <w:bookmarkEnd w:id="1137"/>
      <w:bookmarkEnd w:id="1138"/>
    </w:p>
    <w:p>
      <w:pPr>
        <w:spacing w:line="560" w:lineRule="exact"/>
        <w:ind w:firstLine="640"/>
        <w:rPr>
          <w:bCs/>
          <w:sz w:val="32"/>
          <w:szCs w:val="32"/>
        </w:rPr>
      </w:pPr>
      <w:r>
        <w:rPr>
          <w:rFonts w:hint="eastAsia"/>
          <w:bCs/>
          <w:sz w:val="32"/>
          <w:szCs w:val="32"/>
        </w:rPr>
        <w:t>依托“信用中国”平台，强化信用信息汇集，有序推进全社会信息资源开发共享，推动信用信息共享机制。建立以“事前信用承诺—事中信用监管—事后信用奖惩”的全过程新型信用监管体系，充分发挥守信激励和失信惩戒机制，推广信用产品应用。建立健全社会信用制度和标准体系，依法规范信用服务行为和市场秩序，营造优良信用环境，切实提高全县社会诚信意识和信用水平，增强城市综合竞争力，推动智慧奉节、数字奉节、信用奉节建设取得更大成效。</w:t>
      </w:r>
    </w:p>
    <w:p>
      <w:pPr>
        <w:pStyle w:val="5"/>
        <w:spacing w:before="62" w:beforeLines="20" w:after="62" w:afterLines="20" w:line="560" w:lineRule="exact"/>
        <w:rPr>
          <w:rFonts w:eastAsia="仿宋_GB2312"/>
          <w:sz w:val="32"/>
        </w:rPr>
      </w:pPr>
      <w:bookmarkStart w:id="1139" w:name="_Toc11251"/>
      <w:bookmarkStart w:id="1140" w:name="_Toc59993106"/>
      <w:bookmarkStart w:id="1141" w:name="_Toc18347"/>
      <w:bookmarkStart w:id="1142" w:name="_Toc60584827"/>
      <w:bookmarkStart w:id="1143" w:name="_Toc28186"/>
      <w:bookmarkStart w:id="1144" w:name="_Toc30806"/>
      <w:bookmarkStart w:id="1145" w:name="_Toc8477"/>
      <w:bookmarkStart w:id="1146" w:name="_Toc20921"/>
      <w:r>
        <w:rPr>
          <w:rFonts w:eastAsia="仿宋_GB2312"/>
          <w:sz w:val="32"/>
        </w:rPr>
        <w:t>第二节  完善市场化要素配置机制</w:t>
      </w:r>
      <w:bookmarkEnd w:id="1139"/>
      <w:bookmarkEnd w:id="1140"/>
      <w:bookmarkEnd w:id="1141"/>
      <w:bookmarkEnd w:id="1142"/>
      <w:bookmarkEnd w:id="1143"/>
      <w:bookmarkEnd w:id="1144"/>
      <w:bookmarkEnd w:id="1145"/>
      <w:bookmarkEnd w:id="1146"/>
    </w:p>
    <w:p>
      <w:pPr>
        <w:spacing w:line="560" w:lineRule="exact"/>
        <w:ind w:firstLine="640"/>
        <w:rPr>
          <w:bCs/>
          <w:sz w:val="32"/>
          <w:szCs w:val="32"/>
        </w:rPr>
      </w:pPr>
      <w:r>
        <w:rPr>
          <w:rFonts w:hint="eastAsia"/>
          <w:bCs/>
          <w:sz w:val="32"/>
          <w:szCs w:val="32"/>
        </w:rPr>
        <w:t>完善产权执法司法保护制度，规范涉企执法司法行为。完善现代化市场监管体制机制，健全公平竞争审查机制，提升市场综合监管能力。推动土地、劳动力、资本、技术、数据等要素市场化改革，加快推进政府采购服务线上中介超市运用，提高要素配置效率。完善各类公共资源交易要素市场功能，增强要素市场集聚辐射效应。加大招商引资专业人员培育，搭建招商引资服务平台，大力推进全域招商、全时招商、全员招商和全力招商，鼓励返乡创业和优质企业落户奉节。推动企业“上云、上规、上市”，促进各类市场主体发展壮大。</w:t>
      </w:r>
    </w:p>
    <w:p>
      <w:pPr>
        <w:pStyle w:val="4"/>
        <w:spacing w:before="156" w:beforeLines="50" w:after="156" w:afterLines="50" w:line="560" w:lineRule="exact"/>
        <w:rPr>
          <w:rFonts w:ascii="Times New Roman" w:hAnsi="Times New Roman" w:cs="Times New Roman"/>
          <w:b w:val="0"/>
          <w:bCs w:val="0"/>
          <w:sz w:val="32"/>
        </w:rPr>
      </w:pPr>
      <w:bookmarkStart w:id="1147" w:name="_Toc6468"/>
      <w:bookmarkStart w:id="1148" w:name="_Toc24785"/>
      <w:bookmarkStart w:id="1149" w:name="_Toc20682"/>
      <w:bookmarkStart w:id="1150" w:name="_Toc60584828"/>
      <w:bookmarkStart w:id="1151" w:name="_Toc6843"/>
      <w:bookmarkStart w:id="1152" w:name="_Toc9678"/>
      <w:bookmarkStart w:id="1153" w:name="_Toc12612"/>
      <w:bookmarkStart w:id="1154" w:name="_Toc2341"/>
      <w:bookmarkStart w:id="1155" w:name="_Toc59993107"/>
      <w:bookmarkStart w:id="1156" w:name="_Toc23472"/>
      <w:r>
        <w:rPr>
          <w:rFonts w:hint="eastAsia" w:ascii="Times New Roman" w:hAnsi="Times New Roman" w:cs="Times New Roman"/>
          <w:b w:val="0"/>
          <w:bCs w:val="0"/>
          <w:sz w:val="32"/>
        </w:rPr>
        <w:t>第三十七章  深化国有企业改革，激发市场活力</w:t>
      </w:r>
      <w:bookmarkEnd w:id="1147"/>
      <w:bookmarkEnd w:id="1148"/>
      <w:bookmarkEnd w:id="1149"/>
      <w:bookmarkEnd w:id="1150"/>
      <w:bookmarkEnd w:id="1151"/>
      <w:bookmarkEnd w:id="1152"/>
      <w:bookmarkEnd w:id="1153"/>
      <w:bookmarkEnd w:id="1154"/>
      <w:bookmarkEnd w:id="1155"/>
      <w:bookmarkEnd w:id="1156"/>
    </w:p>
    <w:p>
      <w:pPr>
        <w:spacing w:line="560" w:lineRule="exact"/>
        <w:ind w:firstLine="640"/>
        <w:rPr>
          <w:bCs/>
          <w:sz w:val="32"/>
          <w:szCs w:val="32"/>
        </w:rPr>
      </w:pPr>
      <w:r>
        <w:rPr>
          <w:rFonts w:hint="eastAsia"/>
          <w:bCs/>
          <w:sz w:val="32"/>
          <w:szCs w:val="32"/>
        </w:rPr>
        <w:t>按照完善治理、强化激励、突出主业、提高效率的要求，以深化国有企业改革为主线，以增强企业活力为中心，以体制机制创新为重点，以依法治企为保障，建立与现代企业制度相适应的国有企业治理体系。</w:t>
      </w:r>
    </w:p>
    <w:p>
      <w:pPr>
        <w:pStyle w:val="5"/>
        <w:spacing w:before="62" w:beforeLines="20" w:after="62" w:afterLines="20" w:line="560" w:lineRule="exact"/>
        <w:rPr>
          <w:rFonts w:eastAsia="仿宋_GB2312"/>
          <w:sz w:val="32"/>
        </w:rPr>
      </w:pPr>
      <w:bookmarkStart w:id="1157" w:name="_Toc7748"/>
      <w:bookmarkStart w:id="1158" w:name="_Toc60584829"/>
      <w:bookmarkStart w:id="1159" w:name="_Toc16039"/>
      <w:bookmarkStart w:id="1160" w:name="_Toc59993108"/>
      <w:bookmarkStart w:id="1161" w:name="_Toc5110"/>
      <w:bookmarkStart w:id="1162" w:name="_Toc17336"/>
      <w:bookmarkStart w:id="1163" w:name="_Toc16568"/>
      <w:bookmarkStart w:id="1164" w:name="_Toc28761"/>
      <w:r>
        <w:rPr>
          <w:rFonts w:eastAsia="仿宋_GB2312"/>
          <w:sz w:val="32"/>
        </w:rPr>
        <w:t>第一节  纵深推进国企改革创新</w:t>
      </w:r>
      <w:bookmarkEnd w:id="1157"/>
      <w:bookmarkEnd w:id="1158"/>
      <w:bookmarkEnd w:id="1159"/>
      <w:bookmarkEnd w:id="1160"/>
      <w:bookmarkEnd w:id="1161"/>
      <w:bookmarkEnd w:id="1162"/>
      <w:bookmarkEnd w:id="1163"/>
      <w:bookmarkEnd w:id="1164"/>
    </w:p>
    <w:p>
      <w:pPr>
        <w:spacing w:line="560" w:lineRule="exact"/>
        <w:ind w:firstLine="640"/>
        <w:rPr>
          <w:bCs/>
          <w:sz w:val="32"/>
          <w:szCs w:val="32"/>
        </w:rPr>
      </w:pPr>
      <w:r>
        <w:rPr>
          <w:rFonts w:hint="eastAsia"/>
          <w:bCs/>
          <w:sz w:val="32"/>
          <w:szCs w:val="32"/>
        </w:rPr>
        <w:t>坚定不移把国有企业做强做优做大，不断深化国资国企改革，完善现代企业制度，优化国有经济产业布局和结构调整，推动国有企业向基础设施、城市功能、资源开发、全域土地整治等领域集中，实现“三个聚焦”，提高对经济发展大局的贡献度和与奉节发展战略的融合度。抓体制改革理顺管理，聚合资源，实行集中统一监管，百盐、赤甲两大集团分别负责城市综合运营和文旅综合运营。抓国资改革做大企业，全面梳理政府购买服务和特许经营权，进行市场化运作，并通过资产移交、置产置换、变更土地性质等方式剥离公益性资产，提高百盐集团、赤甲集团市场化和营利能力。抓机制改革做强企业，推进经理层成员任期制和契约化管理，完善市场化薪酬分配制度，开展多种方式的中长期激励；积极稳妥发展混合所有制经济，推动赤甲集团、百盐集团等有条件的国有企业上市。实行“一企一策”分类考核，根据国有企业功能实行分类改革、分类发展、分类监管，不断优化资产配置、完善治理结构。加快推进国有投融资企业转型升级，彻底分开公益类、经营类项目建设的投资主体和建设业主；强化负债规模和资产负债率双重管控，增强企业抵抗风险的能力。探索国有企业混合所有制改革，支持以市场化方式设立混合所有制改革产业基金，以股权投资、增资扩股、合资合作、技术引进、改制上市等方式，吸引更多资本参与国有企业改革。</w:t>
      </w:r>
    </w:p>
    <w:p>
      <w:pPr>
        <w:pStyle w:val="5"/>
        <w:spacing w:before="62" w:beforeLines="20" w:after="62" w:afterLines="20" w:line="560" w:lineRule="exact"/>
        <w:rPr>
          <w:rFonts w:eastAsia="仿宋_GB2312"/>
          <w:sz w:val="32"/>
        </w:rPr>
      </w:pPr>
      <w:bookmarkStart w:id="1165" w:name="_Toc14416"/>
      <w:bookmarkStart w:id="1166" w:name="_Toc11389"/>
      <w:bookmarkStart w:id="1167" w:name="_Toc22386"/>
      <w:bookmarkStart w:id="1168" w:name="_Toc59993109"/>
      <w:bookmarkStart w:id="1169" w:name="_Toc14901"/>
      <w:bookmarkStart w:id="1170" w:name="_Toc60584830"/>
      <w:bookmarkStart w:id="1171" w:name="_Toc7729"/>
      <w:bookmarkStart w:id="1172" w:name="_Toc8568"/>
      <w:r>
        <w:rPr>
          <w:rFonts w:eastAsia="仿宋_GB2312"/>
          <w:sz w:val="32"/>
        </w:rPr>
        <w:t>第二节  建设现代金融服务体系</w:t>
      </w:r>
      <w:bookmarkEnd w:id="1165"/>
      <w:bookmarkEnd w:id="1166"/>
      <w:bookmarkEnd w:id="1167"/>
      <w:bookmarkEnd w:id="1168"/>
      <w:bookmarkEnd w:id="1169"/>
      <w:bookmarkEnd w:id="1170"/>
      <w:bookmarkEnd w:id="1171"/>
      <w:bookmarkEnd w:id="1172"/>
    </w:p>
    <w:p>
      <w:pPr>
        <w:spacing w:line="560" w:lineRule="exact"/>
        <w:ind w:firstLine="640"/>
        <w:rPr>
          <w:bCs/>
          <w:sz w:val="32"/>
          <w:szCs w:val="32"/>
        </w:rPr>
      </w:pPr>
      <w:r>
        <w:rPr>
          <w:rFonts w:hint="eastAsia"/>
          <w:bCs/>
          <w:sz w:val="32"/>
          <w:szCs w:val="32"/>
        </w:rPr>
        <w:t>强化金融支持功能，发挥政府引导基金作用，建立创业种子投资基金、产业股权引导投资基金，制定分红让利等优惠政策，撬动和吸引更多社会资本参与创新投资和股权投资，支持企业发展。提升金融服务覆盖度，有效统筹工业经济、民营经济、中小微企业、就业创业、农业、旅游等各类扶持资金，推动金融与科技、农业相互融合，创新金融业务模式和推出新的金融产品，完善供应链金融和普惠金融。推动金融与科技融合发展，通过建立科技型企业融资补偿机制，开展科技型企业知识价值信用贷款，鼓励支持金融机构创新开展知识产权质押融资、科技保险等业务，对科技型企业科技投入给予贷款贴息和担保费用补贴；推动大数据、云计算、人工智能、区块链等新技术在金融领域深度应用，在有效管控风险的基础上，让科技成为现代金融发展的“助推器”。建立健全金融监管体系，着力创新和完善金融调控，健全现代金融企业制度，构建现代金融监管框架，促进金融与实体经济良性循环、健康发展。</w:t>
      </w:r>
    </w:p>
    <w:p>
      <w:pPr>
        <w:pStyle w:val="4"/>
        <w:spacing w:before="156" w:beforeLines="50" w:after="156" w:afterLines="50" w:line="560" w:lineRule="exact"/>
        <w:rPr>
          <w:rFonts w:ascii="Times New Roman" w:hAnsi="Times New Roman" w:cs="Times New Roman"/>
          <w:b w:val="0"/>
          <w:bCs w:val="0"/>
          <w:sz w:val="32"/>
        </w:rPr>
      </w:pPr>
      <w:bookmarkStart w:id="1173" w:name="_Toc21701"/>
      <w:bookmarkStart w:id="1174" w:name="_Toc857"/>
      <w:bookmarkStart w:id="1175" w:name="_Toc1454"/>
      <w:bookmarkStart w:id="1176" w:name="_Toc28392"/>
      <w:bookmarkStart w:id="1177" w:name="_Toc5184"/>
      <w:bookmarkStart w:id="1178" w:name="_Toc13859"/>
      <w:bookmarkStart w:id="1179" w:name="_Toc60584831"/>
      <w:bookmarkStart w:id="1180" w:name="_Toc11946"/>
      <w:bookmarkStart w:id="1181" w:name="_Toc59993110"/>
      <w:bookmarkStart w:id="1182" w:name="_Toc5462"/>
      <w:r>
        <w:rPr>
          <w:rFonts w:hint="eastAsia" w:ascii="Times New Roman" w:hAnsi="Times New Roman" w:cs="Times New Roman"/>
          <w:b w:val="0"/>
          <w:bCs w:val="0"/>
          <w:sz w:val="32"/>
        </w:rPr>
        <w:t>第三十八章  全面深化农村改革</w:t>
      </w:r>
      <w:bookmarkEnd w:id="1173"/>
      <w:bookmarkEnd w:id="1174"/>
      <w:bookmarkEnd w:id="1175"/>
      <w:bookmarkEnd w:id="1176"/>
      <w:bookmarkEnd w:id="1177"/>
      <w:bookmarkEnd w:id="1178"/>
      <w:bookmarkEnd w:id="1179"/>
      <w:bookmarkEnd w:id="1180"/>
      <w:bookmarkEnd w:id="1181"/>
      <w:bookmarkEnd w:id="1182"/>
    </w:p>
    <w:p>
      <w:pPr>
        <w:spacing w:line="560" w:lineRule="exact"/>
        <w:ind w:firstLine="640"/>
      </w:pPr>
      <w:r>
        <w:rPr>
          <w:rFonts w:hint="eastAsia"/>
          <w:bCs/>
          <w:sz w:val="32"/>
          <w:szCs w:val="32"/>
        </w:rPr>
        <w:t>围绕“两出两进”，推进“两确权两到位、两集中两转变”，持续推动农村“三变”改革走深走实。破除体制机制弊端，推动农村发展不断向纵深推进，让农村资源要素活起来，让广大农民积极性和创造性迸发出来，让全社会支农助农兴农力量汇聚起来，为实施乡村振兴、加快推进农业农村现代化提供强大动力。</w:t>
      </w:r>
    </w:p>
    <w:p>
      <w:pPr>
        <w:pStyle w:val="5"/>
        <w:spacing w:before="62" w:beforeLines="20" w:after="62" w:afterLines="20" w:line="560" w:lineRule="exact"/>
        <w:rPr>
          <w:rFonts w:eastAsia="仿宋_GB2312"/>
          <w:sz w:val="32"/>
        </w:rPr>
      </w:pPr>
      <w:bookmarkStart w:id="1183" w:name="_Toc31585"/>
      <w:bookmarkStart w:id="1184" w:name="_Toc59993111"/>
      <w:bookmarkStart w:id="1185" w:name="_Toc21864"/>
      <w:bookmarkStart w:id="1186" w:name="_Toc9109"/>
      <w:bookmarkStart w:id="1187" w:name="_Toc13750"/>
      <w:bookmarkStart w:id="1188" w:name="_Toc60584832"/>
      <w:bookmarkStart w:id="1189" w:name="_Toc1601"/>
      <w:bookmarkStart w:id="1190" w:name="_Toc10518"/>
      <w:r>
        <w:rPr>
          <w:rFonts w:eastAsia="仿宋_GB2312"/>
          <w:sz w:val="32"/>
        </w:rPr>
        <w:t>第一节  巩固完善农村基本经营制度</w:t>
      </w:r>
      <w:bookmarkEnd w:id="1183"/>
      <w:bookmarkEnd w:id="1184"/>
      <w:bookmarkEnd w:id="1185"/>
      <w:bookmarkEnd w:id="1186"/>
      <w:bookmarkEnd w:id="1187"/>
      <w:bookmarkEnd w:id="1188"/>
      <w:bookmarkEnd w:id="1189"/>
      <w:bookmarkEnd w:id="1190"/>
    </w:p>
    <w:p>
      <w:pPr>
        <w:spacing w:line="560" w:lineRule="exact"/>
        <w:ind w:firstLine="640"/>
        <w:rPr>
          <w:bCs/>
          <w:sz w:val="32"/>
          <w:szCs w:val="32"/>
        </w:rPr>
      </w:pPr>
      <w:r>
        <w:rPr>
          <w:rFonts w:hint="eastAsia"/>
          <w:bCs/>
          <w:sz w:val="32"/>
          <w:szCs w:val="32"/>
        </w:rPr>
        <w:t>坚持农村土地集体所有制，坚持家庭经营在农业中的基础性地位，巩固和完善以家庭承包经营为基础、统分结合的双层经营体制，保持土地承包关系稳定并长久不变，完善农村承包地“三权分置”制度，落实所有权、保护承包权、放活经营权。持续深化“三社”融合，健全融合机制，提升服务功能。全面完成土地承包经营权确权登记颁证工作，落实好第二轮土地承包到期后再延长30年政策，真正让农民吃上“定心丸”。</w:t>
      </w:r>
    </w:p>
    <w:p>
      <w:pPr>
        <w:pStyle w:val="5"/>
        <w:spacing w:before="62" w:beforeLines="20" w:after="62" w:afterLines="20" w:line="560" w:lineRule="exact"/>
        <w:rPr>
          <w:rFonts w:eastAsia="仿宋_GB2312"/>
          <w:sz w:val="32"/>
        </w:rPr>
      </w:pPr>
      <w:bookmarkStart w:id="1191" w:name="_Toc28855"/>
      <w:bookmarkStart w:id="1192" w:name="_Toc17505"/>
      <w:bookmarkStart w:id="1193" w:name="_Toc60584833"/>
      <w:bookmarkStart w:id="1194" w:name="_Toc2628"/>
      <w:bookmarkStart w:id="1195" w:name="_Toc11282"/>
      <w:bookmarkStart w:id="1196" w:name="_Toc647"/>
      <w:bookmarkStart w:id="1197" w:name="_Toc20368"/>
      <w:bookmarkStart w:id="1198" w:name="_Toc59993112"/>
      <w:r>
        <w:rPr>
          <w:rFonts w:eastAsia="仿宋_GB2312"/>
          <w:sz w:val="32"/>
        </w:rPr>
        <w:t>第二节  深化农村土地制度改革</w:t>
      </w:r>
      <w:bookmarkEnd w:id="1191"/>
      <w:bookmarkEnd w:id="1192"/>
      <w:bookmarkEnd w:id="1193"/>
      <w:bookmarkEnd w:id="1194"/>
      <w:bookmarkEnd w:id="1195"/>
      <w:bookmarkEnd w:id="1196"/>
      <w:bookmarkEnd w:id="1197"/>
      <w:bookmarkEnd w:id="1198"/>
    </w:p>
    <w:p>
      <w:pPr>
        <w:spacing w:line="560" w:lineRule="exact"/>
        <w:ind w:firstLine="640"/>
        <w:rPr>
          <w:bCs/>
          <w:sz w:val="32"/>
          <w:szCs w:val="32"/>
        </w:rPr>
      </w:pPr>
      <w:r>
        <w:rPr>
          <w:rFonts w:hint="eastAsia"/>
          <w:bCs/>
          <w:sz w:val="32"/>
          <w:szCs w:val="32"/>
        </w:rPr>
        <w:t>稳妥推进农村土地征收、集体经营性建设用地入市、宅基地制度改革试点，探索宅基地所有权、资格权、使用权“三权分置”。进一步完善设施农用地政策，推进农村集体建设用地与国有土地同市同价同权，探索利用农村闲置建设用地发展农村新产业新业态。全面开展农村集体资产清产核资，完善农村集体资产股份权能，保护集体经济组织成员权利，不断发展壮大农村新型集体经济。</w:t>
      </w:r>
    </w:p>
    <w:p>
      <w:pPr>
        <w:pStyle w:val="5"/>
        <w:spacing w:before="62" w:beforeLines="20" w:after="62" w:afterLines="20" w:line="560" w:lineRule="exact"/>
        <w:rPr>
          <w:rFonts w:eastAsia="仿宋_GB2312"/>
          <w:sz w:val="32"/>
        </w:rPr>
      </w:pPr>
      <w:bookmarkStart w:id="1199" w:name="_Toc59993113"/>
      <w:bookmarkStart w:id="1200" w:name="_Toc9478"/>
      <w:bookmarkStart w:id="1201" w:name="_Toc20817"/>
      <w:bookmarkStart w:id="1202" w:name="_Toc8519"/>
      <w:bookmarkStart w:id="1203" w:name="_Toc9821"/>
      <w:bookmarkStart w:id="1204" w:name="_Toc26066"/>
      <w:bookmarkStart w:id="1205" w:name="_Toc25027"/>
      <w:bookmarkStart w:id="1206" w:name="_Toc60584834"/>
      <w:r>
        <w:rPr>
          <w:rFonts w:eastAsia="仿宋_GB2312"/>
          <w:sz w:val="32"/>
        </w:rPr>
        <w:t>第三节  完善农业支持保护制度</w:t>
      </w:r>
      <w:bookmarkEnd w:id="1199"/>
      <w:bookmarkEnd w:id="1200"/>
      <w:bookmarkEnd w:id="1201"/>
      <w:bookmarkEnd w:id="1202"/>
      <w:bookmarkEnd w:id="1203"/>
      <w:bookmarkEnd w:id="1204"/>
      <w:bookmarkEnd w:id="1205"/>
      <w:bookmarkEnd w:id="1206"/>
    </w:p>
    <w:p>
      <w:pPr>
        <w:spacing w:line="560" w:lineRule="exact"/>
        <w:ind w:firstLine="640"/>
        <w:rPr>
          <w:bCs/>
          <w:sz w:val="32"/>
          <w:szCs w:val="32"/>
        </w:rPr>
      </w:pPr>
      <w:r>
        <w:rPr>
          <w:rFonts w:hint="eastAsia"/>
          <w:bCs/>
          <w:sz w:val="32"/>
          <w:szCs w:val="32"/>
        </w:rPr>
        <w:t>继续加大农业支持保护力度，在资金投入上优先保障，创新农业支持保护方式，更好发挥市场机制作用，强化金融服务方式创新，发挥好信贷、担保、保险、期货、证券等支持作用，构建政府支持有力、市场运行有效的支持保护体系。健全粮食价格市场化机制，扩大政策性农业保险改革试点，创新发展农村金融服务。深化提升乡村风貌、改善人居环境机制建设和农村公共基础设施管护机制改革。加快构建特色发展体系，重点打造一批文化振兴、特色产业、基层治理、生态康养等特色镇村和一批江镇、江村。促进社会化机构拓展农村培训，推动城乡要素高效配置、公共资源均衡配置、产业协同发展。</w:t>
      </w:r>
    </w:p>
    <w:p>
      <w:pPr>
        <w:pStyle w:val="5"/>
        <w:spacing w:before="62" w:beforeLines="20" w:after="62" w:afterLines="20" w:line="560" w:lineRule="exact"/>
        <w:rPr>
          <w:rFonts w:eastAsia="仿宋_GB2312"/>
          <w:sz w:val="32"/>
        </w:rPr>
      </w:pPr>
      <w:bookmarkStart w:id="1207" w:name="_Toc30479"/>
      <w:bookmarkStart w:id="1208" w:name="_Toc16726"/>
      <w:bookmarkStart w:id="1209" w:name="_Toc28151"/>
      <w:bookmarkStart w:id="1210" w:name="_Toc60584835"/>
      <w:bookmarkStart w:id="1211" w:name="_Toc11216"/>
      <w:bookmarkStart w:id="1212" w:name="_Toc59993114"/>
      <w:bookmarkStart w:id="1213" w:name="_Toc27301"/>
      <w:bookmarkStart w:id="1214" w:name="_Toc32320"/>
      <w:r>
        <w:rPr>
          <w:rFonts w:eastAsia="仿宋_GB2312"/>
          <w:sz w:val="32"/>
        </w:rPr>
        <w:t>第四节  健全城乡融合发展体制机制</w:t>
      </w:r>
      <w:bookmarkEnd w:id="1207"/>
      <w:bookmarkEnd w:id="1208"/>
      <w:bookmarkEnd w:id="1209"/>
      <w:bookmarkEnd w:id="1210"/>
      <w:bookmarkEnd w:id="1211"/>
      <w:bookmarkEnd w:id="1212"/>
      <w:bookmarkEnd w:id="1213"/>
      <w:bookmarkEnd w:id="1214"/>
    </w:p>
    <w:p>
      <w:pPr>
        <w:spacing w:line="560" w:lineRule="exact"/>
        <w:ind w:firstLine="640"/>
      </w:pPr>
      <w:r>
        <w:rPr>
          <w:rFonts w:hint="eastAsia"/>
          <w:bCs/>
          <w:sz w:val="32"/>
          <w:szCs w:val="32"/>
        </w:rPr>
        <w:t>探索城乡融合发展体制机制和政策体系，深化集体产权、集体林权、国有林场、供销社等改革。探索建立进城落户农民依法自愿有偿转让退出农村权益制度，落实第二轮土地承包到期后再延长三十年政策，依法依规开展农村土地经营权担保融资。着力打破城乡二元体制，清除城市要素向农村流动的制度障碍，逐步改变乡村要素净流出局面。把基础设施和社会事业发展重点放在乡村，健全多元投入保障机制，增加对农业农村基础设施建设投入，加快城乡基础设施互联互通，推动人才、土地、资本等要素在城乡之间双向流动，打造城乡协同发展支撑平台。建立健全城乡基本公共服务均等化的体制机制，推动公共服务向农村延伸、社会事业向农村覆盖，加快形成工农互促、城乡互补、全面融合、共同繁荣的新型工农城乡关系。</w:t>
      </w:r>
    </w:p>
    <w:p>
      <w:pPr>
        <w:ind w:firstLine="560"/>
      </w:pPr>
    </w:p>
    <w:p>
      <w:pPr>
        <w:pStyle w:val="3"/>
        <w:spacing w:before="156" w:beforeLines="50" w:after="156" w:afterLines="50" w:line="560" w:lineRule="exact"/>
        <w:rPr>
          <w:rFonts w:ascii="黑体" w:hAnsi="黑体" w:eastAsia="黑体" w:cs="黑体"/>
          <w:b w:val="0"/>
          <w:bCs/>
        </w:rPr>
        <w:sectPr>
          <w:pgSz w:w="11906" w:h="16838"/>
          <w:pgMar w:top="1984" w:right="1531" w:bottom="1531" w:left="1531" w:header="907" w:footer="1191" w:gutter="0"/>
          <w:cols w:space="425" w:num="1"/>
          <w:docGrid w:type="lines" w:linePitch="312" w:charSpace="0"/>
        </w:sectPr>
      </w:pPr>
      <w:bookmarkStart w:id="1215" w:name="_Toc16174"/>
      <w:bookmarkStart w:id="1216" w:name="_Toc9935"/>
      <w:bookmarkStart w:id="1217" w:name="_Toc27107"/>
      <w:bookmarkStart w:id="1218" w:name="_Toc4913"/>
      <w:bookmarkStart w:id="1219" w:name="_Toc59993115"/>
      <w:bookmarkStart w:id="1220" w:name="_Toc24980"/>
      <w:bookmarkStart w:id="1221" w:name="_Toc31395"/>
    </w:p>
    <w:p>
      <w:pPr>
        <w:pStyle w:val="3"/>
        <w:spacing w:before="156" w:beforeLines="50" w:after="156" w:afterLines="50" w:line="560" w:lineRule="exact"/>
        <w:rPr>
          <w:rFonts w:ascii="黑体" w:hAnsi="黑体" w:eastAsia="黑体" w:cs="黑体"/>
          <w:b w:val="0"/>
          <w:bCs/>
        </w:rPr>
      </w:pPr>
      <w:bookmarkStart w:id="1222" w:name="_Toc5558"/>
      <w:bookmarkStart w:id="1223" w:name="_Toc60584836"/>
      <w:bookmarkStart w:id="1224" w:name="_Toc15032"/>
      <w:r>
        <w:rPr>
          <w:rFonts w:hint="eastAsia" w:ascii="黑体" w:hAnsi="黑体" w:eastAsia="黑体" w:cs="黑体"/>
          <w:b w:val="0"/>
          <w:bCs/>
        </w:rPr>
        <w:t>第十篇  努力创造高品质生活，提高社会建设水平</w:t>
      </w:r>
      <w:bookmarkEnd w:id="1215"/>
      <w:bookmarkEnd w:id="1216"/>
      <w:bookmarkEnd w:id="1217"/>
      <w:bookmarkEnd w:id="1218"/>
      <w:bookmarkEnd w:id="1219"/>
      <w:bookmarkEnd w:id="1220"/>
      <w:bookmarkEnd w:id="1221"/>
      <w:bookmarkEnd w:id="1222"/>
      <w:bookmarkEnd w:id="1223"/>
      <w:bookmarkEnd w:id="1224"/>
    </w:p>
    <w:p>
      <w:pPr>
        <w:spacing w:line="560" w:lineRule="exact"/>
        <w:ind w:firstLine="640"/>
        <w:rPr>
          <w:bCs/>
          <w:sz w:val="32"/>
          <w:szCs w:val="32"/>
        </w:rPr>
      </w:pPr>
      <w:bookmarkStart w:id="1225" w:name="_Toc26685"/>
      <w:bookmarkStart w:id="1226" w:name="_Toc20726"/>
      <w:bookmarkStart w:id="1227" w:name="_Toc19255"/>
      <w:r>
        <w:rPr>
          <w:rFonts w:hint="eastAsia"/>
          <w:bCs/>
          <w:sz w:val="32"/>
          <w:szCs w:val="32"/>
        </w:rPr>
        <w:t>坚持把实现好、维护好、发展好最广大人民根本利益作为发展的出发点和落脚点，尽力而为、量力而行，提升公共服务质量和水平，完善共建共治共享的社会治理制度，扎实推动共同富裕，不断增强人民群众获得感、幸福感、安全感，促进人的全面发展和社会全面进步。</w:t>
      </w:r>
    </w:p>
    <w:p>
      <w:pPr>
        <w:pStyle w:val="4"/>
        <w:spacing w:before="156" w:beforeLines="50" w:after="156" w:afterLines="50" w:line="560" w:lineRule="exact"/>
        <w:rPr>
          <w:rFonts w:ascii="Times New Roman" w:hAnsi="Times New Roman" w:cs="Times New Roman"/>
          <w:b w:val="0"/>
          <w:bCs w:val="0"/>
          <w:sz w:val="32"/>
        </w:rPr>
      </w:pPr>
      <w:bookmarkStart w:id="1228" w:name="_Toc4338"/>
      <w:bookmarkStart w:id="1229" w:name="_Toc59993116"/>
      <w:bookmarkStart w:id="1230" w:name="_Toc18787"/>
      <w:bookmarkStart w:id="1231" w:name="_Toc29374"/>
      <w:bookmarkStart w:id="1232" w:name="_Toc3881"/>
      <w:bookmarkStart w:id="1233" w:name="_Toc20871"/>
      <w:bookmarkStart w:id="1234" w:name="_Toc3057"/>
      <w:bookmarkStart w:id="1235" w:name="_Toc16028"/>
      <w:bookmarkStart w:id="1236" w:name="_Toc60584837"/>
      <w:bookmarkStart w:id="1237" w:name="_Toc14797"/>
      <w:bookmarkStart w:id="1238" w:name="_Toc18559"/>
      <w:r>
        <w:rPr>
          <w:rFonts w:hint="eastAsia" w:ascii="Times New Roman" w:hAnsi="Times New Roman" w:cs="Times New Roman"/>
          <w:b w:val="0"/>
          <w:bCs w:val="0"/>
          <w:sz w:val="32"/>
        </w:rPr>
        <w:t>第三十九章  提高人民收入水平</w:t>
      </w:r>
      <w:bookmarkEnd w:id="1228"/>
      <w:bookmarkEnd w:id="1229"/>
      <w:bookmarkEnd w:id="1230"/>
      <w:bookmarkEnd w:id="1231"/>
      <w:bookmarkEnd w:id="1232"/>
      <w:bookmarkEnd w:id="1233"/>
      <w:bookmarkEnd w:id="1234"/>
      <w:bookmarkEnd w:id="1235"/>
      <w:bookmarkEnd w:id="1236"/>
      <w:bookmarkEnd w:id="1237"/>
      <w:bookmarkEnd w:id="1238"/>
    </w:p>
    <w:p>
      <w:pPr>
        <w:spacing w:line="560" w:lineRule="exact"/>
        <w:ind w:firstLine="640"/>
        <w:rPr>
          <w:bCs/>
          <w:sz w:val="32"/>
          <w:szCs w:val="32"/>
        </w:rPr>
      </w:pPr>
      <w:r>
        <w:rPr>
          <w:rFonts w:hint="eastAsia"/>
          <w:bCs/>
          <w:sz w:val="32"/>
          <w:szCs w:val="32"/>
        </w:rPr>
        <w:t>坚持按劳分配为主体、多种分配方式并存，健全工资合理增长机制，拓宽居民劳动收入和财产性收入渠道，着力提高低收入群体收入，扩大中等收入群体。</w:t>
      </w:r>
    </w:p>
    <w:p>
      <w:pPr>
        <w:pStyle w:val="5"/>
        <w:spacing w:before="62" w:beforeLines="20" w:after="62" w:afterLines="20" w:line="560" w:lineRule="exact"/>
        <w:rPr>
          <w:rFonts w:eastAsia="仿宋_GB2312"/>
          <w:sz w:val="32"/>
        </w:rPr>
      </w:pPr>
      <w:bookmarkStart w:id="1239" w:name="_Toc59993117"/>
      <w:bookmarkStart w:id="1240" w:name="_Toc5945"/>
      <w:bookmarkStart w:id="1241" w:name="_Toc22999"/>
      <w:bookmarkStart w:id="1242" w:name="_Toc3540"/>
      <w:bookmarkStart w:id="1243" w:name="_Toc18535"/>
      <w:bookmarkStart w:id="1244" w:name="_Toc11924"/>
      <w:bookmarkStart w:id="1245" w:name="_Toc281"/>
      <w:bookmarkStart w:id="1246" w:name="_Toc60584838"/>
      <w:r>
        <w:rPr>
          <w:rFonts w:eastAsia="仿宋_GB2312"/>
          <w:sz w:val="32"/>
        </w:rPr>
        <w:t>第一节  完善收入分配机制</w:t>
      </w:r>
      <w:bookmarkEnd w:id="1239"/>
      <w:bookmarkEnd w:id="1240"/>
      <w:bookmarkEnd w:id="1241"/>
      <w:bookmarkEnd w:id="1242"/>
      <w:bookmarkEnd w:id="1243"/>
      <w:bookmarkEnd w:id="1244"/>
      <w:bookmarkEnd w:id="1245"/>
      <w:bookmarkEnd w:id="1246"/>
    </w:p>
    <w:p>
      <w:pPr>
        <w:spacing w:line="560" w:lineRule="exact"/>
        <w:ind w:firstLine="640"/>
        <w:rPr>
          <w:bCs/>
          <w:sz w:val="32"/>
          <w:szCs w:val="32"/>
        </w:rPr>
      </w:pPr>
      <w:r>
        <w:rPr>
          <w:rFonts w:hint="eastAsia"/>
          <w:bCs/>
          <w:sz w:val="32"/>
          <w:szCs w:val="32"/>
        </w:rPr>
        <w:t>注重发挥收入分配政策激励作用，扩展知识、技术和管理等要素参与分配途径。健全困难群体的社会保障兜底机制，增加财政民生支出。推行企业工资集体协商制度，健全最低工资标准调整机制，落实带薪年假。加快机关事业单位工资制度改革，完善国有企业市场化薪酬分配机制，普遍实行全员绩效管理。健全高技能人才薪酬体系，提高技术工人待遇。</w:t>
      </w:r>
    </w:p>
    <w:p>
      <w:pPr>
        <w:pStyle w:val="5"/>
        <w:spacing w:before="62" w:beforeLines="20" w:after="62" w:afterLines="20" w:line="560" w:lineRule="exact"/>
        <w:rPr>
          <w:rFonts w:eastAsia="仿宋_GB2312"/>
          <w:sz w:val="32"/>
        </w:rPr>
      </w:pPr>
      <w:bookmarkStart w:id="1247" w:name="_Toc60584839"/>
      <w:bookmarkStart w:id="1248" w:name="_Toc24538"/>
      <w:bookmarkStart w:id="1249" w:name="_Toc11477"/>
      <w:r>
        <w:rPr>
          <w:rFonts w:eastAsia="仿宋_GB2312"/>
          <w:sz w:val="32"/>
        </w:rPr>
        <w:t>第二节  健全收入保障体制</w:t>
      </w:r>
      <w:bookmarkEnd w:id="1247"/>
      <w:bookmarkEnd w:id="1248"/>
      <w:bookmarkEnd w:id="1249"/>
    </w:p>
    <w:p>
      <w:pPr>
        <w:spacing w:line="560" w:lineRule="exact"/>
        <w:ind w:firstLine="640"/>
        <w:rPr>
          <w:bCs/>
          <w:sz w:val="32"/>
          <w:szCs w:val="32"/>
        </w:rPr>
      </w:pPr>
      <w:r>
        <w:rPr>
          <w:rFonts w:hint="eastAsia"/>
          <w:bCs/>
          <w:sz w:val="32"/>
          <w:szCs w:val="32"/>
        </w:rPr>
        <w:t>探索通过土地、资本等要素使用权、收益权增加中低收入群体要素收入。构建科学合理的工资水平决定机制、正常增长机制、支付保障机制。规范劳务派遣用工行为，保障劳动者同工同酬。完善再分配机制，加大税收、社保、转移支付等调节力度和精准性，合理调节过高收入，规范隐性收入，取缔非法收入，严格规范工资外收入和非货币性福利。建立健全自然人收入和财产信息系统，完善收入统计调查和监测体系。发挥第三次分配作用，发展慈善事业，改善收入和财富分配格局。</w:t>
      </w:r>
    </w:p>
    <w:p>
      <w:pPr>
        <w:pStyle w:val="5"/>
        <w:spacing w:line="560" w:lineRule="exact"/>
      </w:pPr>
      <w:bookmarkStart w:id="1250" w:name="_Toc4021"/>
      <w:bookmarkStart w:id="1251" w:name="_Toc59993119"/>
      <w:bookmarkStart w:id="1252" w:name="_Toc25686"/>
      <w:bookmarkStart w:id="1253" w:name="_Toc31149"/>
      <w:bookmarkStart w:id="1254" w:name="_Toc1024"/>
      <w:bookmarkStart w:id="1255" w:name="_Toc60584840"/>
      <w:bookmarkStart w:id="1256" w:name="_Toc826"/>
      <w:bookmarkStart w:id="1257" w:name="_Toc27299"/>
      <w:r>
        <w:rPr>
          <w:rFonts w:eastAsia="仿宋_GB2312"/>
          <w:sz w:val="32"/>
        </w:rPr>
        <w:t>第三节  多渠道增加居民收入</w:t>
      </w:r>
      <w:bookmarkEnd w:id="1250"/>
      <w:bookmarkEnd w:id="1251"/>
      <w:bookmarkEnd w:id="1252"/>
      <w:bookmarkEnd w:id="1253"/>
      <w:bookmarkEnd w:id="1254"/>
      <w:bookmarkEnd w:id="1255"/>
      <w:bookmarkEnd w:id="1256"/>
      <w:bookmarkEnd w:id="1257"/>
    </w:p>
    <w:p>
      <w:pPr>
        <w:spacing w:line="560" w:lineRule="exact"/>
        <w:ind w:firstLine="640"/>
        <w:rPr>
          <w:bCs/>
          <w:sz w:val="32"/>
          <w:szCs w:val="32"/>
        </w:rPr>
      </w:pPr>
      <w:r>
        <w:rPr>
          <w:rFonts w:hint="eastAsia"/>
          <w:bCs/>
          <w:sz w:val="32"/>
          <w:szCs w:val="32"/>
        </w:rPr>
        <w:t>提高保障和改善民生水平，坚持居民收入增长和经济增长同步、劳动报酬提高和劳动生产率提高同步原则，持续增加城乡居民收入，拓宽居民劳动收入和财产性收入渠道。完善居民工资性收入增长及保障机制，促进居民工资性收入稳步增长。通过深化“放管服”改革，加强政府对个体经营、网络零售、移动出行、线上教育培训、在线医疗等灵活就业的合理引导，促进劳动者多渠道增收。落实各项纾困政策，完善困难群体的社保补贴制度，保障最低生活收入。研究完善劳动收入保障政策，维护灵活就业人员薪酬权益，严禁拖欠劳动者工资。完善居民财产性收入制度保障体系，健全保护公民财产权制度，为增加居民财产性收入营造公开公平公正的法制环境。</w:t>
      </w:r>
    </w:p>
    <w:p>
      <w:pPr>
        <w:pStyle w:val="4"/>
        <w:spacing w:before="156" w:beforeLines="50" w:after="156" w:afterLines="50" w:line="560" w:lineRule="exact"/>
        <w:rPr>
          <w:rFonts w:ascii="Times New Roman" w:hAnsi="Times New Roman" w:cs="Times New Roman"/>
          <w:b w:val="0"/>
          <w:bCs w:val="0"/>
          <w:sz w:val="32"/>
        </w:rPr>
      </w:pPr>
      <w:bookmarkStart w:id="1258" w:name="_Toc24635"/>
      <w:bookmarkStart w:id="1259" w:name="_Toc25440"/>
      <w:bookmarkStart w:id="1260" w:name="_Toc12985"/>
      <w:bookmarkStart w:id="1261" w:name="_Toc27878"/>
      <w:bookmarkStart w:id="1262" w:name="_Toc6181"/>
      <w:bookmarkStart w:id="1263" w:name="_Toc59993120"/>
      <w:bookmarkStart w:id="1264" w:name="_Toc60584841"/>
      <w:bookmarkStart w:id="1265" w:name="_Toc18735"/>
      <w:bookmarkStart w:id="1266" w:name="_Toc16591"/>
      <w:bookmarkStart w:id="1267" w:name="_Toc27094"/>
      <w:bookmarkStart w:id="1268" w:name="_Toc19955"/>
      <w:r>
        <w:rPr>
          <w:rFonts w:hint="eastAsia" w:ascii="Times New Roman" w:hAnsi="Times New Roman" w:cs="Times New Roman"/>
          <w:b w:val="0"/>
          <w:bCs w:val="0"/>
          <w:sz w:val="32"/>
        </w:rPr>
        <w:t xml:space="preserve">第四十章  </w:t>
      </w:r>
      <w:bookmarkEnd w:id="1258"/>
      <w:r>
        <w:rPr>
          <w:rFonts w:hint="eastAsia" w:ascii="Times New Roman" w:hAnsi="Times New Roman" w:cs="Times New Roman"/>
          <w:b w:val="0"/>
          <w:bCs w:val="0"/>
          <w:sz w:val="32"/>
        </w:rPr>
        <w:t>落实就业优先政策</w:t>
      </w:r>
      <w:bookmarkEnd w:id="1259"/>
      <w:bookmarkEnd w:id="1260"/>
      <w:bookmarkEnd w:id="1261"/>
      <w:bookmarkEnd w:id="1262"/>
      <w:bookmarkEnd w:id="1263"/>
      <w:bookmarkEnd w:id="1264"/>
      <w:bookmarkEnd w:id="1265"/>
      <w:bookmarkEnd w:id="1266"/>
      <w:bookmarkEnd w:id="1267"/>
      <w:bookmarkEnd w:id="1268"/>
    </w:p>
    <w:p>
      <w:pPr>
        <w:spacing w:line="560" w:lineRule="exact"/>
        <w:ind w:firstLine="640"/>
        <w:rPr>
          <w:bCs/>
          <w:sz w:val="32"/>
          <w:szCs w:val="32"/>
        </w:rPr>
      </w:pPr>
      <w:r>
        <w:rPr>
          <w:rFonts w:hint="eastAsia"/>
          <w:bCs/>
          <w:sz w:val="32"/>
          <w:szCs w:val="32"/>
        </w:rPr>
        <w:t>把更加充分更高质量就业作为经济发展的优先目标，将稳定和扩大就业作为宏观经济调控的下限，加强财政、税收、金融等经济政策与就业政策的衔接配套、协调联动，强化重大项目、重大民生工程建设就业影响评估，实现经济增长与扩大就业良性互动。加大对新经济、新平台发展的支持力度，提升创业就业水平和质量，创造更多就业岗位，促进充分就业。</w:t>
      </w:r>
    </w:p>
    <w:p>
      <w:pPr>
        <w:pStyle w:val="5"/>
        <w:spacing w:before="62" w:beforeLines="20" w:after="62" w:afterLines="20" w:line="560" w:lineRule="exact"/>
        <w:rPr>
          <w:rFonts w:eastAsia="仿宋_GB2312"/>
          <w:sz w:val="32"/>
        </w:rPr>
      </w:pPr>
      <w:bookmarkStart w:id="1269" w:name="_Toc59993121"/>
      <w:bookmarkStart w:id="1270" w:name="_Toc9315"/>
      <w:bookmarkStart w:id="1271" w:name="_Toc16792"/>
      <w:bookmarkStart w:id="1272" w:name="_Toc15492"/>
      <w:bookmarkStart w:id="1273" w:name="_Toc60584842"/>
      <w:bookmarkStart w:id="1274" w:name="_Toc1042"/>
      <w:bookmarkStart w:id="1275" w:name="_Toc21022"/>
      <w:bookmarkStart w:id="1276" w:name="_Toc14228"/>
      <w:r>
        <w:rPr>
          <w:rFonts w:eastAsia="仿宋_GB2312"/>
          <w:sz w:val="32"/>
        </w:rPr>
        <w:t>第一节  实施统筹城乡的就业政策</w:t>
      </w:r>
      <w:bookmarkEnd w:id="1269"/>
      <w:bookmarkEnd w:id="1270"/>
      <w:bookmarkEnd w:id="1271"/>
      <w:bookmarkEnd w:id="1272"/>
      <w:bookmarkEnd w:id="1273"/>
      <w:bookmarkEnd w:id="1274"/>
      <w:bookmarkEnd w:id="1275"/>
      <w:bookmarkEnd w:id="1276"/>
    </w:p>
    <w:p>
      <w:pPr>
        <w:spacing w:line="560" w:lineRule="exact"/>
        <w:ind w:firstLine="640"/>
        <w:rPr>
          <w:bCs/>
          <w:sz w:val="32"/>
          <w:szCs w:val="32"/>
        </w:rPr>
      </w:pPr>
      <w:r>
        <w:rPr>
          <w:rFonts w:hint="eastAsia"/>
          <w:bCs/>
          <w:sz w:val="32"/>
          <w:szCs w:val="32"/>
        </w:rPr>
        <w:t>持续完善就业政策体系，提高政策的针对性、有效性，鼓励各类市场主体吸纳就业，支持劳动者自谋职业、自主创业。消除身份、性别等影响平等就业的制度障碍，营造公平就业环境。拓宽农村劳动力就地就近就业、外出就业和返乡创业渠道，提高农民工劳务输出组织化程度，推动城乡劳动者在就业地平等享受就业服务政策。实施青年就业促进计划、高校毕业生就业创业促进计划，开发更多适合高校毕业生的高质量就业岗位，全力扶持引导高校毕业生创业创新。畅通失业人员求助渠道，健全失业登记、职业介绍、职业培训、职业指导、生活保障联动机制。加强困难人员就业援助，规范公益性岗位开发管理，着力拓展贫困人员、退捕渔民、退役军人、残疾人等重点群体就业渠道，确保零就业家庭动态清零。</w:t>
      </w:r>
    </w:p>
    <w:p>
      <w:pPr>
        <w:pStyle w:val="5"/>
        <w:spacing w:before="62" w:beforeLines="20" w:after="62" w:afterLines="20" w:line="560" w:lineRule="exact"/>
        <w:rPr>
          <w:rFonts w:eastAsia="仿宋_GB2312"/>
          <w:sz w:val="32"/>
        </w:rPr>
      </w:pPr>
      <w:bookmarkStart w:id="1277" w:name="_Toc60584843"/>
      <w:bookmarkStart w:id="1278" w:name="_Toc30288"/>
      <w:bookmarkStart w:id="1279" w:name="_Toc27669"/>
      <w:bookmarkStart w:id="1280" w:name="_Toc1993"/>
      <w:bookmarkStart w:id="1281" w:name="_Toc17547"/>
      <w:bookmarkStart w:id="1282" w:name="_Toc9288"/>
      <w:bookmarkStart w:id="1283" w:name="_Toc17941"/>
      <w:bookmarkStart w:id="1284" w:name="_Toc59993122"/>
      <w:r>
        <w:rPr>
          <w:rFonts w:eastAsia="仿宋_GB2312"/>
          <w:sz w:val="32"/>
        </w:rPr>
        <w:t xml:space="preserve">第二节  </w:t>
      </w:r>
      <w:r>
        <w:rPr>
          <w:rFonts w:hint="eastAsia" w:eastAsia="仿宋_GB2312"/>
          <w:sz w:val="32"/>
        </w:rPr>
        <w:t>加强</w:t>
      </w:r>
      <w:r>
        <w:rPr>
          <w:rFonts w:eastAsia="仿宋_GB2312"/>
          <w:sz w:val="32"/>
        </w:rPr>
        <w:t>职业技能培训和新业态创业就业</w:t>
      </w:r>
      <w:bookmarkEnd w:id="1277"/>
      <w:bookmarkEnd w:id="1278"/>
      <w:bookmarkEnd w:id="1279"/>
      <w:bookmarkEnd w:id="1280"/>
      <w:bookmarkEnd w:id="1281"/>
      <w:bookmarkEnd w:id="1282"/>
    </w:p>
    <w:p>
      <w:pPr>
        <w:spacing w:line="560" w:lineRule="exact"/>
        <w:ind w:firstLine="640"/>
        <w:rPr>
          <w:bCs/>
          <w:sz w:val="32"/>
          <w:szCs w:val="32"/>
        </w:rPr>
      </w:pPr>
      <w:r>
        <w:rPr>
          <w:rFonts w:hint="eastAsia"/>
          <w:bCs/>
          <w:sz w:val="32"/>
          <w:szCs w:val="32"/>
        </w:rPr>
        <w:t>推行城乡劳动者终身职业技能培训制度，强化校企合作订单培训。开展重点群体就业能力提升行动和企业员工职业技能提升行动，举办夔州工匠技能大赛，宏扬“工匠”精神。推进职业技能培训市场化、社会化改革，建立培训资源优化配置、培训载体多元发展、劳动者按需选择、政府监管服务的体制机制，畅通培训补贴直达企业和培训者渠道。实施“渝创渝新”创业促进计划，持续推进返乡创业试点县建设、因地制宜规划建设返乡创业园，鼓励各类创业孵化基地建设，吸引高校毕业生、返乡农民工等群体本地创业就业。定期举办创业创新活动，推进创业项目跟踪扶持，促进创业成果转化、创业项目发展，营造良好创业生态。落实支持灵活就业的政策措施，支持和规范平台就业、网络就业、共享用工等新就业形态，推动健全灵活就业、新就业形态人员劳动用工、就业服务、权益保障办法，鼓励劳动者灵活就业。</w:t>
      </w:r>
    </w:p>
    <w:bookmarkEnd w:id="1283"/>
    <w:bookmarkEnd w:id="1284"/>
    <w:p>
      <w:pPr>
        <w:pStyle w:val="5"/>
        <w:spacing w:before="62" w:beforeLines="20" w:after="62" w:afterLines="20" w:line="560" w:lineRule="exact"/>
        <w:rPr>
          <w:rFonts w:eastAsia="方正仿宋_GBK"/>
          <w:sz w:val="32"/>
        </w:rPr>
      </w:pPr>
      <w:bookmarkStart w:id="1285" w:name="_Toc2707"/>
      <w:bookmarkStart w:id="1286" w:name="_Toc60584844"/>
      <w:bookmarkStart w:id="1287" w:name="_Toc22026"/>
      <w:bookmarkStart w:id="1288" w:name="_Toc23658"/>
      <w:bookmarkStart w:id="1289" w:name="_Toc535"/>
      <w:bookmarkStart w:id="1290" w:name="_Toc26752"/>
      <w:bookmarkStart w:id="1291" w:name="_Toc16284"/>
      <w:bookmarkStart w:id="1292" w:name="_Toc59993123"/>
      <w:r>
        <w:rPr>
          <w:rFonts w:eastAsia="仿宋_GB2312"/>
          <w:sz w:val="32"/>
        </w:rPr>
        <w:t>第三节  全方位提升公共就业服务</w:t>
      </w:r>
      <w:bookmarkEnd w:id="1285"/>
      <w:bookmarkEnd w:id="1286"/>
      <w:bookmarkEnd w:id="1287"/>
      <w:bookmarkEnd w:id="1288"/>
      <w:bookmarkEnd w:id="1289"/>
      <w:bookmarkEnd w:id="1290"/>
    </w:p>
    <w:p>
      <w:pPr>
        <w:spacing w:line="560" w:lineRule="exact"/>
        <w:ind w:firstLine="640"/>
        <w:rPr>
          <w:bCs/>
          <w:sz w:val="32"/>
          <w:szCs w:val="32"/>
        </w:rPr>
      </w:pPr>
      <w:r>
        <w:rPr>
          <w:rFonts w:hint="eastAsia"/>
          <w:bCs/>
          <w:sz w:val="32"/>
          <w:szCs w:val="32"/>
        </w:rPr>
        <w:t>加快建设人力资源服务产业园、创业就业实训中心，优化人力资源要素配置，打造区域性人力资源服务高地，满足多元化人才需求。搭建“县、乡、村”三级公共就业服务平台，健全覆盖全民、贯穿全程、辐射全域、便捷高效的全方位公共就业服务体系。推广应用智慧就业人力资源市场系统，推进公共就业创业服务平台“信息化、标准化、便民化”建设，创新开展网络直播招聘公共就业服务，打造公共就业创业服务“升级版”。鼓励引导社会力量广泛深入参与就业服务，推进公共就业服务机构与社会民营机构合作，为服务对象提供专业化服务。完善就业失业统计监测预警体系，有效防范规模性失业风险。</w:t>
      </w:r>
    </w:p>
    <w:p>
      <w:pPr>
        <w:pStyle w:val="5"/>
        <w:spacing w:before="62" w:beforeLines="20" w:after="62" w:afterLines="20" w:line="560" w:lineRule="exact"/>
        <w:rPr>
          <w:rFonts w:eastAsia="仿宋_GB2312"/>
          <w:sz w:val="32"/>
        </w:rPr>
      </w:pPr>
      <w:bookmarkStart w:id="1293" w:name="_Toc16224"/>
      <w:bookmarkStart w:id="1294" w:name="_Toc60584845"/>
      <w:bookmarkStart w:id="1295" w:name="_Toc6935"/>
      <w:bookmarkStart w:id="1296" w:name="_Toc17148"/>
      <w:bookmarkStart w:id="1297" w:name="_Toc5871"/>
      <w:bookmarkStart w:id="1298" w:name="_Toc14906"/>
      <w:r>
        <w:rPr>
          <w:rFonts w:eastAsia="仿宋_GB2312"/>
          <w:sz w:val="32"/>
        </w:rPr>
        <w:t>第四节  确保劳动关系和谐稳定</w:t>
      </w:r>
      <w:bookmarkEnd w:id="1293"/>
      <w:bookmarkEnd w:id="1294"/>
      <w:bookmarkEnd w:id="1295"/>
      <w:bookmarkEnd w:id="1296"/>
      <w:bookmarkEnd w:id="1297"/>
      <w:bookmarkEnd w:id="1298"/>
    </w:p>
    <w:p>
      <w:pPr>
        <w:spacing w:line="560" w:lineRule="exact"/>
        <w:ind w:firstLine="640"/>
        <w:rPr>
          <w:bCs/>
          <w:sz w:val="32"/>
          <w:szCs w:val="32"/>
        </w:rPr>
      </w:pPr>
      <w:r>
        <w:rPr>
          <w:rFonts w:hint="eastAsia"/>
          <w:bCs/>
          <w:sz w:val="32"/>
          <w:szCs w:val="32"/>
        </w:rPr>
        <w:t>主动应对经济发展方式转变和经济结构调整带来的劳动关系新变化，大力提升劳动关系治理能力，有效预防和化解劳动关系矛盾。健全劳动关系三方协调机制，完善新业态劳动用工制度，坚持“预防为主、基层为主、调解为主”方针，推动形成劳动人事争议多元化处理机制，构建多层次劳动关系协调网络，提升劳动争议调解质量。完善劳动监察网格化信息化管理，加大执法力度，维护劳动者合法权益。以落实《保障农民工工资支付条例》为抓手，持续推进根治欠薪工作，健全配套制度措施，落实支付保障制度。加强欠薪对象失信联合惩戒，刑事司法打击力度，形成有力震慑。持续推进劳动保障监察机构队伍建设，实现执法机构向基层延伸，大力提升监管覆盖率。指导国有企业深化企业内部分配改革，完善国有企业市场化薪酬分配机制。</w:t>
      </w:r>
      <w:bookmarkEnd w:id="1291"/>
      <w:bookmarkEnd w:id="1292"/>
    </w:p>
    <w:tbl>
      <w:tblPr>
        <w:tblStyle w:val="28"/>
        <w:tblW w:w="8810" w:type="dxa"/>
        <w:jc w:val="center"/>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10"/>
      </w:tblGrid>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8810" w:type="dxa"/>
            <w:tcBorders>
              <w:bottom w:val="single" w:color="auto" w:sz="4" w:space="0"/>
            </w:tcBorders>
            <w:vAlign w:val="center"/>
          </w:tcPr>
          <w:p>
            <w:pPr>
              <w:tabs>
                <w:tab w:val="left" w:pos="1755"/>
              </w:tabs>
              <w:snapToGrid w:val="0"/>
              <w:ind w:firstLine="0" w:firstLineChars="0"/>
              <w:jc w:val="center"/>
              <w:rPr>
                <w:rFonts w:eastAsia="黑体"/>
                <w:szCs w:val="28"/>
              </w:rPr>
            </w:pPr>
            <w:r>
              <w:rPr>
                <w:rFonts w:hint="eastAsia" w:eastAsia="黑体"/>
                <w:szCs w:val="28"/>
              </w:rPr>
              <w:t>专栏十八</w:t>
            </w:r>
          </w:p>
        </w:tc>
      </w:tr>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0" w:type="dxa"/>
            <w:tcBorders>
              <w:bottom w:val="single" w:color="auto" w:sz="4" w:space="0"/>
            </w:tcBorders>
          </w:tcPr>
          <w:p>
            <w:pPr>
              <w:spacing w:line="560" w:lineRule="exact"/>
              <w:ind w:firstLine="562"/>
              <w:rPr>
                <w:szCs w:val="28"/>
              </w:rPr>
            </w:pPr>
            <w:r>
              <w:rPr>
                <w:b/>
                <w:szCs w:val="28"/>
              </w:rPr>
              <w:t>1.创业促进就业工程。</w:t>
            </w:r>
            <w:r>
              <w:rPr>
                <w:szCs w:val="28"/>
              </w:rPr>
              <w:t>持续开展返乡创业试点县建设，实施“渝创渝新”创业促进计划，举办创业沙龙、创业创新大赛</w:t>
            </w:r>
            <w:r>
              <w:rPr>
                <w:rFonts w:hint="eastAsia"/>
                <w:szCs w:val="28"/>
              </w:rPr>
              <w:t>、</w:t>
            </w:r>
            <w:r>
              <w:rPr>
                <w:szCs w:val="28"/>
              </w:rPr>
              <w:t>创业成果展。</w:t>
            </w:r>
          </w:p>
          <w:p>
            <w:pPr>
              <w:spacing w:line="560" w:lineRule="exact"/>
              <w:ind w:firstLine="562"/>
              <w:rPr>
                <w:szCs w:val="28"/>
              </w:rPr>
            </w:pPr>
            <w:r>
              <w:rPr>
                <w:b/>
                <w:szCs w:val="28"/>
              </w:rPr>
              <w:t>2.技能提升工程。</w:t>
            </w:r>
            <w:r>
              <w:rPr>
                <w:szCs w:val="28"/>
              </w:rPr>
              <w:t>持续推进职业技能提升行动，加快建设创业就业实训中心，推进校企深度合作，多渠道培育产业、企业技能人才。大力弘扬劳模精神和工匠精神，开展奉节县年度“夔州工匠”技能大赛。加速建设知识型、技能型、创新型劳动者大军，推进高技能人才高质量发展。</w:t>
            </w:r>
          </w:p>
          <w:p>
            <w:pPr>
              <w:spacing w:line="560" w:lineRule="exact"/>
              <w:ind w:firstLine="562"/>
              <w:rPr>
                <w:szCs w:val="28"/>
              </w:rPr>
            </w:pPr>
            <w:r>
              <w:rPr>
                <w:b/>
                <w:szCs w:val="28"/>
              </w:rPr>
              <w:t>3.人力资源服务提升工程。</w:t>
            </w:r>
            <w:r>
              <w:rPr>
                <w:szCs w:val="28"/>
              </w:rPr>
              <w:t>建成奉节人力资源服务产业园等项目，提升辐射县域及周边人力资源服务能力。加快县、乡、村三级公共就业服务平台建设，推广运用“智慧就业”信息平台，实现</w:t>
            </w:r>
            <w:r>
              <w:rPr>
                <w:rFonts w:hint="eastAsia"/>
                <w:szCs w:val="28"/>
              </w:rPr>
              <w:t>智慧</w:t>
            </w:r>
            <w:r>
              <w:rPr>
                <w:szCs w:val="28"/>
              </w:rPr>
              <w:t>人力资源市场全覆盖、智能自助服务终端全覆盖。</w:t>
            </w:r>
          </w:p>
          <w:p>
            <w:pPr>
              <w:spacing w:line="560" w:lineRule="exact"/>
              <w:ind w:firstLine="562"/>
              <w:rPr>
                <w:szCs w:val="28"/>
              </w:rPr>
            </w:pPr>
            <w:r>
              <w:rPr>
                <w:b/>
                <w:szCs w:val="28"/>
              </w:rPr>
              <w:t>4.“鸿雁计划”工程。</w:t>
            </w:r>
            <w:r>
              <w:rPr>
                <w:szCs w:val="28"/>
              </w:rPr>
              <w:t>鼓励企业自主引进人才，对文化旅游、生态工业、商贸物流、特色效益农业类企业自主引进的研发、创新、管理类等人才进行奖补等政策激励。</w:t>
            </w:r>
          </w:p>
        </w:tc>
      </w:tr>
    </w:tbl>
    <w:p>
      <w:pPr>
        <w:pStyle w:val="4"/>
        <w:spacing w:before="156" w:beforeLines="50" w:after="156" w:afterLines="50" w:line="560" w:lineRule="exact"/>
        <w:rPr>
          <w:rFonts w:ascii="Times New Roman" w:hAnsi="Times New Roman" w:cs="Times New Roman"/>
          <w:b w:val="0"/>
          <w:bCs w:val="0"/>
          <w:sz w:val="32"/>
        </w:rPr>
      </w:pPr>
      <w:bookmarkStart w:id="1299" w:name="_Toc59993124"/>
      <w:bookmarkStart w:id="1300" w:name="_Toc32347"/>
      <w:bookmarkStart w:id="1301" w:name="_Toc20948"/>
      <w:bookmarkStart w:id="1302" w:name="_Toc12064"/>
      <w:bookmarkStart w:id="1303" w:name="_Toc3404"/>
      <w:bookmarkStart w:id="1304" w:name="_Toc19600"/>
      <w:bookmarkStart w:id="1305" w:name="_Toc60584846"/>
      <w:bookmarkStart w:id="1306" w:name="_Toc21147"/>
      <w:bookmarkStart w:id="1307" w:name="_Toc4848"/>
      <w:bookmarkStart w:id="1308" w:name="_Toc9940"/>
      <w:bookmarkStart w:id="1309" w:name="_Toc21067"/>
      <w:r>
        <w:rPr>
          <w:rFonts w:hint="eastAsia" w:ascii="Times New Roman" w:hAnsi="Times New Roman" w:cs="Times New Roman"/>
          <w:b w:val="0"/>
          <w:bCs w:val="0"/>
          <w:sz w:val="32"/>
        </w:rPr>
        <w:t xml:space="preserve">第四十一章  </w:t>
      </w:r>
      <w:bookmarkEnd w:id="1299"/>
      <w:bookmarkEnd w:id="1300"/>
      <w:bookmarkEnd w:id="1301"/>
      <w:bookmarkEnd w:id="1302"/>
      <w:bookmarkEnd w:id="1303"/>
      <w:bookmarkEnd w:id="1304"/>
      <w:bookmarkEnd w:id="1305"/>
      <w:bookmarkEnd w:id="1306"/>
      <w:bookmarkEnd w:id="1307"/>
      <w:r>
        <w:rPr>
          <w:rFonts w:hint="eastAsia" w:ascii="Times New Roman" w:hAnsi="Times New Roman" w:cs="Times New Roman"/>
          <w:b w:val="0"/>
          <w:bCs w:val="0"/>
          <w:sz w:val="32"/>
        </w:rPr>
        <w:t>建设现代化教育体系</w:t>
      </w:r>
      <w:bookmarkEnd w:id="1308"/>
      <w:bookmarkEnd w:id="1309"/>
    </w:p>
    <w:p>
      <w:pPr>
        <w:spacing w:line="560" w:lineRule="exact"/>
        <w:ind w:firstLine="640"/>
        <w:rPr>
          <w:bCs/>
          <w:sz w:val="32"/>
          <w:szCs w:val="32"/>
        </w:rPr>
      </w:pPr>
      <w:r>
        <w:rPr>
          <w:rFonts w:hint="eastAsia"/>
          <w:bCs/>
          <w:sz w:val="32"/>
          <w:szCs w:val="32"/>
        </w:rPr>
        <w:t>坚持教育优先发展，实施科教强县战略，坚持“四个第一”“四家办学”“三格目标”“六学布局”理念，改善学校硬件设施，提升数字化、智慧化水平，全力建设高质量教育体系，营造全民学习氛围，打造区域性教育服务高地。</w:t>
      </w:r>
    </w:p>
    <w:p>
      <w:pPr>
        <w:pStyle w:val="5"/>
        <w:spacing w:before="62" w:beforeLines="20" w:after="62" w:afterLines="20" w:line="560" w:lineRule="exact"/>
        <w:rPr>
          <w:rFonts w:eastAsia="仿宋_GB2312"/>
          <w:sz w:val="32"/>
        </w:rPr>
      </w:pPr>
      <w:bookmarkStart w:id="1310" w:name="_Toc30233"/>
      <w:bookmarkStart w:id="1311" w:name="_Toc16425"/>
      <w:bookmarkStart w:id="1312" w:name="_Toc59993125"/>
      <w:bookmarkStart w:id="1313" w:name="_Toc9339"/>
      <w:bookmarkStart w:id="1314" w:name="_Toc18207"/>
      <w:bookmarkStart w:id="1315" w:name="_Toc32264"/>
      <w:bookmarkStart w:id="1316" w:name="_Toc19331"/>
      <w:bookmarkStart w:id="1317" w:name="_Toc60584847"/>
      <w:r>
        <w:rPr>
          <w:rFonts w:eastAsia="仿宋_GB2312"/>
          <w:sz w:val="32"/>
        </w:rPr>
        <w:t>第一节  提升全县基础教育水平</w:t>
      </w:r>
      <w:bookmarkEnd w:id="1310"/>
      <w:bookmarkEnd w:id="1311"/>
      <w:bookmarkEnd w:id="1312"/>
      <w:bookmarkEnd w:id="1313"/>
      <w:bookmarkEnd w:id="1314"/>
      <w:bookmarkEnd w:id="1315"/>
      <w:bookmarkEnd w:id="1316"/>
      <w:bookmarkEnd w:id="1317"/>
    </w:p>
    <w:p>
      <w:pPr>
        <w:spacing w:line="560" w:lineRule="exact"/>
        <w:ind w:firstLine="640"/>
        <w:rPr>
          <w:bCs/>
          <w:sz w:val="32"/>
          <w:szCs w:val="32"/>
        </w:rPr>
      </w:pPr>
      <w:r>
        <w:rPr>
          <w:rFonts w:hint="eastAsia"/>
          <w:bCs/>
          <w:sz w:val="32"/>
          <w:szCs w:val="32"/>
        </w:rPr>
        <w:t>优化教育资源结构，建设一体化和均衡的城乡现代化教育服务体系。加强学前教育普惠性，规范小区配套幼儿园建设，鼓励幼儿园发展托幼一体化发展。合理布局城乡中小学校，保障随迁子女平等入学权利。建立学校联盟，深入推进集团化办学模式，逐步消除大班额。推动义务教育优质均衡发展，提升义务教育城乡一体化发展水平，处理好提升教学质量和就近入学的关系，保障农业转移人口随迁子女平等享有基本公共教育服务。整合高中阶段学校优质资源，改善县城和乡镇寄宿制学校办学条件，打造优质学校品牌，实现全县学生高中阶段进城就读。加大特殊教育投入力度，新建区域性特殊学校，健全特殊教育发展保障机制。</w:t>
      </w:r>
    </w:p>
    <w:p>
      <w:pPr>
        <w:spacing w:line="560" w:lineRule="exact"/>
        <w:ind w:firstLine="640"/>
        <w:rPr>
          <w:bCs/>
          <w:sz w:val="32"/>
          <w:szCs w:val="32"/>
        </w:rPr>
      </w:pPr>
      <w:r>
        <w:rPr>
          <w:rFonts w:hint="eastAsia"/>
          <w:bCs/>
          <w:sz w:val="32"/>
          <w:szCs w:val="32"/>
        </w:rPr>
        <w:t>全面提升教育信息化水平，深入开展“智慧校园”试点学校建设，升级改造教学设备，搭建智慧教育平台，发挥“微课”、“慕课”等在线教育的优势，创新优质教育资源共享，辅助各类教学活动，不断提升教学质量。</w:t>
      </w:r>
    </w:p>
    <w:p>
      <w:pPr>
        <w:pStyle w:val="5"/>
        <w:spacing w:before="62" w:beforeLines="20" w:after="62" w:afterLines="20" w:line="560" w:lineRule="exact"/>
        <w:rPr>
          <w:rFonts w:eastAsia="仿宋_GB2312"/>
          <w:sz w:val="32"/>
        </w:rPr>
      </w:pPr>
      <w:bookmarkStart w:id="1318" w:name="_Toc60584848"/>
      <w:bookmarkStart w:id="1319" w:name="_Toc3471"/>
      <w:bookmarkStart w:id="1320" w:name="_Toc30031"/>
      <w:bookmarkStart w:id="1321" w:name="_Toc8524"/>
      <w:bookmarkStart w:id="1322" w:name="_Toc164"/>
      <w:bookmarkStart w:id="1323" w:name="_Toc12326"/>
      <w:bookmarkStart w:id="1324" w:name="_Toc20499"/>
      <w:bookmarkStart w:id="1325" w:name="_Toc59993126"/>
      <w:r>
        <w:rPr>
          <w:rFonts w:eastAsia="仿宋_GB2312"/>
          <w:sz w:val="32"/>
        </w:rPr>
        <w:t>第二节  完善职业教育体系</w:t>
      </w:r>
      <w:bookmarkEnd w:id="1318"/>
      <w:bookmarkEnd w:id="1319"/>
      <w:bookmarkEnd w:id="1320"/>
      <w:bookmarkEnd w:id="1321"/>
      <w:bookmarkEnd w:id="1322"/>
      <w:bookmarkEnd w:id="1323"/>
      <w:bookmarkEnd w:id="1324"/>
      <w:bookmarkEnd w:id="1325"/>
    </w:p>
    <w:p>
      <w:pPr>
        <w:spacing w:line="560" w:lineRule="exact"/>
        <w:ind w:firstLine="640"/>
        <w:rPr>
          <w:bCs/>
          <w:sz w:val="32"/>
          <w:szCs w:val="32"/>
        </w:rPr>
      </w:pPr>
      <w:r>
        <w:rPr>
          <w:rFonts w:hint="eastAsia"/>
          <w:bCs/>
          <w:sz w:val="32"/>
          <w:szCs w:val="32"/>
        </w:rPr>
        <w:t>推动职业教育创新发展，增强职业技术教育适应性，新建一所高等职业大专院校。建设职业教育片区，加强公办与民办职教学校的专业整合优化，打造特色职业教育品牌，建设区域性职教高地。探索建立普通高中与中职学校学籍转换、课程衔接、学习成果互认等改革制度，深化职普融合、产教融合、校企合作，探索学徒制。支持和规范民办教育发展，规范校外培训机构。</w:t>
      </w:r>
    </w:p>
    <w:p>
      <w:pPr>
        <w:pStyle w:val="5"/>
        <w:spacing w:before="62" w:beforeLines="20" w:after="62" w:afterLines="20" w:line="560" w:lineRule="exact"/>
        <w:rPr>
          <w:rFonts w:eastAsia="仿宋_GB2312"/>
          <w:sz w:val="32"/>
        </w:rPr>
      </w:pPr>
      <w:bookmarkStart w:id="1326" w:name="_Toc25508"/>
      <w:bookmarkStart w:id="1327" w:name="_Toc59993127"/>
      <w:bookmarkStart w:id="1328" w:name="_Toc4776"/>
      <w:bookmarkStart w:id="1329" w:name="_Toc7658"/>
      <w:bookmarkStart w:id="1330" w:name="_Toc60584849"/>
      <w:bookmarkStart w:id="1331" w:name="_Toc5707"/>
      <w:bookmarkStart w:id="1332" w:name="_Toc630"/>
      <w:bookmarkStart w:id="1333" w:name="_Toc8638"/>
      <w:r>
        <w:rPr>
          <w:rFonts w:eastAsia="仿宋_GB2312"/>
          <w:sz w:val="32"/>
        </w:rPr>
        <w:t>第三节  加强教育体系改革</w:t>
      </w:r>
      <w:bookmarkEnd w:id="1326"/>
      <w:bookmarkEnd w:id="1327"/>
      <w:bookmarkEnd w:id="1328"/>
      <w:bookmarkEnd w:id="1329"/>
      <w:bookmarkEnd w:id="1330"/>
      <w:bookmarkEnd w:id="1331"/>
      <w:bookmarkEnd w:id="1332"/>
      <w:bookmarkEnd w:id="1333"/>
    </w:p>
    <w:p>
      <w:pPr>
        <w:spacing w:line="560" w:lineRule="exact"/>
        <w:ind w:firstLine="640"/>
        <w:rPr>
          <w:bCs/>
          <w:sz w:val="32"/>
          <w:szCs w:val="32"/>
        </w:rPr>
      </w:pPr>
      <w:r>
        <w:rPr>
          <w:rFonts w:hint="eastAsia"/>
          <w:bCs/>
          <w:sz w:val="32"/>
          <w:szCs w:val="32"/>
        </w:rPr>
        <w:t>深化教育体系改革，增强学生的社会责任感、法治文明、创新精神、实践能力、民族自豪感等，全面加强体育卫生、心理健康、艺术审美等方面的教育，提升学生综合素质。深化中小学、幼儿园教师管理综合改革，统筹教师编制配置和跨区调整，推进义务教育教师“县管校聘”管理改革，适当提高中高级教师岗位比例。完善教师职称评定体系，建立多元化人才评定机制，落实绩效考核，优化分配制度，全面激发教师积极性和荣誉感。持续推进学校管办分离，扩大办学自主权，加强教育督导和社会监督。鼓励社会力量和民间资本提供多样化教育服务，进一步加强对农村留守儿童的关心帮助和困难家庭学生的教育扶持。</w:t>
      </w:r>
    </w:p>
    <w:p>
      <w:pPr>
        <w:pStyle w:val="5"/>
        <w:spacing w:before="62" w:beforeLines="20" w:after="62" w:afterLines="20" w:line="560" w:lineRule="exact"/>
        <w:rPr>
          <w:rFonts w:eastAsia="仿宋_GB2312"/>
          <w:sz w:val="32"/>
        </w:rPr>
      </w:pPr>
      <w:bookmarkStart w:id="1334" w:name="_Toc8301"/>
      <w:bookmarkStart w:id="1335" w:name="_Toc59993128"/>
      <w:bookmarkStart w:id="1336" w:name="_Toc60584850"/>
      <w:bookmarkStart w:id="1337" w:name="_Toc4526"/>
      <w:bookmarkStart w:id="1338" w:name="_Toc14490"/>
      <w:bookmarkStart w:id="1339" w:name="_Toc26675"/>
      <w:bookmarkStart w:id="1340" w:name="_Toc13314"/>
      <w:bookmarkStart w:id="1341" w:name="_Toc15087"/>
      <w:r>
        <w:rPr>
          <w:rFonts w:eastAsia="仿宋_GB2312"/>
          <w:sz w:val="32"/>
        </w:rPr>
        <w:t>第四节  打造学习型社会</w:t>
      </w:r>
      <w:bookmarkEnd w:id="1334"/>
      <w:bookmarkEnd w:id="1335"/>
      <w:bookmarkEnd w:id="1336"/>
      <w:bookmarkEnd w:id="1337"/>
      <w:bookmarkEnd w:id="1338"/>
      <w:bookmarkEnd w:id="1339"/>
      <w:bookmarkEnd w:id="1340"/>
      <w:bookmarkEnd w:id="1341"/>
    </w:p>
    <w:p>
      <w:pPr>
        <w:spacing w:line="560" w:lineRule="exact"/>
        <w:ind w:firstLine="640"/>
        <w:rPr>
          <w:bCs/>
          <w:sz w:val="32"/>
          <w:szCs w:val="32"/>
        </w:rPr>
      </w:pPr>
      <w:r>
        <w:rPr>
          <w:rFonts w:hint="eastAsia"/>
          <w:bCs/>
          <w:sz w:val="32"/>
          <w:szCs w:val="32"/>
        </w:rPr>
        <w:t>大力开展社区教育、老年教育，构建全民学习、终身学习的良好社会氛围。推动各类教育学习资源开放共享，构建与“书香重庆”联通的全民阅读服务体系。打造终身学习网络平台，办好开放大学，畅通继续教育通道。</w:t>
      </w:r>
    </w:p>
    <w:tbl>
      <w:tblPr>
        <w:tblStyle w:val="28"/>
        <w:tblpPr w:leftFromText="180" w:rightFromText="180" w:vertAnchor="text" w:horzAnchor="page" w:tblpX="1615" w:tblpY="290"/>
        <w:tblOverlap w:val="never"/>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9060" w:type="dxa"/>
            <w:vAlign w:val="center"/>
          </w:tcPr>
          <w:p>
            <w:pPr>
              <w:tabs>
                <w:tab w:val="left" w:pos="1755"/>
              </w:tabs>
              <w:snapToGrid w:val="0"/>
              <w:ind w:firstLine="0" w:firstLineChars="0"/>
              <w:jc w:val="center"/>
              <w:rPr>
                <w:rFonts w:eastAsia="黑体"/>
                <w:szCs w:val="28"/>
              </w:rPr>
            </w:pPr>
            <w:r>
              <w:rPr>
                <w:rFonts w:hint="eastAsia" w:eastAsia="黑体"/>
                <w:kern w:val="0"/>
                <w:szCs w:val="28"/>
              </w:rPr>
              <w:t>专栏十九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spacing w:line="560" w:lineRule="exact"/>
              <w:ind w:firstLine="562"/>
              <w:jc w:val="left"/>
              <w:rPr>
                <w:bCs/>
                <w:szCs w:val="28"/>
              </w:rPr>
            </w:pPr>
            <w:r>
              <w:rPr>
                <w:rFonts w:hint="eastAsia"/>
                <w:b/>
                <w:szCs w:val="28"/>
              </w:rPr>
              <w:t>1</w:t>
            </w:r>
            <w:r>
              <w:rPr>
                <w:b/>
                <w:szCs w:val="28"/>
              </w:rPr>
              <w:t>. 打造优质均衡</w:t>
            </w:r>
            <w:r>
              <w:rPr>
                <w:rFonts w:hint="eastAsia"/>
                <w:b/>
                <w:szCs w:val="28"/>
              </w:rPr>
              <w:t>基础</w:t>
            </w:r>
            <w:r>
              <w:rPr>
                <w:b/>
                <w:szCs w:val="28"/>
              </w:rPr>
              <w:t>教育体系</w:t>
            </w:r>
            <w:r>
              <w:rPr>
                <w:rFonts w:hint="eastAsia"/>
                <w:b/>
                <w:szCs w:val="28"/>
              </w:rPr>
              <w:t>。</w:t>
            </w:r>
            <w:r>
              <w:rPr>
                <w:rFonts w:hint="eastAsia"/>
                <w:bCs/>
                <w:szCs w:val="28"/>
              </w:rPr>
              <w:t>坚持教育优先发展，开展义务教育校舍能力提升工程，加强宿舍、食堂、运动场等改建扩建。新建西部新区普通高中，提供6</w:t>
            </w:r>
            <w:r>
              <w:rPr>
                <w:bCs/>
                <w:szCs w:val="28"/>
              </w:rPr>
              <w:t>0个班约</w:t>
            </w:r>
            <w:r>
              <w:rPr>
                <w:rFonts w:hint="eastAsia"/>
                <w:bCs/>
                <w:szCs w:val="28"/>
              </w:rPr>
              <w:t>3</w:t>
            </w:r>
            <w:r>
              <w:rPr>
                <w:bCs/>
                <w:szCs w:val="28"/>
              </w:rPr>
              <w:t>000个学位</w:t>
            </w:r>
            <w:r>
              <w:rPr>
                <w:rFonts w:hint="eastAsia"/>
                <w:bCs/>
                <w:szCs w:val="28"/>
              </w:rPr>
              <w:t>，</w:t>
            </w:r>
            <w:r>
              <w:rPr>
                <w:bCs/>
                <w:szCs w:val="28"/>
              </w:rPr>
              <w:t>推动全县学生高中阶段进城入学</w:t>
            </w:r>
            <w:r>
              <w:rPr>
                <w:rFonts w:hint="eastAsia"/>
                <w:bCs/>
                <w:szCs w:val="28"/>
              </w:rPr>
              <w:t>。加强全县师生安全防护设备设施建设，提升校园安全等级。</w:t>
            </w:r>
          </w:p>
          <w:p>
            <w:pPr>
              <w:pStyle w:val="2"/>
              <w:ind w:firstLine="562"/>
              <w:rPr>
                <w:b/>
              </w:rPr>
            </w:pPr>
            <w:r>
              <w:rPr>
                <w:b/>
                <w:bCs w:val="0"/>
              </w:rPr>
              <w:t>2. 推进智慧校园建设</w:t>
            </w:r>
            <w:r>
              <w:rPr>
                <w:rFonts w:hint="eastAsia"/>
                <w:b/>
                <w:bCs w:val="0"/>
              </w:rPr>
              <w:t>。</w:t>
            </w:r>
            <w:r>
              <w:rPr>
                <w:rFonts w:hint="eastAsia"/>
                <w:bCs w:val="0"/>
              </w:rPr>
              <w:t>新建教育中心机房</w:t>
            </w:r>
            <w:r>
              <w:rPr>
                <w:bCs w:val="0"/>
              </w:rPr>
              <w:t>1</w:t>
            </w:r>
            <w:r>
              <w:rPr>
                <w:rFonts w:hint="eastAsia"/>
                <w:bCs w:val="0"/>
              </w:rPr>
              <w:t>间，租赁教育城域网</w:t>
            </w:r>
            <w:r>
              <w:rPr>
                <w:bCs w:val="0"/>
              </w:rPr>
              <w:t>262</w:t>
            </w:r>
            <w:r>
              <w:rPr>
                <w:rFonts w:hint="eastAsia"/>
                <w:bCs w:val="0"/>
              </w:rPr>
              <w:t>条，打造教育视频会议系统</w:t>
            </w:r>
            <w:r>
              <w:rPr>
                <w:bCs w:val="0"/>
              </w:rPr>
              <w:t>150</w:t>
            </w:r>
            <w:r>
              <w:rPr>
                <w:rFonts w:hint="eastAsia"/>
                <w:bCs w:val="0"/>
              </w:rPr>
              <w:t>套，建设2</w:t>
            </w:r>
            <w:r>
              <w:rPr>
                <w:bCs w:val="0"/>
              </w:rPr>
              <w:t>2所</w:t>
            </w:r>
            <w:r>
              <w:rPr>
                <w:rFonts w:hint="eastAsia"/>
                <w:bCs w:val="0"/>
              </w:rPr>
              <w:t>智慧示范校园，推进新高考走班平台、高考标准化考场建设。</w:t>
            </w:r>
          </w:p>
          <w:p>
            <w:pPr>
              <w:pStyle w:val="2"/>
              <w:ind w:firstLine="562"/>
            </w:pPr>
            <w:r>
              <w:rPr>
                <w:b/>
                <w:bCs w:val="0"/>
              </w:rPr>
              <w:t xml:space="preserve">3. </w:t>
            </w:r>
            <w:r>
              <w:rPr>
                <w:rFonts w:hint="eastAsia"/>
                <w:b/>
                <w:bCs w:val="0"/>
              </w:rPr>
              <w:t>加强职业教育体系建设。</w:t>
            </w:r>
            <w:r>
              <w:rPr>
                <w:rFonts w:hint="eastAsia"/>
                <w:bCs w:val="0"/>
              </w:rPr>
              <w:t>推动奉节县职教中心能力提升工程，建设产教融合实训基地，打造区域性职教高地。</w:t>
            </w:r>
          </w:p>
          <w:p>
            <w:pPr>
              <w:ind w:firstLine="562"/>
              <w:rPr>
                <w:szCs w:val="28"/>
              </w:rPr>
            </w:pPr>
            <w:r>
              <w:rPr>
                <w:b/>
                <w:szCs w:val="28"/>
              </w:rPr>
              <w:t xml:space="preserve">4. </w:t>
            </w:r>
            <w:r>
              <w:rPr>
                <w:rFonts w:hint="eastAsia"/>
                <w:b/>
                <w:szCs w:val="28"/>
              </w:rPr>
              <w:t>建设公共教育服务体系。</w:t>
            </w:r>
            <w:r>
              <w:rPr>
                <w:rFonts w:hint="eastAsia"/>
                <w:szCs w:val="28"/>
              </w:rPr>
              <w:t>依托重庆广播电视大学奉节分校，新建奉节电大开放大学，提供形式多样的开放教育课程，为学习型社会建设提供支撑。</w:t>
            </w:r>
          </w:p>
        </w:tc>
      </w:tr>
    </w:tbl>
    <w:p>
      <w:pPr>
        <w:pStyle w:val="4"/>
        <w:spacing w:before="156" w:beforeLines="50" w:after="156" w:afterLines="50" w:line="560" w:lineRule="exact"/>
        <w:rPr>
          <w:rFonts w:ascii="Times New Roman" w:hAnsi="Times New Roman" w:cs="Times New Roman"/>
          <w:b w:val="0"/>
          <w:bCs w:val="0"/>
          <w:sz w:val="32"/>
        </w:rPr>
      </w:pPr>
      <w:bookmarkStart w:id="1342" w:name="_Toc8347"/>
      <w:bookmarkStart w:id="1343" w:name="_Toc19436"/>
      <w:bookmarkStart w:id="1344" w:name="_Toc21533"/>
      <w:bookmarkStart w:id="1345" w:name="_Toc16004"/>
      <w:bookmarkStart w:id="1346" w:name="_Toc60584851"/>
      <w:bookmarkStart w:id="1347" w:name="_Toc21145"/>
      <w:bookmarkStart w:id="1348" w:name="_Toc59993129"/>
      <w:bookmarkStart w:id="1349" w:name="_Toc18360"/>
      <w:bookmarkStart w:id="1350" w:name="_Toc3770"/>
      <w:bookmarkStart w:id="1351" w:name="_Toc7464"/>
      <w:bookmarkStart w:id="1352" w:name="_Toc23678"/>
      <w:r>
        <w:rPr>
          <w:rFonts w:hint="eastAsia" w:ascii="Times New Roman" w:hAnsi="Times New Roman" w:cs="Times New Roman"/>
          <w:b w:val="0"/>
          <w:bCs w:val="0"/>
          <w:sz w:val="32"/>
        </w:rPr>
        <w:t>第四十二章  健全多层次社会保障体系</w:t>
      </w:r>
      <w:bookmarkEnd w:id="1342"/>
      <w:bookmarkEnd w:id="1343"/>
      <w:bookmarkEnd w:id="1344"/>
      <w:bookmarkEnd w:id="1345"/>
      <w:bookmarkEnd w:id="1346"/>
      <w:bookmarkEnd w:id="1347"/>
      <w:bookmarkEnd w:id="1348"/>
      <w:bookmarkEnd w:id="1349"/>
      <w:bookmarkEnd w:id="1350"/>
      <w:bookmarkEnd w:id="1351"/>
      <w:bookmarkEnd w:id="1352"/>
    </w:p>
    <w:p>
      <w:pPr>
        <w:pStyle w:val="11"/>
        <w:spacing w:line="560" w:lineRule="exact"/>
        <w:ind w:firstLine="640"/>
        <w:rPr>
          <w:rFonts w:eastAsia="仿宋_GB2312"/>
          <w:bCs/>
          <w:sz w:val="32"/>
        </w:rPr>
      </w:pPr>
      <w:r>
        <w:rPr>
          <w:rFonts w:hint="eastAsia" w:eastAsia="仿宋_GB2312"/>
          <w:bCs/>
          <w:sz w:val="32"/>
        </w:rPr>
        <w:t>始终坚持保障民生要务，完善社会保险体系，强化社会救助举措，推进社会福利和慈善事业发展，关注重点人群生活保障，建立健全覆盖全民、统筹城乡、公平统一、可持续的多层次社会保障体系。</w:t>
      </w:r>
    </w:p>
    <w:p>
      <w:pPr>
        <w:pStyle w:val="5"/>
        <w:spacing w:before="62" w:beforeLines="20" w:after="62" w:afterLines="20" w:line="560" w:lineRule="exact"/>
        <w:rPr>
          <w:rFonts w:ascii="仿宋_GB2312" w:hAnsi="仿宋_GB2312" w:eastAsia="仿宋_GB2312" w:cs="仿宋_GB2312"/>
          <w:sz w:val="32"/>
        </w:rPr>
      </w:pPr>
      <w:bookmarkStart w:id="1353" w:name="_Toc13563"/>
      <w:bookmarkStart w:id="1354" w:name="_Toc60584852"/>
      <w:bookmarkStart w:id="1355" w:name="_Toc10732"/>
      <w:bookmarkStart w:id="1356" w:name="_Toc8425"/>
      <w:bookmarkStart w:id="1357" w:name="_Toc3859"/>
      <w:bookmarkStart w:id="1358" w:name="_Toc14018"/>
      <w:r>
        <w:rPr>
          <w:rFonts w:hint="eastAsia" w:ascii="仿宋_GB2312" w:hAnsi="仿宋_GB2312" w:eastAsia="仿宋_GB2312" w:cs="仿宋_GB2312"/>
          <w:sz w:val="32"/>
        </w:rPr>
        <w:t>第一节  关心关爱重点群体发展</w:t>
      </w:r>
      <w:bookmarkEnd w:id="1353"/>
      <w:bookmarkEnd w:id="1354"/>
      <w:bookmarkEnd w:id="1355"/>
      <w:bookmarkEnd w:id="1356"/>
      <w:bookmarkEnd w:id="1357"/>
      <w:bookmarkEnd w:id="1358"/>
      <w:bookmarkStart w:id="1359" w:name="_Toc17516"/>
      <w:bookmarkStart w:id="1360" w:name="_Toc59993130"/>
    </w:p>
    <w:p>
      <w:pPr>
        <w:pStyle w:val="11"/>
        <w:spacing w:line="560" w:lineRule="exact"/>
        <w:ind w:firstLine="640"/>
        <w:rPr>
          <w:rFonts w:eastAsia="仿宋_GB2312"/>
          <w:bCs/>
          <w:sz w:val="32"/>
        </w:rPr>
      </w:pPr>
      <w:r>
        <w:rPr>
          <w:rFonts w:hint="eastAsia" w:eastAsia="仿宋_GB2312"/>
          <w:bCs/>
          <w:sz w:val="32"/>
        </w:rPr>
        <w:t>促进妇女儿童健康全面发展。坚持男女平等基本国策和儿童优先原则，保障妇女儿童合法权益。实施妇幼健康服务保障工程，推进基层妇女儿童活动阵地规范化建设，提升妇幼基本公共服务水平。加强女性人才队伍建设，提升女性素质，促进就业性别平等。完善留守妇女、困境儿童、留守儿童等特殊群体关爱服务体系，加强儿童早期教育和心理健康教育指导，增加婴幼儿普惠性托育服务有效供给。加强家庭家教家风建设。大力发展青少年事业，坚持党管青年原则，树立青年优先发展理念，建立“党委领导、政府主责、共青团协调、各方齐抓共管青年事务”工作格局，统筹推进青年发展规划实施县级试点工作，加快建设青少年校外教育基（营）地，深化青少年之家建设，建成投用青少年活动中心。落实各项优惠政策、鼓励支持青年创新创业。提升残疾人服务保障水平。稳步提高贫困残疾人生活补贴、重度残疾人护理补贴标准，持续解决残疾人特殊生活困难和长期照护困难。完善残疾人社会福利制度，扩大残疾人社会保险覆盖面，加快发展重度残疾人照护和托养服务。加强残疾人健康管理，提升残疾人康复服务水平。建立健全政府主导推进无障碍环境长效机制，推行无障碍环境建设标准，加快完善残疾人服务基础设施，提高无障碍环境建设水平。建设残疾人康复中心，实现残疾人康复或托养设施全覆盖。</w:t>
      </w:r>
    </w:p>
    <w:p>
      <w:pPr>
        <w:pStyle w:val="5"/>
        <w:spacing w:before="62" w:beforeLines="20" w:after="62" w:afterLines="20" w:line="560" w:lineRule="exact"/>
        <w:rPr>
          <w:rFonts w:eastAsia="仿宋_GB2312"/>
          <w:sz w:val="32"/>
        </w:rPr>
      </w:pPr>
      <w:bookmarkStart w:id="1361" w:name="_Toc30029"/>
      <w:bookmarkStart w:id="1362" w:name="_Toc29149"/>
      <w:bookmarkStart w:id="1363" w:name="_Toc24453"/>
      <w:bookmarkStart w:id="1364" w:name="_Toc29681"/>
      <w:bookmarkStart w:id="1365" w:name="_Toc12006"/>
      <w:bookmarkStart w:id="1366" w:name="_Toc60584853"/>
      <w:r>
        <w:rPr>
          <w:rFonts w:eastAsia="仿宋_GB2312"/>
          <w:sz w:val="32"/>
        </w:rPr>
        <w:t>第</w:t>
      </w:r>
      <w:r>
        <w:rPr>
          <w:rFonts w:hint="eastAsia" w:eastAsia="仿宋_GB2312"/>
          <w:sz w:val="32"/>
        </w:rPr>
        <w:t>二</w:t>
      </w:r>
      <w:r>
        <w:rPr>
          <w:rFonts w:eastAsia="仿宋_GB2312"/>
          <w:sz w:val="32"/>
        </w:rPr>
        <w:t xml:space="preserve">节  </w:t>
      </w:r>
      <w:r>
        <w:rPr>
          <w:rFonts w:hint="eastAsia" w:eastAsia="仿宋_GB2312"/>
          <w:sz w:val="32"/>
        </w:rPr>
        <w:t>完善社会保险制度体系</w:t>
      </w:r>
      <w:bookmarkEnd w:id="1361"/>
      <w:bookmarkEnd w:id="1362"/>
      <w:bookmarkEnd w:id="1363"/>
      <w:bookmarkEnd w:id="1364"/>
      <w:bookmarkEnd w:id="1365"/>
      <w:bookmarkEnd w:id="1366"/>
    </w:p>
    <w:bookmarkEnd w:id="1359"/>
    <w:bookmarkEnd w:id="1360"/>
    <w:p>
      <w:pPr>
        <w:pStyle w:val="11"/>
        <w:spacing w:line="560" w:lineRule="exact"/>
        <w:ind w:firstLine="640"/>
        <w:rPr>
          <w:rFonts w:eastAsia="仿宋_GB2312"/>
          <w:bCs/>
          <w:sz w:val="32"/>
        </w:rPr>
      </w:pPr>
      <w:r>
        <w:rPr>
          <w:rFonts w:hint="eastAsia" w:eastAsia="仿宋_GB2312"/>
          <w:bCs/>
          <w:sz w:val="32"/>
        </w:rPr>
        <w:t>持续深入推进全民参保计划，不断推进精准扩面，扩大养老、工伤、失业保险覆盖范围，畅通社会保险关系转移渠道；进一步健全完善社会保障制度，规范企业职工社会保险缴费基数和比例，持续深化机关事业单位养老保险改革；稳步提高社会保险待遇水平，落实基本养老金正常调整机制；建立完善社会保险基金监督机制，严厉打击侵占、欺诈基金等违法行为，保障社会保险基金安全；持续优化经办管理能力，推进社保经办数字化转型和精细化服务，加强社会保险信息化建设应用，建立全面、完整、准确的社会保险档案数据库，实现社保业务“优先网办、全域通办”。</w:t>
      </w:r>
    </w:p>
    <w:p>
      <w:pPr>
        <w:pStyle w:val="5"/>
        <w:spacing w:before="62" w:beforeLines="20" w:after="62" w:afterLines="20" w:line="560" w:lineRule="exact"/>
        <w:rPr>
          <w:rFonts w:eastAsia="仿宋_GB2312"/>
          <w:sz w:val="32"/>
        </w:rPr>
      </w:pPr>
      <w:bookmarkStart w:id="1367" w:name="_Toc32081"/>
      <w:bookmarkStart w:id="1368" w:name="_Toc20529"/>
      <w:bookmarkStart w:id="1369" w:name="_Toc22563"/>
      <w:bookmarkStart w:id="1370" w:name="_Toc60584854"/>
      <w:bookmarkStart w:id="1371" w:name="_Toc25861"/>
      <w:bookmarkStart w:id="1372" w:name="_Toc4639"/>
      <w:bookmarkStart w:id="1373" w:name="_Toc59993131"/>
      <w:bookmarkStart w:id="1374" w:name="_Toc17308"/>
      <w:r>
        <w:rPr>
          <w:rFonts w:eastAsia="仿宋_GB2312"/>
          <w:sz w:val="32"/>
        </w:rPr>
        <w:t>第三节  推进社会救助和福利慈善事业发展</w:t>
      </w:r>
      <w:bookmarkEnd w:id="1367"/>
      <w:bookmarkEnd w:id="1368"/>
      <w:bookmarkEnd w:id="1369"/>
      <w:bookmarkEnd w:id="1370"/>
      <w:bookmarkEnd w:id="1371"/>
      <w:bookmarkEnd w:id="1372"/>
      <w:bookmarkEnd w:id="1373"/>
      <w:bookmarkEnd w:id="1374"/>
    </w:p>
    <w:p>
      <w:pPr>
        <w:spacing w:line="560" w:lineRule="exact"/>
        <w:ind w:firstLine="640" w:firstLineChars="0"/>
        <w:rPr>
          <w:bCs/>
          <w:sz w:val="32"/>
          <w:szCs w:val="32"/>
        </w:rPr>
      </w:pPr>
      <w:r>
        <w:rPr>
          <w:rFonts w:hint="eastAsia"/>
          <w:bCs/>
          <w:sz w:val="32"/>
          <w:szCs w:val="32"/>
        </w:rPr>
        <w:t>进一步完善社会救助体系，规范社会救助管理，做实兜底民生保障，巩固脱贫攻坚成果。健全完善“一门受理、协同办理”社会救助机制，加大政府购买社会救助服务力度，建立起主动发现、及时施救的救助工作网络，努力实现“求助有门、受助及时、救助合理”。健全社会救助对象定期核查机制，加强分类动态管理，确保“应保尽保、应救尽救、精准施救”。创新社会救助方式，积极发展服务类社会救助，形成“物质+服务”的救助方式。持续加强对养老服务的支持政策，做好儿童、妇女、老人、残疾人福利保障工作。推进殡葬制度改革，加强公益性骨灰安放（葬）设施和墓地建设，加大生态殡葬奖补力度。大力支持专业社会工作和慈善事业，健全经常性社会捐助机制。鼓励社会力量开展救济和互助、志愿服务活动。</w:t>
      </w:r>
    </w:p>
    <w:p>
      <w:pPr>
        <w:pStyle w:val="5"/>
        <w:numPr>
          <w:ilvl w:val="255"/>
          <w:numId w:val="0"/>
        </w:numPr>
        <w:spacing w:before="62" w:beforeLines="20" w:after="62" w:afterLines="20" w:line="560" w:lineRule="exact"/>
        <w:rPr>
          <w:rFonts w:eastAsia="仿宋_GB2312"/>
          <w:sz w:val="32"/>
        </w:rPr>
      </w:pPr>
      <w:bookmarkStart w:id="1375" w:name="_Toc29398"/>
      <w:bookmarkStart w:id="1376" w:name="_Toc60584855"/>
      <w:bookmarkStart w:id="1377" w:name="_Toc15190"/>
      <w:bookmarkStart w:id="1378" w:name="_Toc59993132"/>
      <w:bookmarkStart w:id="1379" w:name="_Toc28023"/>
      <w:bookmarkStart w:id="1380" w:name="_Toc22383"/>
      <w:bookmarkStart w:id="1381" w:name="_Toc26391"/>
      <w:bookmarkStart w:id="1382" w:name="_Toc27108"/>
      <w:r>
        <w:rPr>
          <w:rFonts w:hint="eastAsia" w:eastAsia="仿宋_GB2312"/>
          <w:sz w:val="32"/>
        </w:rPr>
        <w:t>第四节</w:t>
      </w:r>
      <w:r>
        <w:rPr>
          <w:rFonts w:eastAsia="仿宋_GB2312"/>
          <w:sz w:val="32"/>
        </w:rPr>
        <w:t xml:space="preserve"> 保障重点人群就业生活</w:t>
      </w:r>
      <w:bookmarkEnd w:id="1375"/>
      <w:bookmarkEnd w:id="1376"/>
      <w:bookmarkEnd w:id="1377"/>
      <w:bookmarkEnd w:id="1378"/>
      <w:bookmarkEnd w:id="1379"/>
      <w:bookmarkEnd w:id="1380"/>
      <w:bookmarkEnd w:id="1381"/>
      <w:bookmarkEnd w:id="1382"/>
    </w:p>
    <w:p>
      <w:pPr>
        <w:spacing w:line="560" w:lineRule="exact"/>
        <w:ind w:firstLine="640" w:firstLineChars="0"/>
        <w:rPr>
          <w:bCs/>
          <w:sz w:val="32"/>
          <w:szCs w:val="32"/>
        </w:rPr>
      </w:pPr>
      <w:r>
        <w:rPr>
          <w:rFonts w:hint="eastAsia"/>
          <w:bCs/>
          <w:sz w:val="32"/>
          <w:szCs w:val="32"/>
        </w:rPr>
        <w:t>加强对鳏寡孤独老人、经济困难、高龄失能老人的补贴和照护，切实解决农村老人老无所依、老无所养等问题。推进基础设施适老化改造，构建老年人友好型社区。关怀留守儿童，提供定期心理疏导及生活照护。加强对残疾人、农村妇女等人群的技能培训，逐步解决技术和经验缺乏、收入偏低、自身发展严重滞后等现实问题。推进残疾人集中就业，多渠道多形式扶持残疾人自主创业和灵活就业。搭建退役军人安置服务平台，登记完善基本信息，做好精准服务。健全退役军人服务保障“五有”工作体系和保障制度，保障退役军人日常生活和稳定就业，形成完善的荣军体系。</w:t>
      </w:r>
    </w:p>
    <w:p>
      <w:pPr>
        <w:widowControl/>
        <w:ind w:firstLine="0" w:firstLineChars="0"/>
        <w:contextualSpacing w:val="0"/>
        <w:jc w:val="left"/>
        <w:rPr>
          <w:bCs/>
          <w:sz w:val="32"/>
          <w:szCs w:val="32"/>
        </w:rPr>
      </w:pPr>
      <w:r>
        <w:rPr>
          <w:bCs/>
          <w:sz w:val="32"/>
          <w:szCs w:val="32"/>
        </w:rPr>
        <w:br w:type="page"/>
      </w:r>
    </w:p>
    <w:tbl>
      <w:tblPr>
        <w:tblStyle w:val="27"/>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0" w:type="dxa"/>
          </w:tcPr>
          <w:p>
            <w:pPr>
              <w:spacing w:line="560" w:lineRule="exact"/>
              <w:ind w:firstLine="0" w:firstLineChars="0"/>
              <w:jc w:val="center"/>
              <w:rPr>
                <w:rFonts w:eastAsia="黑体"/>
                <w:szCs w:val="28"/>
              </w:rPr>
            </w:pPr>
            <w:r>
              <w:rPr>
                <w:rFonts w:hint="eastAsia" w:eastAsia="黑体"/>
                <w:kern w:val="0"/>
                <w:szCs w:val="28"/>
              </w:rPr>
              <w:t>专栏二十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0" w:type="dxa"/>
          </w:tcPr>
          <w:p>
            <w:pPr>
              <w:spacing w:line="560" w:lineRule="exact"/>
              <w:ind w:firstLine="562"/>
              <w:rPr>
                <w:bCs/>
                <w:szCs w:val="28"/>
              </w:rPr>
            </w:pPr>
            <w:r>
              <w:rPr>
                <w:rFonts w:hint="eastAsia"/>
                <w:b/>
                <w:szCs w:val="28"/>
              </w:rPr>
              <w:t>1.社会保险服务提升工程。</w:t>
            </w:r>
            <w:r>
              <w:rPr>
                <w:rFonts w:hint="eastAsia"/>
                <w:bCs/>
                <w:szCs w:val="28"/>
              </w:rPr>
              <w:t>全县基本实现社会保险全覆盖，完善社会保险体系建设，强化基金征缴，加强社保基金管理风险防控，持续深化改革，做好各项保险重点工作，推进社保经办机构整合；大力开展社会保险系统信息化、智慧化升级。</w:t>
            </w:r>
          </w:p>
          <w:p>
            <w:pPr>
              <w:spacing w:line="560" w:lineRule="exact"/>
              <w:ind w:firstLine="562"/>
              <w:rPr>
                <w:bCs/>
                <w:szCs w:val="28"/>
              </w:rPr>
            </w:pPr>
            <w:r>
              <w:rPr>
                <w:rFonts w:hint="eastAsia"/>
                <w:b/>
                <w:szCs w:val="28"/>
              </w:rPr>
              <w:t>2.扶贫巩固提升工程。</w:t>
            </w:r>
            <w:r>
              <w:rPr>
                <w:rFonts w:hint="eastAsia"/>
                <w:bCs/>
                <w:szCs w:val="28"/>
              </w:rPr>
              <w:t>整合多方资源，从产业、教育、健康、安居、社会保障、就业、金融、生态八个方面实施扶贫巩固提升工程，确保脱贫人口持续稳定增收不返贫，实现稳定脱贫并逐步走向小康。</w:t>
            </w:r>
          </w:p>
          <w:p>
            <w:pPr>
              <w:pStyle w:val="2"/>
              <w:ind w:firstLine="562"/>
            </w:pPr>
            <w:r>
              <w:rPr>
                <w:b/>
              </w:rPr>
              <w:t xml:space="preserve">3. </w:t>
            </w:r>
            <w:r>
              <w:rPr>
                <w:rFonts w:hint="eastAsia"/>
                <w:b/>
              </w:rPr>
              <w:t>民生保障设施建设工程。</w:t>
            </w:r>
            <w:r>
              <w:rPr>
                <w:rFonts w:hint="eastAsia"/>
              </w:rPr>
              <w:t>推动未成年保护及社会服务中心、公益性公墓、火葬场、养老服务中心、社区养老服务站等民生设施建设，全面提高奉节县社会保障服务水平。</w:t>
            </w:r>
          </w:p>
        </w:tc>
      </w:tr>
    </w:tbl>
    <w:p>
      <w:pPr>
        <w:pStyle w:val="4"/>
        <w:spacing w:before="156" w:beforeLines="50" w:after="156" w:afterLines="50" w:line="560" w:lineRule="exact"/>
        <w:rPr>
          <w:rFonts w:ascii="Times New Roman" w:hAnsi="Times New Roman" w:cs="Times New Roman"/>
          <w:b w:val="0"/>
          <w:bCs w:val="0"/>
          <w:sz w:val="32"/>
        </w:rPr>
      </w:pPr>
      <w:bookmarkStart w:id="1383" w:name="_Toc16807"/>
      <w:bookmarkStart w:id="1384" w:name="_Toc26768"/>
      <w:bookmarkStart w:id="1385" w:name="_Toc31467"/>
      <w:bookmarkStart w:id="1386" w:name="_Toc60584856"/>
      <w:bookmarkStart w:id="1387" w:name="_Toc2007"/>
      <w:bookmarkStart w:id="1388" w:name="_Toc9827"/>
      <w:r>
        <w:rPr>
          <w:rFonts w:hint="eastAsia" w:ascii="Times New Roman" w:hAnsi="Times New Roman" w:cs="Times New Roman"/>
          <w:b w:val="0"/>
          <w:bCs w:val="0"/>
          <w:sz w:val="32"/>
        </w:rPr>
        <w:t>第四十三章  打造区域医疗卫生高地</w:t>
      </w:r>
      <w:bookmarkEnd w:id="1383"/>
      <w:bookmarkEnd w:id="1384"/>
      <w:bookmarkEnd w:id="1385"/>
      <w:bookmarkEnd w:id="1386"/>
      <w:bookmarkEnd w:id="1387"/>
      <w:bookmarkEnd w:id="1388"/>
    </w:p>
    <w:p>
      <w:pPr>
        <w:spacing w:line="560" w:lineRule="exact"/>
        <w:ind w:firstLine="640" w:firstLineChars="0"/>
        <w:rPr>
          <w:bCs/>
          <w:sz w:val="32"/>
          <w:szCs w:val="32"/>
        </w:rPr>
      </w:pPr>
      <w:r>
        <w:rPr>
          <w:rFonts w:hint="eastAsia"/>
          <w:bCs/>
          <w:sz w:val="32"/>
          <w:szCs w:val="32"/>
        </w:rPr>
        <w:t>坚持预防为主、防治结合，全面加强卫生健康服务体系建设，织牢公共卫生防护网。持续深化医药卫生体制改革，加强医疗系统软硬件建设，提升公共服务供给水平，打造渝东北区域医疗卫生高地。</w:t>
      </w:r>
    </w:p>
    <w:p>
      <w:pPr>
        <w:pStyle w:val="5"/>
        <w:spacing w:before="62" w:beforeLines="20" w:after="62" w:afterLines="20" w:line="560" w:lineRule="exact"/>
        <w:rPr>
          <w:rFonts w:eastAsia="仿宋_GB2312"/>
          <w:sz w:val="32"/>
        </w:rPr>
      </w:pPr>
      <w:bookmarkStart w:id="1389" w:name="_Toc26135"/>
      <w:bookmarkStart w:id="1390" w:name="_Toc24532"/>
      <w:bookmarkStart w:id="1391" w:name="_Toc4100"/>
      <w:bookmarkStart w:id="1392" w:name="_Toc17181"/>
      <w:bookmarkStart w:id="1393" w:name="_Toc60584857"/>
      <w:bookmarkStart w:id="1394" w:name="_Toc59993134"/>
      <w:bookmarkStart w:id="1395" w:name="_Toc13521"/>
      <w:bookmarkStart w:id="1396" w:name="_Toc26629"/>
      <w:r>
        <w:rPr>
          <w:rFonts w:eastAsia="仿宋_GB2312"/>
          <w:sz w:val="32"/>
        </w:rPr>
        <w:t>第一节  持续深化医药卫生体制改革</w:t>
      </w:r>
      <w:bookmarkEnd w:id="1389"/>
      <w:bookmarkEnd w:id="1390"/>
      <w:bookmarkEnd w:id="1391"/>
      <w:bookmarkEnd w:id="1392"/>
      <w:bookmarkEnd w:id="1393"/>
      <w:bookmarkEnd w:id="1394"/>
      <w:bookmarkEnd w:id="1395"/>
      <w:bookmarkEnd w:id="1396"/>
    </w:p>
    <w:p>
      <w:pPr>
        <w:spacing w:line="560" w:lineRule="exact"/>
        <w:ind w:firstLine="640"/>
        <w:rPr>
          <w:bCs/>
          <w:sz w:val="32"/>
          <w:szCs w:val="32"/>
        </w:rPr>
      </w:pPr>
      <w:r>
        <w:rPr>
          <w:rFonts w:hint="eastAsia"/>
          <w:bCs/>
          <w:sz w:val="32"/>
          <w:szCs w:val="32"/>
        </w:rPr>
        <w:t>深化公立医院改革，坚持公立医院公益属性,落实政府领导、保障、管理、监督责任，完善医院内部管理机制和公立医院医疗服务评价体系，建立现代医院管理制度。以“完善平台功能、建立基本标准、健全激励机制、构建家庭医生制度”为目标，深化基层卫生服务综合改革。统筹推进药品供应保障体系建设，完善基本药物制度，构建现代药品供应链体系，推进医疗机构内部物流和外部物流一体化管理。推进医药卫生监管体制综合改革，完善医疗服务监管平台，健全信息公示制度，推进医疗机构依法执业分级分类管理，建立医疗卫生服务和药品耗材采购供应信用管理机制，完善卫生医保联动机制，加强定点医疗机构和执业医师医疗服务行为监管。将符合条件的互联网医疗服务纳入医保支付范围，落实异地就医结算。</w:t>
      </w:r>
    </w:p>
    <w:p>
      <w:pPr>
        <w:spacing w:line="560" w:lineRule="exact"/>
        <w:ind w:firstLine="640"/>
        <w:rPr>
          <w:bCs/>
          <w:sz w:val="32"/>
          <w:szCs w:val="32"/>
        </w:rPr>
      </w:pPr>
      <w:r>
        <w:rPr>
          <w:rFonts w:hint="eastAsia"/>
          <w:bCs/>
          <w:sz w:val="32"/>
          <w:szCs w:val="32"/>
        </w:rPr>
        <w:t>深化分解诊疗体系建设，做实做强县域紧密型医共体，建立两大医疗集团（县医院和中医院）、两个专科联盟（妇幼健康联盟、中医药服务联盟），派驻公共卫生服务专员，探索落实医防融合工作新机制。</w:t>
      </w:r>
    </w:p>
    <w:p>
      <w:pPr>
        <w:spacing w:line="560" w:lineRule="exact"/>
        <w:ind w:firstLine="640"/>
        <w:rPr>
          <w:bCs/>
          <w:sz w:val="32"/>
          <w:szCs w:val="32"/>
        </w:rPr>
      </w:pPr>
      <w:r>
        <w:rPr>
          <w:rFonts w:hint="eastAsia"/>
          <w:bCs/>
          <w:sz w:val="32"/>
          <w:szCs w:val="32"/>
        </w:rPr>
        <w:t>强化公共卫生体系建设，完善公共卫生服务项目，加强慢性病预防、早期筛查和综合干预，重视职业疾病、心理健康和精神卫生服务体系建设。完善突发公共卫生事件监测预警处置机制，建设平战结合的重大疫情防控救治体系，提高应对突发公共卫生事件能力。新建规范可靠的现代化疾病预防控制中心，健全医疗救治、科技支撑、物资保障体系。</w:t>
      </w:r>
    </w:p>
    <w:p>
      <w:pPr>
        <w:pStyle w:val="5"/>
        <w:spacing w:before="62" w:beforeLines="20" w:after="62" w:afterLines="20" w:line="560" w:lineRule="exact"/>
        <w:rPr>
          <w:rFonts w:eastAsia="仿宋_GB2312"/>
          <w:sz w:val="32"/>
        </w:rPr>
      </w:pPr>
      <w:bookmarkStart w:id="1397" w:name="_Toc60584858"/>
      <w:bookmarkStart w:id="1398" w:name="_Toc14783"/>
      <w:bookmarkStart w:id="1399" w:name="_Toc17117"/>
      <w:bookmarkStart w:id="1400" w:name="_Toc29361"/>
      <w:bookmarkStart w:id="1401" w:name="_Toc12241"/>
      <w:bookmarkStart w:id="1402" w:name="_Toc2831"/>
      <w:bookmarkStart w:id="1403" w:name="_Toc8569"/>
      <w:bookmarkStart w:id="1404" w:name="_Toc59993135"/>
      <w:r>
        <w:rPr>
          <w:rFonts w:eastAsia="仿宋_GB2312"/>
          <w:sz w:val="32"/>
        </w:rPr>
        <w:t>第二节  全面提升医疗服务能力</w:t>
      </w:r>
      <w:bookmarkEnd w:id="1397"/>
      <w:bookmarkEnd w:id="1398"/>
      <w:bookmarkEnd w:id="1399"/>
      <w:bookmarkEnd w:id="1400"/>
      <w:bookmarkEnd w:id="1401"/>
      <w:bookmarkEnd w:id="1402"/>
    </w:p>
    <w:p>
      <w:pPr>
        <w:spacing w:line="560" w:lineRule="exact"/>
        <w:ind w:firstLine="640"/>
        <w:rPr>
          <w:bCs/>
          <w:sz w:val="32"/>
          <w:szCs w:val="32"/>
        </w:rPr>
      </w:pPr>
      <w:r>
        <w:rPr>
          <w:rFonts w:hint="eastAsia"/>
          <w:bCs/>
          <w:sz w:val="32"/>
          <w:szCs w:val="32"/>
        </w:rPr>
        <w:t>持续推进三级医院创建工作，重点完成县人民医院三级甲等医院创建，积极筹划县中医院三级中医院创建工作，储备三级妇幼保健院的学科和人才。优化医疗资源布局，加强县级医疗机构硬件设施升级改造，更新重要医疗设备。将重点镇中心卫生院打造成为甲级乡镇卫生院，推动村卫生室（社区卫生服务站）提档升级。加强各级医疗机构信息化、数字化建设，提升互联互通水平，完善全民健康信息平台，建立智慧医疗体系。加强卫生健康人才队伍建设。完善医务人才培养体系，加大紧缺实用型人才考核招聘，加大高层次人才和骨干型人才引进力度。加强全科医生队伍建设，培育一批管理人才和学科带头人。支持民营医疗机构发展，扩大医疗服务供给范围。深入推进远程医疗，提升医疗服务能力，打造区域医疗卫生服务高地。</w:t>
      </w:r>
    </w:p>
    <w:p>
      <w:pPr>
        <w:pStyle w:val="5"/>
        <w:spacing w:before="62" w:beforeLines="20" w:after="62" w:afterLines="20" w:line="560" w:lineRule="exact"/>
        <w:rPr>
          <w:rFonts w:eastAsia="仿宋_GB2312"/>
          <w:sz w:val="32"/>
        </w:rPr>
      </w:pPr>
      <w:bookmarkStart w:id="1405" w:name="_Toc27016"/>
      <w:bookmarkStart w:id="1406" w:name="_Toc9555"/>
      <w:bookmarkStart w:id="1407" w:name="_Toc60584859"/>
      <w:bookmarkStart w:id="1408" w:name="_Toc7551"/>
      <w:bookmarkStart w:id="1409" w:name="_Toc4123"/>
      <w:bookmarkStart w:id="1410" w:name="_Toc1664"/>
      <w:r>
        <w:rPr>
          <w:rFonts w:eastAsia="仿宋_GB2312"/>
          <w:sz w:val="32"/>
        </w:rPr>
        <w:t>第三节</w:t>
      </w:r>
      <w:r>
        <w:rPr>
          <w:rFonts w:hint="eastAsia" w:eastAsia="仿宋_GB2312"/>
          <w:sz w:val="32"/>
        </w:rPr>
        <w:t xml:space="preserve"> </w:t>
      </w:r>
      <w:r>
        <w:rPr>
          <w:rFonts w:eastAsia="仿宋_GB2312"/>
          <w:sz w:val="32"/>
        </w:rPr>
        <w:t xml:space="preserve"> 强化医疗服务管理</w:t>
      </w:r>
      <w:bookmarkEnd w:id="1405"/>
      <w:bookmarkEnd w:id="1406"/>
      <w:bookmarkEnd w:id="1407"/>
      <w:bookmarkEnd w:id="1408"/>
      <w:bookmarkEnd w:id="1409"/>
      <w:bookmarkEnd w:id="1410"/>
    </w:p>
    <w:p>
      <w:pPr>
        <w:spacing w:line="560" w:lineRule="exact"/>
        <w:ind w:firstLine="640" w:firstLineChars="0"/>
        <w:jc w:val="left"/>
        <w:rPr>
          <w:bCs/>
          <w:sz w:val="32"/>
          <w:szCs w:val="32"/>
        </w:rPr>
      </w:pPr>
      <w:r>
        <w:rPr>
          <w:rFonts w:hint="eastAsia"/>
          <w:bCs/>
          <w:sz w:val="32"/>
          <w:szCs w:val="32"/>
        </w:rPr>
        <w:t>以改善群众就医感受为出发点，实施改善医疗服务行动计划。以医院评审工作体系、医疗质量控制体系、医保监督管理体系等为标准，促进医院持续改进服务和管理。推进医疗机构临床路径试点，持续改进临床路径。加强血液质量安全管理，优化血库服务和管理，大力推动自愿无偿献血，加强临床用血管理。推进建立统一的检验标准体系，实现检验结果互认。加强医疗器械使用环节质量安全管理。提升健康教育、慢病管理和残疾康复服务质量，重视精神卫生和心理健康。进一步扩大医保参保率，提高城乡居民基本医保、大病保险、医疗救助服务水平，加强医保基金管理，严厉打击骗保行为。</w:t>
      </w:r>
    </w:p>
    <w:bookmarkEnd w:id="1403"/>
    <w:bookmarkEnd w:id="1404"/>
    <w:tbl>
      <w:tblPr>
        <w:tblStyle w:val="28"/>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9060" w:type="dxa"/>
            <w:vAlign w:val="center"/>
          </w:tcPr>
          <w:p>
            <w:pPr>
              <w:tabs>
                <w:tab w:val="left" w:pos="1755"/>
              </w:tabs>
              <w:snapToGrid w:val="0"/>
              <w:ind w:firstLine="0" w:firstLineChars="0"/>
              <w:jc w:val="center"/>
              <w:rPr>
                <w:rFonts w:eastAsia="黑体"/>
                <w:szCs w:val="28"/>
              </w:rPr>
            </w:pPr>
            <w:r>
              <w:rPr>
                <w:rFonts w:hint="eastAsia" w:eastAsia="黑体"/>
                <w:szCs w:val="28"/>
              </w:rPr>
              <w:t>专栏二十一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0" w:type="dxa"/>
          </w:tcPr>
          <w:p>
            <w:pPr>
              <w:widowControl/>
              <w:spacing w:line="560" w:lineRule="exact"/>
              <w:ind w:firstLine="562"/>
              <w:rPr>
                <w:szCs w:val="28"/>
              </w:rPr>
            </w:pPr>
            <w:r>
              <w:rPr>
                <w:rFonts w:hint="eastAsia"/>
                <w:b/>
                <w:szCs w:val="28"/>
              </w:rPr>
              <w:t>建设区域医疗卫生高地。</w:t>
            </w:r>
            <w:r>
              <w:rPr>
                <w:rFonts w:hint="eastAsia"/>
                <w:bCs/>
                <w:szCs w:val="28"/>
              </w:rPr>
              <w:t>优化医疗资源布局，通过中医院扩建工程门诊住院综合楼工程、重庆市三峡卫生学校扩建工程（一期）、人民医院老院区业务用房改造工程、疾控中心迁建工程业务大楼建设、疾控中心迁建工程实验大楼建设、县疾控中心迁建工程、应急物资仓库与培训中心建设、妇女儿童医院住院大楼建设、妇女儿童医院门诊（急诊）大楼建设、中医院老院区住院部改造工程、中医院扩建工程中医特色专科综合楼建设、中医院扩建工程慢性病管理中心建设、中医院兴隆康养分院建设、奉节中心血站改扩建工程、人民医院滨江院区建设、人民医院传染病分院建设、人民医院精神科建设、人民医院医疗技术（科研创新）综合楼建设、三峡卫生学校附属医院改扩建工程、妇幼保健院门诊楼改建工程、妇幼保健院信息化建设、中医院智慧医院建设、疾病预防控制信息系统升级改造、医共体信息化建设、基层医疗卫生机构服务能力提升工程等项目的实施，打造区域医疗卫生高地。</w:t>
            </w:r>
          </w:p>
        </w:tc>
      </w:tr>
    </w:tbl>
    <w:p>
      <w:pPr>
        <w:pStyle w:val="4"/>
        <w:spacing w:before="156" w:beforeLines="50" w:after="156" w:afterLines="50" w:line="560" w:lineRule="exact"/>
        <w:rPr>
          <w:rFonts w:ascii="Times New Roman" w:hAnsi="Times New Roman" w:cs="Times New Roman"/>
          <w:b w:val="0"/>
          <w:bCs w:val="0"/>
          <w:sz w:val="32"/>
        </w:rPr>
      </w:pPr>
      <w:bookmarkStart w:id="1411" w:name="_Toc30991"/>
      <w:bookmarkStart w:id="1412" w:name="_Toc22692"/>
      <w:bookmarkStart w:id="1413" w:name="_Toc28393"/>
      <w:bookmarkStart w:id="1414" w:name="_Toc14483"/>
      <w:bookmarkStart w:id="1415" w:name="_Toc59993138"/>
      <w:bookmarkStart w:id="1416" w:name="_Toc60584860"/>
      <w:bookmarkStart w:id="1417" w:name="_Toc12400"/>
      <w:bookmarkStart w:id="1418" w:name="_Toc20548"/>
      <w:bookmarkStart w:id="1419" w:name="_Toc13546"/>
      <w:bookmarkStart w:id="1420" w:name="_Toc12321"/>
      <w:bookmarkStart w:id="1421" w:name="_Toc13298"/>
      <w:r>
        <w:rPr>
          <w:rFonts w:hint="eastAsia" w:ascii="Times New Roman" w:hAnsi="Times New Roman" w:cs="Times New Roman"/>
          <w:b w:val="0"/>
          <w:bCs w:val="0"/>
          <w:sz w:val="32"/>
        </w:rPr>
        <w:t xml:space="preserve">第四十四章  </w:t>
      </w:r>
      <w:bookmarkEnd w:id="1411"/>
      <w:r>
        <w:rPr>
          <w:rFonts w:hint="eastAsia" w:ascii="Times New Roman" w:hAnsi="Times New Roman" w:cs="Times New Roman"/>
          <w:b w:val="0"/>
          <w:bCs w:val="0"/>
          <w:sz w:val="32"/>
        </w:rPr>
        <w:t>落实积极应对人口老龄化国家战略</w:t>
      </w:r>
      <w:bookmarkEnd w:id="1412"/>
      <w:bookmarkEnd w:id="1413"/>
      <w:bookmarkEnd w:id="1414"/>
      <w:bookmarkEnd w:id="1415"/>
      <w:bookmarkEnd w:id="1416"/>
      <w:bookmarkEnd w:id="1417"/>
      <w:bookmarkEnd w:id="1418"/>
      <w:bookmarkEnd w:id="1419"/>
      <w:bookmarkEnd w:id="1420"/>
      <w:bookmarkEnd w:id="1421"/>
    </w:p>
    <w:p>
      <w:pPr>
        <w:spacing w:line="560" w:lineRule="exact"/>
        <w:ind w:firstLine="640"/>
        <w:rPr>
          <w:bCs/>
          <w:sz w:val="32"/>
          <w:szCs w:val="32"/>
        </w:rPr>
      </w:pPr>
      <w:r>
        <w:rPr>
          <w:rFonts w:hint="eastAsia"/>
          <w:bCs/>
          <w:sz w:val="32"/>
          <w:szCs w:val="32"/>
        </w:rPr>
        <w:t>加强顶层设计，大力提高人口素质和技能，促进劳动者全面发展。健全和完善退休政策体系，完善养老服务体系，发展养老产业，积极应对人口老龄化，促进人口长期均衡发展。</w:t>
      </w:r>
    </w:p>
    <w:p>
      <w:pPr>
        <w:pStyle w:val="5"/>
        <w:spacing w:line="560" w:lineRule="exact"/>
      </w:pPr>
      <w:bookmarkStart w:id="1422" w:name="_Toc16394"/>
      <w:bookmarkStart w:id="1423" w:name="_Toc60584861"/>
      <w:bookmarkStart w:id="1424" w:name="_Toc18150"/>
      <w:bookmarkStart w:id="1425" w:name="_Toc2952"/>
      <w:bookmarkStart w:id="1426" w:name="_Toc26410"/>
      <w:bookmarkStart w:id="1427" w:name="_Toc3408"/>
      <w:bookmarkStart w:id="1428" w:name="_Toc16941"/>
      <w:bookmarkStart w:id="1429" w:name="_Toc59993139"/>
      <w:r>
        <w:rPr>
          <w:rFonts w:eastAsia="仿宋_GB2312"/>
          <w:sz w:val="32"/>
        </w:rPr>
        <w:t>第一节  促进人口均衡发展</w:t>
      </w:r>
      <w:bookmarkEnd w:id="1422"/>
      <w:bookmarkEnd w:id="1423"/>
      <w:bookmarkEnd w:id="1424"/>
      <w:bookmarkEnd w:id="1425"/>
      <w:bookmarkEnd w:id="1426"/>
      <w:bookmarkEnd w:id="1427"/>
      <w:bookmarkEnd w:id="1428"/>
      <w:bookmarkEnd w:id="1429"/>
    </w:p>
    <w:p>
      <w:pPr>
        <w:spacing w:line="560" w:lineRule="exact"/>
        <w:ind w:firstLine="640"/>
        <w:rPr>
          <w:bCs/>
          <w:sz w:val="32"/>
          <w:szCs w:val="32"/>
        </w:rPr>
      </w:pPr>
      <w:r>
        <w:rPr>
          <w:rFonts w:hint="eastAsia"/>
          <w:bCs/>
          <w:sz w:val="32"/>
          <w:szCs w:val="32"/>
        </w:rPr>
        <w:t>把握新时代人口发展特征，处理好人口规模和结构的关系，努力实现适度的生育水平，促进人口均衡发展。落实好两孩政策，做好相关经济社会政策与全面两孩政策的有效衔接。加快生殖健康、妇幼保健、多形式托幼及三岁以下婴幼儿照护等公共服务发展水平，支持社会力量兴办托儿机构。保障女性职业发展权益，探索建立育儿期的弹性工作制，促进家庭和工作之间的关系平衡。完善农村计划生育家庭奖励扶助和特别扶助制度，加强对失独家庭的关爱和帮助。落实个人所得税专项扣除及计划生育免费服务等各项福利待遇，做好优生优育的全程服务。</w:t>
      </w:r>
    </w:p>
    <w:p>
      <w:pPr>
        <w:spacing w:line="560" w:lineRule="exact"/>
        <w:ind w:firstLine="640"/>
        <w:rPr>
          <w:bCs/>
          <w:sz w:val="32"/>
          <w:szCs w:val="32"/>
        </w:rPr>
      </w:pPr>
      <w:r>
        <w:rPr>
          <w:rFonts w:hint="eastAsia"/>
          <w:bCs/>
          <w:sz w:val="32"/>
          <w:szCs w:val="32"/>
        </w:rPr>
        <w:t>完善人口发展战略，建立健全人口与发展综合决策机制。大力提高劳动者素质和技能，提升全要素生产率，促进劳动者全面发展。综合应对劳动年龄人口下降，加强老年人力资源开发，增强大龄劳动力就业能力。</w:t>
      </w:r>
    </w:p>
    <w:p>
      <w:pPr>
        <w:pStyle w:val="5"/>
        <w:spacing w:before="62" w:beforeLines="20" w:after="62" w:afterLines="20" w:line="560" w:lineRule="exact"/>
        <w:rPr>
          <w:rFonts w:eastAsia="仿宋_GB2312"/>
          <w:sz w:val="32"/>
        </w:rPr>
      </w:pPr>
      <w:bookmarkStart w:id="1430" w:name="_Toc59993140"/>
      <w:bookmarkStart w:id="1431" w:name="_Toc13698"/>
      <w:bookmarkStart w:id="1432" w:name="_Toc60584862"/>
      <w:bookmarkStart w:id="1433" w:name="_Toc30231"/>
      <w:bookmarkStart w:id="1434" w:name="_Toc27978"/>
      <w:bookmarkStart w:id="1435" w:name="_Toc9317"/>
      <w:bookmarkStart w:id="1436" w:name="_Toc3176"/>
      <w:bookmarkStart w:id="1437" w:name="_Toc18386"/>
      <w:r>
        <w:rPr>
          <w:rFonts w:eastAsia="仿宋_GB2312"/>
          <w:sz w:val="32"/>
        </w:rPr>
        <w:t>第二节  健全养老服务体系</w:t>
      </w:r>
      <w:bookmarkEnd w:id="1430"/>
      <w:bookmarkEnd w:id="1431"/>
      <w:bookmarkEnd w:id="1432"/>
      <w:bookmarkEnd w:id="1433"/>
      <w:bookmarkEnd w:id="1434"/>
      <w:bookmarkEnd w:id="1435"/>
      <w:bookmarkEnd w:id="1436"/>
      <w:bookmarkEnd w:id="1437"/>
    </w:p>
    <w:p>
      <w:pPr>
        <w:spacing w:line="560" w:lineRule="exact"/>
        <w:ind w:firstLine="640"/>
        <w:rPr>
          <w:bCs/>
          <w:sz w:val="32"/>
          <w:szCs w:val="32"/>
        </w:rPr>
      </w:pPr>
      <w:r>
        <w:rPr>
          <w:rFonts w:hint="eastAsia"/>
          <w:bCs/>
          <w:sz w:val="32"/>
          <w:szCs w:val="32"/>
        </w:rPr>
        <w:t>健全基本养老服务体系，发展普惠型养老服务和互助性养老，推动养老事业和养老产业协同发展，培育养老新业态。完善社区居家养老服务网络，推进公共设施适老化改造，支持家庭承担养老功能，培育养老新业态。构建居家社区机构相协调、医养康养相结合的养老服务体系。改善各级各类养老服务机构设施，建设康养医院，鼓励现有民营医疗机构做大做强，做精做细。全面放开养老服务市场，建立养老服务综合监管制度，深化公办养老机构改革，支持养老机构规模化、连锁化发展，保障养老服务市场健康发展。探索居家社区智慧养老模式，深入应用互联网、大数据、人工智能等技术整合养老服务资源，打造居家养老信息化平台。健全养老服务综合监管制度。开展综合创新试点，积极应对人口老龄化。</w:t>
      </w:r>
    </w:p>
    <w:p>
      <w:pPr>
        <w:pStyle w:val="5"/>
        <w:spacing w:before="62" w:beforeLines="20" w:after="62" w:afterLines="20" w:line="560" w:lineRule="exact"/>
        <w:rPr>
          <w:rFonts w:eastAsia="仿宋_GB2312"/>
          <w:sz w:val="32"/>
        </w:rPr>
      </w:pPr>
      <w:bookmarkStart w:id="1438" w:name="_Toc60584863"/>
      <w:bookmarkStart w:id="1439" w:name="_Toc16713"/>
      <w:bookmarkStart w:id="1440" w:name="_Toc24930"/>
      <w:bookmarkStart w:id="1441" w:name="_Toc17894"/>
      <w:r>
        <w:rPr>
          <w:rFonts w:eastAsia="仿宋_GB2312"/>
          <w:sz w:val="32"/>
        </w:rPr>
        <w:t>第三节  积极发展养老产业</w:t>
      </w:r>
      <w:bookmarkEnd w:id="1438"/>
      <w:bookmarkEnd w:id="1439"/>
      <w:bookmarkEnd w:id="1440"/>
    </w:p>
    <w:bookmarkEnd w:id="1441"/>
    <w:p>
      <w:pPr>
        <w:spacing w:line="560" w:lineRule="exact"/>
        <w:ind w:firstLine="640"/>
        <w:rPr>
          <w:bCs/>
          <w:sz w:val="32"/>
          <w:szCs w:val="32"/>
        </w:rPr>
      </w:pPr>
      <w:r>
        <w:rPr>
          <w:rFonts w:hint="eastAsia"/>
          <w:bCs/>
          <w:sz w:val="32"/>
          <w:szCs w:val="32"/>
        </w:rPr>
        <w:t>在“集中供养”经验基础上，加大农村养老服务力度，全面推广“1235”农村养老服务模式，以“云龙长兴太”南部山区为主体，深入推动养老事业和养老产业协同发展，依托南北两岸各具特色的自然文化优势，优化康养空间布局，促进“旅养、食养、动养、住养、静养”等康养产业发展。推进健康与养生养老、医疗服务、膳食营养、旅游体育等融合发展，高品质发展康养服务核心产品，重点打造文化养生度假、中药文化养生度假及山地养生度假三类产品。发展中医药特色医疗机构，加强中药材种植产业链条延伸，促进中医药产业振兴发展，推动中医药健康服务与养老服务体系深度融合，加快构建“养联体”。促进全民健康意识和养生观念普及，建设区域康养文化中心。</w:t>
      </w:r>
    </w:p>
    <w:tbl>
      <w:tblPr>
        <w:tblStyle w:val="28"/>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0" w:type="dxa"/>
          </w:tcPr>
          <w:p>
            <w:pPr>
              <w:tabs>
                <w:tab w:val="left" w:pos="1755"/>
              </w:tabs>
              <w:snapToGrid w:val="0"/>
              <w:spacing w:line="560" w:lineRule="exact"/>
              <w:ind w:firstLine="0" w:firstLineChars="0"/>
              <w:jc w:val="center"/>
              <w:rPr>
                <w:rFonts w:eastAsia="黑体"/>
                <w:b/>
                <w:szCs w:val="28"/>
              </w:rPr>
            </w:pPr>
            <w:r>
              <w:rPr>
                <w:rFonts w:hint="eastAsia" w:eastAsia="黑体"/>
                <w:bCs/>
                <w:szCs w:val="28"/>
              </w:rPr>
              <w:t>专栏二十二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0" w:type="dxa"/>
          </w:tcPr>
          <w:p>
            <w:pPr>
              <w:tabs>
                <w:tab w:val="left" w:pos="1755"/>
              </w:tabs>
              <w:snapToGrid w:val="0"/>
              <w:spacing w:line="560" w:lineRule="exact"/>
              <w:ind w:firstLine="562"/>
              <w:rPr>
                <w:szCs w:val="28"/>
              </w:rPr>
            </w:pPr>
            <w:r>
              <w:rPr>
                <w:rFonts w:hint="eastAsia"/>
                <w:b/>
                <w:szCs w:val="28"/>
              </w:rPr>
              <w:t>打造医养结合基地。</w:t>
            </w:r>
            <w:r>
              <w:rPr>
                <w:rFonts w:hint="eastAsia"/>
                <w:bCs/>
                <w:szCs w:val="28"/>
              </w:rPr>
              <w:t>充分利用奉节县自身优越的自然地理环境，依托中医药资源优势，大力推进观光度假、药膳食疗等养生养老服务。启动云雾、龙桥、长安、兴隆、太和生态养生养老“走廊”建设，推广登山健步、森林氧吧等休闲健身活动。引入专业化社会养老机构入驻，打造奉节县医养结合基地。</w:t>
            </w:r>
          </w:p>
        </w:tc>
      </w:tr>
    </w:tbl>
    <w:p>
      <w:pPr>
        <w:pStyle w:val="4"/>
        <w:spacing w:before="156" w:beforeLines="50" w:after="156" w:afterLines="50" w:line="560" w:lineRule="exact"/>
        <w:rPr>
          <w:rFonts w:ascii="Times New Roman" w:hAnsi="Times New Roman" w:cs="Times New Roman"/>
          <w:b w:val="0"/>
          <w:bCs w:val="0"/>
          <w:sz w:val="32"/>
        </w:rPr>
      </w:pPr>
      <w:bookmarkStart w:id="1442" w:name="_Toc8224"/>
      <w:bookmarkStart w:id="1443" w:name="_Toc19328"/>
      <w:bookmarkStart w:id="1444" w:name="_Toc31127"/>
      <w:bookmarkStart w:id="1445" w:name="_Toc14401"/>
      <w:bookmarkStart w:id="1446" w:name="_Toc26274"/>
      <w:bookmarkStart w:id="1447" w:name="_Toc31036"/>
      <w:bookmarkStart w:id="1448" w:name="_Toc60584864"/>
      <w:bookmarkStart w:id="1449" w:name="_Toc13721"/>
      <w:bookmarkStart w:id="1450" w:name="_Toc11669"/>
      <w:bookmarkStart w:id="1451" w:name="_Toc59993142"/>
      <w:r>
        <w:rPr>
          <w:rFonts w:hint="eastAsia" w:ascii="Times New Roman" w:hAnsi="Times New Roman" w:cs="Times New Roman"/>
          <w:b w:val="0"/>
          <w:bCs w:val="0"/>
          <w:sz w:val="32"/>
        </w:rPr>
        <w:t>第四十五章  加强和创新社会治理</w:t>
      </w:r>
      <w:bookmarkEnd w:id="1442"/>
      <w:bookmarkEnd w:id="1443"/>
      <w:bookmarkEnd w:id="1444"/>
      <w:bookmarkEnd w:id="1445"/>
      <w:bookmarkEnd w:id="1446"/>
      <w:bookmarkEnd w:id="1447"/>
      <w:bookmarkEnd w:id="1448"/>
      <w:bookmarkEnd w:id="1449"/>
      <w:bookmarkEnd w:id="1450"/>
      <w:bookmarkEnd w:id="1451"/>
    </w:p>
    <w:p>
      <w:pPr>
        <w:spacing w:line="560" w:lineRule="exact"/>
        <w:ind w:firstLine="640"/>
        <w:rPr>
          <w:bCs/>
          <w:sz w:val="32"/>
          <w:szCs w:val="32"/>
        </w:rPr>
      </w:pPr>
      <w:r>
        <w:rPr>
          <w:rFonts w:hint="eastAsia"/>
          <w:bCs/>
          <w:sz w:val="32"/>
          <w:szCs w:val="32"/>
        </w:rPr>
        <w:t>坚持共建共治共享方向，完善社会治理体系，完善基层民主协商制度，实现政府治理同社会调节、居民自治良性互动，建设人人有责、人人尽责、人人享有的社会治理共同体。</w:t>
      </w:r>
    </w:p>
    <w:p>
      <w:pPr>
        <w:pStyle w:val="5"/>
        <w:spacing w:before="62" w:beforeLines="20" w:after="62" w:afterLines="20" w:line="560" w:lineRule="exact"/>
        <w:rPr>
          <w:rFonts w:eastAsia="仿宋_GB2312"/>
          <w:sz w:val="32"/>
        </w:rPr>
      </w:pPr>
      <w:bookmarkStart w:id="1452" w:name="_Toc8161"/>
      <w:bookmarkStart w:id="1453" w:name="_Toc8523"/>
      <w:bookmarkStart w:id="1454" w:name="_Toc3514"/>
      <w:bookmarkStart w:id="1455" w:name="_Toc59993143"/>
      <w:bookmarkStart w:id="1456" w:name="_Toc60584865"/>
      <w:bookmarkStart w:id="1457" w:name="_Toc15094"/>
      <w:bookmarkStart w:id="1458" w:name="_Toc5690"/>
      <w:r>
        <w:rPr>
          <w:rFonts w:eastAsia="仿宋_GB2312"/>
          <w:sz w:val="32"/>
        </w:rPr>
        <w:t>第一节</w:t>
      </w:r>
      <w:bookmarkStart w:id="1459" w:name="_Toc27995"/>
      <w:r>
        <w:rPr>
          <w:rFonts w:eastAsia="仿宋_GB2312"/>
          <w:sz w:val="32"/>
        </w:rPr>
        <w:t xml:space="preserve">  提升政府治理能力</w:t>
      </w:r>
      <w:bookmarkEnd w:id="1452"/>
      <w:bookmarkEnd w:id="1453"/>
      <w:bookmarkEnd w:id="1454"/>
      <w:bookmarkEnd w:id="1455"/>
      <w:bookmarkEnd w:id="1456"/>
      <w:bookmarkEnd w:id="1457"/>
      <w:bookmarkEnd w:id="1458"/>
      <w:bookmarkEnd w:id="1459"/>
    </w:p>
    <w:p>
      <w:pPr>
        <w:spacing w:line="560" w:lineRule="exact"/>
        <w:ind w:firstLine="640"/>
        <w:rPr>
          <w:bCs/>
          <w:sz w:val="32"/>
          <w:szCs w:val="32"/>
        </w:rPr>
      </w:pPr>
      <w:r>
        <w:rPr>
          <w:rFonts w:hint="eastAsia"/>
          <w:bCs/>
          <w:sz w:val="32"/>
          <w:szCs w:val="32"/>
        </w:rPr>
        <w:t>旗帜鲜明加强政府系统党的建设，创新政府治理理念，强化法治意识和服务意识，全面提升政府治理能力和水平。改进政府治理方式，充分运用信息化和智能化技术提升社会治理水平，推进社会治理精细化和高效化。构建科学、高效的社会治理体制，实现政府治理和社会调节、居民自治良性互动。完善政府工作人员的培训及考核机制，提升政府工作人员服务能力建设。</w:t>
      </w:r>
    </w:p>
    <w:p>
      <w:pPr>
        <w:spacing w:line="560" w:lineRule="exact"/>
        <w:ind w:firstLine="640"/>
      </w:pPr>
      <w:r>
        <w:rPr>
          <w:rFonts w:hint="eastAsia"/>
          <w:bCs/>
          <w:sz w:val="32"/>
          <w:szCs w:val="32"/>
        </w:rPr>
        <w:t>健全政府信息发布制度，依法保障居民知情权、参与权、表达权和监督权，完善公众参与治理的制度化渠道。完善政府社会治理考核问责机制。健全和完善行政复议、仲裁、诉讼等法定诉求表达机制。全面推行阳光信访、责任信访、法治信访，落实及时就地化解责任，完善涉法涉诉信访依法终结制度。围绕党和国家重大决策部署，加强档案管理、利用、保护和监督。</w:t>
      </w:r>
    </w:p>
    <w:p>
      <w:pPr>
        <w:pStyle w:val="5"/>
        <w:spacing w:before="62" w:beforeLines="20" w:after="62" w:afterLines="20" w:line="560" w:lineRule="exact"/>
        <w:rPr>
          <w:rFonts w:eastAsia="仿宋_GB2312"/>
          <w:sz w:val="32"/>
        </w:rPr>
      </w:pPr>
      <w:bookmarkStart w:id="1460" w:name="_Toc4638"/>
      <w:bookmarkStart w:id="1461" w:name="_Toc9606"/>
      <w:bookmarkStart w:id="1462" w:name="_Toc5526"/>
      <w:bookmarkStart w:id="1463" w:name="_Toc26688"/>
      <w:bookmarkStart w:id="1464" w:name="_Toc21300"/>
      <w:bookmarkStart w:id="1465" w:name="_Toc60584866"/>
      <w:bookmarkStart w:id="1466" w:name="_Toc59993144"/>
      <w:bookmarkStart w:id="1467" w:name="_Toc23796"/>
      <w:r>
        <w:rPr>
          <w:rFonts w:eastAsia="仿宋_GB2312"/>
          <w:sz w:val="32"/>
        </w:rPr>
        <w:t>第二节  加强基层治理体系建设</w:t>
      </w:r>
      <w:bookmarkEnd w:id="1460"/>
      <w:bookmarkEnd w:id="1461"/>
      <w:bookmarkEnd w:id="1462"/>
      <w:bookmarkEnd w:id="1463"/>
      <w:bookmarkEnd w:id="1464"/>
      <w:bookmarkEnd w:id="1465"/>
      <w:bookmarkEnd w:id="1466"/>
      <w:bookmarkEnd w:id="1467"/>
    </w:p>
    <w:p>
      <w:pPr>
        <w:spacing w:line="560" w:lineRule="exact"/>
        <w:ind w:firstLine="640"/>
        <w:rPr>
          <w:bCs/>
          <w:sz w:val="32"/>
          <w:szCs w:val="32"/>
        </w:rPr>
      </w:pPr>
      <w:r>
        <w:rPr>
          <w:rFonts w:hint="eastAsia"/>
          <w:bCs/>
          <w:sz w:val="32"/>
          <w:szCs w:val="32"/>
        </w:rPr>
        <w:t>完善城乡社区治理体制，加强基层组织建设，建立社区、社会组织、社会工作者三社联动机制。构建社区自治网格化体系，健全自治、法治、德治相结合的城乡基层治理体系。打造网格化管理、精细化服务、信息化支撑、开放共享的基础管理服务平台，提高基层治理能力和水平。完善城乡社区治理和服务体系，健全城乡社区综合服务管理平台，实现城乡社区综合服务设施全覆盖。积极建设“邻里中心”，打造一批综合性和公益性社区公共服务示范平台。</w:t>
      </w:r>
    </w:p>
    <w:p>
      <w:pPr>
        <w:spacing w:line="560" w:lineRule="exact"/>
        <w:ind w:firstLine="640"/>
        <w:rPr>
          <w:bCs/>
          <w:sz w:val="32"/>
          <w:szCs w:val="32"/>
        </w:rPr>
      </w:pPr>
      <w:r>
        <w:rPr>
          <w:rFonts w:hint="eastAsia"/>
          <w:bCs/>
          <w:sz w:val="32"/>
          <w:szCs w:val="32"/>
        </w:rPr>
        <w:t>加强基层社会治理人才队伍建设，提升社区工作者队伍职业素质。推动社会治理重心向基层下移，向基层放权赋能，加强基层组织、基层工作、基层能力建设，减轻基层特别是村级组织负担。充分发挥农村享受政策性补助对象在社会治理中的作用，充实基层社会治理队伍。深化“枫桥经验”奉节实践，完善信访制度和各类调解联动工作体系。构建源头防控、排查梳理、纠纷化解、应急处置的社会矛盾综合治理机制。健全社会心理服务体系和危机干预机制。</w:t>
      </w:r>
    </w:p>
    <w:p>
      <w:pPr>
        <w:pStyle w:val="5"/>
        <w:spacing w:before="62" w:beforeLines="20" w:after="62" w:afterLines="20" w:line="560" w:lineRule="exact"/>
        <w:rPr>
          <w:rFonts w:eastAsia="仿宋_GB2312"/>
          <w:sz w:val="32"/>
        </w:rPr>
      </w:pPr>
      <w:bookmarkStart w:id="1468" w:name="_Toc60584867"/>
      <w:bookmarkStart w:id="1469" w:name="_Toc3475"/>
      <w:bookmarkStart w:id="1470" w:name="_Toc11730"/>
      <w:bookmarkStart w:id="1471" w:name="_Toc16871"/>
      <w:bookmarkStart w:id="1472" w:name="_Toc14845"/>
      <w:bookmarkStart w:id="1473" w:name="_Toc11188"/>
      <w:bookmarkStart w:id="1474" w:name="_Toc59993145"/>
      <w:r>
        <w:rPr>
          <w:rFonts w:eastAsia="仿宋_GB2312"/>
          <w:sz w:val="32"/>
        </w:rPr>
        <w:t>第三节</w:t>
      </w:r>
      <w:bookmarkStart w:id="1475" w:name="_Toc17055"/>
      <w:r>
        <w:rPr>
          <w:rFonts w:eastAsia="仿宋_GB2312"/>
          <w:sz w:val="32"/>
        </w:rPr>
        <w:t xml:space="preserve">  增强社会自我调节能力</w:t>
      </w:r>
      <w:bookmarkEnd w:id="1468"/>
      <w:bookmarkEnd w:id="1469"/>
      <w:bookmarkEnd w:id="1470"/>
      <w:bookmarkEnd w:id="1471"/>
      <w:bookmarkEnd w:id="1472"/>
      <w:bookmarkEnd w:id="1473"/>
      <w:bookmarkEnd w:id="1474"/>
      <w:bookmarkEnd w:id="1475"/>
    </w:p>
    <w:p>
      <w:pPr>
        <w:spacing w:line="560" w:lineRule="exact"/>
        <w:ind w:firstLine="640"/>
        <w:rPr>
          <w:bCs/>
          <w:sz w:val="32"/>
          <w:szCs w:val="32"/>
        </w:rPr>
      </w:pPr>
      <w:r>
        <w:rPr>
          <w:rFonts w:hint="eastAsia"/>
          <w:bCs/>
          <w:sz w:val="32"/>
          <w:szCs w:val="32"/>
        </w:rPr>
        <w:t>发挥基层团体、社会组织和志愿者在社会治理中的作用，支持公益慈善类、社区服务类社会组织发展。完善社会组织登记管理制度，畅通和规范市场主体、新社会阶层、社会工作者和志愿者等参与社会治理的途径。加大政府购买社会组织服务力度，推动社会组织承接政府转移职能。构建与重庆市相结合的社会组织、志愿者服务信息化服务平台，完善社会服务体系。加强社会组织的综合监督和诚信建设，提升社会服务能力。</w:t>
      </w:r>
    </w:p>
    <w:p>
      <w:pPr>
        <w:spacing w:line="560" w:lineRule="exact"/>
        <w:ind w:firstLine="640"/>
        <w:sectPr>
          <w:pgSz w:w="11906" w:h="16838"/>
          <w:pgMar w:top="1984" w:right="1531" w:bottom="1531" w:left="1531" w:header="907" w:footer="1191" w:gutter="0"/>
          <w:cols w:space="425" w:num="1"/>
          <w:docGrid w:type="lines" w:linePitch="312" w:charSpace="0"/>
        </w:sectPr>
      </w:pPr>
      <w:r>
        <w:rPr>
          <w:rFonts w:hint="eastAsia"/>
          <w:bCs/>
          <w:sz w:val="32"/>
          <w:szCs w:val="32"/>
        </w:rPr>
        <w:t>加强道德规范宣传教育，提升居民社会公德、职业道德、家庭美德、个人品德。提升公民自觉履行法定义务和责任意识，有效维护社会秩序。加强各项社会规范建设，充分发挥社会规范在协调社会关系、约束社会行为等方面的积极作用。</w:t>
      </w:r>
    </w:p>
    <w:bookmarkEnd w:id="1225"/>
    <w:bookmarkEnd w:id="1226"/>
    <w:bookmarkEnd w:id="1227"/>
    <w:p>
      <w:pPr>
        <w:pStyle w:val="3"/>
        <w:spacing w:before="156" w:beforeLines="50" w:after="156" w:afterLines="50" w:line="560" w:lineRule="exact"/>
        <w:rPr>
          <w:rFonts w:ascii="黑体" w:hAnsi="黑体" w:eastAsia="黑体" w:cs="黑体"/>
          <w:b w:val="0"/>
          <w:bCs/>
        </w:rPr>
      </w:pPr>
      <w:bookmarkStart w:id="1476" w:name="_Toc60584868"/>
      <w:bookmarkStart w:id="1477" w:name="_Toc59993146"/>
      <w:bookmarkStart w:id="1478" w:name="_Toc30492"/>
      <w:bookmarkStart w:id="1479" w:name="_Toc30070"/>
      <w:bookmarkStart w:id="1480" w:name="_Toc4771"/>
      <w:bookmarkStart w:id="1481" w:name="_Toc26277"/>
      <w:bookmarkStart w:id="1482" w:name="_Toc14688"/>
      <w:bookmarkStart w:id="1483" w:name="_Toc10360"/>
      <w:bookmarkStart w:id="1484" w:name="_Toc8445"/>
      <w:bookmarkStart w:id="1485" w:name="_Toc26239"/>
      <w:r>
        <w:rPr>
          <w:rFonts w:hint="eastAsia" w:ascii="黑体" w:hAnsi="黑体" w:eastAsia="黑体" w:cs="黑体"/>
          <w:b w:val="0"/>
          <w:bCs/>
        </w:rPr>
        <w:t>第十一篇  统筹发展和安全，守住安全发展底线</w:t>
      </w:r>
      <w:bookmarkEnd w:id="1476"/>
      <w:bookmarkEnd w:id="1477"/>
      <w:bookmarkEnd w:id="1478"/>
      <w:bookmarkEnd w:id="1479"/>
      <w:bookmarkEnd w:id="1480"/>
      <w:bookmarkEnd w:id="1481"/>
      <w:bookmarkEnd w:id="1482"/>
    </w:p>
    <w:p>
      <w:pPr>
        <w:spacing w:line="560" w:lineRule="exact"/>
        <w:ind w:firstLine="640"/>
        <w:rPr>
          <w:bCs/>
          <w:sz w:val="32"/>
          <w:szCs w:val="32"/>
        </w:rPr>
      </w:pPr>
      <w:r>
        <w:rPr>
          <w:rFonts w:hint="eastAsia"/>
          <w:bCs/>
          <w:sz w:val="32"/>
          <w:szCs w:val="32"/>
        </w:rPr>
        <w:t>坚持总体国家安全观，牢固树立安全发展理念、统筹传统安全和非传统安全，把安全发展贯穿发展各领域和全过程，提高重点领域防范抵御风险能力，确保人民安居乐业、社会安定有序。</w:t>
      </w:r>
    </w:p>
    <w:p>
      <w:pPr>
        <w:pStyle w:val="4"/>
        <w:spacing w:before="156" w:beforeLines="50" w:after="156" w:afterLines="50" w:line="560" w:lineRule="exact"/>
        <w:rPr>
          <w:rFonts w:ascii="Times New Roman" w:hAnsi="Times New Roman" w:cs="Times New Roman"/>
          <w:b w:val="0"/>
          <w:bCs w:val="0"/>
          <w:sz w:val="32"/>
        </w:rPr>
      </w:pPr>
      <w:bookmarkStart w:id="1486" w:name="_Toc4546"/>
      <w:bookmarkStart w:id="1487" w:name="_Toc22502"/>
      <w:bookmarkStart w:id="1488" w:name="_Toc6613"/>
      <w:bookmarkStart w:id="1489" w:name="_Toc6670"/>
      <w:bookmarkStart w:id="1490" w:name="_Toc2254"/>
      <w:bookmarkStart w:id="1491" w:name="_Toc17766"/>
      <w:bookmarkStart w:id="1492" w:name="_Toc19613"/>
      <w:bookmarkStart w:id="1493" w:name="_Toc60584869"/>
      <w:bookmarkStart w:id="1494" w:name="_Toc59993147"/>
      <w:bookmarkStart w:id="1495" w:name="_Toc22562"/>
      <w:r>
        <w:rPr>
          <w:rFonts w:hint="eastAsia" w:ascii="Times New Roman" w:hAnsi="Times New Roman" w:cs="Times New Roman"/>
          <w:b w:val="0"/>
          <w:bCs w:val="0"/>
          <w:sz w:val="32"/>
        </w:rPr>
        <w:t>第四十六章  加强国家安全体系和能力建设</w:t>
      </w:r>
      <w:bookmarkEnd w:id="1486"/>
      <w:bookmarkEnd w:id="1487"/>
      <w:bookmarkEnd w:id="1488"/>
      <w:bookmarkEnd w:id="1489"/>
      <w:bookmarkEnd w:id="1490"/>
      <w:bookmarkEnd w:id="1491"/>
      <w:bookmarkEnd w:id="1492"/>
      <w:bookmarkEnd w:id="1493"/>
      <w:bookmarkEnd w:id="1494"/>
      <w:bookmarkEnd w:id="1495"/>
    </w:p>
    <w:p>
      <w:pPr>
        <w:spacing w:line="560" w:lineRule="exact"/>
        <w:ind w:firstLine="640"/>
        <w:rPr>
          <w:bCs/>
          <w:sz w:val="32"/>
          <w:szCs w:val="32"/>
        </w:rPr>
      </w:pPr>
      <w:r>
        <w:rPr>
          <w:rFonts w:hint="eastAsia"/>
          <w:bCs/>
          <w:sz w:val="32"/>
          <w:szCs w:val="32"/>
        </w:rPr>
        <w:t>完善集中统一、高效权威的全县安全工作领导体制。健全全县重点领域安全工作协调机制，完善跨部门会商、风险监测评估和预警、危机管控等专项工作机制。</w:t>
      </w:r>
    </w:p>
    <w:p>
      <w:pPr>
        <w:pStyle w:val="5"/>
        <w:spacing w:before="62" w:beforeLines="20" w:after="62" w:afterLines="20" w:line="560" w:lineRule="exact"/>
        <w:rPr>
          <w:rFonts w:eastAsia="仿宋_GB2312"/>
          <w:sz w:val="32"/>
        </w:rPr>
      </w:pPr>
      <w:bookmarkStart w:id="1496" w:name="_Toc15673"/>
      <w:bookmarkStart w:id="1497" w:name="_Toc60584870"/>
      <w:bookmarkStart w:id="1498" w:name="_Toc30001"/>
      <w:bookmarkStart w:id="1499" w:name="_Toc2245"/>
      <w:bookmarkStart w:id="1500" w:name="_Toc18657"/>
      <w:bookmarkStart w:id="1501" w:name="_Toc26345"/>
      <w:bookmarkStart w:id="1502" w:name="_Toc30167"/>
      <w:bookmarkStart w:id="1503" w:name="_Toc59993148"/>
      <w:r>
        <w:rPr>
          <w:rFonts w:eastAsia="仿宋_GB2312"/>
          <w:sz w:val="32"/>
        </w:rPr>
        <w:t>第一节  牢固树立总体国家安全观</w:t>
      </w:r>
      <w:bookmarkEnd w:id="1496"/>
      <w:bookmarkEnd w:id="1497"/>
      <w:bookmarkEnd w:id="1498"/>
      <w:bookmarkEnd w:id="1499"/>
      <w:bookmarkEnd w:id="1500"/>
      <w:bookmarkEnd w:id="1501"/>
      <w:bookmarkEnd w:id="1502"/>
      <w:bookmarkEnd w:id="1503"/>
    </w:p>
    <w:p>
      <w:pPr>
        <w:spacing w:line="560" w:lineRule="exact"/>
        <w:ind w:firstLine="640"/>
        <w:rPr>
          <w:bCs/>
          <w:sz w:val="32"/>
          <w:szCs w:val="32"/>
        </w:rPr>
      </w:pPr>
      <w:r>
        <w:rPr>
          <w:rFonts w:hint="eastAsia"/>
          <w:bCs/>
          <w:sz w:val="32"/>
          <w:szCs w:val="32"/>
        </w:rPr>
        <w:t>切实运用底线思维、系统思维、法治思维，不断强化斗争意识，明确斗争重点，做好斗争准备，扎实做好重点领域全县安全工作。要持之以恒抓好专项行动，进一步提升防范化解重大风险工作的能力和水平；持续完善风险防控四项机制，提高驾驭风险、应对突发状况和紧急情况的处置能力；注重长期规划，把国家安全置于奉节发展全局中来把握。</w:t>
      </w:r>
    </w:p>
    <w:p>
      <w:pPr>
        <w:pStyle w:val="5"/>
        <w:spacing w:before="62" w:beforeLines="20" w:after="62" w:afterLines="20" w:line="560" w:lineRule="exact"/>
        <w:rPr>
          <w:rFonts w:eastAsia="仿宋_GB2312"/>
          <w:sz w:val="32"/>
        </w:rPr>
      </w:pPr>
      <w:bookmarkStart w:id="1504" w:name="_Toc5771"/>
      <w:bookmarkStart w:id="1505" w:name="_Toc59993149"/>
      <w:bookmarkStart w:id="1506" w:name="_Toc10411"/>
      <w:bookmarkStart w:id="1507" w:name="_Toc20853"/>
      <w:bookmarkStart w:id="1508" w:name="_Toc12783"/>
      <w:bookmarkStart w:id="1509" w:name="_Toc22618"/>
      <w:bookmarkStart w:id="1510" w:name="_Toc60584871"/>
      <w:bookmarkStart w:id="1511" w:name="_Toc6874"/>
      <w:r>
        <w:rPr>
          <w:rFonts w:eastAsia="仿宋_GB2312"/>
          <w:sz w:val="32"/>
        </w:rPr>
        <w:t>第二节  强化使命担当</w:t>
      </w:r>
      <w:bookmarkEnd w:id="1504"/>
      <w:bookmarkEnd w:id="1505"/>
      <w:bookmarkEnd w:id="1506"/>
      <w:bookmarkEnd w:id="1507"/>
      <w:bookmarkEnd w:id="1508"/>
      <w:bookmarkEnd w:id="1509"/>
      <w:bookmarkEnd w:id="1510"/>
      <w:bookmarkEnd w:id="1511"/>
    </w:p>
    <w:p>
      <w:pPr>
        <w:spacing w:line="560" w:lineRule="exact"/>
        <w:ind w:firstLine="640"/>
        <w:rPr>
          <w:bCs/>
          <w:sz w:val="32"/>
          <w:szCs w:val="32"/>
        </w:rPr>
      </w:pPr>
      <w:r>
        <w:rPr>
          <w:rFonts w:hint="eastAsia"/>
          <w:bCs/>
          <w:sz w:val="32"/>
          <w:szCs w:val="32"/>
        </w:rPr>
        <w:t>深入开展国家安全宣传教育，增强全民国家安全意识，巩固国家安全人民防线。站稳人民立场，创新思路举措，增强忧患意识，全力以赴防风险、保安全、护稳定、促发展。增强守土意识，提高斗争本领，切实做到守土有责、守土负责、守土尽责，确保国家安全工作不留死角、不出纰漏。县政府党组成员要在政府系统内带头严格落实国家安全责任制，把总体国家安全观贯彻落实到政府工作各领域各方面各环节，推动国家安全各项决策部署在奉节落地见效。</w:t>
      </w:r>
    </w:p>
    <w:p>
      <w:pPr>
        <w:pStyle w:val="4"/>
        <w:spacing w:before="156" w:beforeLines="50" w:after="156" w:afterLines="50" w:line="560" w:lineRule="exact"/>
        <w:rPr>
          <w:rFonts w:ascii="Times New Roman" w:hAnsi="Times New Roman" w:cs="Times New Roman"/>
          <w:b w:val="0"/>
          <w:bCs w:val="0"/>
          <w:sz w:val="32"/>
        </w:rPr>
      </w:pPr>
      <w:bookmarkStart w:id="1512" w:name="_Toc15443"/>
      <w:bookmarkStart w:id="1513" w:name="_Toc19039"/>
      <w:bookmarkStart w:id="1514" w:name="_Toc60584872"/>
      <w:bookmarkStart w:id="1515" w:name="_Toc8488"/>
      <w:bookmarkStart w:id="1516" w:name="_Toc28460"/>
      <w:bookmarkStart w:id="1517" w:name="_Toc15873"/>
      <w:bookmarkStart w:id="1518" w:name="_Toc15407"/>
      <w:bookmarkStart w:id="1519" w:name="_Toc8359"/>
      <w:bookmarkStart w:id="1520" w:name="_Toc27102"/>
      <w:bookmarkStart w:id="1521" w:name="_Toc59993150"/>
      <w:r>
        <w:rPr>
          <w:rFonts w:hint="eastAsia" w:ascii="Times New Roman" w:hAnsi="Times New Roman" w:cs="Times New Roman"/>
          <w:b w:val="0"/>
          <w:bCs w:val="0"/>
          <w:sz w:val="32"/>
        </w:rPr>
        <w:t>第四十七章  坚决维护政治安全</w:t>
      </w:r>
      <w:bookmarkEnd w:id="1512"/>
      <w:bookmarkEnd w:id="1513"/>
      <w:bookmarkEnd w:id="1514"/>
      <w:bookmarkEnd w:id="1515"/>
      <w:bookmarkEnd w:id="1516"/>
      <w:bookmarkEnd w:id="1517"/>
      <w:bookmarkEnd w:id="1518"/>
      <w:bookmarkEnd w:id="1519"/>
      <w:bookmarkEnd w:id="1520"/>
      <w:bookmarkEnd w:id="1521"/>
    </w:p>
    <w:p>
      <w:pPr>
        <w:spacing w:line="560" w:lineRule="exact"/>
        <w:ind w:firstLine="640"/>
        <w:rPr>
          <w:bCs/>
          <w:sz w:val="32"/>
          <w:szCs w:val="32"/>
        </w:rPr>
      </w:pPr>
      <w:r>
        <w:rPr>
          <w:rFonts w:hint="eastAsia"/>
          <w:bCs/>
          <w:sz w:val="32"/>
          <w:szCs w:val="32"/>
        </w:rPr>
        <w:t>坚决维护以政权安全、制度安全为核心的政治安全，深入抓好政治安全风险隐患排查化解，严密防范和严厉打击敌对势力渗透、破坏、颠覆、分裂活动。扎实开展反邪教斗争，依法处置宗教非法活动。</w:t>
      </w:r>
    </w:p>
    <w:p>
      <w:pPr>
        <w:pStyle w:val="5"/>
        <w:spacing w:before="62" w:beforeLines="20" w:after="62" w:afterLines="20" w:line="560" w:lineRule="exact"/>
        <w:rPr>
          <w:rFonts w:eastAsia="仿宋_GB2312"/>
          <w:sz w:val="32"/>
        </w:rPr>
      </w:pPr>
      <w:bookmarkStart w:id="1522" w:name="_Toc31016"/>
      <w:bookmarkStart w:id="1523" w:name="_Toc59993151"/>
      <w:bookmarkStart w:id="1524" w:name="_Toc19429"/>
      <w:bookmarkStart w:id="1525" w:name="_Toc17839"/>
      <w:bookmarkStart w:id="1526" w:name="_Toc26185"/>
      <w:bookmarkStart w:id="1527" w:name="_Toc19593"/>
      <w:bookmarkStart w:id="1528" w:name="_Toc60584873"/>
      <w:bookmarkStart w:id="1529" w:name="_Toc25290"/>
      <w:r>
        <w:rPr>
          <w:rFonts w:eastAsia="仿宋_GB2312"/>
          <w:sz w:val="32"/>
        </w:rPr>
        <w:t>第一节  扎实做好意识形态工作</w:t>
      </w:r>
      <w:bookmarkEnd w:id="1522"/>
      <w:bookmarkEnd w:id="1523"/>
      <w:bookmarkEnd w:id="1524"/>
      <w:bookmarkEnd w:id="1525"/>
      <w:bookmarkEnd w:id="1526"/>
      <w:bookmarkEnd w:id="1527"/>
      <w:bookmarkEnd w:id="1528"/>
      <w:bookmarkEnd w:id="1529"/>
    </w:p>
    <w:p>
      <w:pPr>
        <w:spacing w:line="560" w:lineRule="exact"/>
        <w:ind w:firstLine="640"/>
        <w:rPr>
          <w:bCs/>
          <w:sz w:val="32"/>
          <w:szCs w:val="32"/>
        </w:rPr>
      </w:pPr>
      <w:r>
        <w:rPr>
          <w:rFonts w:hint="eastAsia"/>
          <w:bCs/>
          <w:sz w:val="32"/>
          <w:szCs w:val="32"/>
        </w:rPr>
        <w:t>牢牢把握全县意识形态工作的领导权、管理权和话语权。抓好阵地建设，将互联网作为宣传思想工作的主阵地，依法加强网络社会管理，加强网络新技术新应用管理，确保互联网可管可控，营造清朗网络空间。认真落实意识形态工作责任制，将其纳入巡察工作安排，加强对意识形态阵地管理，坚决防止给错误思想观点传播提供渠道。抓好正面宣传，坚持正确的舆论导向，不断改进网上宣传方式，弘扬主旋律，激发正能量，把握好网上舆论引导的时、度、效。着眼于团结和争取大多数，有理有力有节开展舆论斗争，严密防范和抑制网上攻击渗透行为，帮助干部群众划清是非界限、澄清模糊认识。抓好教育引导，持续抓好思想舆论阵地中的教育引导工作，建立经常性联系渠道，加强线上互动、线下沟通。坚持把新媒体从业人员等具有代表性的人士纳入统战工作视野，让他们在净化网络空间、弘扬主旋律、维护意识形态安全等方面展现正能量。</w:t>
      </w:r>
    </w:p>
    <w:p>
      <w:pPr>
        <w:pStyle w:val="5"/>
        <w:spacing w:before="62" w:beforeLines="20" w:after="62" w:afterLines="20" w:line="560" w:lineRule="exact"/>
        <w:rPr>
          <w:rFonts w:eastAsia="仿宋_GB2312"/>
          <w:sz w:val="32"/>
        </w:rPr>
      </w:pPr>
      <w:bookmarkStart w:id="1530" w:name="_Toc11754"/>
      <w:bookmarkStart w:id="1531" w:name="_Toc27210"/>
      <w:bookmarkStart w:id="1532" w:name="_Toc16759"/>
      <w:bookmarkStart w:id="1533" w:name="_Toc2125"/>
      <w:bookmarkStart w:id="1534" w:name="_Toc60584874"/>
      <w:bookmarkStart w:id="1535" w:name="_Toc19241"/>
      <w:bookmarkStart w:id="1536" w:name="_Toc59993152"/>
      <w:bookmarkStart w:id="1537" w:name="_Toc16305"/>
      <w:r>
        <w:rPr>
          <w:rFonts w:eastAsia="仿宋_GB2312"/>
          <w:sz w:val="32"/>
        </w:rPr>
        <w:t>第二节  筑牢政治安全底线</w:t>
      </w:r>
      <w:bookmarkEnd w:id="1530"/>
      <w:bookmarkEnd w:id="1531"/>
      <w:bookmarkEnd w:id="1532"/>
      <w:bookmarkEnd w:id="1533"/>
      <w:bookmarkEnd w:id="1534"/>
      <w:bookmarkEnd w:id="1535"/>
      <w:bookmarkEnd w:id="1536"/>
      <w:bookmarkEnd w:id="1537"/>
    </w:p>
    <w:p>
      <w:pPr>
        <w:spacing w:line="560" w:lineRule="exact"/>
        <w:ind w:firstLine="640"/>
        <w:rPr>
          <w:bCs/>
          <w:sz w:val="32"/>
          <w:szCs w:val="32"/>
        </w:rPr>
      </w:pPr>
      <w:r>
        <w:rPr>
          <w:rFonts w:hint="eastAsia"/>
          <w:bCs/>
          <w:sz w:val="32"/>
          <w:szCs w:val="32"/>
        </w:rPr>
        <w:t>政治安全是党和国家安全的生命线，是不可动摇的底线，必须筑牢维护政治安全的铜墙铁壁。突出源头防范，全面统筹各类资源，进一步健全情报信息网络，坚决将问题消灭在萌芽状态、解决在初始阶段。持续开展对各类影响政治安全风险隐患的基础调查、滚动摸排，提高各类风险动态监测、实时预警能力。坚持主动进攻，加强专案攻坚和专项工作，严防发生影响政治安全的重大案事件。加大网络安全监管力度，强化跨领域网络安全信息共享和工作协同，提升网络安全威胁发现、监测预警、应急指挥、供给溯源能力，着力营造良好网络生态。防止风险传导，深入排查经济金融领域存在的风险隐患和各类社会矛盾引发的突出问题，及时有效妥善处置，严防矛盾碰头叠加、交叉感染、蔓延升级，严防经济社会领域风险向政治安全领域传导。充分发挥扫黑除恶专项斗争的龙头性带动作用，严厉打击、严密防范黑恶势力向政治领域渗透活动，彻底铲除危害党的执政根基的各种黑恶势力，坚决捍卫政治安全。</w:t>
      </w:r>
    </w:p>
    <w:p>
      <w:pPr>
        <w:pStyle w:val="4"/>
        <w:spacing w:before="156" w:beforeLines="50" w:after="156" w:afterLines="50" w:line="560" w:lineRule="exact"/>
        <w:rPr>
          <w:rFonts w:ascii="Times New Roman" w:hAnsi="Times New Roman" w:cs="Times New Roman"/>
          <w:b w:val="0"/>
          <w:bCs w:val="0"/>
          <w:sz w:val="32"/>
        </w:rPr>
      </w:pPr>
      <w:bookmarkStart w:id="1538" w:name="_Toc16022"/>
      <w:bookmarkStart w:id="1539" w:name="_Toc340"/>
      <w:bookmarkStart w:id="1540" w:name="_Toc60584875"/>
      <w:bookmarkStart w:id="1541" w:name="_Toc8954"/>
      <w:bookmarkStart w:id="1542" w:name="_Toc11994"/>
      <w:bookmarkStart w:id="1543" w:name="_Toc24690"/>
      <w:bookmarkStart w:id="1544" w:name="_Toc38"/>
      <w:bookmarkStart w:id="1545" w:name="_Toc9469"/>
      <w:bookmarkStart w:id="1546" w:name="_Toc59993153"/>
      <w:bookmarkStart w:id="1547" w:name="_Toc19008"/>
      <w:r>
        <w:rPr>
          <w:rFonts w:hint="eastAsia" w:ascii="Times New Roman" w:hAnsi="Times New Roman" w:cs="Times New Roman"/>
          <w:b w:val="0"/>
          <w:bCs w:val="0"/>
          <w:sz w:val="32"/>
        </w:rPr>
        <w:t>第四十八章  突出抓好经济安全</w:t>
      </w:r>
      <w:bookmarkEnd w:id="1538"/>
      <w:bookmarkEnd w:id="1539"/>
      <w:bookmarkEnd w:id="1540"/>
      <w:bookmarkEnd w:id="1541"/>
      <w:bookmarkEnd w:id="1542"/>
      <w:bookmarkEnd w:id="1543"/>
      <w:bookmarkEnd w:id="1544"/>
      <w:bookmarkEnd w:id="1545"/>
      <w:bookmarkEnd w:id="1546"/>
      <w:bookmarkEnd w:id="1547"/>
    </w:p>
    <w:p>
      <w:pPr>
        <w:spacing w:line="560" w:lineRule="exact"/>
        <w:ind w:firstLine="640"/>
        <w:rPr>
          <w:bCs/>
          <w:sz w:val="32"/>
          <w:szCs w:val="32"/>
        </w:rPr>
      </w:pPr>
      <w:r>
        <w:rPr>
          <w:rFonts w:hint="eastAsia"/>
          <w:bCs/>
          <w:sz w:val="32"/>
          <w:szCs w:val="32"/>
        </w:rPr>
        <w:t>加强经济安全风险预警、防控机制和能力建设，确保重要产业、基础设施、战略资源、重大科技等关键领域安全可控。</w:t>
      </w:r>
    </w:p>
    <w:p>
      <w:pPr>
        <w:pStyle w:val="5"/>
        <w:spacing w:before="62" w:beforeLines="20" w:after="62" w:afterLines="20" w:line="560" w:lineRule="exact"/>
        <w:rPr>
          <w:rFonts w:eastAsia="仿宋_GB2312"/>
          <w:sz w:val="32"/>
        </w:rPr>
      </w:pPr>
      <w:bookmarkStart w:id="1548" w:name="_Toc2463"/>
      <w:bookmarkStart w:id="1549" w:name="_Toc3905"/>
      <w:bookmarkStart w:id="1550" w:name="_Toc59993154"/>
      <w:bookmarkStart w:id="1551" w:name="_Toc60584876"/>
      <w:bookmarkStart w:id="1552" w:name="_Toc25268"/>
      <w:bookmarkStart w:id="1553" w:name="_Toc23134"/>
      <w:bookmarkStart w:id="1554" w:name="_Toc27279"/>
      <w:bookmarkStart w:id="1555" w:name="_Toc904"/>
      <w:r>
        <w:rPr>
          <w:rFonts w:eastAsia="仿宋_GB2312"/>
          <w:sz w:val="32"/>
        </w:rPr>
        <w:t>第一节  构建经济安全生产工作格局</w:t>
      </w:r>
      <w:bookmarkEnd w:id="1548"/>
      <w:bookmarkEnd w:id="1549"/>
      <w:bookmarkEnd w:id="1550"/>
      <w:bookmarkEnd w:id="1551"/>
      <w:bookmarkEnd w:id="1552"/>
      <w:bookmarkEnd w:id="1553"/>
      <w:bookmarkEnd w:id="1554"/>
      <w:bookmarkEnd w:id="1555"/>
    </w:p>
    <w:p>
      <w:pPr>
        <w:spacing w:line="560" w:lineRule="exact"/>
        <w:ind w:firstLine="640"/>
        <w:rPr>
          <w:bCs/>
          <w:sz w:val="32"/>
          <w:szCs w:val="32"/>
        </w:rPr>
      </w:pPr>
      <w:r>
        <w:rPr>
          <w:rFonts w:hint="eastAsia"/>
          <w:bCs/>
          <w:sz w:val="32"/>
          <w:szCs w:val="32"/>
        </w:rPr>
        <w:t>始终把全县安全生产摆在经济社会发展的重要位置，坚持把安全生产与经济工作同部署、同落实、同考核，切实加强安全生产基层基础建设，广泛开展安全生产宣传教育活动，全面提升全民懂安全、重安全、保安全的意识。突出抓好安全隐患排查，构建</w:t>
      </w:r>
      <w:r>
        <w:rPr>
          <w:bCs/>
          <w:sz w:val="32"/>
          <w:szCs w:val="32"/>
        </w:rPr>
        <w:t xml:space="preserve"> </w:t>
      </w:r>
      <w:r>
        <w:rPr>
          <w:rFonts w:hint="eastAsia"/>
          <w:bCs/>
          <w:sz w:val="32"/>
          <w:szCs w:val="32"/>
        </w:rPr>
        <w:t>“政府统一领导、部门依法监管、企业主体负责、群众参与监督、社会广泛支持”的安全生产工作格局。按照国家和重庆市关于推进企业安全标准化建设的要求，制定详细方案，从规模以上企业到小微企业层层推进，落实标准化建设。加大安全投入，建立县级安全生产专家库，加强对工艺复杂、专业性强的企业安全监管。</w:t>
      </w:r>
    </w:p>
    <w:p>
      <w:pPr>
        <w:pStyle w:val="5"/>
        <w:spacing w:before="62" w:beforeLines="20" w:after="62" w:afterLines="20" w:line="560" w:lineRule="exact"/>
        <w:rPr>
          <w:rFonts w:eastAsia="仿宋_GB2312"/>
          <w:sz w:val="32"/>
        </w:rPr>
      </w:pPr>
      <w:bookmarkStart w:id="1556" w:name="_Toc10465"/>
      <w:bookmarkStart w:id="1557" w:name="_Toc27348"/>
      <w:bookmarkStart w:id="1558" w:name="_Toc29131"/>
      <w:bookmarkStart w:id="1559" w:name="_Toc20324"/>
      <w:bookmarkStart w:id="1560" w:name="_Toc16046"/>
      <w:bookmarkStart w:id="1561" w:name="_Toc59993155"/>
      <w:bookmarkStart w:id="1562" w:name="_Toc14619"/>
      <w:bookmarkStart w:id="1563" w:name="_Toc60584877"/>
      <w:r>
        <w:rPr>
          <w:rFonts w:eastAsia="仿宋_GB2312"/>
          <w:sz w:val="32"/>
        </w:rPr>
        <w:t>第二节  建立经济安全工作协调机制</w:t>
      </w:r>
      <w:bookmarkEnd w:id="1556"/>
      <w:bookmarkEnd w:id="1557"/>
      <w:bookmarkEnd w:id="1558"/>
      <w:bookmarkEnd w:id="1559"/>
      <w:bookmarkEnd w:id="1560"/>
      <w:bookmarkEnd w:id="1561"/>
      <w:bookmarkEnd w:id="1562"/>
      <w:bookmarkEnd w:id="1563"/>
    </w:p>
    <w:p>
      <w:pPr>
        <w:spacing w:line="560" w:lineRule="exact"/>
        <w:ind w:firstLine="640"/>
        <w:rPr>
          <w:bCs/>
          <w:sz w:val="32"/>
          <w:szCs w:val="32"/>
        </w:rPr>
      </w:pPr>
      <w:r>
        <w:rPr>
          <w:rFonts w:hint="eastAsia"/>
          <w:bCs/>
          <w:sz w:val="32"/>
          <w:szCs w:val="32"/>
        </w:rPr>
        <w:t>建立健全全县经济安全工作协调机制，定期开展经济安全形势分析研判，对发现的经济安全风险和苗头性问题建立工作台账，加强风险管控，维持全县经济领域总体安全态势。同时，维护金融安全，健全完善金融风险防控体系，防范化解大数据、人工智能等科技发展风险，守住不发生系统性风险底线。坚决维护粮食安全，全面加强全县粮食生产、储备和流通能力建设，增强粮食安全保障能力。维护水利、电力、供水、油气、交通、通信、网络、金融等重要基础设施安全，保障能源安全，提高水资源集约安全利用水平。确保全县经济和社会发展大局稳定。</w:t>
      </w:r>
    </w:p>
    <w:p>
      <w:pPr>
        <w:pStyle w:val="4"/>
        <w:spacing w:before="156" w:beforeLines="50" w:after="156" w:afterLines="50" w:line="560" w:lineRule="exact"/>
        <w:rPr>
          <w:rFonts w:ascii="Times New Roman" w:hAnsi="Times New Roman" w:cs="Times New Roman"/>
          <w:b w:val="0"/>
          <w:bCs w:val="0"/>
          <w:sz w:val="32"/>
        </w:rPr>
      </w:pPr>
      <w:bookmarkStart w:id="1564" w:name="_Toc59993156"/>
      <w:bookmarkStart w:id="1565" w:name="_Toc17511"/>
      <w:bookmarkStart w:id="1566" w:name="_Toc16950"/>
      <w:bookmarkStart w:id="1567" w:name="_Toc28587"/>
      <w:bookmarkStart w:id="1568" w:name="_Toc60584878"/>
      <w:bookmarkStart w:id="1569" w:name="_Toc11869"/>
      <w:bookmarkStart w:id="1570" w:name="_Toc413"/>
      <w:bookmarkStart w:id="1571" w:name="_Toc28643"/>
      <w:bookmarkStart w:id="1572" w:name="_Toc26254"/>
      <w:bookmarkStart w:id="1573" w:name="_Toc389"/>
      <w:r>
        <w:rPr>
          <w:rFonts w:hint="eastAsia" w:ascii="Times New Roman" w:hAnsi="Times New Roman" w:cs="Times New Roman"/>
          <w:b w:val="0"/>
          <w:bCs w:val="0"/>
          <w:sz w:val="32"/>
        </w:rPr>
        <w:t>第四十九章  切实保障公共安全</w:t>
      </w:r>
      <w:bookmarkEnd w:id="1564"/>
      <w:bookmarkEnd w:id="1565"/>
      <w:bookmarkEnd w:id="1566"/>
      <w:bookmarkEnd w:id="1567"/>
      <w:bookmarkEnd w:id="1568"/>
      <w:bookmarkEnd w:id="1569"/>
      <w:bookmarkEnd w:id="1570"/>
      <w:bookmarkEnd w:id="1571"/>
      <w:bookmarkEnd w:id="1572"/>
      <w:bookmarkEnd w:id="1573"/>
    </w:p>
    <w:p>
      <w:pPr>
        <w:spacing w:line="560" w:lineRule="exact"/>
        <w:ind w:firstLine="640"/>
        <w:rPr>
          <w:bCs/>
          <w:sz w:val="32"/>
          <w:szCs w:val="32"/>
        </w:rPr>
      </w:pPr>
      <w:r>
        <w:rPr>
          <w:rFonts w:hint="eastAsia"/>
          <w:bCs/>
          <w:sz w:val="32"/>
          <w:szCs w:val="32"/>
        </w:rPr>
        <w:t>坚持人民至上、生命至上，把保护人民生命安全摆在首位，全面提高公共安全保障能力。</w:t>
      </w:r>
    </w:p>
    <w:p>
      <w:pPr>
        <w:pStyle w:val="5"/>
        <w:spacing w:before="62" w:beforeLines="20" w:after="62" w:afterLines="20" w:line="560" w:lineRule="exact"/>
        <w:rPr>
          <w:rFonts w:eastAsia="仿宋_GB2312"/>
          <w:sz w:val="32"/>
        </w:rPr>
      </w:pPr>
      <w:bookmarkStart w:id="1574" w:name="_Toc59993157"/>
      <w:bookmarkStart w:id="1575" w:name="_Toc13915"/>
      <w:bookmarkStart w:id="1576" w:name="_Toc17491"/>
      <w:bookmarkStart w:id="1577" w:name="_Toc26743"/>
      <w:bookmarkStart w:id="1578" w:name="_Toc13538"/>
      <w:bookmarkStart w:id="1579" w:name="_Toc60584879"/>
      <w:bookmarkStart w:id="1580" w:name="_Toc3965"/>
      <w:bookmarkStart w:id="1581" w:name="_Toc16667"/>
      <w:r>
        <w:rPr>
          <w:rFonts w:eastAsia="仿宋_GB2312"/>
          <w:sz w:val="32"/>
        </w:rPr>
        <w:t>第一节  提高社会治安防控能力</w:t>
      </w:r>
      <w:bookmarkEnd w:id="1574"/>
      <w:bookmarkEnd w:id="1575"/>
      <w:bookmarkEnd w:id="1576"/>
      <w:bookmarkEnd w:id="1577"/>
      <w:bookmarkEnd w:id="1578"/>
      <w:bookmarkEnd w:id="1579"/>
      <w:bookmarkEnd w:id="1580"/>
      <w:bookmarkEnd w:id="1581"/>
    </w:p>
    <w:p>
      <w:pPr>
        <w:spacing w:line="560" w:lineRule="exact"/>
        <w:ind w:firstLine="640"/>
        <w:rPr>
          <w:bCs/>
          <w:sz w:val="32"/>
          <w:szCs w:val="32"/>
        </w:rPr>
      </w:pPr>
      <w:r>
        <w:rPr>
          <w:rFonts w:hint="eastAsia"/>
          <w:bCs/>
          <w:sz w:val="32"/>
          <w:szCs w:val="32"/>
        </w:rPr>
        <w:t>严守城市安全底线，完善立体化、法治化、专业化、智能化的社会治安防控体系，推进问题联治、工作联动、平安联创，积极创建“枫桥式公安派出所”。坚持专群结合、群防群治，深化全县平安创建活动，加强建设以圈层查控、单元防控、要素管控为四梁八柱，防控基础工程完备，体系运行机制健全，治安防控触角广泛、反应灵敏、互联互通，点线面结合、网上网下结合、人防物防技防结合、打</w:t>
      </w:r>
      <w:r>
        <w:rPr>
          <w:rFonts w:hint="eastAsia"/>
          <w:bCs/>
          <w:sz w:val="32"/>
          <w:szCs w:val="32"/>
          <w:lang w:eastAsia="zh-CN"/>
        </w:rPr>
        <w:t>放管服</w:t>
      </w:r>
      <w:r>
        <w:rPr>
          <w:rFonts w:hint="eastAsia"/>
          <w:bCs/>
          <w:sz w:val="32"/>
          <w:szCs w:val="32"/>
        </w:rPr>
        <w:t>的立体化、信息化的社会治安防控体系，推动扫黑除恶常治</w:t>
      </w:r>
      <w:r>
        <w:rPr>
          <w:rFonts w:hint="eastAsia"/>
          <w:bCs/>
          <w:sz w:val="32"/>
          <w:szCs w:val="32"/>
          <w:lang w:eastAsia="zh-CN"/>
        </w:rPr>
        <w:t>长效</w:t>
      </w:r>
      <w:r>
        <w:rPr>
          <w:rFonts w:hint="eastAsia"/>
          <w:bCs/>
          <w:sz w:val="32"/>
          <w:szCs w:val="32"/>
        </w:rPr>
        <w:t>。加强网络安全态势感知监测预警，健全完善网络舆情监控、引导、处置机制，构建网络安全综合防控体系。强化社会公共安全保障，突出重点领域和薄弱环节安全管理，完善防灾、减灾、救灾设施，提高突发事件应急处置能力。</w:t>
      </w:r>
    </w:p>
    <w:tbl>
      <w:tblPr>
        <w:tblStyle w:val="28"/>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0" w:type="dxa"/>
          </w:tcPr>
          <w:p>
            <w:pPr>
              <w:tabs>
                <w:tab w:val="left" w:pos="1755"/>
              </w:tabs>
              <w:snapToGrid w:val="0"/>
              <w:spacing w:line="560" w:lineRule="exact"/>
              <w:ind w:firstLine="0" w:firstLineChars="0"/>
              <w:jc w:val="center"/>
              <w:rPr>
                <w:rFonts w:eastAsia="黑体"/>
                <w:b/>
                <w:szCs w:val="28"/>
              </w:rPr>
            </w:pPr>
            <w:r>
              <w:rPr>
                <w:rFonts w:hint="eastAsia" w:eastAsia="黑体"/>
                <w:bCs/>
                <w:szCs w:val="28"/>
              </w:rPr>
              <w:t>专栏二十三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0" w:type="dxa"/>
          </w:tcPr>
          <w:p>
            <w:pPr>
              <w:spacing w:line="560" w:lineRule="exact"/>
              <w:ind w:firstLine="562"/>
              <w:rPr>
                <w:bCs/>
                <w:szCs w:val="28"/>
              </w:rPr>
            </w:pPr>
            <w:r>
              <w:rPr>
                <w:b/>
                <w:bCs/>
                <w:szCs w:val="28"/>
              </w:rPr>
              <w:t>1.</w:t>
            </w:r>
            <w:r>
              <w:rPr>
                <w:rFonts w:hint="eastAsia"/>
                <w:b/>
                <w:bCs/>
                <w:szCs w:val="28"/>
              </w:rPr>
              <w:t>城乡网格化服务管理信息化建设。</w:t>
            </w:r>
            <w:r>
              <w:rPr>
                <w:rFonts w:hint="eastAsia"/>
                <w:bCs/>
                <w:szCs w:val="28"/>
              </w:rPr>
              <w:t>完善信息化平台建设，配置县、乡镇、村三级平台</w:t>
            </w:r>
            <w:r>
              <w:rPr>
                <w:bCs/>
                <w:szCs w:val="28"/>
              </w:rPr>
              <w:t>424套，移动前端5000套，应用软件1套</w:t>
            </w:r>
            <w:r>
              <w:rPr>
                <w:rFonts w:hint="eastAsia"/>
                <w:bCs/>
                <w:szCs w:val="28"/>
              </w:rPr>
              <w:t>。</w:t>
            </w:r>
          </w:p>
          <w:p>
            <w:pPr>
              <w:spacing w:line="560" w:lineRule="exact"/>
              <w:ind w:firstLine="562"/>
              <w:rPr>
                <w:bCs/>
                <w:szCs w:val="28"/>
              </w:rPr>
            </w:pPr>
            <w:r>
              <w:rPr>
                <w:b/>
                <w:bCs/>
                <w:szCs w:val="28"/>
              </w:rPr>
              <w:t>2.</w:t>
            </w:r>
            <w:r>
              <w:rPr>
                <w:rFonts w:hint="eastAsia"/>
                <w:b/>
                <w:bCs/>
                <w:szCs w:val="28"/>
              </w:rPr>
              <w:t>奉节县公安局营房建设项目。</w:t>
            </w:r>
            <w:r>
              <w:rPr>
                <w:rFonts w:hint="eastAsia"/>
                <w:bCs/>
                <w:szCs w:val="28"/>
              </w:rPr>
              <w:t>主要内容包括奉节县公安局基层派出所朱衣镇、青龙镇、康乐镇、兴隆镇、吐祥镇、平安乡的营房建设；</w:t>
            </w:r>
            <w:r>
              <w:rPr>
                <w:bCs/>
                <w:szCs w:val="28"/>
              </w:rPr>
              <w:t>7个公巡中队营房建设，共计16200平方米</w:t>
            </w:r>
            <w:r>
              <w:rPr>
                <w:rFonts w:hint="eastAsia"/>
                <w:bCs/>
                <w:szCs w:val="28"/>
              </w:rPr>
              <w:t>；以及综合训练场、看守所及拘戒所营房建设。</w:t>
            </w:r>
          </w:p>
          <w:p>
            <w:pPr>
              <w:spacing w:line="560" w:lineRule="exact"/>
              <w:ind w:firstLine="562"/>
              <w:rPr>
                <w:bCs/>
                <w:szCs w:val="28"/>
              </w:rPr>
            </w:pPr>
            <w:r>
              <w:rPr>
                <w:b/>
                <w:bCs/>
                <w:szCs w:val="28"/>
              </w:rPr>
              <w:t>3.</w:t>
            </w:r>
            <w:r>
              <w:rPr>
                <w:rFonts w:hint="eastAsia"/>
                <w:b/>
                <w:bCs/>
                <w:szCs w:val="28"/>
              </w:rPr>
              <w:t>社会治安防控体系建设。</w:t>
            </w:r>
            <w:r>
              <w:rPr>
                <w:rFonts w:hint="eastAsia"/>
                <w:bCs/>
                <w:szCs w:val="28"/>
              </w:rPr>
              <w:t>建立社区安防、智能采集等系统，完善应用、安全、运维系统等</w:t>
            </w:r>
            <w:r>
              <w:rPr>
                <w:bCs/>
                <w:szCs w:val="28"/>
              </w:rPr>
              <w:t>立体化、信息化社会治安防控体系</w:t>
            </w:r>
            <w:r>
              <w:rPr>
                <w:rFonts w:hint="eastAsia"/>
                <w:bCs/>
                <w:szCs w:val="28"/>
              </w:rPr>
              <w:t>。</w:t>
            </w:r>
          </w:p>
          <w:p>
            <w:pPr>
              <w:spacing w:line="560" w:lineRule="exact"/>
              <w:ind w:firstLine="562"/>
              <w:rPr>
                <w:bCs/>
                <w:szCs w:val="28"/>
              </w:rPr>
            </w:pPr>
            <w:r>
              <w:rPr>
                <w:b/>
                <w:bCs/>
                <w:szCs w:val="28"/>
              </w:rPr>
              <w:t>4.</w:t>
            </w:r>
            <w:r>
              <w:rPr>
                <w:rFonts w:hint="eastAsia"/>
                <w:b/>
                <w:bCs/>
                <w:szCs w:val="28"/>
              </w:rPr>
              <w:t>奉节县公安局监管场所“智慧监所”建设项目。</w:t>
            </w:r>
            <w:r>
              <w:rPr>
                <w:rFonts w:hint="eastAsia"/>
                <w:bCs/>
                <w:szCs w:val="28"/>
              </w:rPr>
              <w:t>主要建设内容包括</w:t>
            </w:r>
            <w:r>
              <w:rPr>
                <w:bCs/>
                <w:szCs w:val="28"/>
              </w:rPr>
              <w:t>防无人机系统</w:t>
            </w:r>
            <w:r>
              <w:rPr>
                <w:rFonts w:hint="eastAsia"/>
                <w:bCs/>
                <w:szCs w:val="28"/>
              </w:rPr>
              <w:t>、</w:t>
            </w:r>
            <w:r>
              <w:rPr>
                <w:bCs/>
                <w:szCs w:val="28"/>
              </w:rPr>
              <w:t>监所实战平台</w:t>
            </w:r>
            <w:r>
              <w:rPr>
                <w:rFonts w:hint="eastAsia"/>
                <w:bCs/>
                <w:szCs w:val="28"/>
              </w:rPr>
              <w:t>、</w:t>
            </w:r>
            <w:r>
              <w:rPr>
                <w:bCs/>
                <w:szCs w:val="28"/>
              </w:rPr>
              <w:t>移动警务应用（终端）</w:t>
            </w:r>
            <w:r>
              <w:rPr>
                <w:rFonts w:hint="eastAsia"/>
                <w:bCs/>
                <w:szCs w:val="28"/>
              </w:rPr>
              <w:t>、</w:t>
            </w:r>
            <w:r>
              <w:rPr>
                <w:bCs/>
                <w:szCs w:val="28"/>
              </w:rPr>
              <w:t>监室信息交互终端（含后台支撑）</w:t>
            </w:r>
            <w:r>
              <w:rPr>
                <w:rFonts w:hint="eastAsia"/>
                <w:bCs/>
                <w:szCs w:val="28"/>
              </w:rPr>
              <w:t>、</w:t>
            </w:r>
            <w:r>
              <w:rPr>
                <w:bCs/>
                <w:szCs w:val="28"/>
              </w:rPr>
              <w:t>“互联网+”对外服务</w:t>
            </w:r>
            <w:r>
              <w:rPr>
                <w:rFonts w:hint="eastAsia"/>
                <w:bCs/>
                <w:szCs w:val="28"/>
              </w:rPr>
              <w:t>、</w:t>
            </w:r>
            <w:r>
              <w:rPr>
                <w:bCs/>
                <w:szCs w:val="28"/>
              </w:rPr>
              <w:t>智能电教系统</w:t>
            </w:r>
            <w:r>
              <w:rPr>
                <w:rFonts w:hint="eastAsia"/>
                <w:bCs/>
                <w:szCs w:val="28"/>
              </w:rPr>
              <w:t>、</w:t>
            </w:r>
            <w:r>
              <w:rPr>
                <w:bCs/>
                <w:szCs w:val="28"/>
              </w:rPr>
              <w:t>移动警务应用</w:t>
            </w:r>
            <w:r>
              <w:rPr>
                <w:rFonts w:hint="eastAsia"/>
                <w:bCs/>
                <w:szCs w:val="28"/>
              </w:rPr>
              <w:t>（</w:t>
            </w:r>
            <w:r>
              <w:rPr>
                <w:bCs/>
                <w:szCs w:val="28"/>
              </w:rPr>
              <w:t>终端</w:t>
            </w:r>
            <w:r>
              <w:rPr>
                <w:rFonts w:hint="eastAsia"/>
                <w:bCs/>
                <w:szCs w:val="28"/>
              </w:rPr>
              <w:t>）、</w:t>
            </w:r>
            <w:r>
              <w:rPr>
                <w:bCs/>
                <w:szCs w:val="28"/>
              </w:rPr>
              <w:t>虹膜识别终端</w:t>
            </w:r>
            <w:r>
              <w:rPr>
                <w:rFonts w:hint="eastAsia"/>
                <w:bCs/>
                <w:szCs w:val="28"/>
              </w:rPr>
              <w:t>等内容。</w:t>
            </w:r>
          </w:p>
          <w:p>
            <w:pPr>
              <w:spacing w:line="560" w:lineRule="exact"/>
              <w:ind w:firstLine="562"/>
              <w:rPr>
                <w:bCs/>
                <w:szCs w:val="28"/>
              </w:rPr>
            </w:pPr>
            <w:r>
              <w:rPr>
                <w:b/>
                <w:bCs/>
                <w:szCs w:val="28"/>
              </w:rPr>
              <w:t>5.</w:t>
            </w:r>
            <w:r>
              <w:rPr>
                <w:rFonts w:hint="eastAsia"/>
                <w:b/>
                <w:bCs/>
                <w:szCs w:val="28"/>
              </w:rPr>
              <w:t>智慧交通建设项目。</w:t>
            </w:r>
            <w:r>
              <w:rPr>
                <w:rFonts w:hint="eastAsia"/>
                <w:bCs/>
                <w:szCs w:val="28"/>
              </w:rPr>
              <w:t>在奉节县城区（含西部新区及白帝城风景区）配套交通信号灯</w:t>
            </w:r>
            <w:r>
              <w:rPr>
                <w:bCs/>
                <w:szCs w:val="28"/>
              </w:rPr>
              <w:t>、智能交通测速卡口、违停抓拍监控镜头</w:t>
            </w:r>
            <w:r>
              <w:rPr>
                <w:rFonts w:hint="eastAsia"/>
                <w:bCs/>
                <w:szCs w:val="28"/>
              </w:rPr>
              <w:t>、</w:t>
            </w:r>
            <w:r>
              <w:rPr>
                <w:bCs/>
                <w:szCs w:val="28"/>
              </w:rPr>
              <w:t>LED显示屏</w:t>
            </w:r>
            <w:r>
              <w:rPr>
                <w:rFonts w:hint="eastAsia"/>
                <w:bCs/>
                <w:szCs w:val="28"/>
              </w:rPr>
              <w:t>等工程。创建一批具有奉节县道路特色的国省道交通安全文明示范路。</w:t>
            </w:r>
          </w:p>
          <w:p>
            <w:pPr>
              <w:spacing w:line="560" w:lineRule="exact"/>
              <w:ind w:firstLine="562"/>
              <w:rPr>
                <w:bCs/>
                <w:szCs w:val="28"/>
              </w:rPr>
            </w:pPr>
            <w:r>
              <w:rPr>
                <w:b/>
                <w:bCs/>
                <w:szCs w:val="28"/>
              </w:rPr>
              <w:t>6.</w:t>
            </w:r>
            <w:r>
              <w:rPr>
                <w:rFonts w:hint="eastAsia"/>
                <w:b/>
                <w:bCs/>
                <w:szCs w:val="28"/>
              </w:rPr>
              <w:t>互联网舆情监测建设。</w:t>
            </w:r>
            <w:r>
              <w:rPr>
                <w:rFonts w:hint="eastAsia"/>
                <w:bCs/>
                <w:szCs w:val="28"/>
              </w:rPr>
              <w:t>加快关键基础信息（等级保护）动态感知系统建设，进行电子实验室达标升级和</w:t>
            </w:r>
            <w:r>
              <w:rPr>
                <w:bCs/>
                <w:szCs w:val="28"/>
              </w:rPr>
              <w:t>5G通讯安全管控设备</w:t>
            </w:r>
            <w:r>
              <w:rPr>
                <w:rFonts w:hint="eastAsia"/>
                <w:bCs/>
                <w:szCs w:val="28"/>
              </w:rPr>
              <w:t>配置。</w:t>
            </w:r>
          </w:p>
          <w:p>
            <w:pPr>
              <w:spacing w:line="560" w:lineRule="exact"/>
              <w:ind w:firstLine="562"/>
              <w:rPr>
                <w:b/>
                <w:bCs/>
                <w:szCs w:val="28"/>
              </w:rPr>
            </w:pPr>
            <w:r>
              <w:rPr>
                <w:b/>
                <w:bCs/>
                <w:szCs w:val="28"/>
              </w:rPr>
              <w:t>7.</w:t>
            </w:r>
            <w:r>
              <w:rPr>
                <w:rFonts w:hint="eastAsia"/>
                <w:b/>
                <w:bCs/>
                <w:szCs w:val="28"/>
              </w:rPr>
              <w:t>奉节县公安局大数据智能化</w:t>
            </w:r>
            <w:r>
              <w:rPr>
                <w:b/>
                <w:bCs/>
                <w:szCs w:val="28"/>
              </w:rPr>
              <w:t>10+X”智慧警务建设</w:t>
            </w:r>
            <w:r>
              <w:rPr>
                <w:rFonts w:hint="eastAsia"/>
                <w:b/>
                <w:bCs/>
                <w:szCs w:val="28"/>
              </w:rPr>
              <w:t>。</w:t>
            </w:r>
          </w:p>
          <w:p>
            <w:pPr>
              <w:pStyle w:val="2"/>
              <w:spacing w:line="560" w:lineRule="exact"/>
              <w:ind w:firstLine="560"/>
            </w:pPr>
            <w:r>
              <w:rPr>
                <w:bCs w:val="0"/>
              </w:rPr>
              <w:t xml:space="preserve"> </w:t>
            </w:r>
          </w:p>
        </w:tc>
      </w:tr>
    </w:tbl>
    <w:p>
      <w:pPr>
        <w:pStyle w:val="5"/>
        <w:spacing w:before="62" w:beforeLines="20" w:after="62" w:afterLines="20" w:line="560" w:lineRule="exact"/>
        <w:rPr>
          <w:rFonts w:eastAsia="仿宋_GB2312"/>
          <w:sz w:val="32"/>
        </w:rPr>
      </w:pPr>
      <w:bookmarkStart w:id="1582" w:name="_Toc18915"/>
      <w:bookmarkStart w:id="1583" w:name="_Toc30981"/>
      <w:bookmarkStart w:id="1584" w:name="_Toc30410"/>
      <w:bookmarkStart w:id="1585" w:name="_Toc60584880"/>
      <w:bookmarkStart w:id="1586" w:name="_Toc59993158"/>
      <w:bookmarkStart w:id="1587" w:name="_Toc17875"/>
      <w:bookmarkStart w:id="1588" w:name="_Toc1053"/>
      <w:bookmarkStart w:id="1589" w:name="_Toc23790"/>
      <w:r>
        <w:rPr>
          <w:rFonts w:eastAsia="仿宋_GB2312"/>
          <w:sz w:val="32"/>
        </w:rPr>
        <w:t>第二节  全面加强应急管理</w:t>
      </w:r>
      <w:bookmarkEnd w:id="1582"/>
      <w:bookmarkEnd w:id="1583"/>
      <w:bookmarkEnd w:id="1584"/>
      <w:bookmarkEnd w:id="1585"/>
      <w:bookmarkEnd w:id="1586"/>
      <w:bookmarkEnd w:id="1587"/>
      <w:bookmarkEnd w:id="1588"/>
      <w:bookmarkEnd w:id="1589"/>
    </w:p>
    <w:p>
      <w:pPr>
        <w:spacing w:line="560" w:lineRule="exact"/>
        <w:ind w:firstLine="640"/>
        <w:rPr>
          <w:bCs/>
          <w:sz w:val="32"/>
          <w:szCs w:val="32"/>
        </w:rPr>
      </w:pPr>
      <w:r>
        <w:rPr>
          <w:rFonts w:hint="eastAsia"/>
          <w:bCs/>
          <w:sz w:val="32"/>
          <w:szCs w:val="32"/>
        </w:rPr>
        <w:t>切实加强全县企业生产安全、道路交通安全、消防安全，完善安全责任落实和管理制度，实行党政同责、一岗双责、失职追责，落实相关部门监督管理职责、企业主体责任。加大监管执法力度，及时排查整改安全隐患，完善和落实安全生产责任制，加强矿山、危险化学品、特种设备、建筑施工、交通、校园、医院、高层建筑和旅游景区等领域安全监管，有效防范和坚决遏制较大及以上安全事故发生。提高食品药品安全保障水平，加强疫苗监管，坚守生命安全红线和健康底线。加强安全生产管理和监管，完善生产安全隐患排查治理体系和安全预防控制体系。加大执法监察的频度、强度和覆盖面，开展应急、环保、消防和行业主管部门联合检查以及第三方协同管理，加快形成应急管理长效机制。深化“互联网＋监管”，对新产业新业态实行包容审慎监管。更好发挥行业协会、商会和中介组织作用。</w:t>
      </w:r>
    </w:p>
    <w:p>
      <w:pPr>
        <w:pStyle w:val="5"/>
        <w:spacing w:before="62" w:beforeLines="20" w:after="62" w:afterLines="20" w:line="560" w:lineRule="exact"/>
        <w:rPr>
          <w:rFonts w:eastAsia="仿宋_GB2312"/>
          <w:sz w:val="32"/>
        </w:rPr>
      </w:pPr>
      <w:bookmarkStart w:id="1590" w:name="_Toc16220"/>
      <w:bookmarkStart w:id="1591" w:name="_Toc4316"/>
      <w:bookmarkStart w:id="1592" w:name="_Toc74"/>
      <w:bookmarkStart w:id="1593" w:name="_Toc25874"/>
      <w:bookmarkStart w:id="1594" w:name="_Toc8427"/>
      <w:bookmarkStart w:id="1595" w:name="_Toc60584881"/>
      <w:bookmarkStart w:id="1596" w:name="_Toc59993159"/>
      <w:bookmarkStart w:id="1597" w:name="_Toc11024"/>
      <w:r>
        <w:rPr>
          <w:rFonts w:eastAsia="仿宋_GB2312"/>
          <w:sz w:val="32"/>
        </w:rPr>
        <w:t>第三节  完善人民防空应急体系</w:t>
      </w:r>
      <w:bookmarkEnd w:id="1590"/>
      <w:bookmarkEnd w:id="1591"/>
      <w:bookmarkEnd w:id="1592"/>
      <w:bookmarkEnd w:id="1593"/>
      <w:bookmarkEnd w:id="1594"/>
      <w:bookmarkEnd w:id="1595"/>
    </w:p>
    <w:p>
      <w:pPr>
        <w:spacing w:line="560" w:lineRule="exact"/>
        <w:ind w:firstLine="640"/>
      </w:pPr>
      <w:r>
        <w:rPr>
          <w:rFonts w:hint="eastAsia"/>
          <w:bCs/>
          <w:sz w:val="32"/>
          <w:szCs w:val="32"/>
        </w:rPr>
        <w:t>坚持人民防空为人民，铸就坚不可摧的护民之盾。有效履行战时防空、平时服务、应急支援职能使命，加强人防工程建设，确保奉节县城市防空警报全覆盖，充分利用公园、广场、绿地等空间作为战时人口疏散和防空避难场所，加强人防疏散基地建设，努力提高战略效益、社会效益和经济效益。</w:t>
      </w:r>
    </w:p>
    <w:p>
      <w:pPr>
        <w:pStyle w:val="5"/>
        <w:spacing w:before="62" w:beforeLines="20" w:after="62" w:afterLines="20" w:line="560" w:lineRule="exact"/>
        <w:rPr>
          <w:rFonts w:eastAsia="仿宋_GB2312"/>
          <w:sz w:val="32"/>
        </w:rPr>
      </w:pPr>
      <w:bookmarkStart w:id="1598" w:name="_Toc4896"/>
      <w:bookmarkStart w:id="1599" w:name="_Toc14263"/>
      <w:bookmarkStart w:id="1600" w:name="_Toc60584882"/>
      <w:bookmarkStart w:id="1601" w:name="_Toc6702"/>
      <w:bookmarkStart w:id="1602" w:name="_Toc17080"/>
      <w:bookmarkStart w:id="1603" w:name="_Toc606"/>
      <w:r>
        <w:rPr>
          <w:rFonts w:eastAsia="仿宋_GB2312"/>
          <w:sz w:val="32"/>
        </w:rPr>
        <w:t>第四节  提升风险防范应对能力</w:t>
      </w:r>
      <w:bookmarkEnd w:id="1596"/>
      <w:bookmarkEnd w:id="1597"/>
      <w:bookmarkEnd w:id="1598"/>
      <w:bookmarkEnd w:id="1599"/>
      <w:bookmarkEnd w:id="1600"/>
      <w:bookmarkEnd w:id="1601"/>
      <w:bookmarkEnd w:id="1602"/>
      <w:bookmarkEnd w:id="1603"/>
    </w:p>
    <w:p>
      <w:pPr>
        <w:spacing w:line="560" w:lineRule="exact"/>
        <w:ind w:firstLine="640"/>
        <w:rPr>
          <w:bCs/>
          <w:sz w:val="32"/>
          <w:szCs w:val="32"/>
        </w:rPr>
      </w:pPr>
      <w:r>
        <w:rPr>
          <w:rFonts w:hint="eastAsia"/>
          <w:bCs/>
          <w:sz w:val="32"/>
          <w:szCs w:val="32"/>
        </w:rPr>
        <w:t>提高应对风险的责任感和自觉性，重点围绕全县公共卫生、重大自然灾害、生产安全、生物安全、群体性事件等诸多风险领域，切实提升各级、各部门风险识别、预测、预警能力。加强自然灾害防范应对，强化城市运行安全保障。完善应急管理体系，健全应急联动机制，加强应急物资储备。防范和打击暴力恐怖、黑恶势力、新型网络犯罪和毒品犯罪，营造安全稳定的社会环境。建立健全重大决策社会风险评估机制，推进风险防控工作科学化、精细化，形成各领域各部门防范化解重大风险的任务清单。</w:t>
      </w:r>
    </w:p>
    <w:p>
      <w:pPr>
        <w:pStyle w:val="5"/>
        <w:spacing w:before="62" w:beforeLines="20" w:after="62" w:afterLines="20" w:line="560" w:lineRule="exact"/>
        <w:rPr>
          <w:rFonts w:eastAsia="仿宋_GB2312"/>
          <w:sz w:val="32"/>
        </w:rPr>
      </w:pPr>
      <w:bookmarkStart w:id="1604" w:name="_Toc32605"/>
      <w:bookmarkStart w:id="1605" w:name="_Toc1449"/>
      <w:bookmarkStart w:id="1606" w:name="_Toc60584883"/>
      <w:bookmarkStart w:id="1607" w:name="_Toc60134613"/>
      <w:bookmarkStart w:id="1608" w:name="_Toc21196"/>
      <w:bookmarkStart w:id="1609" w:name="_Toc30110"/>
      <w:bookmarkStart w:id="1610" w:name="_Toc31429"/>
      <w:bookmarkStart w:id="1611" w:name="_Toc12880"/>
      <w:bookmarkStart w:id="1612" w:name="_Toc1076"/>
      <w:bookmarkStart w:id="1613" w:name="_Toc28198"/>
      <w:bookmarkStart w:id="1614" w:name="_Toc59993160"/>
      <w:r>
        <w:rPr>
          <w:rFonts w:eastAsia="仿宋_GB2312"/>
          <w:sz w:val="32"/>
        </w:rPr>
        <w:t>第五节  深化法治政府建设</w:t>
      </w:r>
      <w:bookmarkEnd w:id="1604"/>
      <w:bookmarkEnd w:id="1605"/>
      <w:bookmarkEnd w:id="1606"/>
      <w:bookmarkEnd w:id="1607"/>
    </w:p>
    <w:p>
      <w:pPr>
        <w:spacing w:line="560" w:lineRule="exact"/>
        <w:ind w:firstLine="640"/>
        <w:rPr>
          <w:bCs/>
          <w:sz w:val="32"/>
          <w:szCs w:val="32"/>
        </w:rPr>
      </w:pPr>
      <w:r>
        <w:rPr>
          <w:rFonts w:hint="eastAsia"/>
          <w:bCs/>
          <w:sz w:val="32"/>
          <w:szCs w:val="32"/>
        </w:rPr>
        <w:t>建设职责明确、依法行政的政府治理体系。充分运用法治思维和法治方式深化改革，健全依法决策机制，深化行政执法体制改革，严格落实党政主要负责人履行推进法治建设第一责任人职责。持续深化“放管服”改革，全面推行行政执法公示、执法全过程记录、重大执法决定法制审核“三项制度”。以学习宣传、贯彻实施民法典为契机，大力推进法治政府建设，确保民法典在奉节有效实施、落地生根。构建守责尽责、失责追责的法治政府建设与责任落实工作机制，不断把法治政府建设向纵深推进，全力争创全国法治政府建设示范县。</w:t>
      </w:r>
    </w:p>
    <w:tbl>
      <w:tblPr>
        <w:tblStyle w:val="28"/>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0" w:type="dxa"/>
          </w:tcPr>
          <w:p>
            <w:pPr>
              <w:tabs>
                <w:tab w:val="left" w:pos="1755"/>
              </w:tabs>
              <w:snapToGrid w:val="0"/>
              <w:spacing w:line="560" w:lineRule="exact"/>
              <w:ind w:firstLine="0" w:firstLineChars="0"/>
              <w:jc w:val="center"/>
              <w:rPr>
                <w:rFonts w:eastAsia="黑体"/>
                <w:b/>
                <w:szCs w:val="28"/>
              </w:rPr>
            </w:pPr>
            <w:r>
              <w:rPr>
                <w:rFonts w:hint="eastAsia" w:eastAsia="黑体"/>
                <w:bCs/>
                <w:szCs w:val="28"/>
              </w:rPr>
              <w:t>专栏二十四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0" w:type="dxa"/>
          </w:tcPr>
          <w:p>
            <w:pPr>
              <w:tabs>
                <w:tab w:val="left" w:pos="1755"/>
              </w:tabs>
              <w:snapToGrid w:val="0"/>
              <w:spacing w:line="560" w:lineRule="exact"/>
              <w:ind w:firstLine="562"/>
              <w:rPr>
                <w:bCs/>
                <w:szCs w:val="28"/>
              </w:rPr>
            </w:pPr>
            <w:r>
              <w:rPr>
                <w:rFonts w:hint="eastAsia"/>
                <w:b/>
                <w:szCs w:val="28"/>
              </w:rPr>
              <w:t>1</w:t>
            </w:r>
            <w:r>
              <w:rPr>
                <w:b/>
                <w:szCs w:val="28"/>
              </w:rPr>
              <w:t>.</w:t>
            </w:r>
            <w:r>
              <w:rPr>
                <w:rFonts w:hint="eastAsia"/>
                <w:b/>
                <w:szCs w:val="28"/>
              </w:rPr>
              <w:t>建设“数字法治、智慧司法”体系。</w:t>
            </w:r>
            <w:r>
              <w:rPr>
                <w:rFonts w:hint="eastAsia"/>
                <w:bCs/>
                <w:szCs w:val="28"/>
              </w:rPr>
              <w:t>加快推进各类业务信息系统建设、完善和应用，通过“一朵云”“两平台”“三入口”的建设，初步建成“数字法治、智慧司法”体系，基本形成大平台共享、大系统共治、大数据慧治的信息化格局。</w:t>
            </w:r>
          </w:p>
          <w:p>
            <w:pPr>
              <w:pStyle w:val="2"/>
              <w:spacing w:line="560" w:lineRule="exact"/>
              <w:ind w:firstLine="562"/>
              <w:jc w:val="both"/>
            </w:pPr>
            <w:r>
              <w:rPr>
                <w:rFonts w:hint="eastAsia" w:eastAsia="仿宋_GB2312"/>
                <w:b/>
                <w:bCs w:val="0"/>
              </w:rPr>
              <w:t>2</w:t>
            </w:r>
            <w:r>
              <w:rPr>
                <w:rFonts w:eastAsia="仿宋_GB2312"/>
                <w:b/>
                <w:bCs w:val="0"/>
              </w:rPr>
              <w:t>.</w:t>
            </w:r>
            <w:r>
              <w:rPr>
                <w:rFonts w:hint="eastAsia" w:eastAsia="仿宋_GB2312"/>
                <w:b/>
                <w:bCs w:val="0"/>
              </w:rPr>
              <w:t>基础司法所新建和改建工程。</w:t>
            </w:r>
            <w:r>
              <w:rPr>
                <w:rFonts w:hint="eastAsia" w:eastAsia="仿宋_GB2312"/>
              </w:rPr>
              <w:t>新建鱼复、夔门、夔州司法所面积共计</w:t>
            </w:r>
            <w:r>
              <w:rPr>
                <w:rFonts w:eastAsia="仿宋_GB2312"/>
              </w:rPr>
              <w:t>1500</w:t>
            </w:r>
            <w:r>
              <w:rPr>
                <w:rFonts w:hint="eastAsia" w:eastAsia="仿宋_GB2312"/>
              </w:rPr>
              <w:t>平方米；改造升级公平、青莲、岩湾、冯坪、平安、太和、康坪司法所。实现“一乡一所”规范化建设。</w:t>
            </w:r>
          </w:p>
          <w:p>
            <w:pPr>
              <w:spacing w:line="560" w:lineRule="exact"/>
              <w:ind w:firstLine="562"/>
              <w:rPr>
                <w:bCs/>
                <w:szCs w:val="28"/>
              </w:rPr>
            </w:pPr>
            <w:r>
              <w:rPr>
                <w:rFonts w:hint="eastAsia"/>
                <w:b/>
                <w:szCs w:val="28"/>
              </w:rPr>
              <w:t>3</w:t>
            </w:r>
            <w:r>
              <w:rPr>
                <w:b/>
                <w:szCs w:val="28"/>
              </w:rPr>
              <w:t>.</w:t>
            </w:r>
            <w:r>
              <w:rPr>
                <w:rFonts w:hint="eastAsia"/>
                <w:b/>
                <w:szCs w:val="28"/>
              </w:rPr>
              <w:t>西部新区滨河公园法治文化主题公园。</w:t>
            </w:r>
            <w:r>
              <w:rPr>
                <w:rFonts w:hint="eastAsia"/>
                <w:bCs/>
                <w:szCs w:val="28"/>
              </w:rPr>
              <w:t>滨河公园建成区</w:t>
            </w:r>
            <w:r>
              <w:rPr>
                <w:bCs/>
                <w:szCs w:val="28"/>
              </w:rPr>
              <w:t>2</w:t>
            </w:r>
            <w:r>
              <w:rPr>
                <w:rFonts w:hint="eastAsia"/>
                <w:bCs/>
                <w:szCs w:val="28"/>
              </w:rPr>
              <w:t>公顷范围内增加：标识、导识牌，警示牌；法治文化长廊</w:t>
            </w:r>
            <w:r>
              <w:rPr>
                <w:bCs/>
                <w:szCs w:val="28"/>
              </w:rPr>
              <w:t>,</w:t>
            </w:r>
            <w:r>
              <w:rPr>
                <w:rFonts w:hint="eastAsia"/>
                <w:bCs/>
                <w:szCs w:val="28"/>
              </w:rPr>
              <w:t>橱窗；法治文化石刻雕塑；法治宣传大型电子融屏；警句石雕，人物石碑等内容。</w:t>
            </w:r>
          </w:p>
          <w:p>
            <w:pPr>
              <w:pStyle w:val="2"/>
              <w:spacing w:line="560" w:lineRule="exact"/>
              <w:ind w:firstLine="562"/>
              <w:jc w:val="both"/>
              <w:rPr>
                <w:bCs w:val="0"/>
              </w:rPr>
            </w:pPr>
            <w:r>
              <w:rPr>
                <w:rFonts w:hint="eastAsia" w:eastAsia="仿宋_GB2312"/>
                <w:b/>
                <w:bCs w:val="0"/>
              </w:rPr>
              <w:t>4</w:t>
            </w:r>
            <w:r>
              <w:rPr>
                <w:rFonts w:eastAsia="仿宋_GB2312"/>
                <w:b/>
                <w:bCs w:val="0"/>
              </w:rPr>
              <w:t>.</w:t>
            </w:r>
            <w:r>
              <w:rPr>
                <w:rFonts w:hint="eastAsia" w:eastAsia="仿宋_GB2312"/>
                <w:b/>
                <w:bCs w:val="0"/>
              </w:rPr>
              <w:t>青少年法治教育基地建设。</w:t>
            </w:r>
            <w:r>
              <w:rPr>
                <w:rFonts w:hint="eastAsia" w:eastAsia="仿宋_GB2312"/>
              </w:rPr>
              <w:t>新建奉节县西部新区青少年活动中心，主要包括青少年法律知识长廊、司法场景模拟区、法治宣传教育音像系统、青少年普法智能互动系统等内容。</w:t>
            </w:r>
          </w:p>
          <w:p>
            <w:pPr>
              <w:spacing w:line="560" w:lineRule="exact"/>
              <w:ind w:firstLine="562"/>
              <w:rPr>
                <w:bCs/>
                <w:szCs w:val="28"/>
              </w:rPr>
            </w:pPr>
            <w:r>
              <w:rPr>
                <w:rFonts w:hint="eastAsia"/>
                <w:b/>
                <w:szCs w:val="28"/>
              </w:rPr>
              <w:t>5</w:t>
            </w:r>
            <w:r>
              <w:rPr>
                <w:b/>
                <w:szCs w:val="28"/>
              </w:rPr>
              <w:t>.</w:t>
            </w:r>
            <w:r>
              <w:rPr>
                <w:rFonts w:hint="eastAsia"/>
                <w:b/>
                <w:szCs w:val="28"/>
              </w:rPr>
              <w:t>政法业务融合信息化工程。</w:t>
            </w:r>
            <w:r>
              <w:rPr>
                <w:rFonts w:hint="eastAsia"/>
                <w:bCs/>
                <w:szCs w:val="28"/>
              </w:rPr>
              <w:t>加快建设智慧警务平台、智慧检务平台、智慧法院平台、智慧司法平台及政法业务融合平台。</w:t>
            </w:r>
          </w:p>
          <w:p>
            <w:pPr>
              <w:pStyle w:val="2"/>
              <w:snapToGrid w:val="0"/>
              <w:spacing w:line="560" w:lineRule="exact"/>
              <w:ind w:firstLine="562"/>
              <w:jc w:val="both"/>
            </w:pPr>
            <w:r>
              <w:rPr>
                <w:rFonts w:hint="eastAsia" w:eastAsia="仿宋_GB2312"/>
                <w:b/>
                <w:bCs w:val="0"/>
              </w:rPr>
              <w:t>6</w:t>
            </w:r>
            <w:r>
              <w:rPr>
                <w:rFonts w:eastAsia="仿宋_GB2312"/>
                <w:b/>
                <w:bCs w:val="0"/>
              </w:rPr>
              <w:t>.</w:t>
            </w:r>
            <w:r>
              <w:rPr>
                <w:rFonts w:hint="eastAsia" w:eastAsia="仿宋_GB2312"/>
                <w:b/>
                <w:bCs w:val="0"/>
              </w:rPr>
              <w:t>诉讼档案管理中心建设项目。</w:t>
            </w:r>
            <w:r>
              <w:rPr>
                <w:rFonts w:hint="eastAsia" w:eastAsia="仿宋_GB2312"/>
              </w:rPr>
              <w:t>完成奉节县第三人民法庭、诉讼档案管理中心建设项目。新建奉节县人民检察院派驻兴隆镇检察室，配套办公内网、办案工作网、外网、安防系统、远程接访提讯开庭系统、智慧检务系统等建设内容。</w:t>
            </w:r>
          </w:p>
        </w:tc>
      </w:tr>
    </w:tbl>
    <w:p>
      <w:pPr>
        <w:pStyle w:val="4"/>
        <w:spacing w:before="156" w:beforeLines="50" w:after="156" w:afterLines="50" w:line="560" w:lineRule="exact"/>
        <w:rPr>
          <w:rFonts w:ascii="Times New Roman" w:hAnsi="Times New Roman" w:cs="Times New Roman"/>
          <w:b w:val="0"/>
          <w:bCs w:val="0"/>
          <w:sz w:val="32"/>
        </w:rPr>
      </w:pPr>
      <w:bookmarkStart w:id="1615" w:name="_Toc60584884"/>
      <w:bookmarkStart w:id="1616" w:name="_Toc7024"/>
      <w:bookmarkStart w:id="1617" w:name="_Toc11169"/>
      <w:r>
        <w:rPr>
          <w:rFonts w:hint="eastAsia" w:ascii="Times New Roman" w:hAnsi="Times New Roman" w:cs="Times New Roman"/>
          <w:b w:val="0"/>
          <w:bCs w:val="0"/>
          <w:sz w:val="32"/>
        </w:rPr>
        <w:t>第五十章  深化国防动员体系和后备力量建设</w:t>
      </w:r>
      <w:bookmarkEnd w:id="1608"/>
      <w:bookmarkEnd w:id="1609"/>
      <w:bookmarkEnd w:id="1610"/>
      <w:bookmarkEnd w:id="1611"/>
      <w:bookmarkEnd w:id="1612"/>
      <w:bookmarkEnd w:id="1613"/>
      <w:bookmarkEnd w:id="1614"/>
      <w:bookmarkEnd w:id="1615"/>
      <w:bookmarkEnd w:id="1616"/>
      <w:bookmarkEnd w:id="1617"/>
    </w:p>
    <w:p>
      <w:pPr>
        <w:spacing w:line="560" w:lineRule="exact"/>
        <w:ind w:firstLine="640"/>
        <w:rPr>
          <w:bCs/>
          <w:sz w:val="32"/>
          <w:szCs w:val="32"/>
        </w:rPr>
      </w:pPr>
      <w:r>
        <w:rPr>
          <w:rFonts w:hint="eastAsia"/>
          <w:bCs/>
          <w:sz w:val="32"/>
          <w:szCs w:val="32"/>
        </w:rPr>
        <w:t>落实国防动员体制改革指示，健全政策法规体系、领导管理体系、组织指挥体系和工作运行机制，巩固强化党管武装、党管国防动员和国防动员职能定位。</w:t>
      </w:r>
    </w:p>
    <w:p>
      <w:pPr>
        <w:pStyle w:val="5"/>
        <w:spacing w:before="62" w:beforeLines="20" w:after="62" w:afterLines="20" w:line="560" w:lineRule="exact"/>
        <w:rPr>
          <w:rFonts w:eastAsia="仿宋_GB2312"/>
          <w:sz w:val="32"/>
        </w:rPr>
      </w:pPr>
      <w:bookmarkStart w:id="1618" w:name="_Toc59993161"/>
      <w:bookmarkStart w:id="1619" w:name="_Toc8811"/>
      <w:bookmarkStart w:id="1620" w:name="_Toc60584885"/>
      <w:bookmarkStart w:id="1621" w:name="_Toc21453"/>
      <w:bookmarkStart w:id="1622" w:name="_Toc1252"/>
      <w:bookmarkStart w:id="1623" w:name="_Toc19481"/>
      <w:bookmarkStart w:id="1624" w:name="_Toc16754"/>
      <w:bookmarkStart w:id="1625" w:name="_Toc11812"/>
      <w:r>
        <w:rPr>
          <w:rFonts w:eastAsia="仿宋_GB2312"/>
          <w:sz w:val="32"/>
        </w:rPr>
        <w:t>第一节  做好国防动员</w:t>
      </w:r>
      <w:r>
        <w:rPr>
          <w:rFonts w:hint="eastAsia" w:eastAsia="仿宋_GB2312"/>
          <w:sz w:val="32"/>
        </w:rPr>
        <w:t>体系建设</w:t>
      </w:r>
      <w:bookmarkEnd w:id="1618"/>
      <w:bookmarkEnd w:id="1619"/>
      <w:bookmarkEnd w:id="1620"/>
      <w:bookmarkEnd w:id="1621"/>
      <w:bookmarkEnd w:id="1622"/>
      <w:bookmarkEnd w:id="1623"/>
      <w:bookmarkEnd w:id="1624"/>
      <w:bookmarkEnd w:id="1625"/>
    </w:p>
    <w:p>
      <w:pPr>
        <w:spacing w:line="560" w:lineRule="exact"/>
        <w:ind w:firstLine="640"/>
        <w:rPr>
          <w:bCs/>
          <w:sz w:val="32"/>
          <w:szCs w:val="32"/>
        </w:rPr>
      </w:pPr>
      <w:r>
        <w:rPr>
          <w:rFonts w:hint="eastAsia"/>
          <w:bCs/>
          <w:sz w:val="32"/>
          <w:szCs w:val="32"/>
        </w:rPr>
        <w:t>充分利用全县民兵整组训练、专武干部培训、年度征兵工作、民族传统节日等时机，依托民兵训练基地和现代传媒等阵地，广泛开展奉节军民融合式发展宣传教育活动，营造各行各业积极主动参与，为融合发展作贡献的良好氛围。不断深化“拥军优属、拥政爱民”工作，持续创建“双拥模范县”，把重大国防设施和战场建设纳入基本建设体系，把国防后备力量人才培养纳入国民教育体系，把国防动员体系纳入应急管理体系，把军队生活保障纳入社会服务保障体系，真正从顶层搞好规划设计。持续夯实民兵队伍建设，建强国防动员专业保障队伍，开展新域、新质、新兴潜力资源和力量体系建设，推动实战化训练演练与信息手段集成应用，整体提升应战应急保障能力。</w:t>
      </w:r>
    </w:p>
    <w:p>
      <w:pPr>
        <w:pStyle w:val="5"/>
        <w:spacing w:before="62" w:beforeLines="20" w:after="62" w:afterLines="20" w:line="560" w:lineRule="exact"/>
        <w:rPr>
          <w:rFonts w:eastAsia="仿宋_GB2312"/>
          <w:sz w:val="32"/>
        </w:rPr>
      </w:pPr>
      <w:bookmarkStart w:id="1626" w:name="_Toc4514"/>
      <w:bookmarkStart w:id="1627" w:name="_Toc26201"/>
      <w:bookmarkStart w:id="1628" w:name="_Toc21687"/>
      <w:bookmarkStart w:id="1629" w:name="_Toc59993162"/>
      <w:bookmarkStart w:id="1630" w:name="_Toc23283"/>
      <w:bookmarkStart w:id="1631" w:name="_Toc15063"/>
      <w:bookmarkStart w:id="1632" w:name="_Toc18312"/>
      <w:bookmarkStart w:id="1633" w:name="_Toc60584886"/>
      <w:r>
        <w:rPr>
          <w:rFonts w:eastAsia="仿宋_GB2312"/>
          <w:sz w:val="32"/>
        </w:rPr>
        <w:t>第二节  完善国防动员军民融合体制机制</w:t>
      </w:r>
      <w:bookmarkEnd w:id="1626"/>
      <w:bookmarkEnd w:id="1627"/>
      <w:bookmarkEnd w:id="1628"/>
      <w:bookmarkEnd w:id="1629"/>
      <w:bookmarkEnd w:id="1630"/>
      <w:bookmarkEnd w:id="1631"/>
      <w:bookmarkEnd w:id="1632"/>
      <w:bookmarkEnd w:id="1633"/>
    </w:p>
    <w:p>
      <w:pPr>
        <w:spacing w:line="560" w:lineRule="exact"/>
        <w:ind w:firstLine="640"/>
      </w:pPr>
      <w:r>
        <w:rPr>
          <w:rFonts w:hint="eastAsia"/>
          <w:bCs/>
          <w:sz w:val="32"/>
          <w:szCs w:val="32"/>
        </w:rPr>
        <w:t>建立由县国防动员委员会牵头，多部门参与的军地联合动员指挥机构，明确动员指挥程序、内容和方法，健全需求对接、信息共享、情报会商、联合行动等制度，细化军地相关部门的职责，加强军地之间的协商、交流与协作，完善协同指挥和组织协调机制，提高军地联合遂行多样化军事任务的能力。加强全县国防动员网络建设，建立功能齐全的动员指挥中心，为军地联合指挥提供平台。</w:t>
      </w:r>
    </w:p>
    <w:p>
      <w:pPr>
        <w:pStyle w:val="3"/>
        <w:sectPr>
          <w:pgSz w:w="11906" w:h="16838"/>
          <w:pgMar w:top="1984" w:right="1531" w:bottom="1531" w:left="1531" w:header="907" w:footer="1191" w:gutter="0"/>
          <w:cols w:space="425" w:num="1"/>
          <w:docGrid w:type="lines" w:linePitch="312" w:charSpace="0"/>
        </w:sectPr>
      </w:pPr>
    </w:p>
    <w:p>
      <w:pPr>
        <w:pStyle w:val="3"/>
        <w:spacing w:before="156" w:beforeLines="50" w:after="156" w:afterLines="50" w:line="560" w:lineRule="exact"/>
        <w:rPr>
          <w:rFonts w:ascii="黑体" w:hAnsi="黑体" w:eastAsia="黑体" w:cs="黑体"/>
          <w:b w:val="0"/>
          <w:bCs/>
        </w:rPr>
      </w:pPr>
      <w:bookmarkStart w:id="1634" w:name="_Toc17536"/>
      <w:bookmarkStart w:id="1635" w:name="_Toc21241"/>
      <w:bookmarkStart w:id="1636" w:name="_Toc59993163"/>
      <w:bookmarkStart w:id="1637" w:name="_Toc25229"/>
      <w:bookmarkStart w:id="1638" w:name="_Toc4421"/>
      <w:bookmarkStart w:id="1639" w:name="_Toc60584887"/>
      <w:bookmarkStart w:id="1640" w:name="_Toc5072"/>
      <w:r>
        <w:rPr>
          <w:rFonts w:hint="eastAsia" w:ascii="黑体" w:hAnsi="黑体" w:eastAsia="黑体" w:cs="黑体"/>
          <w:b w:val="0"/>
          <w:bCs/>
        </w:rPr>
        <w:t>第十二篇  健全规划的领导和保障机制</w:t>
      </w:r>
      <w:bookmarkEnd w:id="1483"/>
      <w:bookmarkEnd w:id="1484"/>
      <w:bookmarkEnd w:id="1485"/>
      <w:bookmarkEnd w:id="1634"/>
      <w:bookmarkEnd w:id="1635"/>
      <w:bookmarkEnd w:id="1636"/>
      <w:bookmarkEnd w:id="1637"/>
      <w:bookmarkEnd w:id="1638"/>
      <w:bookmarkEnd w:id="1639"/>
      <w:bookmarkEnd w:id="1640"/>
    </w:p>
    <w:p>
      <w:pPr>
        <w:spacing w:line="560" w:lineRule="exact"/>
        <w:ind w:firstLine="640"/>
        <w:rPr>
          <w:bCs/>
          <w:sz w:val="32"/>
          <w:szCs w:val="32"/>
        </w:rPr>
      </w:pPr>
      <w:r>
        <w:rPr>
          <w:rFonts w:hint="eastAsia"/>
          <w:bCs/>
          <w:sz w:val="32"/>
          <w:szCs w:val="32"/>
        </w:rPr>
        <w:t>实现奉节县“十四五”规划和二〇三五年远景目标，必须坚持党的全面领导，充分调动一切积极因素，广泛团结一切可以团结的力量，坚持群众路线、严格程序、周密部署、强化措施、凝聚合力，切实保证在推动一域发展、服务全局战略上见行见效。</w:t>
      </w:r>
    </w:p>
    <w:p>
      <w:pPr>
        <w:pStyle w:val="4"/>
        <w:spacing w:before="156" w:beforeLines="50" w:after="156" w:afterLines="50" w:line="560" w:lineRule="exact"/>
        <w:rPr>
          <w:rFonts w:ascii="Times New Roman" w:hAnsi="Times New Roman" w:cs="Times New Roman"/>
          <w:b w:val="0"/>
          <w:bCs w:val="0"/>
          <w:sz w:val="32"/>
        </w:rPr>
      </w:pPr>
      <w:bookmarkStart w:id="1641" w:name="_Toc3131"/>
      <w:bookmarkStart w:id="1642" w:name="_Toc2269"/>
      <w:bookmarkStart w:id="1643" w:name="_Toc25073"/>
      <w:bookmarkStart w:id="1644" w:name="_Toc4170"/>
      <w:bookmarkStart w:id="1645" w:name="_Toc59993164"/>
      <w:bookmarkStart w:id="1646" w:name="_Toc60584888"/>
      <w:bookmarkStart w:id="1647" w:name="_Toc7842"/>
      <w:bookmarkStart w:id="1648" w:name="_Toc32464"/>
      <w:bookmarkStart w:id="1649" w:name="_Toc11865"/>
      <w:bookmarkStart w:id="1650" w:name="_Toc22890"/>
      <w:r>
        <w:rPr>
          <w:rFonts w:hint="eastAsia" w:ascii="Times New Roman" w:hAnsi="Times New Roman" w:cs="Times New Roman"/>
          <w:b w:val="0"/>
          <w:bCs w:val="0"/>
          <w:sz w:val="32"/>
        </w:rPr>
        <w:t xml:space="preserve">第五十一章  </w:t>
      </w:r>
      <w:bookmarkEnd w:id="1641"/>
      <w:bookmarkEnd w:id="1642"/>
      <w:bookmarkEnd w:id="1643"/>
      <w:bookmarkEnd w:id="1644"/>
      <w:bookmarkEnd w:id="1645"/>
      <w:bookmarkEnd w:id="1646"/>
      <w:bookmarkEnd w:id="1647"/>
      <w:bookmarkEnd w:id="1648"/>
      <w:r>
        <w:rPr>
          <w:rFonts w:hint="eastAsia" w:ascii="Times New Roman" w:hAnsi="Times New Roman" w:cs="Times New Roman"/>
          <w:b w:val="0"/>
          <w:bCs w:val="0"/>
          <w:sz w:val="32"/>
        </w:rPr>
        <w:t>坚持党对经济社会发展的领导</w:t>
      </w:r>
      <w:bookmarkEnd w:id="1649"/>
      <w:bookmarkEnd w:id="1650"/>
    </w:p>
    <w:p>
      <w:pPr>
        <w:spacing w:line="560" w:lineRule="exact"/>
        <w:ind w:firstLine="640"/>
        <w:rPr>
          <w:bCs/>
          <w:sz w:val="32"/>
          <w:szCs w:val="32"/>
        </w:rPr>
      </w:pPr>
      <w:r>
        <w:rPr>
          <w:rFonts w:hint="eastAsia"/>
          <w:bCs/>
          <w:sz w:val="32"/>
          <w:szCs w:val="32"/>
        </w:rPr>
        <w:t>贯彻党把方向、谋大局、定政策、促改革的要求，深入学习贯彻习近平新时代中国特色社会主义思想，增强“四个意识”、坚定“四个自信”、做到“两个维护”，完善上下贯通、执行有力的组织体系，切实加强对本地区本部门经济社会发展工作的统筹协调，确保党中央、市委决策部署有效落实。强化党委决策和监督作用，把握正确发展方向，加强调查研究，强化创新理念，提高决策科学化、民主化、法治化水平，把制度优势转化为治理效能。</w:t>
      </w:r>
    </w:p>
    <w:p>
      <w:pPr>
        <w:pStyle w:val="4"/>
        <w:spacing w:before="156" w:beforeLines="50" w:after="156" w:afterLines="50" w:line="560" w:lineRule="exact"/>
        <w:rPr>
          <w:rFonts w:ascii="Times New Roman" w:hAnsi="Times New Roman" w:cs="Times New Roman"/>
          <w:b w:val="0"/>
          <w:bCs w:val="0"/>
          <w:sz w:val="32"/>
        </w:rPr>
      </w:pPr>
      <w:bookmarkStart w:id="1651" w:name="_Toc26522"/>
      <w:bookmarkStart w:id="1652" w:name="_Toc29263"/>
      <w:bookmarkStart w:id="1653" w:name="_Toc10249"/>
      <w:bookmarkStart w:id="1654" w:name="_Toc31271"/>
      <w:bookmarkStart w:id="1655" w:name="_Toc21105"/>
      <w:bookmarkStart w:id="1656" w:name="_Toc61"/>
      <w:bookmarkStart w:id="1657" w:name="_Toc3655"/>
      <w:bookmarkStart w:id="1658" w:name="_Toc16239"/>
      <w:bookmarkStart w:id="1659" w:name="_Toc59993165"/>
      <w:bookmarkStart w:id="1660" w:name="_Toc60584889"/>
      <w:r>
        <w:rPr>
          <w:rFonts w:hint="eastAsia" w:ascii="Times New Roman" w:hAnsi="Times New Roman" w:cs="Times New Roman"/>
          <w:b w:val="0"/>
          <w:bCs w:val="0"/>
          <w:sz w:val="32"/>
        </w:rPr>
        <w:t>第五十二章  持续营造风清气正良好政治生态</w:t>
      </w:r>
      <w:bookmarkEnd w:id="1651"/>
      <w:bookmarkEnd w:id="1652"/>
      <w:bookmarkEnd w:id="1653"/>
      <w:bookmarkEnd w:id="1654"/>
      <w:bookmarkEnd w:id="1655"/>
      <w:bookmarkEnd w:id="1656"/>
      <w:bookmarkEnd w:id="1657"/>
      <w:bookmarkEnd w:id="1658"/>
      <w:bookmarkEnd w:id="1659"/>
      <w:bookmarkEnd w:id="1660"/>
    </w:p>
    <w:p>
      <w:pPr>
        <w:spacing w:line="560" w:lineRule="exact"/>
        <w:ind w:firstLine="640"/>
        <w:rPr>
          <w:rFonts w:hint="eastAsia"/>
          <w:bCs/>
          <w:sz w:val="32"/>
          <w:szCs w:val="32"/>
        </w:rPr>
      </w:pPr>
      <w:r>
        <w:rPr>
          <w:rFonts w:hint="eastAsia"/>
          <w:bCs/>
          <w:sz w:val="32"/>
          <w:szCs w:val="32"/>
        </w:rPr>
        <w:t>落实全面从严治党主体责任、监督责任，提高党的建设质量。坚持不懈加强党的政治建设，严格落实意识形态工作责任制，用好“不忘初心、牢记使命”主题教育终身课题和永恒课题，持续深入肃清孙政才恶劣影响和薄熙来、王立军流毒，教育引导党员干部深学笃用习近平新时代中国特色社会主义思想，持续涵养清风正气，落实市委“三个确保”政治承诺。</w:t>
      </w:r>
    </w:p>
    <w:p>
      <w:pPr>
        <w:spacing w:line="560" w:lineRule="exact"/>
        <w:ind w:firstLine="640"/>
        <w:rPr>
          <w:bCs/>
          <w:sz w:val="32"/>
          <w:szCs w:val="32"/>
        </w:rPr>
      </w:pPr>
      <w:r>
        <w:rPr>
          <w:rFonts w:hint="eastAsia"/>
          <w:bCs/>
          <w:sz w:val="32"/>
          <w:szCs w:val="32"/>
          <w:lang w:val="en-US" w:eastAsia="zh-CN"/>
        </w:rPr>
        <w:t>锲而不舍落实中央八项规定精神，持续纠治</w:t>
      </w:r>
      <w:r>
        <w:rPr>
          <w:rFonts w:hint="eastAsia"/>
          <w:bCs/>
          <w:sz w:val="32"/>
          <w:szCs w:val="32"/>
        </w:rPr>
        <w:t>形式主义、官僚主义，严肃查处不担当、不作为、慢作为、乱作为等问题。</w:t>
      </w:r>
      <w:r>
        <w:rPr>
          <w:rFonts w:hint="eastAsia"/>
          <w:bCs/>
          <w:sz w:val="32"/>
          <w:szCs w:val="32"/>
          <w:lang w:val="en-US" w:eastAsia="zh-CN"/>
        </w:rPr>
        <w:t>探索完善小微权力监督机制，从源头上防治群众身边的腐败和作风问题，让人民群众感受到公平正义。完善党和国家监督体系，加强政治监督，构建全覆盖的责任制度，持续夯实各级党组织主体责任、书记第一责任和班子成员“一岗双责”，强化对公权力运行的制约和监督。坚持以党内监督为主导，不断完善权力监督制度和执纪执法体系；推进各类监督协调贯通，形成常态长效的监督合力，坚定不移正风肃纪反腐，把严的主基调长期坚持下去，贯通运用监督执纪“四种形态”，融合拓展“以案四说”“以案四改”，一体推进不敢腐、不能腐、不想腐，持续优化政治生态，为全县经济社会发展提供有力保障。</w:t>
      </w:r>
    </w:p>
    <w:p>
      <w:pPr>
        <w:pStyle w:val="4"/>
        <w:spacing w:before="156" w:beforeLines="50" w:after="156" w:afterLines="50" w:line="560" w:lineRule="exact"/>
        <w:rPr>
          <w:rFonts w:ascii="Times New Roman" w:hAnsi="Times New Roman" w:cs="Times New Roman"/>
          <w:b w:val="0"/>
          <w:bCs w:val="0"/>
          <w:sz w:val="32"/>
        </w:rPr>
      </w:pPr>
      <w:bookmarkStart w:id="1661" w:name="_Toc2379"/>
      <w:bookmarkStart w:id="1662" w:name="_Toc11094"/>
      <w:bookmarkStart w:id="1663" w:name="_Toc1847"/>
      <w:bookmarkStart w:id="1664" w:name="_Toc5373"/>
      <w:bookmarkStart w:id="1665" w:name="_Toc60584890"/>
      <w:bookmarkStart w:id="1666" w:name="_Toc12848"/>
      <w:bookmarkStart w:id="1667" w:name="_Toc27543"/>
      <w:bookmarkStart w:id="1668" w:name="_Toc27381"/>
      <w:bookmarkStart w:id="1669" w:name="_Toc20335"/>
      <w:bookmarkStart w:id="1670" w:name="_Toc59993166"/>
      <w:r>
        <w:rPr>
          <w:rFonts w:hint="eastAsia" w:ascii="Times New Roman" w:hAnsi="Times New Roman" w:cs="Times New Roman"/>
          <w:b w:val="0"/>
          <w:bCs w:val="0"/>
          <w:sz w:val="32"/>
        </w:rPr>
        <w:t>第五十三章  建设高素质专业化干部队伍</w:t>
      </w:r>
      <w:bookmarkEnd w:id="1661"/>
      <w:bookmarkEnd w:id="1662"/>
      <w:bookmarkEnd w:id="1663"/>
      <w:bookmarkEnd w:id="1664"/>
      <w:bookmarkEnd w:id="1665"/>
      <w:bookmarkEnd w:id="1666"/>
      <w:bookmarkEnd w:id="1667"/>
      <w:bookmarkEnd w:id="1668"/>
      <w:bookmarkEnd w:id="1669"/>
      <w:bookmarkEnd w:id="1670"/>
    </w:p>
    <w:p>
      <w:pPr>
        <w:spacing w:line="560" w:lineRule="exact"/>
        <w:ind w:firstLine="640"/>
        <w:rPr>
          <w:bCs/>
          <w:sz w:val="32"/>
          <w:szCs w:val="32"/>
        </w:rPr>
      </w:pPr>
      <w:r>
        <w:rPr>
          <w:rFonts w:hint="eastAsia"/>
          <w:bCs/>
          <w:sz w:val="32"/>
          <w:szCs w:val="32"/>
        </w:rPr>
        <w:t>全面贯彻新时代党的组织路线，聚焦“忠诚、干净、担当”的好干部标准，加强各级领导班子和干部队伍建设，加大干部教育培训管理力度，发挥好选人用人的导向作用，大力发现培养选拔年轻优秀干部，把制度执行力和治理能力强的干部选出来、用起来。提升改善干部培训基础条件，实施党校搬迁工程。</w:t>
      </w:r>
    </w:p>
    <w:p>
      <w:pPr>
        <w:spacing w:line="560" w:lineRule="exact"/>
        <w:ind w:firstLine="640"/>
        <w:rPr>
          <w:bCs/>
          <w:sz w:val="32"/>
          <w:szCs w:val="32"/>
        </w:rPr>
      </w:pPr>
      <w:r>
        <w:rPr>
          <w:rFonts w:hint="eastAsia"/>
          <w:bCs/>
          <w:sz w:val="32"/>
          <w:szCs w:val="32"/>
        </w:rPr>
        <w:t>持续强化干部思想淬炼、政治历练、实践锻炼、专业训练，不断提升队伍政治素养、理论水平、专业能力、实践本领。加强基层组织建设，发挥基层党组织战斗堡垒和党员先锋模范作用，常态保持村级班子和后备人才稳定。坚持“三个区分开来”，完善管思想、管工作、管作风、管纪律的从严管理机制，建立健全干部担当作为的激励和保护机制。坚持党管人才，持续巩固科教人才提升行动成果，完善人才工作体系，构建更有吸引力竞争力的人才引进、培养、使用、评价、流动、激励、服务政策体系，强力推进“夔州英才”高素质人才队伍建设，着力打造聚才“洼地”和用才“高地”。</w:t>
      </w:r>
    </w:p>
    <w:p>
      <w:pPr>
        <w:pStyle w:val="4"/>
        <w:spacing w:before="156" w:beforeLines="50" w:after="156" w:afterLines="50" w:line="560" w:lineRule="exact"/>
        <w:rPr>
          <w:rFonts w:ascii="Times New Roman" w:hAnsi="Times New Roman" w:cs="Times New Roman"/>
          <w:b w:val="0"/>
          <w:bCs w:val="0"/>
          <w:sz w:val="32"/>
        </w:rPr>
      </w:pPr>
      <w:bookmarkStart w:id="1671" w:name="_Toc60584891"/>
      <w:bookmarkStart w:id="1672" w:name="_Toc12837"/>
      <w:bookmarkStart w:id="1673" w:name="_Toc31876"/>
      <w:bookmarkStart w:id="1674" w:name="_Toc3796"/>
      <w:bookmarkStart w:id="1675" w:name="_Toc25380"/>
      <w:bookmarkStart w:id="1676" w:name="_Toc15239"/>
      <w:bookmarkStart w:id="1677" w:name="_Toc29792"/>
      <w:bookmarkStart w:id="1678" w:name="_Toc59993167"/>
      <w:bookmarkStart w:id="1679" w:name="_Toc18171"/>
      <w:bookmarkStart w:id="1680" w:name="_Toc30287"/>
      <w:r>
        <w:rPr>
          <w:rFonts w:hint="eastAsia" w:ascii="Times New Roman" w:hAnsi="Times New Roman" w:cs="Times New Roman"/>
          <w:b w:val="0"/>
          <w:bCs w:val="0"/>
          <w:sz w:val="32"/>
        </w:rPr>
        <w:t>第五十四章  推进社会主义政治建设</w:t>
      </w:r>
      <w:bookmarkEnd w:id="1671"/>
      <w:bookmarkEnd w:id="1672"/>
      <w:bookmarkEnd w:id="1673"/>
      <w:bookmarkEnd w:id="1674"/>
      <w:bookmarkEnd w:id="1675"/>
      <w:bookmarkEnd w:id="1676"/>
      <w:bookmarkEnd w:id="1677"/>
      <w:bookmarkEnd w:id="1678"/>
      <w:bookmarkEnd w:id="1679"/>
      <w:bookmarkEnd w:id="1680"/>
    </w:p>
    <w:p>
      <w:pPr>
        <w:spacing w:line="560" w:lineRule="exact"/>
        <w:ind w:firstLine="640"/>
        <w:rPr>
          <w:bCs/>
          <w:sz w:val="32"/>
          <w:szCs w:val="32"/>
        </w:rPr>
      </w:pPr>
      <w:r>
        <w:rPr>
          <w:rFonts w:hint="eastAsia"/>
          <w:bCs/>
          <w:sz w:val="32"/>
          <w:szCs w:val="32"/>
        </w:rPr>
        <w:t>坚持党的领导、人民当家作主、依法治国有机统一，坚定不移走中国特色社会主义政治发展道路。坚持人民代表大会制度，加强人大对“一府一委两院”的监督，提高人大履职能力，增强人大整体功效。</w:t>
      </w:r>
    </w:p>
    <w:p>
      <w:pPr>
        <w:spacing w:line="560" w:lineRule="exact"/>
        <w:ind w:firstLine="640"/>
        <w:rPr>
          <w:bCs/>
          <w:sz w:val="32"/>
          <w:szCs w:val="32"/>
        </w:rPr>
      </w:pPr>
      <w:r>
        <w:rPr>
          <w:rFonts w:hint="eastAsia"/>
          <w:bCs/>
          <w:sz w:val="32"/>
          <w:szCs w:val="32"/>
        </w:rPr>
        <w:t>坚持中国共产党领导的多党合作和政治协商制度，加强思想政治引领，提高政治协商、民主监督、参政议政水平，广泛凝聚共识。完善大统战格局，促进政党关系、宗教关系、民族关系、阶层关系、海内外同胞和谐。加强工会、共青团、妇联等群团组织建设，健全联系广泛、服务群众的群团工作体系。加强法治政府建设，集中基层司法所、人民调解员资源，深入开展法治宣传教育，充分发挥法治固根本、稳预期、利长远的保障作用。引导社会团体在社会治理中发挥积极作用。</w:t>
      </w:r>
    </w:p>
    <w:p>
      <w:pPr>
        <w:pStyle w:val="4"/>
        <w:spacing w:before="156" w:beforeLines="50" w:after="156" w:afterLines="50" w:line="560" w:lineRule="exact"/>
        <w:rPr>
          <w:rFonts w:ascii="Times New Roman" w:hAnsi="Times New Roman" w:cs="Times New Roman"/>
          <w:b w:val="0"/>
          <w:bCs w:val="0"/>
          <w:sz w:val="32"/>
        </w:rPr>
      </w:pPr>
      <w:bookmarkStart w:id="1681" w:name="_Toc17743"/>
      <w:bookmarkStart w:id="1682" w:name="_Toc11048"/>
      <w:bookmarkStart w:id="1683" w:name="_Toc12167"/>
      <w:bookmarkStart w:id="1684" w:name="_Toc22873"/>
      <w:bookmarkStart w:id="1685" w:name="_Toc11430"/>
      <w:bookmarkStart w:id="1686" w:name="_Toc59993168"/>
      <w:bookmarkStart w:id="1687" w:name="_Toc17615"/>
      <w:bookmarkStart w:id="1688" w:name="_Toc377"/>
      <w:bookmarkStart w:id="1689" w:name="_Toc30090"/>
      <w:bookmarkStart w:id="1690" w:name="_Toc60584892"/>
      <w:r>
        <w:rPr>
          <w:rFonts w:hint="eastAsia" w:ascii="Times New Roman" w:hAnsi="Times New Roman" w:cs="Times New Roman"/>
          <w:b w:val="0"/>
          <w:bCs w:val="0"/>
          <w:sz w:val="32"/>
        </w:rPr>
        <w:t>第五十五章  健全规划制定和落实工作机制</w:t>
      </w:r>
      <w:bookmarkEnd w:id="1681"/>
      <w:bookmarkEnd w:id="1682"/>
      <w:bookmarkEnd w:id="1683"/>
      <w:bookmarkEnd w:id="1684"/>
      <w:bookmarkEnd w:id="1685"/>
      <w:bookmarkEnd w:id="1686"/>
      <w:bookmarkEnd w:id="1687"/>
      <w:bookmarkEnd w:id="1688"/>
      <w:bookmarkEnd w:id="1689"/>
      <w:bookmarkEnd w:id="1690"/>
    </w:p>
    <w:p>
      <w:pPr>
        <w:spacing w:line="560" w:lineRule="exact"/>
        <w:ind w:firstLine="640"/>
        <w:rPr>
          <w:bCs/>
          <w:sz w:val="32"/>
          <w:szCs w:val="32"/>
        </w:rPr>
      </w:pPr>
      <w:r>
        <w:rPr>
          <w:rFonts w:hint="eastAsia"/>
          <w:bCs/>
          <w:sz w:val="32"/>
          <w:szCs w:val="32"/>
        </w:rPr>
        <w:t>坚决贯彻习近平总书记重要指示批示和党的十九届五中全会精神，按照重庆市委五届九次全会决策部署和市委对奉节的工作要求，对标对表本纲要确定的指导思想、重要原则、主要目标、重点任务、重大举措，科学制定奉节县“十四五”专项规划。</w:t>
      </w:r>
    </w:p>
    <w:p>
      <w:pPr>
        <w:pStyle w:val="5"/>
        <w:spacing w:before="62" w:beforeLines="20" w:after="62" w:afterLines="20" w:line="560" w:lineRule="exact"/>
        <w:rPr>
          <w:rFonts w:eastAsia="仿宋_GB2312"/>
          <w:sz w:val="32"/>
        </w:rPr>
      </w:pPr>
      <w:bookmarkStart w:id="1691" w:name="_Toc59993169"/>
      <w:bookmarkStart w:id="1692" w:name="_Toc28046"/>
      <w:bookmarkStart w:id="1693" w:name="_Toc12801"/>
      <w:bookmarkStart w:id="1694" w:name="_Toc27780"/>
      <w:bookmarkStart w:id="1695" w:name="_Toc27288"/>
      <w:bookmarkStart w:id="1696" w:name="_Toc4403"/>
      <w:bookmarkStart w:id="1697" w:name="_Toc29515"/>
      <w:bookmarkStart w:id="1698" w:name="_Toc60584893"/>
      <w:r>
        <w:rPr>
          <w:rFonts w:eastAsia="仿宋_GB2312"/>
          <w:sz w:val="32"/>
        </w:rPr>
        <w:t>第一节  建立统一规划体系</w:t>
      </w:r>
      <w:bookmarkEnd w:id="1691"/>
      <w:bookmarkEnd w:id="1692"/>
      <w:bookmarkEnd w:id="1693"/>
      <w:bookmarkEnd w:id="1694"/>
      <w:bookmarkEnd w:id="1695"/>
      <w:bookmarkEnd w:id="1696"/>
      <w:bookmarkEnd w:id="1697"/>
      <w:bookmarkEnd w:id="1698"/>
    </w:p>
    <w:p>
      <w:pPr>
        <w:spacing w:line="560" w:lineRule="exact"/>
        <w:ind w:firstLine="640"/>
        <w:rPr>
          <w:bCs/>
          <w:sz w:val="32"/>
          <w:szCs w:val="32"/>
        </w:rPr>
      </w:pPr>
      <w:r>
        <w:rPr>
          <w:rFonts w:hint="eastAsia"/>
          <w:bCs/>
          <w:sz w:val="32"/>
          <w:szCs w:val="32"/>
        </w:rPr>
        <w:t>发展规划是根据国家、重庆市和县委关于制定国民经济和社会发展五年规划和二〇三五远景目标的建议，由县政府组织编制，经县人民代表大会审查批准后实施，是全县其他各类规划的总遵循总纲领。县级专项规划、区域规划、空间规划，均须依据发展规划进行编制。因此，需要坚持以发展规划为统领、以空间规划为基础、以专项规划和区域规划为支撑，形成定位准确、目标明确、功能互补、统一衔接的规划体系。</w:t>
      </w:r>
    </w:p>
    <w:p>
      <w:pPr>
        <w:pStyle w:val="5"/>
        <w:spacing w:before="62" w:beforeLines="20" w:after="62" w:afterLines="20" w:line="560" w:lineRule="exact"/>
        <w:rPr>
          <w:rFonts w:eastAsia="仿宋_GB2312"/>
          <w:sz w:val="32"/>
        </w:rPr>
      </w:pPr>
      <w:bookmarkStart w:id="1699" w:name="_Toc23885"/>
      <w:bookmarkStart w:id="1700" w:name="_Toc22761"/>
      <w:bookmarkStart w:id="1701" w:name="_Toc27777"/>
      <w:bookmarkStart w:id="1702" w:name="_Toc60584894"/>
      <w:bookmarkStart w:id="1703" w:name="_Toc59993170"/>
      <w:bookmarkStart w:id="1704" w:name="_Toc11517"/>
      <w:bookmarkStart w:id="1705" w:name="_Toc28611"/>
      <w:bookmarkStart w:id="1706" w:name="_Toc10156"/>
      <w:r>
        <w:rPr>
          <w:rFonts w:eastAsia="仿宋_GB2312"/>
          <w:sz w:val="32"/>
        </w:rPr>
        <w:t>第二节  落实规划实施主体责任</w:t>
      </w:r>
      <w:bookmarkEnd w:id="1699"/>
      <w:bookmarkEnd w:id="1700"/>
      <w:bookmarkEnd w:id="1701"/>
      <w:bookmarkEnd w:id="1702"/>
      <w:bookmarkEnd w:id="1703"/>
      <w:bookmarkEnd w:id="1704"/>
      <w:bookmarkEnd w:id="1705"/>
      <w:bookmarkEnd w:id="1706"/>
    </w:p>
    <w:p>
      <w:pPr>
        <w:spacing w:line="560" w:lineRule="exact"/>
        <w:ind w:firstLine="640"/>
        <w:rPr>
          <w:bCs/>
          <w:sz w:val="32"/>
          <w:szCs w:val="32"/>
        </w:rPr>
      </w:pPr>
      <w:r>
        <w:rPr>
          <w:rFonts w:hint="eastAsia"/>
          <w:bCs/>
          <w:sz w:val="32"/>
          <w:szCs w:val="32"/>
        </w:rPr>
        <w:t>构建发展规划政策协调和工作协同机制，坚持规划定方向、财政作保障、金融为支撑、其他政策相协调，实施目标项目化、任务清单化、效果定量化、过程时点化管理机制，对列入规划的重大事项及重大项目，要落实领导分包责任制，以行动促实施，以督查促落实，形成一级带一级、层层抓落实的格局，推动规划实施。增强干部责任意识，破除制约发展的思想障碍和体制机制障碍，创新思维、转变作风，扎实工作，坚持谁主管谁负责、谁牵头谁协调，确保党中央、市委、县委关于“十四五”发展的决策部署在奉节落地落实。</w:t>
      </w:r>
    </w:p>
    <w:p>
      <w:pPr>
        <w:pStyle w:val="5"/>
        <w:spacing w:before="62" w:beforeLines="20" w:after="62" w:afterLines="20" w:line="560" w:lineRule="exact"/>
        <w:rPr>
          <w:rFonts w:eastAsia="仿宋_GB2312"/>
          <w:sz w:val="32"/>
        </w:rPr>
      </w:pPr>
      <w:bookmarkStart w:id="1707" w:name="_Toc2729"/>
      <w:bookmarkStart w:id="1708" w:name="_Toc28421"/>
      <w:bookmarkStart w:id="1709" w:name="_Toc689"/>
      <w:bookmarkStart w:id="1710" w:name="_Toc60584895"/>
      <w:bookmarkStart w:id="1711" w:name="_Toc14849"/>
      <w:bookmarkStart w:id="1712" w:name="_Toc59993171"/>
      <w:bookmarkStart w:id="1713" w:name="_Toc21323"/>
      <w:bookmarkStart w:id="1714" w:name="_Toc757"/>
      <w:r>
        <w:rPr>
          <w:rFonts w:eastAsia="仿宋_GB2312"/>
          <w:sz w:val="32"/>
        </w:rPr>
        <w:t>第三节  完善规划评估监督机制</w:t>
      </w:r>
      <w:bookmarkEnd w:id="1707"/>
      <w:bookmarkEnd w:id="1708"/>
      <w:bookmarkEnd w:id="1709"/>
      <w:bookmarkEnd w:id="1710"/>
      <w:bookmarkEnd w:id="1711"/>
      <w:bookmarkEnd w:id="1712"/>
      <w:bookmarkEnd w:id="1713"/>
      <w:bookmarkEnd w:id="1714"/>
    </w:p>
    <w:p>
      <w:pPr>
        <w:spacing w:line="560" w:lineRule="exact"/>
        <w:ind w:firstLine="640"/>
      </w:pPr>
      <w:r>
        <w:rPr>
          <w:rFonts w:hint="eastAsia"/>
          <w:bCs/>
          <w:sz w:val="32"/>
          <w:szCs w:val="32"/>
        </w:rPr>
        <w:t>推进规划管理创新，健全奉节县“十四五”规划的统计和评价机制，创新监测评估方式，引入第三方评估制度，开展规划实施中期评估，充分运用大数据平台，全面分析检查规划实施效果及重大政策措施、重大项目落实情况，对重点领域发展情况适时开展专题评估。强化规划落实情况的监督考核，落实责任追究机制，加强审计监督，保障规划顺利实施。</w:t>
      </w:r>
    </w:p>
    <w:sectPr>
      <w:pgSz w:w="11906" w:h="16838"/>
      <w:pgMar w:top="1984" w:right="1531" w:bottom="1531" w:left="1531" w:header="907" w:footer="1191"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560"/>
      </w:pPr>
      <w:r>
        <w:separator/>
      </w:r>
    </w:p>
  </w:endnote>
  <w:endnote w:type="continuationSeparator" w:id="1">
    <w:p>
      <w:pPr>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仿宋_GB2312">
    <w:altName w:val="方正仿宋_GBK"/>
    <w:panose1 w:val="00000000000000000000"/>
    <w:charset w:val="86"/>
    <w:family w:val="modern"/>
    <w:pitch w:val="default"/>
    <w:sig w:usb0="00000000" w:usb1="00000000" w:usb2="00000010" w:usb3="00000000" w:csb0="00040000" w:csb1="00000000"/>
  </w:font>
  <w:font w:name="新宋体">
    <w:altName w:val="方正书宋_GBK"/>
    <w:panose1 w:val="02010609030101010101"/>
    <w:charset w:val="86"/>
    <w:family w:val="modern"/>
    <w:pitch w:val="default"/>
    <w:sig w:usb0="00000000" w:usb1="00000000" w:usb2="00000006" w:usb3="00000000" w:csb0="00040001" w:csb1="00000000"/>
  </w:font>
  <w:font w:name="Calibri Light">
    <w:altName w:val="DejaVu Sans"/>
    <w:panose1 w:val="020F0302020204030204"/>
    <w:charset w:val="00"/>
    <w:family w:val="swiss"/>
    <w:pitch w:val="default"/>
    <w:sig w:usb0="00000000" w:usb1="00000000" w:usb2="00000009" w:usb3="00000000" w:csb0="200001FF" w:csb1="00000000"/>
  </w:font>
  <w:font w:name="仿宋">
    <w:altName w:val="方正仿宋_GBK"/>
    <w:panose1 w:val="02010609060101010101"/>
    <w:charset w:val="86"/>
    <w:family w:val="modern"/>
    <w:pitch w:val="default"/>
    <w:sig w:usb0="00000000" w:usb1="00000000" w:usb2="00000016" w:usb3="00000000" w:csb0="00040001" w:csb1="00000000"/>
  </w:font>
  <w:font w:name="Cambria">
    <w:altName w:val="Noto Sans Syriac Eastern"/>
    <w:panose1 w:val="02040503050406030204"/>
    <w:charset w:val="00"/>
    <w:family w:val="roman"/>
    <w:pitch w:val="default"/>
    <w:sig w:usb0="00000000" w:usb1="00000000" w:usb2="02000000" w:usb3="00000000" w:csb0="2000019F" w:csb1="00000000"/>
  </w:font>
  <w:font w:name="小标宋">
    <w:altName w:val="方正小标宋_GBK"/>
    <w:panose1 w:val="00000000000000000000"/>
    <w:charset w:val="86"/>
    <w:family w:val="script"/>
    <w:pitch w:val="default"/>
    <w:sig w:usb0="00000000" w:usb1="00000000" w:usb2="00000000" w:usb3="00000000" w:csb0="00040000" w:csb1="00000000"/>
  </w:font>
  <w:font w:name="楷体_GB2312">
    <w:altName w:val="方正楷体_GBK"/>
    <w:panose1 w:val="00000000000000000000"/>
    <w:charset w:val="86"/>
    <w:family w:val="modern"/>
    <w:pitch w:val="default"/>
    <w:sig w:usb0="00000000" w:usb1="00000000" w:usb2="00000010" w:usb3="00000000" w:csb0="00040000" w:csb1="00000000"/>
  </w:font>
  <w:font w:name="楷体">
    <w:altName w:val="方正楷体_GBK"/>
    <w:panose1 w:val="02010609060101010101"/>
    <w:charset w:val="86"/>
    <w:family w:val="modern"/>
    <w:pitch w:val="default"/>
    <w:sig w:usb0="00000000" w:usb1="00000000" w:usb2="00000016" w:usb3="00000000" w:csb0="00040001" w:csb1="00000000"/>
  </w:font>
  <w:font w:name="方正小标宋_GBK">
    <w:panose1 w:val="02000000000000000000"/>
    <w:charset w:val="86"/>
    <w:family w:val="script"/>
    <w:pitch w:val="default"/>
    <w:sig w:usb0="00000001" w:usb1="08000000" w:usb2="00000000" w:usb3="00000000" w:csb0="00040000" w:csb1="00000000"/>
  </w:font>
  <w:font w:name="方正仿宋_GBK">
    <w:panose1 w:val="02000000000000000000"/>
    <w:charset w:val="86"/>
    <w:family w:val="script"/>
    <w:pitch w:val="default"/>
    <w:sig w:usb0="00000001" w:usb1="08000000" w:usb2="00000000" w:usb3="00000000" w:csb0="00040000" w:csb1="00000000"/>
  </w:font>
  <w:font w:name="方正黑体简体">
    <w:altName w:val="方正小标宋简体"/>
    <w:panose1 w:val="00000000000000000000"/>
    <w:charset w:val="86"/>
    <w:family w:val="auto"/>
    <w:pitch w:val="default"/>
    <w:sig w:usb0="00000000" w:usb1="00000000" w:usb2="00000000" w:usb3="00000000" w:csb0="00040000" w:csb1="00000000"/>
  </w:font>
  <w:font w:name="Segoe UI Symbol">
    <w:altName w:val="Noto Sans"/>
    <w:panose1 w:val="020B0502040204020203"/>
    <w:charset w:val="00"/>
    <w:family w:val="swiss"/>
    <w:pitch w:val="default"/>
    <w:sig w:usb0="00000000" w:usb1="00000000" w:usb2="00040000" w:usb3="04000000" w:csb0="00000001" w:csb1="4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黑体_GBK">
    <w:panose1 w:val="02000000000000000000"/>
    <w:charset w:val="86"/>
    <w:family w:val="auto"/>
    <w:pitch w:val="default"/>
    <w:sig w:usb0="00000001" w:usb1="08000000" w:usb2="00000000" w:usb3="00000000" w:csb0="00040000" w:csb1="00000000"/>
  </w:font>
  <w:font w:name="NanumGothic">
    <w:panose1 w:val="020D0604000000000000"/>
    <w:charset w:val="81"/>
    <w:family w:val="auto"/>
    <w:pitch w:val="default"/>
    <w:sig w:usb0="900002A7" w:usb1="29D7FCFB" w:usb2="00000010" w:usb3="00000000" w:csb0="00080001" w:csb1="00000000"/>
  </w:font>
  <w:font w:name="方正小标宋简体">
    <w:panose1 w:val="02000000000000000000"/>
    <w:charset w:val="86"/>
    <w:family w:val="auto"/>
    <w:pitch w:val="default"/>
    <w:sig w:usb0="A00002BF" w:usb1="184F6CFA" w:usb2="00000012" w:usb3="00000000" w:csb0="00040001" w:csb1="00000000"/>
  </w:font>
  <w:font w:name="Noto Sans">
    <w:panose1 w:val="020B0502040504020204"/>
    <w:charset w:val="00"/>
    <w:family w:val="auto"/>
    <w:pitch w:val="default"/>
    <w:sig w:usb0="E00002FF" w:usb1="4000201F" w:usb2="08000029" w:usb3="00100000" w:csb0="0000019F" w:csb1="00000000"/>
  </w:font>
  <w:font w:name="方正宋体S-超大字符集">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0" w:firstLineChars="0"/>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a:effectLst/>
                    </wps:spPr>
                    <wps:txbx>
                      <w:txbxContent>
                        <w:p>
                          <w:pPr>
                            <w:pStyle w:val="17"/>
                            <w:ind w:firstLine="360"/>
                          </w:pPr>
                        </w:p>
                      </w:txbxContent>
                    </wps:txbx>
                    <wps:bodyPr wrap="none" lIns="0" tIns="0" rIns="0" bIns="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FgAAAGRycy9QSwECFAAU&#10;AAAACACHTuJAzql5uc8AAAAFAQAADwAAAAAAAAABACAAAAA4AAAAZHJzL2Rvd25yZXYueG1sUEsB&#10;AhQAFAAAAAgAh07iQDKrTyevAQAAUQMAAA4AAAAAAAAAAQAgAAAANAEAAGRycy9lMm9Eb2MueG1s&#10;UEsFBgAAAAAGAAYAWQEAAFUFAAAAAA==&#10;">
              <v:fill on="f" focussize="0,0"/>
              <v:stroke on="f"/>
              <v:imagedata o:title=""/>
              <o:lock v:ext="edit" aspectratio="f"/>
              <v:textbox inset="0mm,0mm,0mm,0mm" style="mso-fit-shape-to-text:t;">
                <w:txbxContent>
                  <w:p>
                    <w:pPr>
                      <w:pStyle w:val="17"/>
                      <w:ind w:firstLine="360"/>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17"/>
                            <w:ind w:left="420" w:leftChars="150" w:right="420" w:rightChars="150" w:firstLine="0" w:firstLineChars="0"/>
                            <w:rPr>
                              <w:rFonts w:asciiTheme="minorEastAsia" w:hAnsiTheme="minorEastAsia" w:eastAsiaTheme="minorEastAsia" w:cstheme="minorEastAsia"/>
                              <w:sz w:val="28"/>
                              <w:szCs w:val="28"/>
                            </w:rPr>
                          </w:pP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s0lY7tAAAAAFAQAADwAAAAAAAAABACAAAAA4AAAAZHJzL2Rvd25yZXYueG1sUEsBAhQAFAAA&#10;AAgAh07iQMXXS4IaAgAAKQQAAA4AAAAAAAAAAQAgAAAANQEAAGRycy9lMm9Eb2MueG1sUEsFBgAA&#10;AAAGAAYAWQEAAMEFAAAAAA==&#10;">
              <v:fill on="f" focussize="0,0"/>
              <v:stroke on="f" weight="0.5pt"/>
              <v:imagedata o:title=""/>
              <o:lock v:ext="edit" aspectratio="f"/>
              <v:textbox inset="0mm,0mm,0mm,0mm" style="mso-fit-shape-to-text:t;">
                <w:txbxContent>
                  <w:p>
                    <w:pPr>
                      <w:pStyle w:val="17"/>
                      <w:ind w:left="420" w:leftChars="150" w:right="420" w:rightChars="150" w:firstLine="0" w:firstLineChars="0"/>
                      <w:rPr>
                        <w:rFonts w:asciiTheme="minorEastAsia" w:hAnsiTheme="minorEastAsia" w:eastAsiaTheme="minorEastAsia" w:cstheme="minorEastAsia"/>
                        <w:sz w:val="28"/>
                        <w:szCs w:val="28"/>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0" w:firstLineChars="0"/>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a:effectLst/>
                    </wps:spPr>
                    <wps:txbx>
                      <w:txbxContent>
                        <w:p>
                          <w:pPr>
                            <w:pStyle w:val="17"/>
                            <w:ind w:firstLine="360"/>
                          </w:pPr>
                          <w:r>
                            <w:fldChar w:fldCharType="begin"/>
                          </w:r>
                          <w:r>
                            <w:instrText xml:space="preserve"> PAGE  \* MERGEFORMAT </w:instrText>
                          </w:r>
                          <w:r>
                            <w:fldChar w:fldCharType="separate"/>
                          </w:r>
                          <w:r>
                            <w:t>VIII</w:t>
                          </w:r>
                          <w:r>
                            <w:fldChar w:fldCharType="end"/>
                          </w:r>
                        </w:p>
                      </w:txbxContent>
                    </wps:txbx>
                    <wps:bodyPr wrap="none" lIns="0" tIns="0" rIns="0" bIns="0">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FgAAAGRycy9QSwECFAAU&#10;AAAACACHTuJAzql5uc8AAAAFAQAADwAAAAAAAAABACAAAAA4AAAAZHJzL2Rvd25yZXYueG1sUEsB&#10;AhQAFAAAAAgAh07iQPic4hCvAQAAUQMAAA4AAAAAAAAAAQAgAAAANAEAAGRycy9lMm9Eb2MueG1s&#10;UEsFBgAAAAAGAAYAWQEAAFUFAAAAAA==&#10;">
              <v:fill on="f" focussize="0,0"/>
              <v:stroke on="f"/>
              <v:imagedata o:title=""/>
              <o:lock v:ext="edit" aspectratio="f"/>
              <v:textbox inset="0mm,0mm,0mm,0mm" style="mso-fit-shape-to-text:t;">
                <w:txbxContent>
                  <w:p>
                    <w:pPr>
                      <w:pStyle w:val="17"/>
                      <w:ind w:firstLine="360"/>
                    </w:pPr>
                    <w:r>
                      <w:fldChar w:fldCharType="begin"/>
                    </w:r>
                    <w:r>
                      <w:instrText xml:space="preserve"> PAGE  \* MERGEFORMAT </w:instrText>
                    </w:r>
                    <w:r>
                      <w:fldChar w:fldCharType="separate"/>
                    </w:r>
                    <w:r>
                      <w:t>VIII</w:t>
                    </w:r>
                    <w:r>
                      <w:fldChar w:fldCharType="end"/>
                    </w:r>
                  </w:p>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17"/>
                            <w:ind w:left="420" w:leftChars="150" w:right="420" w:rightChars="150" w:firstLine="0" w:firstLineChars="0"/>
                            <w:rPr>
                              <w:rFonts w:asciiTheme="minorEastAsia" w:hAnsiTheme="minorEastAsia" w:eastAsiaTheme="minorEastAsia" w:cstheme="minorEastAsia"/>
                              <w:sz w:val="28"/>
                              <w:szCs w:val="28"/>
                            </w:rPr>
                          </w:pP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LNJWO7QAAAABQEAAA8AAAAAAAAAAQAgAAAAOAAAAGRycy9kb3ducmV2LnhtbFBLAQIUABQA&#10;AAAIAIdO4kC5f05dGwIAACkEAAAOAAAAAAAAAAEAIAAAADUBAABkcnMvZTJvRG9jLnhtbFBLBQYA&#10;AAAABgAGAFkBAADCBQAAAAA=&#10;">
              <v:fill on="f" focussize="0,0"/>
              <v:stroke on="f" weight="0.5pt"/>
              <v:imagedata o:title=""/>
              <o:lock v:ext="edit" aspectratio="f"/>
              <v:textbox inset="0mm,0mm,0mm,0mm" style="mso-fit-shape-to-text:t;">
                <w:txbxContent>
                  <w:p>
                    <w:pPr>
                      <w:pStyle w:val="17"/>
                      <w:ind w:left="420" w:leftChars="150" w:right="420" w:rightChars="150" w:firstLine="0" w:firstLineChars="0"/>
                      <w:rPr>
                        <w:rFonts w:asciiTheme="minorEastAsia" w:hAnsiTheme="minorEastAsia" w:eastAsiaTheme="minorEastAsia" w:cstheme="minorEastAsia"/>
                        <w:sz w:val="28"/>
                        <w:szCs w:val="28"/>
                      </w:rPr>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666757"/>
    </w:sdtPr>
    <w:sdtContent>
      <w:p>
        <w:pPr>
          <w:pStyle w:val="17"/>
          <w:ind w:firstLine="360"/>
          <w:jc w:val="center"/>
        </w:pPr>
        <w:r>
          <w:fldChar w:fldCharType="begin"/>
        </w:r>
        <w:r>
          <w:instrText xml:space="preserve"> PAGE   \* MERGEFORMAT </w:instrText>
        </w:r>
        <w:r>
          <w:fldChar w:fldCharType="separate"/>
        </w:r>
        <w:r>
          <w:rPr>
            <w:lang w:val="zh-CN"/>
          </w:rPr>
          <w:t>36</w:t>
        </w:r>
        <w:r>
          <w:rPr>
            <w:lang w:val="zh-CN"/>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560"/>
      </w:pPr>
      <w:r>
        <w:separator/>
      </w:r>
    </w:p>
  </w:footnote>
  <w:footnote w:type="continuationSeparator" w:id="1">
    <w:p>
      <w:pPr>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1"/>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5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73ED52C"/>
    <w:multiLevelType w:val="singleLevel"/>
    <w:tmpl w:val="473ED52C"/>
    <w:lvl w:ilvl="0" w:tentative="0">
      <w:start w:val="4"/>
      <w:numFmt w:val="chineseCounting"/>
      <w:suff w:val="space"/>
      <w:lvlText w:val="第%1节"/>
      <w:lvlJc w:val="left"/>
      <w:rPr>
        <w:rFonts w:hint="eastAsia"/>
      </w:rPr>
    </w:lvl>
  </w:abstractNum>
  <w:abstractNum w:abstractNumId="1">
    <w:nsid w:val="5FE98D36"/>
    <w:multiLevelType w:val="singleLevel"/>
    <w:tmpl w:val="5FE98D36"/>
    <w:lvl w:ilvl="0" w:tentative="0">
      <w:start w:val="5"/>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true"/>
  <w:bordersDoNotSurroundFooter w:val="true"/>
  <w:documentProtection w:enforcement="0"/>
  <w:defaultTabStop w:val="420"/>
  <w:drawingGridVerticalSpacing w:val="156"/>
  <w:noPunctuationKerning w:val="true"/>
  <w:characterSpacingControl w:val="compressPunctuation"/>
  <w:footnotePr>
    <w:footnote w:id="0"/>
    <w:footnote w:id="1"/>
  </w:footnotePr>
  <w:endnotePr>
    <w:endnote w:id="0"/>
    <w:endnote w:id="1"/>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8CB2080"/>
    <w:rsid w:val="00005069"/>
    <w:rsid w:val="00013E8F"/>
    <w:rsid w:val="0003188B"/>
    <w:rsid w:val="00042A91"/>
    <w:rsid w:val="00045033"/>
    <w:rsid w:val="000503E1"/>
    <w:rsid w:val="000541FC"/>
    <w:rsid w:val="00062331"/>
    <w:rsid w:val="000659B3"/>
    <w:rsid w:val="00067E45"/>
    <w:rsid w:val="00085E44"/>
    <w:rsid w:val="00097A69"/>
    <w:rsid w:val="000A2889"/>
    <w:rsid w:val="000B3F4E"/>
    <w:rsid w:val="000B419B"/>
    <w:rsid w:val="000B479C"/>
    <w:rsid w:val="000B5872"/>
    <w:rsid w:val="000C6400"/>
    <w:rsid w:val="000D330D"/>
    <w:rsid w:val="000D3761"/>
    <w:rsid w:val="000E2132"/>
    <w:rsid w:val="000E6BAA"/>
    <w:rsid w:val="000F6398"/>
    <w:rsid w:val="00101F65"/>
    <w:rsid w:val="0010507E"/>
    <w:rsid w:val="0012286D"/>
    <w:rsid w:val="001257AE"/>
    <w:rsid w:val="001262FC"/>
    <w:rsid w:val="00131924"/>
    <w:rsid w:val="0013791D"/>
    <w:rsid w:val="00137A91"/>
    <w:rsid w:val="00140C66"/>
    <w:rsid w:val="00145AEB"/>
    <w:rsid w:val="00152CC2"/>
    <w:rsid w:val="001553FF"/>
    <w:rsid w:val="001603A7"/>
    <w:rsid w:val="0017553A"/>
    <w:rsid w:val="00175881"/>
    <w:rsid w:val="00177008"/>
    <w:rsid w:val="0018015F"/>
    <w:rsid w:val="00181E33"/>
    <w:rsid w:val="00186B54"/>
    <w:rsid w:val="00191423"/>
    <w:rsid w:val="001932B6"/>
    <w:rsid w:val="001A6627"/>
    <w:rsid w:val="001B1A79"/>
    <w:rsid w:val="001B48C9"/>
    <w:rsid w:val="001B52F3"/>
    <w:rsid w:val="001B56AF"/>
    <w:rsid w:val="001B5CB9"/>
    <w:rsid w:val="001C18E7"/>
    <w:rsid w:val="001C3FB0"/>
    <w:rsid w:val="001D328A"/>
    <w:rsid w:val="001E0395"/>
    <w:rsid w:val="001E5F12"/>
    <w:rsid w:val="001F0C31"/>
    <w:rsid w:val="001F117C"/>
    <w:rsid w:val="001F267A"/>
    <w:rsid w:val="001F2E07"/>
    <w:rsid w:val="00200AF8"/>
    <w:rsid w:val="00203FAD"/>
    <w:rsid w:val="00215309"/>
    <w:rsid w:val="00217D63"/>
    <w:rsid w:val="002368C9"/>
    <w:rsid w:val="00244C99"/>
    <w:rsid w:val="002460FD"/>
    <w:rsid w:val="002531F2"/>
    <w:rsid w:val="002602C7"/>
    <w:rsid w:val="00261A07"/>
    <w:rsid w:val="00262D2D"/>
    <w:rsid w:val="002660C1"/>
    <w:rsid w:val="002720DE"/>
    <w:rsid w:val="0027314F"/>
    <w:rsid w:val="00275D78"/>
    <w:rsid w:val="00276C61"/>
    <w:rsid w:val="002956D8"/>
    <w:rsid w:val="00296BC5"/>
    <w:rsid w:val="002B385C"/>
    <w:rsid w:val="002B48F3"/>
    <w:rsid w:val="002B4BC7"/>
    <w:rsid w:val="002B750A"/>
    <w:rsid w:val="002C55F8"/>
    <w:rsid w:val="002D1DAF"/>
    <w:rsid w:val="002D2D4C"/>
    <w:rsid w:val="002D335C"/>
    <w:rsid w:val="002D4564"/>
    <w:rsid w:val="002D789B"/>
    <w:rsid w:val="002F14AF"/>
    <w:rsid w:val="002F6FE5"/>
    <w:rsid w:val="00304C34"/>
    <w:rsid w:val="00307B80"/>
    <w:rsid w:val="003152ED"/>
    <w:rsid w:val="00315432"/>
    <w:rsid w:val="003169DF"/>
    <w:rsid w:val="0035032C"/>
    <w:rsid w:val="00354E4F"/>
    <w:rsid w:val="003606BE"/>
    <w:rsid w:val="00364069"/>
    <w:rsid w:val="0036657D"/>
    <w:rsid w:val="00370A88"/>
    <w:rsid w:val="003720BC"/>
    <w:rsid w:val="003741FB"/>
    <w:rsid w:val="00374FFF"/>
    <w:rsid w:val="00383C55"/>
    <w:rsid w:val="00384DB5"/>
    <w:rsid w:val="00387E98"/>
    <w:rsid w:val="00390D31"/>
    <w:rsid w:val="003949AC"/>
    <w:rsid w:val="00395047"/>
    <w:rsid w:val="003A2100"/>
    <w:rsid w:val="003B726C"/>
    <w:rsid w:val="003B77C1"/>
    <w:rsid w:val="003D31DA"/>
    <w:rsid w:val="003D3455"/>
    <w:rsid w:val="003D7600"/>
    <w:rsid w:val="003D7EBB"/>
    <w:rsid w:val="003F4E49"/>
    <w:rsid w:val="003F59AC"/>
    <w:rsid w:val="00401B11"/>
    <w:rsid w:val="00405619"/>
    <w:rsid w:val="00407513"/>
    <w:rsid w:val="004112E8"/>
    <w:rsid w:val="004175D2"/>
    <w:rsid w:val="0044470A"/>
    <w:rsid w:val="00455F1D"/>
    <w:rsid w:val="00457234"/>
    <w:rsid w:val="004612CF"/>
    <w:rsid w:val="00461CCD"/>
    <w:rsid w:val="00466BE2"/>
    <w:rsid w:val="00473E10"/>
    <w:rsid w:val="00480A43"/>
    <w:rsid w:val="0048607C"/>
    <w:rsid w:val="00486163"/>
    <w:rsid w:val="00494E68"/>
    <w:rsid w:val="00495E37"/>
    <w:rsid w:val="004B32B5"/>
    <w:rsid w:val="004B7280"/>
    <w:rsid w:val="004F002A"/>
    <w:rsid w:val="00505325"/>
    <w:rsid w:val="00513BB9"/>
    <w:rsid w:val="0052794D"/>
    <w:rsid w:val="00527F81"/>
    <w:rsid w:val="00552952"/>
    <w:rsid w:val="00555458"/>
    <w:rsid w:val="00560430"/>
    <w:rsid w:val="00564B5B"/>
    <w:rsid w:val="005748D4"/>
    <w:rsid w:val="00581AC5"/>
    <w:rsid w:val="005952EB"/>
    <w:rsid w:val="00597C38"/>
    <w:rsid w:val="005A0E67"/>
    <w:rsid w:val="005A6D62"/>
    <w:rsid w:val="005D759F"/>
    <w:rsid w:val="005E2A40"/>
    <w:rsid w:val="005E3A28"/>
    <w:rsid w:val="005E3B97"/>
    <w:rsid w:val="005E6DF7"/>
    <w:rsid w:val="005F4F0D"/>
    <w:rsid w:val="005F72C5"/>
    <w:rsid w:val="006064CE"/>
    <w:rsid w:val="00612CEC"/>
    <w:rsid w:val="00617838"/>
    <w:rsid w:val="00623861"/>
    <w:rsid w:val="00646D7A"/>
    <w:rsid w:val="006645ED"/>
    <w:rsid w:val="006663F5"/>
    <w:rsid w:val="006734F3"/>
    <w:rsid w:val="00675832"/>
    <w:rsid w:val="00691084"/>
    <w:rsid w:val="006A267C"/>
    <w:rsid w:val="006A64D5"/>
    <w:rsid w:val="006C1EE7"/>
    <w:rsid w:val="006C5379"/>
    <w:rsid w:val="006D35DE"/>
    <w:rsid w:val="006D6D02"/>
    <w:rsid w:val="006E65F5"/>
    <w:rsid w:val="006F67A7"/>
    <w:rsid w:val="006F707C"/>
    <w:rsid w:val="006F7B93"/>
    <w:rsid w:val="00703D6C"/>
    <w:rsid w:val="00713AFE"/>
    <w:rsid w:val="007417AC"/>
    <w:rsid w:val="0077260D"/>
    <w:rsid w:val="00773FC8"/>
    <w:rsid w:val="00782D54"/>
    <w:rsid w:val="00795D75"/>
    <w:rsid w:val="007A5B67"/>
    <w:rsid w:val="007A607D"/>
    <w:rsid w:val="007B0EF0"/>
    <w:rsid w:val="007C35A5"/>
    <w:rsid w:val="007C3A2C"/>
    <w:rsid w:val="007C6A6D"/>
    <w:rsid w:val="007E37F8"/>
    <w:rsid w:val="007E6D24"/>
    <w:rsid w:val="007F4565"/>
    <w:rsid w:val="00800AC4"/>
    <w:rsid w:val="00803A06"/>
    <w:rsid w:val="0081116B"/>
    <w:rsid w:val="008211D3"/>
    <w:rsid w:val="008307BB"/>
    <w:rsid w:val="008546AC"/>
    <w:rsid w:val="008651A6"/>
    <w:rsid w:val="00892EFE"/>
    <w:rsid w:val="00896327"/>
    <w:rsid w:val="008A4C43"/>
    <w:rsid w:val="008B5641"/>
    <w:rsid w:val="008B751B"/>
    <w:rsid w:val="008C0A83"/>
    <w:rsid w:val="008C5C0B"/>
    <w:rsid w:val="008D2184"/>
    <w:rsid w:val="008D38B3"/>
    <w:rsid w:val="008E028F"/>
    <w:rsid w:val="008F1256"/>
    <w:rsid w:val="008F21FE"/>
    <w:rsid w:val="008F2B94"/>
    <w:rsid w:val="00911459"/>
    <w:rsid w:val="0091435E"/>
    <w:rsid w:val="009146DB"/>
    <w:rsid w:val="009179C3"/>
    <w:rsid w:val="00927644"/>
    <w:rsid w:val="00932D33"/>
    <w:rsid w:val="00953A30"/>
    <w:rsid w:val="0095783C"/>
    <w:rsid w:val="0096033B"/>
    <w:rsid w:val="00973A7A"/>
    <w:rsid w:val="009769C8"/>
    <w:rsid w:val="00976BD0"/>
    <w:rsid w:val="00980145"/>
    <w:rsid w:val="009802E1"/>
    <w:rsid w:val="00985FC0"/>
    <w:rsid w:val="00991138"/>
    <w:rsid w:val="009C3CA7"/>
    <w:rsid w:val="009D1434"/>
    <w:rsid w:val="009E56AD"/>
    <w:rsid w:val="009F4FD6"/>
    <w:rsid w:val="00A003CF"/>
    <w:rsid w:val="00A01912"/>
    <w:rsid w:val="00A05C41"/>
    <w:rsid w:val="00A07970"/>
    <w:rsid w:val="00A11872"/>
    <w:rsid w:val="00A1789D"/>
    <w:rsid w:val="00A20D9D"/>
    <w:rsid w:val="00A23725"/>
    <w:rsid w:val="00A24FA4"/>
    <w:rsid w:val="00A318C2"/>
    <w:rsid w:val="00A32CE5"/>
    <w:rsid w:val="00A3344F"/>
    <w:rsid w:val="00A34BD1"/>
    <w:rsid w:val="00A37A97"/>
    <w:rsid w:val="00A46AE1"/>
    <w:rsid w:val="00A50BD2"/>
    <w:rsid w:val="00A60F6A"/>
    <w:rsid w:val="00A65A46"/>
    <w:rsid w:val="00A71C52"/>
    <w:rsid w:val="00A72233"/>
    <w:rsid w:val="00A8304F"/>
    <w:rsid w:val="00A8725C"/>
    <w:rsid w:val="00A92BE2"/>
    <w:rsid w:val="00A9634D"/>
    <w:rsid w:val="00A96D78"/>
    <w:rsid w:val="00A97FFA"/>
    <w:rsid w:val="00AA68C2"/>
    <w:rsid w:val="00AB22DB"/>
    <w:rsid w:val="00AC0B53"/>
    <w:rsid w:val="00AC32A2"/>
    <w:rsid w:val="00AE2CDD"/>
    <w:rsid w:val="00AE785E"/>
    <w:rsid w:val="00AF075D"/>
    <w:rsid w:val="00AF51AE"/>
    <w:rsid w:val="00B00794"/>
    <w:rsid w:val="00B011D8"/>
    <w:rsid w:val="00B02188"/>
    <w:rsid w:val="00B10319"/>
    <w:rsid w:val="00B1355E"/>
    <w:rsid w:val="00B20803"/>
    <w:rsid w:val="00B22F4E"/>
    <w:rsid w:val="00B24D96"/>
    <w:rsid w:val="00B25DAD"/>
    <w:rsid w:val="00B355B8"/>
    <w:rsid w:val="00B356B0"/>
    <w:rsid w:val="00B406FD"/>
    <w:rsid w:val="00B42579"/>
    <w:rsid w:val="00B43664"/>
    <w:rsid w:val="00B439F5"/>
    <w:rsid w:val="00B55EEF"/>
    <w:rsid w:val="00B56CA7"/>
    <w:rsid w:val="00B5791B"/>
    <w:rsid w:val="00B64E44"/>
    <w:rsid w:val="00B67C43"/>
    <w:rsid w:val="00B70F2E"/>
    <w:rsid w:val="00B75F04"/>
    <w:rsid w:val="00B77806"/>
    <w:rsid w:val="00B834AD"/>
    <w:rsid w:val="00B908C7"/>
    <w:rsid w:val="00B90C9E"/>
    <w:rsid w:val="00B91FA4"/>
    <w:rsid w:val="00BA4CCE"/>
    <w:rsid w:val="00BA687B"/>
    <w:rsid w:val="00BA707A"/>
    <w:rsid w:val="00BA7166"/>
    <w:rsid w:val="00BC3A13"/>
    <w:rsid w:val="00BC3B1C"/>
    <w:rsid w:val="00BC4AE8"/>
    <w:rsid w:val="00BC6B6D"/>
    <w:rsid w:val="00BD36A3"/>
    <w:rsid w:val="00BE1C86"/>
    <w:rsid w:val="00C05782"/>
    <w:rsid w:val="00C174AA"/>
    <w:rsid w:val="00C31D0E"/>
    <w:rsid w:val="00C34E6E"/>
    <w:rsid w:val="00C5729A"/>
    <w:rsid w:val="00C7272C"/>
    <w:rsid w:val="00C7285F"/>
    <w:rsid w:val="00C779D9"/>
    <w:rsid w:val="00C8723A"/>
    <w:rsid w:val="00C91C41"/>
    <w:rsid w:val="00C9524C"/>
    <w:rsid w:val="00C96F84"/>
    <w:rsid w:val="00CA4082"/>
    <w:rsid w:val="00CA6698"/>
    <w:rsid w:val="00CB01FE"/>
    <w:rsid w:val="00CB339B"/>
    <w:rsid w:val="00CB3717"/>
    <w:rsid w:val="00CB39B4"/>
    <w:rsid w:val="00CB52C5"/>
    <w:rsid w:val="00CC022C"/>
    <w:rsid w:val="00CC6181"/>
    <w:rsid w:val="00CC6276"/>
    <w:rsid w:val="00CD4529"/>
    <w:rsid w:val="00CD5783"/>
    <w:rsid w:val="00CE25C4"/>
    <w:rsid w:val="00CE6081"/>
    <w:rsid w:val="00CF0173"/>
    <w:rsid w:val="00CF3A45"/>
    <w:rsid w:val="00D04284"/>
    <w:rsid w:val="00D0567C"/>
    <w:rsid w:val="00D062AA"/>
    <w:rsid w:val="00D176AD"/>
    <w:rsid w:val="00D27A71"/>
    <w:rsid w:val="00D30CFA"/>
    <w:rsid w:val="00D3651B"/>
    <w:rsid w:val="00D708D0"/>
    <w:rsid w:val="00D710D9"/>
    <w:rsid w:val="00D75EF5"/>
    <w:rsid w:val="00D75F98"/>
    <w:rsid w:val="00D854F1"/>
    <w:rsid w:val="00D85898"/>
    <w:rsid w:val="00D877E7"/>
    <w:rsid w:val="00D95870"/>
    <w:rsid w:val="00D960AF"/>
    <w:rsid w:val="00DB2CB6"/>
    <w:rsid w:val="00DB74DA"/>
    <w:rsid w:val="00DC0E1D"/>
    <w:rsid w:val="00DC6119"/>
    <w:rsid w:val="00DD1B68"/>
    <w:rsid w:val="00DD52B7"/>
    <w:rsid w:val="00DE30F9"/>
    <w:rsid w:val="00E014E2"/>
    <w:rsid w:val="00E17326"/>
    <w:rsid w:val="00E21FCB"/>
    <w:rsid w:val="00E36883"/>
    <w:rsid w:val="00E41AE6"/>
    <w:rsid w:val="00E41FA0"/>
    <w:rsid w:val="00E42DC4"/>
    <w:rsid w:val="00E4631E"/>
    <w:rsid w:val="00E51A2D"/>
    <w:rsid w:val="00E532A2"/>
    <w:rsid w:val="00E64605"/>
    <w:rsid w:val="00E651A6"/>
    <w:rsid w:val="00E66545"/>
    <w:rsid w:val="00E76855"/>
    <w:rsid w:val="00E76D48"/>
    <w:rsid w:val="00E850C0"/>
    <w:rsid w:val="00E9404B"/>
    <w:rsid w:val="00EA53A9"/>
    <w:rsid w:val="00EB5E83"/>
    <w:rsid w:val="00EC0E6C"/>
    <w:rsid w:val="00EC3E06"/>
    <w:rsid w:val="00EC7476"/>
    <w:rsid w:val="00ED0F04"/>
    <w:rsid w:val="00ED3330"/>
    <w:rsid w:val="00ED3EB3"/>
    <w:rsid w:val="00ED5AB6"/>
    <w:rsid w:val="00EE02F7"/>
    <w:rsid w:val="00EF5D33"/>
    <w:rsid w:val="00F34736"/>
    <w:rsid w:val="00F42197"/>
    <w:rsid w:val="00F47C52"/>
    <w:rsid w:val="00F56ED5"/>
    <w:rsid w:val="00F63530"/>
    <w:rsid w:val="00F63CFB"/>
    <w:rsid w:val="00F64F94"/>
    <w:rsid w:val="00F654C3"/>
    <w:rsid w:val="00F71802"/>
    <w:rsid w:val="00F84CB8"/>
    <w:rsid w:val="00F90328"/>
    <w:rsid w:val="00F9404A"/>
    <w:rsid w:val="00F9776F"/>
    <w:rsid w:val="00FA027E"/>
    <w:rsid w:val="00FA183B"/>
    <w:rsid w:val="00FA7B47"/>
    <w:rsid w:val="00FC7824"/>
    <w:rsid w:val="00FD292D"/>
    <w:rsid w:val="00FD4192"/>
    <w:rsid w:val="00FD6115"/>
    <w:rsid w:val="00FE57C2"/>
    <w:rsid w:val="00FF0944"/>
    <w:rsid w:val="00FF1048"/>
    <w:rsid w:val="01083AE6"/>
    <w:rsid w:val="011A4F8A"/>
    <w:rsid w:val="01200342"/>
    <w:rsid w:val="0129356C"/>
    <w:rsid w:val="013C07C3"/>
    <w:rsid w:val="01415660"/>
    <w:rsid w:val="01515E14"/>
    <w:rsid w:val="01607707"/>
    <w:rsid w:val="01687AA2"/>
    <w:rsid w:val="01956C5E"/>
    <w:rsid w:val="01AA2B99"/>
    <w:rsid w:val="01BB7A09"/>
    <w:rsid w:val="01DC527B"/>
    <w:rsid w:val="01F141D0"/>
    <w:rsid w:val="01F403FD"/>
    <w:rsid w:val="0200109B"/>
    <w:rsid w:val="02200BDF"/>
    <w:rsid w:val="022A7999"/>
    <w:rsid w:val="025107EE"/>
    <w:rsid w:val="025A7670"/>
    <w:rsid w:val="02AB0040"/>
    <w:rsid w:val="02AB4256"/>
    <w:rsid w:val="02C438EE"/>
    <w:rsid w:val="02CA098E"/>
    <w:rsid w:val="02CB658E"/>
    <w:rsid w:val="02DB7FC7"/>
    <w:rsid w:val="02E46A2C"/>
    <w:rsid w:val="02E7716B"/>
    <w:rsid w:val="033E02CD"/>
    <w:rsid w:val="03433C59"/>
    <w:rsid w:val="03587D22"/>
    <w:rsid w:val="035D3257"/>
    <w:rsid w:val="035F36B7"/>
    <w:rsid w:val="03692BA3"/>
    <w:rsid w:val="03934D8C"/>
    <w:rsid w:val="039A4804"/>
    <w:rsid w:val="039C5808"/>
    <w:rsid w:val="039E4D83"/>
    <w:rsid w:val="039E70C7"/>
    <w:rsid w:val="03C24D58"/>
    <w:rsid w:val="03CB7609"/>
    <w:rsid w:val="03D944BC"/>
    <w:rsid w:val="041C0BED"/>
    <w:rsid w:val="041D1590"/>
    <w:rsid w:val="041D6012"/>
    <w:rsid w:val="04327EAA"/>
    <w:rsid w:val="04667950"/>
    <w:rsid w:val="046C34C6"/>
    <w:rsid w:val="04853729"/>
    <w:rsid w:val="04855361"/>
    <w:rsid w:val="04C01E1F"/>
    <w:rsid w:val="04CB2D0F"/>
    <w:rsid w:val="04DB0A04"/>
    <w:rsid w:val="04DB4754"/>
    <w:rsid w:val="04E344FC"/>
    <w:rsid w:val="04EA032A"/>
    <w:rsid w:val="04EA7F89"/>
    <w:rsid w:val="04EC0D10"/>
    <w:rsid w:val="05586ABA"/>
    <w:rsid w:val="055A5594"/>
    <w:rsid w:val="055C5466"/>
    <w:rsid w:val="056C7785"/>
    <w:rsid w:val="057B578D"/>
    <w:rsid w:val="05862DE8"/>
    <w:rsid w:val="05A80D36"/>
    <w:rsid w:val="05B454F6"/>
    <w:rsid w:val="05B515E9"/>
    <w:rsid w:val="05BB7886"/>
    <w:rsid w:val="05D855E0"/>
    <w:rsid w:val="05F35B2D"/>
    <w:rsid w:val="05F96DB7"/>
    <w:rsid w:val="061352C9"/>
    <w:rsid w:val="06190E89"/>
    <w:rsid w:val="06290BDA"/>
    <w:rsid w:val="06357A9B"/>
    <w:rsid w:val="063F6300"/>
    <w:rsid w:val="06422E8C"/>
    <w:rsid w:val="065C7DA7"/>
    <w:rsid w:val="065D02E7"/>
    <w:rsid w:val="066A6A24"/>
    <w:rsid w:val="0677007C"/>
    <w:rsid w:val="068C60AF"/>
    <w:rsid w:val="068E6F6D"/>
    <w:rsid w:val="069163D1"/>
    <w:rsid w:val="0696309D"/>
    <w:rsid w:val="06B2757F"/>
    <w:rsid w:val="06B56B38"/>
    <w:rsid w:val="06C641A9"/>
    <w:rsid w:val="06CB304D"/>
    <w:rsid w:val="07062D35"/>
    <w:rsid w:val="07146D98"/>
    <w:rsid w:val="0719773A"/>
    <w:rsid w:val="07267E71"/>
    <w:rsid w:val="07423265"/>
    <w:rsid w:val="076E23BA"/>
    <w:rsid w:val="07811D05"/>
    <w:rsid w:val="07937544"/>
    <w:rsid w:val="07A02772"/>
    <w:rsid w:val="07BC4C36"/>
    <w:rsid w:val="07C13E96"/>
    <w:rsid w:val="07C9486B"/>
    <w:rsid w:val="07D0200D"/>
    <w:rsid w:val="07D0615D"/>
    <w:rsid w:val="07DF7304"/>
    <w:rsid w:val="07E711D1"/>
    <w:rsid w:val="07FA281B"/>
    <w:rsid w:val="081416AF"/>
    <w:rsid w:val="0820115B"/>
    <w:rsid w:val="08285963"/>
    <w:rsid w:val="08441D3A"/>
    <w:rsid w:val="084855FC"/>
    <w:rsid w:val="087303C4"/>
    <w:rsid w:val="087C5FB5"/>
    <w:rsid w:val="0896123B"/>
    <w:rsid w:val="089F2A7A"/>
    <w:rsid w:val="08C7598D"/>
    <w:rsid w:val="08CE0146"/>
    <w:rsid w:val="08CE4D66"/>
    <w:rsid w:val="08D97347"/>
    <w:rsid w:val="08DB307E"/>
    <w:rsid w:val="0917707E"/>
    <w:rsid w:val="09196D86"/>
    <w:rsid w:val="096312D5"/>
    <w:rsid w:val="09767AC5"/>
    <w:rsid w:val="0989497E"/>
    <w:rsid w:val="09A928C6"/>
    <w:rsid w:val="09B12CDC"/>
    <w:rsid w:val="09C019B3"/>
    <w:rsid w:val="09C1123E"/>
    <w:rsid w:val="09EB4D45"/>
    <w:rsid w:val="0A104328"/>
    <w:rsid w:val="0A162924"/>
    <w:rsid w:val="0A2E58FA"/>
    <w:rsid w:val="0A3A32CE"/>
    <w:rsid w:val="0A5242A1"/>
    <w:rsid w:val="0A732FB5"/>
    <w:rsid w:val="0A7B3DFB"/>
    <w:rsid w:val="0A7F677B"/>
    <w:rsid w:val="0AAF2BD6"/>
    <w:rsid w:val="0AB04B5E"/>
    <w:rsid w:val="0AC01D28"/>
    <w:rsid w:val="0AC573D5"/>
    <w:rsid w:val="0AD50DEB"/>
    <w:rsid w:val="0AD5657B"/>
    <w:rsid w:val="0AF6542D"/>
    <w:rsid w:val="0AFD449D"/>
    <w:rsid w:val="0B045102"/>
    <w:rsid w:val="0B1A22F8"/>
    <w:rsid w:val="0B232B7D"/>
    <w:rsid w:val="0B2C723B"/>
    <w:rsid w:val="0B421E4F"/>
    <w:rsid w:val="0B563BB5"/>
    <w:rsid w:val="0B5848FC"/>
    <w:rsid w:val="0B6778EC"/>
    <w:rsid w:val="0B692CB3"/>
    <w:rsid w:val="0B7123BC"/>
    <w:rsid w:val="0B8C12C2"/>
    <w:rsid w:val="0BCD3DD0"/>
    <w:rsid w:val="0BCF5BE2"/>
    <w:rsid w:val="0BDB3E67"/>
    <w:rsid w:val="0BF446F0"/>
    <w:rsid w:val="0C03582A"/>
    <w:rsid w:val="0C1B2A3F"/>
    <w:rsid w:val="0C577CF6"/>
    <w:rsid w:val="0C5942C6"/>
    <w:rsid w:val="0C6428A3"/>
    <w:rsid w:val="0C7651CA"/>
    <w:rsid w:val="0C7E5687"/>
    <w:rsid w:val="0C835E43"/>
    <w:rsid w:val="0C863B02"/>
    <w:rsid w:val="0C96150E"/>
    <w:rsid w:val="0CBD2E24"/>
    <w:rsid w:val="0CC72459"/>
    <w:rsid w:val="0CD66A14"/>
    <w:rsid w:val="0CD90248"/>
    <w:rsid w:val="0CDE68B8"/>
    <w:rsid w:val="0CFE33FC"/>
    <w:rsid w:val="0D0E4BD7"/>
    <w:rsid w:val="0D0F4150"/>
    <w:rsid w:val="0D2B726B"/>
    <w:rsid w:val="0D316092"/>
    <w:rsid w:val="0D4E6400"/>
    <w:rsid w:val="0D5524D3"/>
    <w:rsid w:val="0D5E53D9"/>
    <w:rsid w:val="0D624645"/>
    <w:rsid w:val="0D6326D5"/>
    <w:rsid w:val="0D6A51A6"/>
    <w:rsid w:val="0D743FC8"/>
    <w:rsid w:val="0D761172"/>
    <w:rsid w:val="0D7B57B0"/>
    <w:rsid w:val="0D972466"/>
    <w:rsid w:val="0DAC0002"/>
    <w:rsid w:val="0DB07DC7"/>
    <w:rsid w:val="0DB4276A"/>
    <w:rsid w:val="0DD54B1A"/>
    <w:rsid w:val="0DD5574E"/>
    <w:rsid w:val="0DDE05E7"/>
    <w:rsid w:val="0E00593E"/>
    <w:rsid w:val="0E090445"/>
    <w:rsid w:val="0E1419B2"/>
    <w:rsid w:val="0E2416D5"/>
    <w:rsid w:val="0E5C443E"/>
    <w:rsid w:val="0E5D51D7"/>
    <w:rsid w:val="0E6B5920"/>
    <w:rsid w:val="0E717D88"/>
    <w:rsid w:val="0E776655"/>
    <w:rsid w:val="0E7C35FC"/>
    <w:rsid w:val="0E85581F"/>
    <w:rsid w:val="0E8C07AA"/>
    <w:rsid w:val="0E8F4DA9"/>
    <w:rsid w:val="0E9454B2"/>
    <w:rsid w:val="0EAC25CF"/>
    <w:rsid w:val="0EC3223C"/>
    <w:rsid w:val="0EF83196"/>
    <w:rsid w:val="0F075EFA"/>
    <w:rsid w:val="0F1332CA"/>
    <w:rsid w:val="0F181E0B"/>
    <w:rsid w:val="0F307D0A"/>
    <w:rsid w:val="0F403E38"/>
    <w:rsid w:val="0F602FDE"/>
    <w:rsid w:val="0F822715"/>
    <w:rsid w:val="0FBE7981"/>
    <w:rsid w:val="0FCA4E10"/>
    <w:rsid w:val="0FD26609"/>
    <w:rsid w:val="0FF03027"/>
    <w:rsid w:val="0FF11D9C"/>
    <w:rsid w:val="0FF352B4"/>
    <w:rsid w:val="10076DD2"/>
    <w:rsid w:val="102D0195"/>
    <w:rsid w:val="10477BCE"/>
    <w:rsid w:val="10480C4C"/>
    <w:rsid w:val="10586CE6"/>
    <w:rsid w:val="105B2F0A"/>
    <w:rsid w:val="10614A10"/>
    <w:rsid w:val="106B234C"/>
    <w:rsid w:val="106E5507"/>
    <w:rsid w:val="10846667"/>
    <w:rsid w:val="10872992"/>
    <w:rsid w:val="10A90519"/>
    <w:rsid w:val="10B4360F"/>
    <w:rsid w:val="10CA0046"/>
    <w:rsid w:val="10D51932"/>
    <w:rsid w:val="10DD0FC4"/>
    <w:rsid w:val="10F70463"/>
    <w:rsid w:val="11387899"/>
    <w:rsid w:val="113E50BA"/>
    <w:rsid w:val="11465A0D"/>
    <w:rsid w:val="114A1D2C"/>
    <w:rsid w:val="11716C60"/>
    <w:rsid w:val="118A2CC8"/>
    <w:rsid w:val="118F35A6"/>
    <w:rsid w:val="119B1390"/>
    <w:rsid w:val="11A23691"/>
    <w:rsid w:val="11AC3A90"/>
    <w:rsid w:val="11C910E4"/>
    <w:rsid w:val="11DC673D"/>
    <w:rsid w:val="11E40280"/>
    <w:rsid w:val="11FC08F4"/>
    <w:rsid w:val="1206697C"/>
    <w:rsid w:val="12395E83"/>
    <w:rsid w:val="12490804"/>
    <w:rsid w:val="125629A1"/>
    <w:rsid w:val="125A6CF2"/>
    <w:rsid w:val="125B6504"/>
    <w:rsid w:val="12697E49"/>
    <w:rsid w:val="126D1151"/>
    <w:rsid w:val="128D0AEF"/>
    <w:rsid w:val="128F034C"/>
    <w:rsid w:val="129B7683"/>
    <w:rsid w:val="12A31C1D"/>
    <w:rsid w:val="12B5055F"/>
    <w:rsid w:val="12CC422F"/>
    <w:rsid w:val="12DD449F"/>
    <w:rsid w:val="13233F26"/>
    <w:rsid w:val="133F386C"/>
    <w:rsid w:val="134D592E"/>
    <w:rsid w:val="134E069A"/>
    <w:rsid w:val="13941DDF"/>
    <w:rsid w:val="13975754"/>
    <w:rsid w:val="139B5C9A"/>
    <w:rsid w:val="13BA1163"/>
    <w:rsid w:val="13C1306F"/>
    <w:rsid w:val="13DC3BE2"/>
    <w:rsid w:val="13E35551"/>
    <w:rsid w:val="13F960CD"/>
    <w:rsid w:val="1407308A"/>
    <w:rsid w:val="140C12D0"/>
    <w:rsid w:val="143837BA"/>
    <w:rsid w:val="143B4213"/>
    <w:rsid w:val="14423F43"/>
    <w:rsid w:val="14484D6C"/>
    <w:rsid w:val="144D4614"/>
    <w:rsid w:val="1467071B"/>
    <w:rsid w:val="146D6EA3"/>
    <w:rsid w:val="147B799F"/>
    <w:rsid w:val="1482678F"/>
    <w:rsid w:val="14934A52"/>
    <w:rsid w:val="149D54A5"/>
    <w:rsid w:val="149F0208"/>
    <w:rsid w:val="150D3EDB"/>
    <w:rsid w:val="15187234"/>
    <w:rsid w:val="15277551"/>
    <w:rsid w:val="156D59AD"/>
    <w:rsid w:val="158F6426"/>
    <w:rsid w:val="15944E40"/>
    <w:rsid w:val="159A6BB5"/>
    <w:rsid w:val="15B60F48"/>
    <w:rsid w:val="15C02B19"/>
    <w:rsid w:val="15C40744"/>
    <w:rsid w:val="15CC1356"/>
    <w:rsid w:val="15D72043"/>
    <w:rsid w:val="15E65B51"/>
    <w:rsid w:val="15EC5958"/>
    <w:rsid w:val="15F00998"/>
    <w:rsid w:val="15F97C43"/>
    <w:rsid w:val="16002E4B"/>
    <w:rsid w:val="16036BAE"/>
    <w:rsid w:val="16114A2D"/>
    <w:rsid w:val="16772516"/>
    <w:rsid w:val="167F3475"/>
    <w:rsid w:val="16C77E80"/>
    <w:rsid w:val="16DE20E8"/>
    <w:rsid w:val="16E40C86"/>
    <w:rsid w:val="16E72308"/>
    <w:rsid w:val="170F4B9E"/>
    <w:rsid w:val="17127811"/>
    <w:rsid w:val="1729693A"/>
    <w:rsid w:val="173A2681"/>
    <w:rsid w:val="17573543"/>
    <w:rsid w:val="175919FF"/>
    <w:rsid w:val="17622013"/>
    <w:rsid w:val="17695704"/>
    <w:rsid w:val="177274A9"/>
    <w:rsid w:val="1779297C"/>
    <w:rsid w:val="17881018"/>
    <w:rsid w:val="17957866"/>
    <w:rsid w:val="179B50FA"/>
    <w:rsid w:val="17AC19F8"/>
    <w:rsid w:val="17BB4606"/>
    <w:rsid w:val="17C55E8D"/>
    <w:rsid w:val="17D92B4B"/>
    <w:rsid w:val="17E21638"/>
    <w:rsid w:val="17ED4AA2"/>
    <w:rsid w:val="17F124E4"/>
    <w:rsid w:val="17FA2F9E"/>
    <w:rsid w:val="18012BF2"/>
    <w:rsid w:val="180E4544"/>
    <w:rsid w:val="18107A4A"/>
    <w:rsid w:val="1822489E"/>
    <w:rsid w:val="182D2D00"/>
    <w:rsid w:val="182D4C0C"/>
    <w:rsid w:val="186C7242"/>
    <w:rsid w:val="1875173F"/>
    <w:rsid w:val="187A39CF"/>
    <w:rsid w:val="188C2522"/>
    <w:rsid w:val="188E14CF"/>
    <w:rsid w:val="188F2BF1"/>
    <w:rsid w:val="18AF2870"/>
    <w:rsid w:val="18EA1366"/>
    <w:rsid w:val="19042506"/>
    <w:rsid w:val="190469D6"/>
    <w:rsid w:val="190B265B"/>
    <w:rsid w:val="190F628A"/>
    <w:rsid w:val="19231DD6"/>
    <w:rsid w:val="19263292"/>
    <w:rsid w:val="194B01CB"/>
    <w:rsid w:val="19517825"/>
    <w:rsid w:val="19A45B38"/>
    <w:rsid w:val="19DE1A08"/>
    <w:rsid w:val="19EE191E"/>
    <w:rsid w:val="19F438F9"/>
    <w:rsid w:val="1A2D18C5"/>
    <w:rsid w:val="1A2D3503"/>
    <w:rsid w:val="1A306C07"/>
    <w:rsid w:val="1A3A38EF"/>
    <w:rsid w:val="1A4018A1"/>
    <w:rsid w:val="1A5C1DBF"/>
    <w:rsid w:val="1A5C25A1"/>
    <w:rsid w:val="1A6A5531"/>
    <w:rsid w:val="1A7E5FE7"/>
    <w:rsid w:val="1A92468A"/>
    <w:rsid w:val="1AB24355"/>
    <w:rsid w:val="1AB31AD0"/>
    <w:rsid w:val="1AE94FE3"/>
    <w:rsid w:val="1AEB2300"/>
    <w:rsid w:val="1AF80D01"/>
    <w:rsid w:val="1AF951DB"/>
    <w:rsid w:val="1B037401"/>
    <w:rsid w:val="1B112D30"/>
    <w:rsid w:val="1B174C9C"/>
    <w:rsid w:val="1B234594"/>
    <w:rsid w:val="1B322889"/>
    <w:rsid w:val="1B332C5D"/>
    <w:rsid w:val="1B3A165E"/>
    <w:rsid w:val="1B3C33FF"/>
    <w:rsid w:val="1B3E06AC"/>
    <w:rsid w:val="1B573BFB"/>
    <w:rsid w:val="1B5821DF"/>
    <w:rsid w:val="1B781F2A"/>
    <w:rsid w:val="1B9F1D9E"/>
    <w:rsid w:val="1BC60F9D"/>
    <w:rsid w:val="1BEA292D"/>
    <w:rsid w:val="1C3A306B"/>
    <w:rsid w:val="1C475DF2"/>
    <w:rsid w:val="1C4E4479"/>
    <w:rsid w:val="1C5A2ECE"/>
    <w:rsid w:val="1C7D5146"/>
    <w:rsid w:val="1C7F58A7"/>
    <w:rsid w:val="1CA463D5"/>
    <w:rsid w:val="1CB90237"/>
    <w:rsid w:val="1CC601A9"/>
    <w:rsid w:val="1CCF07CE"/>
    <w:rsid w:val="1CD95035"/>
    <w:rsid w:val="1CE02EED"/>
    <w:rsid w:val="1CF82356"/>
    <w:rsid w:val="1CFC7550"/>
    <w:rsid w:val="1CFC7986"/>
    <w:rsid w:val="1D143503"/>
    <w:rsid w:val="1D1C15AC"/>
    <w:rsid w:val="1D2420FD"/>
    <w:rsid w:val="1D416943"/>
    <w:rsid w:val="1D7B4DC3"/>
    <w:rsid w:val="1D8A7DF1"/>
    <w:rsid w:val="1D9B11E0"/>
    <w:rsid w:val="1DA26689"/>
    <w:rsid w:val="1DA3521F"/>
    <w:rsid w:val="1DCB31B2"/>
    <w:rsid w:val="1DCF26AC"/>
    <w:rsid w:val="1DDF740B"/>
    <w:rsid w:val="1DEB0A8E"/>
    <w:rsid w:val="1DEC08FE"/>
    <w:rsid w:val="1DF11860"/>
    <w:rsid w:val="1E422DB1"/>
    <w:rsid w:val="1E5D062B"/>
    <w:rsid w:val="1E7158CC"/>
    <w:rsid w:val="1E7A0F8F"/>
    <w:rsid w:val="1EA306C3"/>
    <w:rsid w:val="1EA57B29"/>
    <w:rsid w:val="1EB70D37"/>
    <w:rsid w:val="1EEE125C"/>
    <w:rsid w:val="1EF606D2"/>
    <w:rsid w:val="1F0232CA"/>
    <w:rsid w:val="1F23172C"/>
    <w:rsid w:val="1F307A61"/>
    <w:rsid w:val="1F4C262A"/>
    <w:rsid w:val="1F645C67"/>
    <w:rsid w:val="1F784CB5"/>
    <w:rsid w:val="1F8623A8"/>
    <w:rsid w:val="1F925197"/>
    <w:rsid w:val="1FA44AF4"/>
    <w:rsid w:val="1FA82A20"/>
    <w:rsid w:val="1FB7685D"/>
    <w:rsid w:val="1FF832A8"/>
    <w:rsid w:val="20162CE1"/>
    <w:rsid w:val="203D5F6D"/>
    <w:rsid w:val="20543172"/>
    <w:rsid w:val="20600317"/>
    <w:rsid w:val="20843EAB"/>
    <w:rsid w:val="2091452C"/>
    <w:rsid w:val="20A46233"/>
    <w:rsid w:val="20A803F3"/>
    <w:rsid w:val="20C655D3"/>
    <w:rsid w:val="20DA4AA4"/>
    <w:rsid w:val="20F842B3"/>
    <w:rsid w:val="20FA5539"/>
    <w:rsid w:val="20FD6BFC"/>
    <w:rsid w:val="21195EDC"/>
    <w:rsid w:val="21237B90"/>
    <w:rsid w:val="213B3B98"/>
    <w:rsid w:val="214C1E58"/>
    <w:rsid w:val="21531865"/>
    <w:rsid w:val="216B0B58"/>
    <w:rsid w:val="2183635F"/>
    <w:rsid w:val="218A0F8B"/>
    <w:rsid w:val="21AE03BC"/>
    <w:rsid w:val="21B119C5"/>
    <w:rsid w:val="21E415E2"/>
    <w:rsid w:val="21EF1EDD"/>
    <w:rsid w:val="2209063F"/>
    <w:rsid w:val="221001D9"/>
    <w:rsid w:val="22154F38"/>
    <w:rsid w:val="222A2ED9"/>
    <w:rsid w:val="2250440B"/>
    <w:rsid w:val="226250B8"/>
    <w:rsid w:val="22844859"/>
    <w:rsid w:val="228D402E"/>
    <w:rsid w:val="229719FA"/>
    <w:rsid w:val="22DC79E2"/>
    <w:rsid w:val="230E1532"/>
    <w:rsid w:val="2329430E"/>
    <w:rsid w:val="233529F8"/>
    <w:rsid w:val="233E7817"/>
    <w:rsid w:val="23407E33"/>
    <w:rsid w:val="2351132F"/>
    <w:rsid w:val="23520A60"/>
    <w:rsid w:val="235748FC"/>
    <w:rsid w:val="23625B6A"/>
    <w:rsid w:val="236C16A8"/>
    <w:rsid w:val="236D05F6"/>
    <w:rsid w:val="236E7AA1"/>
    <w:rsid w:val="236F50D7"/>
    <w:rsid w:val="23874D83"/>
    <w:rsid w:val="238E6CED"/>
    <w:rsid w:val="23B66A77"/>
    <w:rsid w:val="23F96CBB"/>
    <w:rsid w:val="2427321F"/>
    <w:rsid w:val="244C6EA9"/>
    <w:rsid w:val="245A2B62"/>
    <w:rsid w:val="245C3E74"/>
    <w:rsid w:val="24601D25"/>
    <w:rsid w:val="24605782"/>
    <w:rsid w:val="246512B7"/>
    <w:rsid w:val="247A1D42"/>
    <w:rsid w:val="24843BB4"/>
    <w:rsid w:val="24873208"/>
    <w:rsid w:val="248D7380"/>
    <w:rsid w:val="248F135F"/>
    <w:rsid w:val="2492395D"/>
    <w:rsid w:val="24C3686C"/>
    <w:rsid w:val="24C864FA"/>
    <w:rsid w:val="24DA3379"/>
    <w:rsid w:val="24E51976"/>
    <w:rsid w:val="24E55B7A"/>
    <w:rsid w:val="24F4296F"/>
    <w:rsid w:val="24F64827"/>
    <w:rsid w:val="24FC1EF7"/>
    <w:rsid w:val="24FC6965"/>
    <w:rsid w:val="25237560"/>
    <w:rsid w:val="25402F2F"/>
    <w:rsid w:val="25437A36"/>
    <w:rsid w:val="2552349A"/>
    <w:rsid w:val="256479E9"/>
    <w:rsid w:val="25805569"/>
    <w:rsid w:val="25867983"/>
    <w:rsid w:val="258E2316"/>
    <w:rsid w:val="25911D9C"/>
    <w:rsid w:val="25B06A06"/>
    <w:rsid w:val="25B277C4"/>
    <w:rsid w:val="25C478E0"/>
    <w:rsid w:val="25C510F9"/>
    <w:rsid w:val="25DC4144"/>
    <w:rsid w:val="25EC3087"/>
    <w:rsid w:val="25F43D33"/>
    <w:rsid w:val="25FF4247"/>
    <w:rsid w:val="261A0F0F"/>
    <w:rsid w:val="2626586C"/>
    <w:rsid w:val="26316A1B"/>
    <w:rsid w:val="26495074"/>
    <w:rsid w:val="268B7DEE"/>
    <w:rsid w:val="268C4C86"/>
    <w:rsid w:val="26C231DA"/>
    <w:rsid w:val="26D30601"/>
    <w:rsid w:val="26D320C3"/>
    <w:rsid w:val="27054F96"/>
    <w:rsid w:val="273C779C"/>
    <w:rsid w:val="274633B1"/>
    <w:rsid w:val="275B0F91"/>
    <w:rsid w:val="275C157A"/>
    <w:rsid w:val="277A5EA5"/>
    <w:rsid w:val="27A55EA3"/>
    <w:rsid w:val="27BD59FC"/>
    <w:rsid w:val="27C30AD9"/>
    <w:rsid w:val="27D67356"/>
    <w:rsid w:val="27D701B7"/>
    <w:rsid w:val="27F0557D"/>
    <w:rsid w:val="27FB4DFE"/>
    <w:rsid w:val="280F1B6D"/>
    <w:rsid w:val="280F67C6"/>
    <w:rsid w:val="282E1027"/>
    <w:rsid w:val="284B7C0F"/>
    <w:rsid w:val="28582D27"/>
    <w:rsid w:val="28592B80"/>
    <w:rsid w:val="286F25A9"/>
    <w:rsid w:val="287B0702"/>
    <w:rsid w:val="288D6C1B"/>
    <w:rsid w:val="28A41092"/>
    <w:rsid w:val="28A65F81"/>
    <w:rsid w:val="28C34662"/>
    <w:rsid w:val="28CB2080"/>
    <w:rsid w:val="28DA7299"/>
    <w:rsid w:val="28ED13E9"/>
    <w:rsid w:val="28F14051"/>
    <w:rsid w:val="28F218B2"/>
    <w:rsid w:val="28F953B8"/>
    <w:rsid w:val="28FB2369"/>
    <w:rsid w:val="290A4923"/>
    <w:rsid w:val="290C7DD5"/>
    <w:rsid w:val="290D37A5"/>
    <w:rsid w:val="2918585A"/>
    <w:rsid w:val="29212ECA"/>
    <w:rsid w:val="29263377"/>
    <w:rsid w:val="29416EFE"/>
    <w:rsid w:val="294E5A17"/>
    <w:rsid w:val="29780F7D"/>
    <w:rsid w:val="29A0034E"/>
    <w:rsid w:val="29B56E7D"/>
    <w:rsid w:val="29D52471"/>
    <w:rsid w:val="29DB7C1C"/>
    <w:rsid w:val="29EE128F"/>
    <w:rsid w:val="29F45A41"/>
    <w:rsid w:val="29FB6954"/>
    <w:rsid w:val="2A0845AE"/>
    <w:rsid w:val="2A0B533A"/>
    <w:rsid w:val="2A3178D6"/>
    <w:rsid w:val="2A632561"/>
    <w:rsid w:val="2A6C18A2"/>
    <w:rsid w:val="2A6D0322"/>
    <w:rsid w:val="2A77486D"/>
    <w:rsid w:val="2A835686"/>
    <w:rsid w:val="2A9777D4"/>
    <w:rsid w:val="2AA358FD"/>
    <w:rsid w:val="2AB64AA7"/>
    <w:rsid w:val="2AB72D07"/>
    <w:rsid w:val="2ACA4482"/>
    <w:rsid w:val="2AE13AA0"/>
    <w:rsid w:val="2B063951"/>
    <w:rsid w:val="2B166A17"/>
    <w:rsid w:val="2B4F36E9"/>
    <w:rsid w:val="2B4F3A34"/>
    <w:rsid w:val="2B55467A"/>
    <w:rsid w:val="2B616F4A"/>
    <w:rsid w:val="2B62506C"/>
    <w:rsid w:val="2B7B6650"/>
    <w:rsid w:val="2B8C73F8"/>
    <w:rsid w:val="2BCD54D7"/>
    <w:rsid w:val="2BDF11A2"/>
    <w:rsid w:val="2BE56708"/>
    <w:rsid w:val="2BF0433B"/>
    <w:rsid w:val="2C00563A"/>
    <w:rsid w:val="2C061530"/>
    <w:rsid w:val="2C086CE5"/>
    <w:rsid w:val="2C210EC5"/>
    <w:rsid w:val="2C335374"/>
    <w:rsid w:val="2C347C5A"/>
    <w:rsid w:val="2C561147"/>
    <w:rsid w:val="2C5D1FDD"/>
    <w:rsid w:val="2C6B7744"/>
    <w:rsid w:val="2C822407"/>
    <w:rsid w:val="2C921169"/>
    <w:rsid w:val="2C935649"/>
    <w:rsid w:val="2C97014C"/>
    <w:rsid w:val="2D1D348C"/>
    <w:rsid w:val="2D351097"/>
    <w:rsid w:val="2D6554D9"/>
    <w:rsid w:val="2D6D73F6"/>
    <w:rsid w:val="2D743176"/>
    <w:rsid w:val="2D7664EF"/>
    <w:rsid w:val="2D841ED9"/>
    <w:rsid w:val="2D9666C3"/>
    <w:rsid w:val="2D9706A8"/>
    <w:rsid w:val="2DB54EA3"/>
    <w:rsid w:val="2DBA20AD"/>
    <w:rsid w:val="2DC25B43"/>
    <w:rsid w:val="2DD56386"/>
    <w:rsid w:val="2DD824FC"/>
    <w:rsid w:val="2DE82501"/>
    <w:rsid w:val="2DFC735B"/>
    <w:rsid w:val="2E070024"/>
    <w:rsid w:val="2E1B322C"/>
    <w:rsid w:val="2E1D5581"/>
    <w:rsid w:val="2E256FBB"/>
    <w:rsid w:val="2E3124CE"/>
    <w:rsid w:val="2E31416F"/>
    <w:rsid w:val="2E3D6EA3"/>
    <w:rsid w:val="2E500133"/>
    <w:rsid w:val="2E8179A2"/>
    <w:rsid w:val="2E871557"/>
    <w:rsid w:val="2E8E1385"/>
    <w:rsid w:val="2EAC017D"/>
    <w:rsid w:val="2EAF7B7B"/>
    <w:rsid w:val="2EB11E58"/>
    <w:rsid w:val="2EEE439C"/>
    <w:rsid w:val="2F1548DF"/>
    <w:rsid w:val="2F174FBA"/>
    <w:rsid w:val="2F1D4AA7"/>
    <w:rsid w:val="2F255776"/>
    <w:rsid w:val="2F260DFA"/>
    <w:rsid w:val="2F274D17"/>
    <w:rsid w:val="2F2821EA"/>
    <w:rsid w:val="2F3E3223"/>
    <w:rsid w:val="2F4F41BB"/>
    <w:rsid w:val="2F6323D8"/>
    <w:rsid w:val="2F936683"/>
    <w:rsid w:val="2FB11E85"/>
    <w:rsid w:val="2FB72769"/>
    <w:rsid w:val="2FB94D3C"/>
    <w:rsid w:val="2FCA10B9"/>
    <w:rsid w:val="2FDF46C9"/>
    <w:rsid w:val="301D0A0B"/>
    <w:rsid w:val="302C6E74"/>
    <w:rsid w:val="303952B6"/>
    <w:rsid w:val="303C2202"/>
    <w:rsid w:val="30543340"/>
    <w:rsid w:val="30551A52"/>
    <w:rsid w:val="305858AE"/>
    <w:rsid w:val="30AA49C2"/>
    <w:rsid w:val="30B334A4"/>
    <w:rsid w:val="30CA382A"/>
    <w:rsid w:val="30D5522B"/>
    <w:rsid w:val="30EB5A32"/>
    <w:rsid w:val="30EC563E"/>
    <w:rsid w:val="31293B9B"/>
    <w:rsid w:val="31353D20"/>
    <w:rsid w:val="31574C10"/>
    <w:rsid w:val="317357F7"/>
    <w:rsid w:val="3180556E"/>
    <w:rsid w:val="3181293C"/>
    <w:rsid w:val="31812A26"/>
    <w:rsid w:val="318253CD"/>
    <w:rsid w:val="318419CB"/>
    <w:rsid w:val="31B163D9"/>
    <w:rsid w:val="31B174AF"/>
    <w:rsid w:val="31BD6E78"/>
    <w:rsid w:val="31C367F0"/>
    <w:rsid w:val="31D566F4"/>
    <w:rsid w:val="31ED5841"/>
    <w:rsid w:val="31F249A8"/>
    <w:rsid w:val="31F65C09"/>
    <w:rsid w:val="320B3E8E"/>
    <w:rsid w:val="322101FA"/>
    <w:rsid w:val="32285CE1"/>
    <w:rsid w:val="322E21DB"/>
    <w:rsid w:val="32310BC5"/>
    <w:rsid w:val="324571B7"/>
    <w:rsid w:val="328A50B2"/>
    <w:rsid w:val="32C50A0F"/>
    <w:rsid w:val="32C737D1"/>
    <w:rsid w:val="32E746FE"/>
    <w:rsid w:val="32EB31F3"/>
    <w:rsid w:val="32EF68D2"/>
    <w:rsid w:val="32F63D10"/>
    <w:rsid w:val="32FB01FE"/>
    <w:rsid w:val="332A5EB0"/>
    <w:rsid w:val="333C47DB"/>
    <w:rsid w:val="333C6993"/>
    <w:rsid w:val="33421E23"/>
    <w:rsid w:val="334F3834"/>
    <w:rsid w:val="33513E51"/>
    <w:rsid w:val="33600C89"/>
    <w:rsid w:val="33A00C28"/>
    <w:rsid w:val="33B91232"/>
    <w:rsid w:val="33E03083"/>
    <w:rsid w:val="33ED3661"/>
    <w:rsid w:val="33F26CF0"/>
    <w:rsid w:val="33FE7553"/>
    <w:rsid w:val="34053766"/>
    <w:rsid w:val="340B582F"/>
    <w:rsid w:val="343F7753"/>
    <w:rsid w:val="3452702E"/>
    <w:rsid w:val="34840B6C"/>
    <w:rsid w:val="348474FE"/>
    <w:rsid w:val="34910180"/>
    <w:rsid w:val="34A012C9"/>
    <w:rsid w:val="34BD6E28"/>
    <w:rsid w:val="34D73D82"/>
    <w:rsid w:val="34F41912"/>
    <w:rsid w:val="35020DD4"/>
    <w:rsid w:val="35034CC1"/>
    <w:rsid w:val="352A5A46"/>
    <w:rsid w:val="35386E85"/>
    <w:rsid w:val="353E49A8"/>
    <w:rsid w:val="35447EDE"/>
    <w:rsid w:val="3556386F"/>
    <w:rsid w:val="355931E1"/>
    <w:rsid w:val="35773E67"/>
    <w:rsid w:val="3581254C"/>
    <w:rsid w:val="35836413"/>
    <w:rsid w:val="35AA09A4"/>
    <w:rsid w:val="35C96BB1"/>
    <w:rsid w:val="35CC768E"/>
    <w:rsid w:val="35FE65DD"/>
    <w:rsid w:val="36094B51"/>
    <w:rsid w:val="362A0DAD"/>
    <w:rsid w:val="366460A1"/>
    <w:rsid w:val="36A13383"/>
    <w:rsid w:val="36AC7863"/>
    <w:rsid w:val="36AE5876"/>
    <w:rsid w:val="36EB0231"/>
    <w:rsid w:val="3715215C"/>
    <w:rsid w:val="373C05ED"/>
    <w:rsid w:val="373D2D32"/>
    <w:rsid w:val="37482AE1"/>
    <w:rsid w:val="37492229"/>
    <w:rsid w:val="374B6E7E"/>
    <w:rsid w:val="374F2FE4"/>
    <w:rsid w:val="377F6233"/>
    <w:rsid w:val="37A14007"/>
    <w:rsid w:val="37A41C96"/>
    <w:rsid w:val="37BF437F"/>
    <w:rsid w:val="37DA125E"/>
    <w:rsid w:val="37E56BA2"/>
    <w:rsid w:val="37F464E2"/>
    <w:rsid w:val="380A18DC"/>
    <w:rsid w:val="382F6764"/>
    <w:rsid w:val="38355B98"/>
    <w:rsid w:val="38710A0C"/>
    <w:rsid w:val="38841C67"/>
    <w:rsid w:val="3887704E"/>
    <w:rsid w:val="38911054"/>
    <w:rsid w:val="38985F75"/>
    <w:rsid w:val="389903CE"/>
    <w:rsid w:val="38BE2E12"/>
    <w:rsid w:val="38C3574E"/>
    <w:rsid w:val="38E72141"/>
    <w:rsid w:val="38F22DD8"/>
    <w:rsid w:val="39032A0E"/>
    <w:rsid w:val="390E4E72"/>
    <w:rsid w:val="39330E10"/>
    <w:rsid w:val="395249D9"/>
    <w:rsid w:val="395C5D17"/>
    <w:rsid w:val="397410C2"/>
    <w:rsid w:val="399D00BA"/>
    <w:rsid w:val="39C70DCE"/>
    <w:rsid w:val="39D97E92"/>
    <w:rsid w:val="39E46F48"/>
    <w:rsid w:val="39E47431"/>
    <w:rsid w:val="39FF2805"/>
    <w:rsid w:val="3A0E5CA5"/>
    <w:rsid w:val="3A1A7983"/>
    <w:rsid w:val="3A1C69E3"/>
    <w:rsid w:val="3A1F0540"/>
    <w:rsid w:val="3A207811"/>
    <w:rsid w:val="3A3A05AD"/>
    <w:rsid w:val="3A563166"/>
    <w:rsid w:val="3A5B41A2"/>
    <w:rsid w:val="3A5B516B"/>
    <w:rsid w:val="3A5C4985"/>
    <w:rsid w:val="3A5D18D0"/>
    <w:rsid w:val="3A5D1B65"/>
    <w:rsid w:val="3A6F3936"/>
    <w:rsid w:val="3A7E5699"/>
    <w:rsid w:val="3A80644D"/>
    <w:rsid w:val="3A9D63AA"/>
    <w:rsid w:val="3AB84CEE"/>
    <w:rsid w:val="3AC37BB2"/>
    <w:rsid w:val="3AEB752A"/>
    <w:rsid w:val="3AF5400A"/>
    <w:rsid w:val="3AF6550B"/>
    <w:rsid w:val="3AF93850"/>
    <w:rsid w:val="3B035484"/>
    <w:rsid w:val="3B1A128C"/>
    <w:rsid w:val="3B26173A"/>
    <w:rsid w:val="3B36269B"/>
    <w:rsid w:val="3B7D4EAF"/>
    <w:rsid w:val="3B916438"/>
    <w:rsid w:val="3BA66D4C"/>
    <w:rsid w:val="3BB87C7B"/>
    <w:rsid w:val="3BBB28E6"/>
    <w:rsid w:val="3BBF4158"/>
    <w:rsid w:val="3C0043DF"/>
    <w:rsid w:val="3C025A26"/>
    <w:rsid w:val="3C227DE5"/>
    <w:rsid w:val="3C3A6D48"/>
    <w:rsid w:val="3C4C25D7"/>
    <w:rsid w:val="3C653AA0"/>
    <w:rsid w:val="3C753832"/>
    <w:rsid w:val="3C787DF3"/>
    <w:rsid w:val="3C8F59D7"/>
    <w:rsid w:val="3C935939"/>
    <w:rsid w:val="3C957F77"/>
    <w:rsid w:val="3CB13887"/>
    <w:rsid w:val="3CD649E3"/>
    <w:rsid w:val="3CD960CB"/>
    <w:rsid w:val="3D066E69"/>
    <w:rsid w:val="3D416BCF"/>
    <w:rsid w:val="3D482516"/>
    <w:rsid w:val="3D704E9A"/>
    <w:rsid w:val="3D805C0D"/>
    <w:rsid w:val="3D836AC6"/>
    <w:rsid w:val="3D861F93"/>
    <w:rsid w:val="3D9C5954"/>
    <w:rsid w:val="3DA04B67"/>
    <w:rsid w:val="3DB15822"/>
    <w:rsid w:val="3DCA25CE"/>
    <w:rsid w:val="3DCE71AB"/>
    <w:rsid w:val="3DE55DB8"/>
    <w:rsid w:val="3DF66AF8"/>
    <w:rsid w:val="3E5360AC"/>
    <w:rsid w:val="3E626B14"/>
    <w:rsid w:val="3E6553FF"/>
    <w:rsid w:val="3E7E6806"/>
    <w:rsid w:val="3E820121"/>
    <w:rsid w:val="3EA52A93"/>
    <w:rsid w:val="3EAB196D"/>
    <w:rsid w:val="3EC935D4"/>
    <w:rsid w:val="3ECD53BB"/>
    <w:rsid w:val="3ED23767"/>
    <w:rsid w:val="3ED63455"/>
    <w:rsid w:val="3EEC23B2"/>
    <w:rsid w:val="3EF62AA4"/>
    <w:rsid w:val="3F15415D"/>
    <w:rsid w:val="3F1D53DE"/>
    <w:rsid w:val="3F204F02"/>
    <w:rsid w:val="3F2C405C"/>
    <w:rsid w:val="3F364302"/>
    <w:rsid w:val="3F3C6F1C"/>
    <w:rsid w:val="3F482D6B"/>
    <w:rsid w:val="3F4D5923"/>
    <w:rsid w:val="3F593A91"/>
    <w:rsid w:val="3F7C445E"/>
    <w:rsid w:val="3F7E0EAC"/>
    <w:rsid w:val="3F89717B"/>
    <w:rsid w:val="3FA961EE"/>
    <w:rsid w:val="3FB41D72"/>
    <w:rsid w:val="3FC54298"/>
    <w:rsid w:val="3FD163D0"/>
    <w:rsid w:val="3FE317ED"/>
    <w:rsid w:val="3FEF3DDF"/>
    <w:rsid w:val="40126821"/>
    <w:rsid w:val="4020575D"/>
    <w:rsid w:val="40384B59"/>
    <w:rsid w:val="408841D5"/>
    <w:rsid w:val="40942E3E"/>
    <w:rsid w:val="40B52A44"/>
    <w:rsid w:val="40CC3B1F"/>
    <w:rsid w:val="40D92B97"/>
    <w:rsid w:val="40DD4F77"/>
    <w:rsid w:val="40EA143F"/>
    <w:rsid w:val="41034141"/>
    <w:rsid w:val="41053A9A"/>
    <w:rsid w:val="41123460"/>
    <w:rsid w:val="41137BD7"/>
    <w:rsid w:val="4120264C"/>
    <w:rsid w:val="412A0268"/>
    <w:rsid w:val="4132586A"/>
    <w:rsid w:val="413D3F6B"/>
    <w:rsid w:val="417E0E3B"/>
    <w:rsid w:val="41805EF4"/>
    <w:rsid w:val="41991711"/>
    <w:rsid w:val="419C5DE6"/>
    <w:rsid w:val="41AD459D"/>
    <w:rsid w:val="41C3560D"/>
    <w:rsid w:val="41D31BE0"/>
    <w:rsid w:val="41EB1B6D"/>
    <w:rsid w:val="42114A78"/>
    <w:rsid w:val="42332DAA"/>
    <w:rsid w:val="42473DE2"/>
    <w:rsid w:val="42585886"/>
    <w:rsid w:val="425D51DB"/>
    <w:rsid w:val="425E22E4"/>
    <w:rsid w:val="427059DE"/>
    <w:rsid w:val="42730792"/>
    <w:rsid w:val="42742269"/>
    <w:rsid w:val="42990B94"/>
    <w:rsid w:val="42B527D1"/>
    <w:rsid w:val="42B92A09"/>
    <w:rsid w:val="42BB3714"/>
    <w:rsid w:val="42C8561A"/>
    <w:rsid w:val="42D57DB7"/>
    <w:rsid w:val="42E025DB"/>
    <w:rsid w:val="42ED24B7"/>
    <w:rsid w:val="42F439EF"/>
    <w:rsid w:val="43094BC4"/>
    <w:rsid w:val="430D632F"/>
    <w:rsid w:val="432167F0"/>
    <w:rsid w:val="432A01D3"/>
    <w:rsid w:val="434B75A8"/>
    <w:rsid w:val="434F1B01"/>
    <w:rsid w:val="43646429"/>
    <w:rsid w:val="436A648E"/>
    <w:rsid w:val="436F3805"/>
    <w:rsid w:val="437A7CD1"/>
    <w:rsid w:val="43855F45"/>
    <w:rsid w:val="438F75BE"/>
    <w:rsid w:val="43957CCC"/>
    <w:rsid w:val="43985565"/>
    <w:rsid w:val="43A21466"/>
    <w:rsid w:val="43A55C51"/>
    <w:rsid w:val="43A77ED1"/>
    <w:rsid w:val="43AD03FD"/>
    <w:rsid w:val="43E80C04"/>
    <w:rsid w:val="43FC3EEB"/>
    <w:rsid w:val="440B335A"/>
    <w:rsid w:val="44127790"/>
    <w:rsid w:val="4422151A"/>
    <w:rsid w:val="44343F0D"/>
    <w:rsid w:val="443C2FCE"/>
    <w:rsid w:val="443E677A"/>
    <w:rsid w:val="44444D7E"/>
    <w:rsid w:val="44541513"/>
    <w:rsid w:val="446C68C3"/>
    <w:rsid w:val="44A0527F"/>
    <w:rsid w:val="44BF2D21"/>
    <w:rsid w:val="44CC73FD"/>
    <w:rsid w:val="44D0150B"/>
    <w:rsid w:val="44F116A5"/>
    <w:rsid w:val="44FF3058"/>
    <w:rsid w:val="45203A04"/>
    <w:rsid w:val="453F3CFC"/>
    <w:rsid w:val="454C6FB0"/>
    <w:rsid w:val="456436FC"/>
    <w:rsid w:val="45910F0B"/>
    <w:rsid w:val="459A657F"/>
    <w:rsid w:val="45A208D2"/>
    <w:rsid w:val="45B837F7"/>
    <w:rsid w:val="45C01FB5"/>
    <w:rsid w:val="45CF6A25"/>
    <w:rsid w:val="45D26A92"/>
    <w:rsid w:val="45D5456D"/>
    <w:rsid w:val="45FE1D1B"/>
    <w:rsid w:val="4615543E"/>
    <w:rsid w:val="46157443"/>
    <w:rsid w:val="46470993"/>
    <w:rsid w:val="464928DA"/>
    <w:rsid w:val="46522699"/>
    <w:rsid w:val="46614BAA"/>
    <w:rsid w:val="466E41E6"/>
    <w:rsid w:val="468479B1"/>
    <w:rsid w:val="46A24695"/>
    <w:rsid w:val="46B53179"/>
    <w:rsid w:val="46D43EAF"/>
    <w:rsid w:val="46E20200"/>
    <w:rsid w:val="46E84365"/>
    <w:rsid w:val="46EF25A2"/>
    <w:rsid w:val="46F37FE8"/>
    <w:rsid w:val="47162BA0"/>
    <w:rsid w:val="47204AD8"/>
    <w:rsid w:val="47253868"/>
    <w:rsid w:val="472752C5"/>
    <w:rsid w:val="47280953"/>
    <w:rsid w:val="47314487"/>
    <w:rsid w:val="473B4217"/>
    <w:rsid w:val="474A3D2F"/>
    <w:rsid w:val="474D3368"/>
    <w:rsid w:val="475107B9"/>
    <w:rsid w:val="476412B4"/>
    <w:rsid w:val="476757A1"/>
    <w:rsid w:val="476C13A3"/>
    <w:rsid w:val="477275EA"/>
    <w:rsid w:val="477C3863"/>
    <w:rsid w:val="47A31282"/>
    <w:rsid w:val="47A9218C"/>
    <w:rsid w:val="47D23693"/>
    <w:rsid w:val="47EC4098"/>
    <w:rsid w:val="47F52D4E"/>
    <w:rsid w:val="480D2950"/>
    <w:rsid w:val="48150F23"/>
    <w:rsid w:val="4850597D"/>
    <w:rsid w:val="48526DA8"/>
    <w:rsid w:val="487B6CEA"/>
    <w:rsid w:val="48800308"/>
    <w:rsid w:val="48AD35B3"/>
    <w:rsid w:val="48B455C0"/>
    <w:rsid w:val="490830C6"/>
    <w:rsid w:val="491713FE"/>
    <w:rsid w:val="491B68B6"/>
    <w:rsid w:val="4921013B"/>
    <w:rsid w:val="49515B27"/>
    <w:rsid w:val="49590851"/>
    <w:rsid w:val="497E251F"/>
    <w:rsid w:val="498A0635"/>
    <w:rsid w:val="49A07F30"/>
    <w:rsid w:val="49E77773"/>
    <w:rsid w:val="49F06930"/>
    <w:rsid w:val="4A007634"/>
    <w:rsid w:val="4A2B6815"/>
    <w:rsid w:val="4A3F353B"/>
    <w:rsid w:val="4A4B0CE2"/>
    <w:rsid w:val="4A616112"/>
    <w:rsid w:val="4A652BAB"/>
    <w:rsid w:val="4A6C00FC"/>
    <w:rsid w:val="4A931AF7"/>
    <w:rsid w:val="4A984D1E"/>
    <w:rsid w:val="4A9C4E0F"/>
    <w:rsid w:val="4AB94821"/>
    <w:rsid w:val="4ABD1FE4"/>
    <w:rsid w:val="4AC72B60"/>
    <w:rsid w:val="4ACB2CEB"/>
    <w:rsid w:val="4AD03C85"/>
    <w:rsid w:val="4ADA3C19"/>
    <w:rsid w:val="4AE5669E"/>
    <w:rsid w:val="4AFB1810"/>
    <w:rsid w:val="4B1C6F93"/>
    <w:rsid w:val="4B235B65"/>
    <w:rsid w:val="4B3A22E1"/>
    <w:rsid w:val="4B480B92"/>
    <w:rsid w:val="4B563C2E"/>
    <w:rsid w:val="4B79051E"/>
    <w:rsid w:val="4B796E53"/>
    <w:rsid w:val="4B7F1C00"/>
    <w:rsid w:val="4B840BDC"/>
    <w:rsid w:val="4B8834F9"/>
    <w:rsid w:val="4B902B34"/>
    <w:rsid w:val="4B975566"/>
    <w:rsid w:val="4BA358F2"/>
    <w:rsid w:val="4BA4589C"/>
    <w:rsid w:val="4BBE0ACB"/>
    <w:rsid w:val="4BBF7872"/>
    <w:rsid w:val="4BC470C6"/>
    <w:rsid w:val="4BCF1B8A"/>
    <w:rsid w:val="4BD2797E"/>
    <w:rsid w:val="4BD95CD4"/>
    <w:rsid w:val="4C020E67"/>
    <w:rsid w:val="4C253CE4"/>
    <w:rsid w:val="4C457211"/>
    <w:rsid w:val="4C9158C4"/>
    <w:rsid w:val="4CBD0060"/>
    <w:rsid w:val="4CC67CF7"/>
    <w:rsid w:val="4CCB0A0B"/>
    <w:rsid w:val="4CCF7221"/>
    <w:rsid w:val="4CD713E8"/>
    <w:rsid w:val="4CD91BBD"/>
    <w:rsid w:val="4D3D02E5"/>
    <w:rsid w:val="4D4C149F"/>
    <w:rsid w:val="4D79429B"/>
    <w:rsid w:val="4D796159"/>
    <w:rsid w:val="4D910C66"/>
    <w:rsid w:val="4DA722DD"/>
    <w:rsid w:val="4DBD2EA9"/>
    <w:rsid w:val="4DC501D7"/>
    <w:rsid w:val="4DCF24A8"/>
    <w:rsid w:val="4DEF77B9"/>
    <w:rsid w:val="4E201F14"/>
    <w:rsid w:val="4E2631EE"/>
    <w:rsid w:val="4E821AB5"/>
    <w:rsid w:val="4EAE4286"/>
    <w:rsid w:val="4EBA26B2"/>
    <w:rsid w:val="4EF27457"/>
    <w:rsid w:val="4EFC42E8"/>
    <w:rsid w:val="4EFF367B"/>
    <w:rsid w:val="4F070516"/>
    <w:rsid w:val="4F0E667C"/>
    <w:rsid w:val="4F1D392D"/>
    <w:rsid w:val="4F254B6C"/>
    <w:rsid w:val="4F376045"/>
    <w:rsid w:val="4F483214"/>
    <w:rsid w:val="4F484198"/>
    <w:rsid w:val="4F6770C2"/>
    <w:rsid w:val="4F745728"/>
    <w:rsid w:val="4F7748CC"/>
    <w:rsid w:val="4F8418F5"/>
    <w:rsid w:val="4F863F2A"/>
    <w:rsid w:val="4F8C3FB0"/>
    <w:rsid w:val="4FA3183C"/>
    <w:rsid w:val="4FDA30AA"/>
    <w:rsid w:val="4FE40EBC"/>
    <w:rsid w:val="4FEE10B2"/>
    <w:rsid w:val="4FFA6F28"/>
    <w:rsid w:val="5022201C"/>
    <w:rsid w:val="502959B8"/>
    <w:rsid w:val="50300A93"/>
    <w:rsid w:val="504F736F"/>
    <w:rsid w:val="506E34B3"/>
    <w:rsid w:val="50963507"/>
    <w:rsid w:val="50AA2461"/>
    <w:rsid w:val="50C7479C"/>
    <w:rsid w:val="50CC39B6"/>
    <w:rsid w:val="50CD0CD1"/>
    <w:rsid w:val="50D34025"/>
    <w:rsid w:val="50DD2267"/>
    <w:rsid w:val="50E52A8A"/>
    <w:rsid w:val="50EE14BE"/>
    <w:rsid w:val="51035C06"/>
    <w:rsid w:val="511C6549"/>
    <w:rsid w:val="512078B1"/>
    <w:rsid w:val="512E3317"/>
    <w:rsid w:val="51706BBF"/>
    <w:rsid w:val="51787A1C"/>
    <w:rsid w:val="517A5B9F"/>
    <w:rsid w:val="517E7B31"/>
    <w:rsid w:val="51CF0EDC"/>
    <w:rsid w:val="51D01FA7"/>
    <w:rsid w:val="51D70F55"/>
    <w:rsid w:val="51E10B82"/>
    <w:rsid w:val="521533E3"/>
    <w:rsid w:val="521F6D4D"/>
    <w:rsid w:val="52201A3B"/>
    <w:rsid w:val="52317E7C"/>
    <w:rsid w:val="524F08BF"/>
    <w:rsid w:val="52574349"/>
    <w:rsid w:val="526C5470"/>
    <w:rsid w:val="527A4483"/>
    <w:rsid w:val="528F28A4"/>
    <w:rsid w:val="5298547C"/>
    <w:rsid w:val="529C78F3"/>
    <w:rsid w:val="52A02B6C"/>
    <w:rsid w:val="52A10E76"/>
    <w:rsid w:val="52A84333"/>
    <w:rsid w:val="52A9064E"/>
    <w:rsid w:val="52C36F07"/>
    <w:rsid w:val="52CD1C48"/>
    <w:rsid w:val="52CF29C3"/>
    <w:rsid w:val="52E17BA4"/>
    <w:rsid w:val="52FC48C4"/>
    <w:rsid w:val="53140294"/>
    <w:rsid w:val="532232E7"/>
    <w:rsid w:val="5337073E"/>
    <w:rsid w:val="53403914"/>
    <w:rsid w:val="534C7F03"/>
    <w:rsid w:val="53B40014"/>
    <w:rsid w:val="53D714CA"/>
    <w:rsid w:val="53DC1A7C"/>
    <w:rsid w:val="54017416"/>
    <w:rsid w:val="5405271E"/>
    <w:rsid w:val="540A2FC2"/>
    <w:rsid w:val="54415904"/>
    <w:rsid w:val="54441332"/>
    <w:rsid w:val="544E1E8E"/>
    <w:rsid w:val="5456066B"/>
    <w:rsid w:val="545764FB"/>
    <w:rsid w:val="545B407F"/>
    <w:rsid w:val="545B4605"/>
    <w:rsid w:val="545E639D"/>
    <w:rsid w:val="5491721B"/>
    <w:rsid w:val="54D154BF"/>
    <w:rsid w:val="54D85913"/>
    <w:rsid w:val="54E661D7"/>
    <w:rsid w:val="54F613B3"/>
    <w:rsid w:val="55037908"/>
    <w:rsid w:val="551B1452"/>
    <w:rsid w:val="55226E73"/>
    <w:rsid w:val="55610C1A"/>
    <w:rsid w:val="55676299"/>
    <w:rsid w:val="556E150E"/>
    <w:rsid w:val="55804122"/>
    <w:rsid w:val="55934C25"/>
    <w:rsid w:val="55D82818"/>
    <w:rsid w:val="55DA7307"/>
    <w:rsid w:val="55DF4A1D"/>
    <w:rsid w:val="55E27506"/>
    <w:rsid w:val="55E90C9E"/>
    <w:rsid w:val="55FA640D"/>
    <w:rsid w:val="561830EB"/>
    <w:rsid w:val="56195D11"/>
    <w:rsid w:val="563B6279"/>
    <w:rsid w:val="563D4B77"/>
    <w:rsid w:val="565360C7"/>
    <w:rsid w:val="56625D3F"/>
    <w:rsid w:val="566E46DE"/>
    <w:rsid w:val="56792008"/>
    <w:rsid w:val="567D70F8"/>
    <w:rsid w:val="568806F8"/>
    <w:rsid w:val="568E0444"/>
    <w:rsid w:val="56BB3D26"/>
    <w:rsid w:val="57163723"/>
    <w:rsid w:val="572B65CB"/>
    <w:rsid w:val="57383AD8"/>
    <w:rsid w:val="57691018"/>
    <w:rsid w:val="57696D5E"/>
    <w:rsid w:val="576F6F82"/>
    <w:rsid w:val="57731C01"/>
    <w:rsid w:val="578644C5"/>
    <w:rsid w:val="578B7F65"/>
    <w:rsid w:val="57B1458B"/>
    <w:rsid w:val="57B82B37"/>
    <w:rsid w:val="57D43395"/>
    <w:rsid w:val="57EC2890"/>
    <w:rsid w:val="58032A21"/>
    <w:rsid w:val="580D592B"/>
    <w:rsid w:val="583F3BF4"/>
    <w:rsid w:val="584B4E95"/>
    <w:rsid w:val="584E7CBA"/>
    <w:rsid w:val="5852514E"/>
    <w:rsid w:val="58585187"/>
    <w:rsid w:val="585853DE"/>
    <w:rsid w:val="585F25A6"/>
    <w:rsid w:val="586A5972"/>
    <w:rsid w:val="58732950"/>
    <w:rsid w:val="58771A8D"/>
    <w:rsid w:val="58817556"/>
    <w:rsid w:val="58AA7658"/>
    <w:rsid w:val="58AC50CC"/>
    <w:rsid w:val="58C06AA4"/>
    <w:rsid w:val="58D32CD8"/>
    <w:rsid w:val="58E24C1D"/>
    <w:rsid w:val="58E93189"/>
    <w:rsid w:val="590425B2"/>
    <w:rsid w:val="591A7CF4"/>
    <w:rsid w:val="593D50E4"/>
    <w:rsid w:val="593D5C7F"/>
    <w:rsid w:val="594B5262"/>
    <w:rsid w:val="594E7117"/>
    <w:rsid w:val="5953772F"/>
    <w:rsid w:val="59590FA9"/>
    <w:rsid w:val="596A5151"/>
    <w:rsid w:val="59826573"/>
    <w:rsid w:val="59937829"/>
    <w:rsid w:val="59DA3220"/>
    <w:rsid w:val="59ED1149"/>
    <w:rsid w:val="59EE2FBD"/>
    <w:rsid w:val="5A0B6DFB"/>
    <w:rsid w:val="5A241542"/>
    <w:rsid w:val="5A3D40F7"/>
    <w:rsid w:val="5A456317"/>
    <w:rsid w:val="5A531ADD"/>
    <w:rsid w:val="5A6C2DBD"/>
    <w:rsid w:val="5A7E1EF5"/>
    <w:rsid w:val="5AA228F3"/>
    <w:rsid w:val="5AA5615A"/>
    <w:rsid w:val="5AAF743D"/>
    <w:rsid w:val="5AB90394"/>
    <w:rsid w:val="5ABC19D6"/>
    <w:rsid w:val="5AC205DE"/>
    <w:rsid w:val="5AEE7F65"/>
    <w:rsid w:val="5B093D4A"/>
    <w:rsid w:val="5B0A3438"/>
    <w:rsid w:val="5B2F1949"/>
    <w:rsid w:val="5B450CF0"/>
    <w:rsid w:val="5B465CA6"/>
    <w:rsid w:val="5B4A73AD"/>
    <w:rsid w:val="5B5301D4"/>
    <w:rsid w:val="5B582685"/>
    <w:rsid w:val="5B645CDB"/>
    <w:rsid w:val="5B7B79AC"/>
    <w:rsid w:val="5B930BCA"/>
    <w:rsid w:val="5BA153A1"/>
    <w:rsid w:val="5BA317D7"/>
    <w:rsid w:val="5BA8169D"/>
    <w:rsid w:val="5BB65A40"/>
    <w:rsid w:val="5BCC45DA"/>
    <w:rsid w:val="5BDA1BBE"/>
    <w:rsid w:val="5BE02BBA"/>
    <w:rsid w:val="5BEE10C7"/>
    <w:rsid w:val="5C081F47"/>
    <w:rsid w:val="5C3D09B1"/>
    <w:rsid w:val="5C4A2C7C"/>
    <w:rsid w:val="5C4A570C"/>
    <w:rsid w:val="5C745ED2"/>
    <w:rsid w:val="5CB033F6"/>
    <w:rsid w:val="5CC1693D"/>
    <w:rsid w:val="5CDE4EB7"/>
    <w:rsid w:val="5D0F1A0A"/>
    <w:rsid w:val="5D2012DD"/>
    <w:rsid w:val="5D274E43"/>
    <w:rsid w:val="5D4F6D77"/>
    <w:rsid w:val="5D5A4ACA"/>
    <w:rsid w:val="5D666834"/>
    <w:rsid w:val="5D932F1E"/>
    <w:rsid w:val="5DBF107D"/>
    <w:rsid w:val="5DCA3996"/>
    <w:rsid w:val="5DD6695F"/>
    <w:rsid w:val="5DEE70AB"/>
    <w:rsid w:val="5E135480"/>
    <w:rsid w:val="5E1B6B3F"/>
    <w:rsid w:val="5E2C14D5"/>
    <w:rsid w:val="5E314E6F"/>
    <w:rsid w:val="5E403398"/>
    <w:rsid w:val="5E521091"/>
    <w:rsid w:val="5E5672A8"/>
    <w:rsid w:val="5E5C716B"/>
    <w:rsid w:val="5E7D2615"/>
    <w:rsid w:val="5E7F3160"/>
    <w:rsid w:val="5E834FF6"/>
    <w:rsid w:val="5E8A3FA5"/>
    <w:rsid w:val="5E8F77CB"/>
    <w:rsid w:val="5EB23E41"/>
    <w:rsid w:val="5EB72C55"/>
    <w:rsid w:val="5EC610CB"/>
    <w:rsid w:val="5EDC2C9A"/>
    <w:rsid w:val="5EE471D0"/>
    <w:rsid w:val="5EF911C7"/>
    <w:rsid w:val="5EFE4444"/>
    <w:rsid w:val="5F2A1DEA"/>
    <w:rsid w:val="5F2A720D"/>
    <w:rsid w:val="5F38048D"/>
    <w:rsid w:val="5F3A6FE6"/>
    <w:rsid w:val="5F4E7CB4"/>
    <w:rsid w:val="5F525171"/>
    <w:rsid w:val="5F534838"/>
    <w:rsid w:val="5F8E360B"/>
    <w:rsid w:val="5F981314"/>
    <w:rsid w:val="5FA712F2"/>
    <w:rsid w:val="5FAD7F61"/>
    <w:rsid w:val="5FB46019"/>
    <w:rsid w:val="5FD064DF"/>
    <w:rsid w:val="5FD70ADA"/>
    <w:rsid w:val="5FD73FC6"/>
    <w:rsid w:val="5FFC2594"/>
    <w:rsid w:val="5FFF180A"/>
    <w:rsid w:val="600A5B45"/>
    <w:rsid w:val="601609F8"/>
    <w:rsid w:val="604B38A8"/>
    <w:rsid w:val="60646354"/>
    <w:rsid w:val="606C4659"/>
    <w:rsid w:val="608659E5"/>
    <w:rsid w:val="60885401"/>
    <w:rsid w:val="609B0BAD"/>
    <w:rsid w:val="60B73E17"/>
    <w:rsid w:val="60C90AB7"/>
    <w:rsid w:val="60D24CDB"/>
    <w:rsid w:val="60DC5619"/>
    <w:rsid w:val="60E21E58"/>
    <w:rsid w:val="60FA1843"/>
    <w:rsid w:val="611555D1"/>
    <w:rsid w:val="612F44F4"/>
    <w:rsid w:val="613420B9"/>
    <w:rsid w:val="6140174E"/>
    <w:rsid w:val="614730AE"/>
    <w:rsid w:val="615731A9"/>
    <w:rsid w:val="618C128A"/>
    <w:rsid w:val="619E69A9"/>
    <w:rsid w:val="61B548B1"/>
    <w:rsid w:val="61B907BF"/>
    <w:rsid w:val="61BF6EAF"/>
    <w:rsid w:val="61CC170F"/>
    <w:rsid w:val="61DA21B3"/>
    <w:rsid w:val="61E729DB"/>
    <w:rsid w:val="61F1120F"/>
    <w:rsid w:val="61F82DFF"/>
    <w:rsid w:val="620B3FAB"/>
    <w:rsid w:val="6210340E"/>
    <w:rsid w:val="62213CC9"/>
    <w:rsid w:val="622A4997"/>
    <w:rsid w:val="62362A98"/>
    <w:rsid w:val="625B7B99"/>
    <w:rsid w:val="6268292E"/>
    <w:rsid w:val="626D21E8"/>
    <w:rsid w:val="62787D5F"/>
    <w:rsid w:val="62886425"/>
    <w:rsid w:val="629552D4"/>
    <w:rsid w:val="62AC4CF2"/>
    <w:rsid w:val="62AE0901"/>
    <w:rsid w:val="63004A02"/>
    <w:rsid w:val="630B2E58"/>
    <w:rsid w:val="631647CE"/>
    <w:rsid w:val="631B6E33"/>
    <w:rsid w:val="631F49C9"/>
    <w:rsid w:val="633A3A6B"/>
    <w:rsid w:val="633A78CF"/>
    <w:rsid w:val="6342418E"/>
    <w:rsid w:val="6348781C"/>
    <w:rsid w:val="63595D3E"/>
    <w:rsid w:val="635A5AE9"/>
    <w:rsid w:val="637B6213"/>
    <w:rsid w:val="638522A6"/>
    <w:rsid w:val="639C5C0E"/>
    <w:rsid w:val="63CE6157"/>
    <w:rsid w:val="63EA75EC"/>
    <w:rsid w:val="63F621E6"/>
    <w:rsid w:val="63FF6460"/>
    <w:rsid w:val="640A71B7"/>
    <w:rsid w:val="643B5B0C"/>
    <w:rsid w:val="64516B1C"/>
    <w:rsid w:val="64754B57"/>
    <w:rsid w:val="647645E8"/>
    <w:rsid w:val="647C23BB"/>
    <w:rsid w:val="64904E7D"/>
    <w:rsid w:val="64A85C54"/>
    <w:rsid w:val="64E77406"/>
    <w:rsid w:val="64E83294"/>
    <w:rsid w:val="64FB0DEE"/>
    <w:rsid w:val="651C1D6D"/>
    <w:rsid w:val="65202F49"/>
    <w:rsid w:val="65284D69"/>
    <w:rsid w:val="652D17DE"/>
    <w:rsid w:val="653450BD"/>
    <w:rsid w:val="65346EDE"/>
    <w:rsid w:val="654B7E81"/>
    <w:rsid w:val="65662CE1"/>
    <w:rsid w:val="656F4491"/>
    <w:rsid w:val="65752739"/>
    <w:rsid w:val="65A4019F"/>
    <w:rsid w:val="65A416C8"/>
    <w:rsid w:val="65B10204"/>
    <w:rsid w:val="65B16199"/>
    <w:rsid w:val="65B21673"/>
    <w:rsid w:val="65BC6941"/>
    <w:rsid w:val="65E84371"/>
    <w:rsid w:val="65E8698F"/>
    <w:rsid w:val="65E90470"/>
    <w:rsid w:val="65F50B35"/>
    <w:rsid w:val="65FB43BC"/>
    <w:rsid w:val="662C26AC"/>
    <w:rsid w:val="664D1EE8"/>
    <w:rsid w:val="665B5DCF"/>
    <w:rsid w:val="66882D3D"/>
    <w:rsid w:val="66895E36"/>
    <w:rsid w:val="669527B1"/>
    <w:rsid w:val="66957691"/>
    <w:rsid w:val="66AD430F"/>
    <w:rsid w:val="66D25CB2"/>
    <w:rsid w:val="66D31998"/>
    <w:rsid w:val="66E459E8"/>
    <w:rsid w:val="66F06786"/>
    <w:rsid w:val="66F47830"/>
    <w:rsid w:val="66F67915"/>
    <w:rsid w:val="67243A3B"/>
    <w:rsid w:val="673B39A2"/>
    <w:rsid w:val="674C79C3"/>
    <w:rsid w:val="67635656"/>
    <w:rsid w:val="678509F4"/>
    <w:rsid w:val="679F6FD8"/>
    <w:rsid w:val="67AC1863"/>
    <w:rsid w:val="67B114A8"/>
    <w:rsid w:val="67BC4E19"/>
    <w:rsid w:val="67CC7932"/>
    <w:rsid w:val="67D35F2A"/>
    <w:rsid w:val="68031368"/>
    <w:rsid w:val="680A6107"/>
    <w:rsid w:val="681608BF"/>
    <w:rsid w:val="681C16D7"/>
    <w:rsid w:val="681C722F"/>
    <w:rsid w:val="68274085"/>
    <w:rsid w:val="6855700D"/>
    <w:rsid w:val="68557BAF"/>
    <w:rsid w:val="688326FC"/>
    <w:rsid w:val="68986806"/>
    <w:rsid w:val="689B7033"/>
    <w:rsid w:val="68AC0F9B"/>
    <w:rsid w:val="68B9046D"/>
    <w:rsid w:val="68CB7A21"/>
    <w:rsid w:val="68D20DC9"/>
    <w:rsid w:val="68DF492A"/>
    <w:rsid w:val="68EE78BD"/>
    <w:rsid w:val="69460492"/>
    <w:rsid w:val="69465AA8"/>
    <w:rsid w:val="695A5996"/>
    <w:rsid w:val="696A41A6"/>
    <w:rsid w:val="696F38B8"/>
    <w:rsid w:val="697E3CE2"/>
    <w:rsid w:val="69810672"/>
    <w:rsid w:val="69845EFC"/>
    <w:rsid w:val="69944B28"/>
    <w:rsid w:val="69954237"/>
    <w:rsid w:val="699F7EB7"/>
    <w:rsid w:val="69BC3CE2"/>
    <w:rsid w:val="69BC76FB"/>
    <w:rsid w:val="69DB610D"/>
    <w:rsid w:val="6A027FCF"/>
    <w:rsid w:val="6A1F4D85"/>
    <w:rsid w:val="6A35569A"/>
    <w:rsid w:val="6A3C57F5"/>
    <w:rsid w:val="6A961859"/>
    <w:rsid w:val="6ABD05D1"/>
    <w:rsid w:val="6AC06353"/>
    <w:rsid w:val="6ACB6737"/>
    <w:rsid w:val="6ACF1C94"/>
    <w:rsid w:val="6AE76AE4"/>
    <w:rsid w:val="6AF4395D"/>
    <w:rsid w:val="6B1A66D6"/>
    <w:rsid w:val="6B1B5F37"/>
    <w:rsid w:val="6B272EB6"/>
    <w:rsid w:val="6B402F9E"/>
    <w:rsid w:val="6B520C2B"/>
    <w:rsid w:val="6B580304"/>
    <w:rsid w:val="6B7B3D64"/>
    <w:rsid w:val="6B7F4A41"/>
    <w:rsid w:val="6B9556C0"/>
    <w:rsid w:val="6BA93ECD"/>
    <w:rsid w:val="6BCA0807"/>
    <w:rsid w:val="6BE111D0"/>
    <w:rsid w:val="6BF6460A"/>
    <w:rsid w:val="6C0C2591"/>
    <w:rsid w:val="6C1C2362"/>
    <w:rsid w:val="6C3A4671"/>
    <w:rsid w:val="6C5E66E4"/>
    <w:rsid w:val="6C630DA4"/>
    <w:rsid w:val="6C763A92"/>
    <w:rsid w:val="6C9A127D"/>
    <w:rsid w:val="6CA03A26"/>
    <w:rsid w:val="6CA73E26"/>
    <w:rsid w:val="6CBB1C56"/>
    <w:rsid w:val="6CBD5594"/>
    <w:rsid w:val="6CC543B6"/>
    <w:rsid w:val="6CC61AA3"/>
    <w:rsid w:val="6CCD4C68"/>
    <w:rsid w:val="6D0557E1"/>
    <w:rsid w:val="6D112B4A"/>
    <w:rsid w:val="6D1E5262"/>
    <w:rsid w:val="6D2D61C4"/>
    <w:rsid w:val="6D4037DA"/>
    <w:rsid w:val="6D4A23B2"/>
    <w:rsid w:val="6D4E0DFA"/>
    <w:rsid w:val="6D5A5B71"/>
    <w:rsid w:val="6D742ADA"/>
    <w:rsid w:val="6DB4662C"/>
    <w:rsid w:val="6DDC6F6C"/>
    <w:rsid w:val="6DE11836"/>
    <w:rsid w:val="6DE61C2C"/>
    <w:rsid w:val="6DF93B51"/>
    <w:rsid w:val="6DFB0C1A"/>
    <w:rsid w:val="6E0C2EDA"/>
    <w:rsid w:val="6E217FC2"/>
    <w:rsid w:val="6E2D43CC"/>
    <w:rsid w:val="6E6A6A4A"/>
    <w:rsid w:val="6E6B1953"/>
    <w:rsid w:val="6E79107D"/>
    <w:rsid w:val="6E9555C4"/>
    <w:rsid w:val="6EA5729B"/>
    <w:rsid w:val="6EB2500B"/>
    <w:rsid w:val="6EC734D4"/>
    <w:rsid w:val="6ED36A86"/>
    <w:rsid w:val="6EE84F49"/>
    <w:rsid w:val="6EFE364B"/>
    <w:rsid w:val="6F0B325E"/>
    <w:rsid w:val="6F136AD8"/>
    <w:rsid w:val="6F216E14"/>
    <w:rsid w:val="6F6460A3"/>
    <w:rsid w:val="6F700B79"/>
    <w:rsid w:val="6F7C7337"/>
    <w:rsid w:val="6F802EB5"/>
    <w:rsid w:val="6FA05CB8"/>
    <w:rsid w:val="6FA37549"/>
    <w:rsid w:val="6FCE17E3"/>
    <w:rsid w:val="6FD5793F"/>
    <w:rsid w:val="6FD71FC1"/>
    <w:rsid w:val="70240AFE"/>
    <w:rsid w:val="70257524"/>
    <w:rsid w:val="705049FA"/>
    <w:rsid w:val="70581A7D"/>
    <w:rsid w:val="707F2F45"/>
    <w:rsid w:val="70826B9D"/>
    <w:rsid w:val="708B0C72"/>
    <w:rsid w:val="70A12CC3"/>
    <w:rsid w:val="70A82BC6"/>
    <w:rsid w:val="70A95142"/>
    <w:rsid w:val="70B0359E"/>
    <w:rsid w:val="70CE5A32"/>
    <w:rsid w:val="70DF3166"/>
    <w:rsid w:val="711251FE"/>
    <w:rsid w:val="71150FEA"/>
    <w:rsid w:val="711767A9"/>
    <w:rsid w:val="71330817"/>
    <w:rsid w:val="71502DF8"/>
    <w:rsid w:val="717176EC"/>
    <w:rsid w:val="71BE44B1"/>
    <w:rsid w:val="71CB2EDE"/>
    <w:rsid w:val="71F21A63"/>
    <w:rsid w:val="72482714"/>
    <w:rsid w:val="72603C1C"/>
    <w:rsid w:val="726A0B14"/>
    <w:rsid w:val="727E446F"/>
    <w:rsid w:val="728B46C7"/>
    <w:rsid w:val="72CD7732"/>
    <w:rsid w:val="72D40991"/>
    <w:rsid w:val="72D65600"/>
    <w:rsid w:val="72D66807"/>
    <w:rsid w:val="72E14A5D"/>
    <w:rsid w:val="72EC3B78"/>
    <w:rsid w:val="73171B3E"/>
    <w:rsid w:val="73254E93"/>
    <w:rsid w:val="733732C5"/>
    <w:rsid w:val="73A77D7E"/>
    <w:rsid w:val="73C23A34"/>
    <w:rsid w:val="73C406A6"/>
    <w:rsid w:val="73D8283A"/>
    <w:rsid w:val="73D876F5"/>
    <w:rsid w:val="741C10C1"/>
    <w:rsid w:val="741F34AB"/>
    <w:rsid w:val="743F2505"/>
    <w:rsid w:val="74537381"/>
    <w:rsid w:val="74543052"/>
    <w:rsid w:val="74571C90"/>
    <w:rsid w:val="746B0E99"/>
    <w:rsid w:val="7493025C"/>
    <w:rsid w:val="74BB3CB4"/>
    <w:rsid w:val="74D5765E"/>
    <w:rsid w:val="74DB5FC9"/>
    <w:rsid w:val="74DF60FA"/>
    <w:rsid w:val="74DF614B"/>
    <w:rsid w:val="74E2426B"/>
    <w:rsid w:val="74E52BD3"/>
    <w:rsid w:val="74E91B89"/>
    <w:rsid w:val="74EA22EE"/>
    <w:rsid w:val="74ED2D71"/>
    <w:rsid w:val="74ED428F"/>
    <w:rsid w:val="74F04B5E"/>
    <w:rsid w:val="75061D88"/>
    <w:rsid w:val="752120E1"/>
    <w:rsid w:val="75335B68"/>
    <w:rsid w:val="7550705C"/>
    <w:rsid w:val="756A7EDD"/>
    <w:rsid w:val="756F555B"/>
    <w:rsid w:val="75804D9F"/>
    <w:rsid w:val="7584430D"/>
    <w:rsid w:val="758C3518"/>
    <w:rsid w:val="75945298"/>
    <w:rsid w:val="759A372D"/>
    <w:rsid w:val="759C3BFD"/>
    <w:rsid w:val="759F7293"/>
    <w:rsid w:val="75A7460F"/>
    <w:rsid w:val="75EB782F"/>
    <w:rsid w:val="75FB7743"/>
    <w:rsid w:val="76025886"/>
    <w:rsid w:val="764032E7"/>
    <w:rsid w:val="76407B58"/>
    <w:rsid w:val="764F0E6A"/>
    <w:rsid w:val="76685D02"/>
    <w:rsid w:val="7669706B"/>
    <w:rsid w:val="7690389A"/>
    <w:rsid w:val="76990708"/>
    <w:rsid w:val="76A05954"/>
    <w:rsid w:val="76BC7088"/>
    <w:rsid w:val="76DB337B"/>
    <w:rsid w:val="77022F5D"/>
    <w:rsid w:val="770A5F39"/>
    <w:rsid w:val="77633184"/>
    <w:rsid w:val="77685C06"/>
    <w:rsid w:val="77882C30"/>
    <w:rsid w:val="778F6B56"/>
    <w:rsid w:val="77993E06"/>
    <w:rsid w:val="77A51924"/>
    <w:rsid w:val="77B17F24"/>
    <w:rsid w:val="77B20F91"/>
    <w:rsid w:val="77B812FE"/>
    <w:rsid w:val="77C93727"/>
    <w:rsid w:val="77D44343"/>
    <w:rsid w:val="77EA0313"/>
    <w:rsid w:val="77F668D2"/>
    <w:rsid w:val="77FF6988"/>
    <w:rsid w:val="781D179C"/>
    <w:rsid w:val="781D2A41"/>
    <w:rsid w:val="786877C3"/>
    <w:rsid w:val="786C7F55"/>
    <w:rsid w:val="787B7EA3"/>
    <w:rsid w:val="78A267E8"/>
    <w:rsid w:val="78AE6411"/>
    <w:rsid w:val="79011037"/>
    <w:rsid w:val="79086590"/>
    <w:rsid w:val="79150A32"/>
    <w:rsid w:val="792B1FE4"/>
    <w:rsid w:val="793A7A26"/>
    <w:rsid w:val="794D7606"/>
    <w:rsid w:val="795F70CD"/>
    <w:rsid w:val="79622ED3"/>
    <w:rsid w:val="79637CD7"/>
    <w:rsid w:val="797236D1"/>
    <w:rsid w:val="79726DA5"/>
    <w:rsid w:val="797B14FA"/>
    <w:rsid w:val="79810D18"/>
    <w:rsid w:val="79855FE9"/>
    <w:rsid w:val="799D73FB"/>
    <w:rsid w:val="79D61258"/>
    <w:rsid w:val="79F6336A"/>
    <w:rsid w:val="79F72F54"/>
    <w:rsid w:val="79FB45C9"/>
    <w:rsid w:val="79FB5BD2"/>
    <w:rsid w:val="7A031ECD"/>
    <w:rsid w:val="7A1519CF"/>
    <w:rsid w:val="7A1E283B"/>
    <w:rsid w:val="7A8712C8"/>
    <w:rsid w:val="7A9F44CF"/>
    <w:rsid w:val="7AC40847"/>
    <w:rsid w:val="7AC61A70"/>
    <w:rsid w:val="7AC81CA0"/>
    <w:rsid w:val="7ACC5230"/>
    <w:rsid w:val="7AE77C30"/>
    <w:rsid w:val="7AEE1226"/>
    <w:rsid w:val="7B4E33A7"/>
    <w:rsid w:val="7B567AB7"/>
    <w:rsid w:val="7B686CE3"/>
    <w:rsid w:val="7B973EB7"/>
    <w:rsid w:val="7BC06B6C"/>
    <w:rsid w:val="7BDF1DD8"/>
    <w:rsid w:val="7BE3392B"/>
    <w:rsid w:val="7BF15D3C"/>
    <w:rsid w:val="7BF45543"/>
    <w:rsid w:val="7C051423"/>
    <w:rsid w:val="7C4007B3"/>
    <w:rsid w:val="7C5321F2"/>
    <w:rsid w:val="7C5C1684"/>
    <w:rsid w:val="7C5D270E"/>
    <w:rsid w:val="7C97432D"/>
    <w:rsid w:val="7C987BF2"/>
    <w:rsid w:val="7CBA7A5F"/>
    <w:rsid w:val="7CF21AA7"/>
    <w:rsid w:val="7CF42B1C"/>
    <w:rsid w:val="7D16058A"/>
    <w:rsid w:val="7D293EAC"/>
    <w:rsid w:val="7D5A2E1C"/>
    <w:rsid w:val="7D60192E"/>
    <w:rsid w:val="7D642A30"/>
    <w:rsid w:val="7D7033D5"/>
    <w:rsid w:val="7D7A1046"/>
    <w:rsid w:val="7D9827E7"/>
    <w:rsid w:val="7DB22CC3"/>
    <w:rsid w:val="7DB64E6F"/>
    <w:rsid w:val="7DD521E4"/>
    <w:rsid w:val="7DDC6082"/>
    <w:rsid w:val="7DFA2EA5"/>
    <w:rsid w:val="7DFA56A8"/>
    <w:rsid w:val="7E24479C"/>
    <w:rsid w:val="7E5316E0"/>
    <w:rsid w:val="7E5A5B36"/>
    <w:rsid w:val="7E606EFC"/>
    <w:rsid w:val="7E9E6873"/>
    <w:rsid w:val="7EB51958"/>
    <w:rsid w:val="7ED74689"/>
    <w:rsid w:val="7EDC51B5"/>
    <w:rsid w:val="7EED2DD0"/>
    <w:rsid w:val="7F2509E1"/>
    <w:rsid w:val="7F497B8F"/>
    <w:rsid w:val="7F7633E6"/>
    <w:rsid w:val="7F847B58"/>
    <w:rsid w:val="7F930AC6"/>
    <w:rsid w:val="7F9A4207"/>
    <w:rsid w:val="7FA53791"/>
    <w:rsid w:val="7FB36384"/>
    <w:rsid w:val="7FB62CFF"/>
    <w:rsid w:val="7FCF79B8"/>
    <w:rsid w:val="7FD05235"/>
    <w:rsid w:val="9BFF58A4"/>
    <w:rsid w:val="BF359BDD"/>
    <w:rsid w:val="BFBD0D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99" w:semiHidden="0" w:name="Normal Indent"/>
    <w:lsdException w:uiPriority="0" w:name="footnote text"/>
    <w:lsdException w:qFormat="1"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qFormat="1" w:unhideWhenUsed="0" w:uiPriority="0" w:semiHidden="0" w:name="table of authorities"/>
    <w:lsdException w:uiPriority="0" w:name="macro"/>
    <w:lsdException w:uiPriority="0" w:name="toa heading"/>
    <w:lsdException w:unhideWhenUsed="0" w:uiPriority="0" w:name="List"/>
    <w:lsdException w:unhideWhenUsed="0"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name="List Continue 2"/>
    <w:lsdException w:unhideWhenUsed="0" w:uiPriority="0" w:name="List Continue 3"/>
    <w:lsdException w:unhideWhenUsed="0" w:uiPriority="0" w:name="List Continue 4"/>
    <w:lsdException w:unhideWhenUsed="0" w:uiPriority="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qFormat="1" w:unhideWhenUsed="0" w:uiPriority="0" w:semiHidden="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ind w:firstLine="200" w:firstLineChars="200"/>
      <w:contextualSpacing/>
      <w:jc w:val="both"/>
    </w:pPr>
    <w:rPr>
      <w:rFonts w:ascii="Times New Roman" w:hAnsi="Times New Roman" w:eastAsia="仿宋_GB2312" w:cs="Times New Roman"/>
      <w:kern w:val="30"/>
      <w:sz w:val="28"/>
      <w:szCs w:val="22"/>
      <w:lang w:val="en-US" w:eastAsia="zh-CN" w:bidi="ar-SA"/>
    </w:rPr>
  </w:style>
  <w:style w:type="paragraph" w:styleId="3">
    <w:name w:val="heading 1"/>
    <w:basedOn w:val="1"/>
    <w:next w:val="1"/>
    <w:link w:val="47"/>
    <w:qFormat/>
    <w:uiPriority w:val="0"/>
    <w:pPr>
      <w:keepNext/>
      <w:keepLines/>
      <w:spacing w:line="360" w:lineRule="auto"/>
      <w:ind w:firstLine="0" w:firstLineChars="0"/>
      <w:jc w:val="center"/>
      <w:outlineLvl w:val="0"/>
    </w:pPr>
    <w:rPr>
      <w:rFonts w:eastAsia="新宋体"/>
      <w:b/>
      <w:kern w:val="44"/>
      <w:sz w:val="36"/>
    </w:rPr>
  </w:style>
  <w:style w:type="paragraph" w:styleId="4">
    <w:name w:val="heading 2"/>
    <w:basedOn w:val="1"/>
    <w:next w:val="1"/>
    <w:link w:val="42"/>
    <w:unhideWhenUsed/>
    <w:qFormat/>
    <w:uiPriority w:val="0"/>
    <w:pPr>
      <w:keepNext/>
      <w:keepLines/>
      <w:spacing w:line="360" w:lineRule="auto"/>
      <w:ind w:firstLine="0" w:firstLineChars="0"/>
      <w:jc w:val="center"/>
      <w:outlineLvl w:val="1"/>
    </w:pPr>
    <w:rPr>
      <w:rFonts w:eastAsia="黑体" w:asciiTheme="majorHAnsi" w:hAnsiTheme="majorHAnsi" w:cstheme="majorBidi"/>
      <w:b/>
      <w:bCs/>
      <w:sz w:val="30"/>
      <w:szCs w:val="32"/>
    </w:rPr>
  </w:style>
  <w:style w:type="paragraph" w:styleId="5">
    <w:name w:val="heading 3"/>
    <w:basedOn w:val="1"/>
    <w:next w:val="1"/>
    <w:link w:val="43"/>
    <w:unhideWhenUsed/>
    <w:qFormat/>
    <w:uiPriority w:val="0"/>
    <w:pPr>
      <w:keepNext/>
      <w:keepLines/>
      <w:spacing w:line="360" w:lineRule="auto"/>
      <w:ind w:firstLine="0" w:firstLineChars="0"/>
      <w:jc w:val="center"/>
      <w:outlineLvl w:val="2"/>
    </w:pPr>
    <w:rPr>
      <w:rFonts w:eastAsia="新宋体"/>
      <w:b/>
      <w:bCs/>
      <w:szCs w:val="32"/>
    </w:rPr>
  </w:style>
  <w:style w:type="paragraph" w:styleId="2">
    <w:name w:val="heading 4"/>
    <w:basedOn w:val="1"/>
    <w:next w:val="1"/>
    <w:qFormat/>
    <w:uiPriority w:val="0"/>
    <w:pPr>
      <w:jc w:val="left"/>
      <w:outlineLvl w:val="3"/>
    </w:pPr>
    <w:rPr>
      <w:rFonts w:eastAsia="仿宋"/>
      <w:bCs/>
      <w:szCs w:val="28"/>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unhideWhenUsed/>
    <w:qFormat/>
    <w:uiPriority w:val="39"/>
    <w:pPr>
      <w:ind w:left="2520" w:leftChars="1200" w:firstLine="0" w:firstLineChars="0"/>
      <w:contextualSpacing w:val="0"/>
    </w:pPr>
    <w:rPr>
      <w:rFonts w:asciiTheme="minorHAnsi" w:hAnsiTheme="minorHAnsi" w:eastAsiaTheme="minorEastAsia" w:cstheme="minorBidi"/>
      <w:kern w:val="2"/>
      <w:sz w:val="21"/>
    </w:rPr>
  </w:style>
  <w:style w:type="paragraph" w:styleId="7">
    <w:name w:val="table of authorities"/>
    <w:basedOn w:val="1"/>
    <w:next w:val="1"/>
    <w:qFormat/>
    <w:uiPriority w:val="0"/>
    <w:pPr>
      <w:ind w:left="420" w:leftChars="200"/>
    </w:pPr>
  </w:style>
  <w:style w:type="paragraph" w:styleId="8">
    <w:name w:val="Normal Indent"/>
    <w:basedOn w:val="1"/>
    <w:qFormat/>
    <w:uiPriority w:val="99"/>
    <w:pPr>
      <w:spacing w:line="540" w:lineRule="exact"/>
      <w:ind w:firstLine="420"/>
      <w:contextualSpacing w:val="0"/>
    </w:pPr>
    <w:rPr>
      <w:rFonts w:ascii="Cambria" w:hAnsi="Cambria"/>
      <w:kern w:val="2"/>
      <w:szCs w:val="24"/>
    </w:rPr>
  </w:style>
  <w:style w:type="paragraph" w:styleId="9">
    <w:name w:val="Document Map"/>
    <w:basedOn w:val="1"/>
    <w:link w:val="41"/>
    <w:qFormat/>
    <w:uiPriority w:val="0"/>
    <w:rPr>
      <w:rFonts w:ascii="宋体" w:eastAsia="宋体"/>
      <w:sz w:val="18"/>
      <w:szCs w:val="18"/>
    </w:rPr>
  </w:style>
  <w:style w:type="paragraph" w:styleId="10">
    <w:name w:val="annotation text"/>
    <w:basedOn w:val="1"/>
    <w:semiHidden/>
    <w:unhideWhenUsed/>
    <w:qFormat/>
    <w:uiPriority w:val="0"/>
    <w:pPr>
      <w:jc w:val="left"/>
    </w:pPr>
  </w:style>
  <w:style w:type="paragraph" w:styleId="11">
    <w:name w:val="Body Text"/>
    <w:basedOn w:val="1"/>
    <w:next w:val="12"/>
    <w:qFormat/>
    <w:uiPriority w:val="0"/>
    <w:pPr>
      <w:spacing w:line="0" w:lineRule="atLeast"/>
    </w:pPr>
    <w:rPr>
      <w:rFonts w:eastAsia="小标宋"/>
      <w:sz w:val="44"/>
      <w:szCs w:val="32"/>
    </w:rPr>
  </w:style>
  <w:style w:type="paragraph" w:styleId="12">
    <w:name w:val="Body Text Indent"/>
    <w:basedOn w:val="1"/>
    <w:qFormat/>
    <w:uiPriority w:val="0"/>
    <w:pPr>
      <w:spacing w:after="120"/>
      <w:ind w:left="420" w:leftChars="200"/>
    </w:pPr>
  </w:style>
  <w:style w:type="paragraph" w:styleId="13">
    <w:name w:val="toc 5"/>
    <w:basedOn w:val="1"/>
    <w:next w:val="1"/>
    <w:unhideWhenUsed/>
    <w:qFormat/>
    <w:uiPriority w:val="39"/>
    <w:pPr>
      <w:ind w:left="1680" w:leftChars="800" w:firstLine="0" w:firstLineChars="0"/>
      <w:contextualSpacing w:val="0"/>
    </w:pPr>
    <w:rPr>
      <w:rFonts w:asciiTheme="minorHAnsi" w:hAnsiTheme="minorHAnsi" w:eastAsiaTheme="minorEastAsia" w:cstheme="minorBidi"/>
      <w:kern w:val="2"/>
      <w:sz w:val="21"/>
    </w:rPr>
  </w:style>
  <w:style w:type="paragraph" w:styleId="14">
    <w:name w:val="toc 3"/>
    <w:basedOn w:val="1"/>
    <w:next w:val="1"/>
    <w:qFormat/>
    <w:uiPriority w:val="39"/>
    <w:pPr>
      <w:ind w:left="840" w:leftChars="400"/>
    </w:pPr>
  </w:style>
  <w:style w:type="paragraph" w:styleId="15">
    <w:name w:val="toc 8"/>
    <w:basedOn w:val="1"/>
    <w:next w:val="1"/>
    <w:unhideWhenUsed/>
    <w:qFormat/>
    <w:uiPriority w:val="39"/>
    <w:pPr>
      <w:ind w:left="2940" w:leftChars="1400" w:firstLine="0" w:firstLineChars="0"/>
      <w:contextualSpacing w:val="0"/>
    </w:pPr>
    <w:rPr>
      <w:rFonts w:asciiTheme="minorHAnsi" w:hAnsiTheme="minorHAnsi" w:eastAsiaTheme="minorEastAsia" w:cstheme="minorBidi"/>
      <w:kern w:val="2"/>
      <w:sz w:val="21"/>
    </w:rPr>
  </w:style>
  <w:style w:type="paragraph" w:styleId="16">
    <w:name w:val="Balloon Text"/>
    <w:basedOn w:val="1"/>
    <w:link w:val="56"/>
    <w:qFormat/>
    <w:uiPriority w:val="0"/>
    <w:rPr>
      <w:sz w:val="18"/>
      <w:szCs w:val="18"/>
    </w:rPr>
  </w:style>
  <w:style w:type="paragraph" w:styleId="17">
    <w:name w:val="footer"/>
    <w:basedOn w:val="1"/>
    <w:link w:val="69"/>
    <w:qFormat/>
    <w:uiPriority w:val="99"/>
    <w:pPr>
      <w:tabs>
        <w:tab w:val="center" w:pos="4153"/>
        <w:tab w:val="right" w:pos="8306"/>
      </w:tabs>
      <w:snapToGrid w:val="0"/>
      <w:jc w:val="left"/>
    </w:pPr>
    <w:rPr>
      <w:sz w:val="18"/>
    </w:rPr>
  </w:style>
  <w:style w:type="paragraph" w:styleId="1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9">
    <w:name w:val="toc 1"/>
    <w:next w:val="1"/>
    <w:qFormat/>
    <w:uiPriority w:val="39"/>
    <w:pPr>
      <w:adjustRightInd w:val="0"/>
      <w:snapToGrid w:val="0"/>
      <w:spacing w:line="432" w:lineRule="auto"/>
      <w:jc w:val="both"/>
    </w:pPr>
    <w:rPr>
      <w:rFonts w:ascii="Times New Roman" w:hAnsi="Times New Roman" w:eastAsia="黑体" w:cs="Times New Roman"/>
      <w:bCs/>
      <w:caps/>
      <w:snapToGrid w:val="0"/>
      <w:kern w:val="30"/>
      <w:sz w:val="30"/>
      <w:lang w:val="en-US" w:eastAsia="zh-CN" w:bidi="ar-SA"/>
    </w:rPr>
  </w:style>
  <w:style w:type="paragraph" w:styleId="20">
    <w:name w:val="toc 4"/>
    <w:basedOn w:val="1"/>
    <w:next w:val="1"/>
    <w:unhideWhenUsed/>
    <w:qFormat/>
    <w:uiPriority w:val="39"/>
    <w:pPr>
      <w:ind w:left="1260" w:leftChars="600" w:firstLine="0" w:firstLineChars="0"/>
      <w:contextualSpacing w:val="0"/>
    </w:pPr>
    <w:rPr>
      <w:rFonts w:asciiTheme="minorHAnsi" w:hAnsiTheme="minorHAnsi" w:eastAsiaTheme="minorEastAsia" w:cstheme="minorBidi"/>
      <w:kern w:val="2"/>
      <w:sz w:val="21"/>
    </w:rPr>
  </w:style>
  <w:style w:type="paragraph" w:styleId="21">
    <w:name w:val="toc 6"/>
    <w:basedOn w:val="1"/>
    <w:next w:val="1"/>
    <w:unhideWhenUsed/>
    <w:qFormat/>
    <w:uiPriority w:val="39"/>
    <w:pPr>
      <w:ind w:left="2100" w:leftChars="1000" w:firstLine="0" w:firstLineChars="0"/>
      <w:contextualSpacing w:val="0"/>
    </w:pPr>
    <w:rPr>
      <w:rFonts w:asciiTheme="minorHAnsi" w:hAnsiTheme="minorHAnsi" w:eastAsiaTheme="minorEastAsia" w:cstheme="minorBidi"/>
      <w:kern w:val="2"/>
      <w:sz w:val="21"/>
    </w:rPr>
  </w:style>
  <w:style w:type="paragraph" w:styleId="22">
    <w:name w:val="toc 2"/>
    <w:basedOn w:val="1"/>
    <w:next w:val="1"/>
    <w:qFormat/>
    <w:uiPriority w:val="39"/>
    <w:pPr>
      <w:ind w:left="420" w:leftChars="200"/>
    </w:pPr>
    <w:rPr>
      <w:b/>
    </w:rPr>
  </w:style>
  <w:style w:type="paragraph" w:styleId="23">
    <w:name w:val="toc 9"/>
    <w:basedOn w:val="1"/>
    <w:next w:val="1"/>
    <w:unhideWhenUsed/>
    <w:qFormat/>
    <w:uiPriority w:val="39"/>
    <w:pPr>
      <w:ind w:left="3360" w:leftChars="1600" w:firstLine="0" w:firstLineChars="0"/>
      <w:contextualSpacing w:val="0"/>
    </w:pPr>
    <w:rPr>
      <w:rFonts w:asciiTheme="minorHAnsi" w:hAnsiTheme="minorHAnsi" w:eastAsiaTheme="minorEastAsia" w:cstheme="minorBidi"/>
      <w:kern w:val="2"/>
      <w:sz w:val="21"/>
    </w:rPr>
  </w:style>
  <w:style w:type="paragraph" w:styleId="24">
    <w:name w:val="Normal (Web)"/>
    <w:basedOn w:val="1"/>
    <w:qFormat/>
    <w:uiPriority w:val="99"/>
    <w:pPr>
      <w:spacing w:beforeAutospacing="1" w:afterAutospacing="1"/>
      <w:jc w:val="left"/>
    </w:pPr>
    <w:rPr>
      <w:kern w:val="0"/>
      <w:sz w:val="24"/>
    </w:rPr>
  </w:style>
  <w:style w:type="paragraph" w:styleId="25">
    <w:name w:val="Title"/>
    <w:basedOn w:val="1"/>
    <w:next w:val="1"/>
    <w:qFormat/>
    <w:uiPriority w:val="0"/>
    <w:rPr>
      <w:rFonts w:eastAsia="新宋体"/>
      <w:b/>
      <w:bCs/>
      <w:szCs w:val="32"/>
    </w:rPr>
  </w:style>
  <w:style w:type="paragraph" w:styleId="26">
    <w:name w:val="Body Text First Indent 2"/>
    <w:basedOn w:val="12"/>
    <w:qFormat/>
    <w:uiPriority w:val="0"/>
    <w:pPr>
      <w:spacing w:line="360" w:lineRule="auto"/>
      <w:ind w:firstLine="420"/>
    </w:pPr>
    <w:rPr>
      <w:sz w:val="24"/>
    </w:rPr>
  </w:style>
  <w:style w:type="table" w:styleId="28">
    <w:name w:val="Table Grid"/>
    <w:basedOn w:val="2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0">
    <w:name w:val="Strong"/>
    <w:basedOn w:val="29"/>
    <w:qFormat/>
    <w:uiPriority w:val="0"/>
    <w:rPr>
      <w:b/>
    </w:rPr>
  </w:style>
  <w:style w:type="character" w:styleId="31">
    <w:name w:val="Hyperlink"/>
    <w:basedOn w:val="29"/>
    <w:qFormat/>
    <w:uiPriority w:val="99"/>
    <w:rPr>
      <w:color w:val="0563C1"/>
      <w:u w:val="single"/>
    </w:rPr>
  </w:style>
  <w:style w:type="character" w:styleId="32">
    <w:name w:val="annotation reference"/>
    <w:basedOn w:val="29"/>
    <w:semiHidden/>
    <w:unhideWhenUsed/>
    <w:qFormat/>
    <w:uiPriority w:val="0"/>
    <w:rPr>
      <w:sz w:val="21"/>
      <w:szCs w:val="21"/>
    </w:rPr>
  </w:style>
  <w:style w:type="paragraph" w:customStyle="1" w:styleId="33">
    <w:name w:val="Heading4"/>
    <w:basedOn w:val="1"/>
    <w:next w:val="1"/>
    <w:qFormat/>
    <w:uiPriority w:val="0"/>
    <w:pPr>
      <w:jc w:val="left"/>
      <w:textAlignment w:val="baseline"/>
    </w:pPr>
    <w:rPr>
      <w:rFonts w:ascii="Calibri" w:hAnsi="Calibri" w:eastAsia="仿宋"/>
      <w:bCs/>
      <w:kern w:val="2"/>
      <w:sz w:val="21"/>
      <w:szCs w:val="28"/>
    </w:rPr>
  </w:style>
  <w:style w:type="paragraph" w:customStyle="1" w:styleId="34">
    <w:name w:val="Heading1"/>
    <w:basedOn w:val="1"/>
    <w:next w:val="1"/>
    <w:qFormat/>
    <w:uiPriority w:val="0"/>
    <w:pPr>
      <w:keepNext/>
      <w:keepLines/>
      <w:spacing w:before="340" w:after="330" w:line="578" w:lineRule="auto"/>
    </w:pPr>
    <w:rPr>
      <w:rFonts w:ascii="Calibri" w:hAnsi="Calibri" w:eastAsia="楷体_GB2312" w:cs="黑体"/>
      <w:b/>
      <w:bCs/>
      <w:kern w:val="44"/>
      <w:sz w:val="44"/>
      <w:szCs w:val="44"/>
    </w:rPr>
  </w:style>
  <w:style w:type="paragraph" w:customStyle="1" w:styleId="35">
    <w:name w:val="图表题"/>
    <w:qFormat/>
    <w:uiPriority w:val="0"/>
    <w:pPr>
      <w:adjustRightInd w:val="0"/>
      <w:snapToGrid w:val="0"/>
      <w:spacing w:line="360" w:lineRule="auto"/>
      <w:jc w:val="center"/>
    </w:pPr>
    <w:rPr>
      <w:rFonts w:ascii="Times New Roman" w:hAnsi="Times New Roman" w:eastAsia="黑体" w:cs="Times New Roman"/>
      <w:kern w:val="32"/>
      <w:sz w:val="21"/>
      <w:szCs w:val="24"/>
      <w:lang w:val="en-US" w:eastAsia="zh-CN" w:bidi="ar-SA"/>
    </w:rPr>
  </w:style>
  <w:style w:type="character" w:customStyle="1" w:styleId="36">
    <w:name w:val="font11"/>
    <w:basedOn w:val="29"/>
    <w:qFormat/>
    <w:uiPriority w:val="0"/>
    <w:rPr>
      <w:rFonts w:ascii="楷体_GB2312" w:eastAsia="楷体_GB2312" w:cs="楷体_GB2312"/>
      <w:color w:val="000000"/>
      <w:sz w:val="20"/>
      <w:szCs w:val="20"/>
      <w:u w:val="none"/>
    </w:rPr>
  </w:style>
  <w:style w:type="character" w:customStyle="1" w:styleId="37">
    <w:name w:val="font21"/>
    <w:basedOn w:val="29"/>
    <w:qFormat/>
    <w:uiPriority w:val="0"/>
    <w:rPr>
      <w:rFonts w:hint="default" w:ascii="Times New Roman" w:hAnsi="Times New Roman" w:cs="Times New Roman"/>
      <w:color w:val="000000"/>
      <w:sz w:val="20"/>
      <w:szCs w:val="20"/>
      <w:u w:val="none"/>
    </w:rPr>
  </w:style>
  <w:style w:type="character" w:customStyle="1" w:styleId="38">
    <w:name w:val="font01"/>
    <w:basedOn w:val="29"/>
    <w:qFormat/>
    <w:uiPriority w:val="0"/>
    <w:rPr>
      <w:rFonts w:hint="default" w:ascii="Times New Roman" w:hAnsi="Times New Roman" w:cs="Times New Roman"/>
      <w:color w:val="000000"/>
      <w:sz w:val="20"/>
      <w:szCs w:val="20"/>
      <w:u w:val="none"/>
      <w:vertAlign w:val="superscript"/>
    </w:rPr>
  </w:style>
  <w:style w:type="character" w:customStyle="1" w:styleId="39">
    <w:name w:val="font31"/>
    <w:basedOn w:val="29"/>
    <w:qFormat/>
    <w:uiPriority w:val="0"/>
    <w:rPr>
      <w:rFonts w:ascii="楷体_GB2312" w:eastAsia="楷体_GB2312" w:cs="楷体_GB2312"/>
      <w:color w:val="000000"/>
      <w:sz w:val="20"/>
      <w:szCs w:val="20"/>
      <w:u w:val="none"/>
    </w:rPr>
  </w:style>
  <w:style w:type="character" w:customStyle="1" w:styleId="40">
    <w:name w:val="font41"/>
    <w:basedOn w:val="29"/>
    <w:qFormat/>
    <w:uiPriority w:val="0"/>
    <w:rPr>
      <w:rFonts w:hint="default" w:ascii="Times New Roman" w:hAnsi="Times New Roman" w:cs="Times New Roman"/>
      <w:color w:val="000000"/>
      <w:sz w:val="20"/>
      <w:szCs w:val="20"/>
      <w:u w:val="none"/>
    </w:rPr>
  </w:style>
  <w:style w:type="character" w:customStyle="1" w:styleId="41">
    <w:name w:val="文档结构图 Char"/>
    <w:basedOn w:val="29"/>
    <w:link w:val="9"/>
    <w:qFormat/>
    <w:uiPriority w:val="0"/>
    <w:rPr>
      <w:rFonts w:ascii="宋体"/>
      <w:kern w:val="30"/>
      <w:sz w:val="18"/>
      <w:szCs w:val="18"/>
    </w:rPr>
  </w:style>
  <w:style w:type="character" w:customStyle="1" w:styleId="42">
    <w:name w:val="标题 2 Char"/>
    <w:basedOn w:val="29"/>
    <w:link w:val="4"/>
    <w:qFormat/>
    <w:uiPriority w:val="0"/>
    <w:rPr>
      <w:rFonts w:eastAsia="黑体" w:asciiTheme="majorHAnsi" w:hAnsiTheme="majorHAnsi" w:cstheme="majorBidi"/>
      <w:b/>
      <w:bCs/>
      <w:kern w:val="30"/>
      <w:sz w:val="30"/>
      <w:szCs w:val="32"/>
    </w:rPr>
  </w:style>
  <w:style w:type="character" w:customStyle="1" w:styleId="43">
    <w:name w:val="标题 3 Char"/>
    <w:basedOn w:val="29"/>
    <w:link w:val="5"/>
    <w:qFormat/>
    <w:uiPriority w:val="0"/>
    <w:rPr>
      <w:rFonts w:eastAsia="新宋体"/>
      <w:b/>
      <w:bCs/>
      <w:kern w:val="30"/>
      <w:sz w:val="28"/>
      <w:szCs w:val="32"/>
    </w:rPr>
  </w:style>
  <w:style w:type="character" w:customStyle="1" w:styleId="44">
    <w:name w:val="fontstyle01"/>
    <w:basedOn w:val="29"/>
    <w:qFormat/>
    <w:uiPriority w:val="0"/>
    <w:rPr>
      <w:rFonts w:hint="default" w:ascii="仿宋" w:hAnsi="仿宋"/>
      <w:color w:val="000000"/>
      <w:sz w:val="28"/>
      <w:szCs w:val="28"/>
    </w:rPr>
  </w:style>
  <w:style w:type="character" w:customStyle="1" w:styleId="45">
    <w:name w:val="fontstyle11"/>
    <w:basedOn w:val="29"/>
    <w:qFormat/>
    <w:uiPriority w:val="0"/>
    <w:rPr>
      <w:rFonts w:hint="default" w:ascii="仿宋" w:hAnsi="仿宋"/>
      <w:color w:val="000000"/>
      <w:sz w:val="28"/>
      <w:szCs w:val="28"/>
    </w:rPr>
  </w:style>
  <w:style w:type="character" w:customStyle="1" w:styleId="46">
    <w:name w:val="fontstyle31"/>
    <w:basedOn w:val="29"/>
    <w:qFormat/>
    <w:uiPriority w:val="0"/>
    <w:rPr>
      <w:rFonts w:hint="eastAsia" w:ascii="宋体" w:hAnsi="宋体" w:eastAsia="宋体"/>
      <w:color w:val="000000"/>
      <w:sz w:val="28"/>
      <w:szCs w:val="28"/>
    </w:rPr>
  </w:style>
  <w:style w:type="character" w:customStyle="1" w:styleId="47">
    <w:name w:val="标题 1 Char"/>
    <w:link w:val="3"/>
    <w:qFormat/>
    <w:locked/>
    <w:uiPriority w:val="0"/>
    <w:rPr>
      <w:rFonts w:eastAsia="新宋体"/>
      <w:b/>
      <w:kern w:val="44"/>
      <w:sz w:val="36"/>
      <w:szCs w:val="22"/>
    </w:rPr>
  </w:style>
  <w:style w:type="character" w:customStyle="1" w:styleId="48">
    <w:name w:val="font81"/>
    <w:basedOn w:val="29"/>
    <w:qFormat/>
    <w:uiPriority w:val="0"/>
    <w:rPr>
      <w:rFonts w:hint="eastAsia" w:ascii="宋体" w:hAnsi="宋体" w:eastAsia="宋体" w:cs="宋体"/>
      <w:color w:val="000000"/>
      <w:sz w:val="22"/>
      <w:szCs w:val="22"/>
      <w:u w:val="none"/>
    </w:rPr>
  </w:style>
  <w:style w:type="character" w:customStyle="1" w:styleId="49">
    <w:name w:val="font91"/>
    <w:basedOn w:val="29"/>
    <w:qFormat/>
    <w:uiPriority w:val="0"/>
    <w:rPr>
      <w:rFonts w:ascii="楷体_GB2312" w:eastAsia="楷体_GB2312" w:cs="楷体_GB2312"/>
      <w:b/>
      <w:color w:val="000000"/>
      <w:sz w:val="20"/>
      <w:szCs w:val="20"/>
      <w:u w:val="none"/>
    </w:rPr>
  </w:style>
  <w:style w:type="character" w:customStyle="1" w:styleId="50">
    <w:name w:val="font61"/>
    <w:basedOn w:val="29"/>
    <w:qFormat/>
    <w:uiPriority w:val="0"/>
    <w:rPr>
      <w:rFonts w:hint="default" w:ascii="Times New Roman" w:hAnsi="Times New Roman" w:cs="Times New Roman"/>
      <w:b/>
      <w:color w:val="000000"/>
      <w:sz w:val="20"/>
      <w:szCs w:val="20"/>
      <w:u w:val="none"/>
    </w:rPr>
  </w:style>
  <w:style w:type="character" w:customStyle="1" w:styleId="51">
    <w:name w:val="font51"/>
    <w:basedOn w:val="29"/>
    <w:qFormat/>
    <w:uiPriority w:val="0"/>
    <w:rPr>
      <w:rFonts w:ascii="楷体" w:hAnsi="楷体" w:eastAsia="楷体" w:cs="楷体"/>
      <w:color w:val="000000"/>
      <w:sz w:val="20"/>
      <w:szCs w:val="20"/>
      <w:u w:val="none"/>
    </w:rPr>
  </w:style>
  <w:style w:type="character" w:customStyle="1" w:styleId="52">
    <w:name w:val="font71"/>
    <w:basedOn w:val="29"/>
    <w:qFormat/>
    <w:uiPriority w:val="0"/>
    <w:rPr>
      <w:rFonts w:hint="eastAsia" w:ascii="宋体" w:hAnsi="宋体" w:eastAsia="宋体" w:cs="宋体"/>
      <w:color w:val="000000"/>
      <w:sz w:val="20"/>
      <w:szCs w:val="20"/>
      <w:u w:val="none"/>
    </w:rPr>
  </w:style>
  <w:style w:type="character" w:customStyle="1" w:styleId="53">
    <w:name w:val="font101"/>
    <w:basedOn w:val="29"/>
    <w:qFormat/>
    <w:uiPriority w:val="0"/>
    <w:rPr>
      <w:rFonts w:ascii="仿宋_GB2312" w:eastAsia="仿宋_GB2312" w:cs="仿宋_GB2312"/>
      <w:color w:val="000000"/>
      <w:sz w:val="20"/>
      <w:szCs w:val="20"/>
      <w:u w:val="none"/>
    </w:rPr>
  </w:style>
  <w:style w:type="paragraph" w:customStyle="1" w:styleId="54">
    <w:name w:val="样式 样式 首行缩进:  2 字符2 + 首行缩进:  2 字符1"/>
    <w:basedOn w:val="1"/>
    <w:qFormat/>
    <w:uiPriority w:val="0"/>
    <w:pPr>
      <w:spacing w:line="560" w:lineRule="exact"/>
      <w:ind w:firstLine="560"/>
    </w:pPr>
    <w:rPr>
      <w:rFonts w:ascii="仿宋_GB2312"/>
      <w:kern w:val="0"/>
    </w:rPr>
  </w:style>
  <w:style w:type="character" w:customStyle="1" w:styleId="55">
    <w:name w:val="font121"/>
    <w:basedOn w:val="29"/>
    <w:qFormat/>
    <w:uiPriority w:val="0"/>
    <w:rPr>
      <w:rFonts w:hint="default" w:ascii="Times New Roman" w:hAnsi="Times New Roman" w:cs="Times New Roman"/>
      <w:color w:val="000000"/>
      <w:sz w:val="20"/>
      <w:szCs w:val="20"/>
      <w:u w:val="none"/>
    </w:rPr>
  </w:style>
  <w:style w:type="character" w:customStyle="1" w:styleId="56">
    <w:name w:val="批注框文本 Char"/>
    <w:basedOn w:val="29"/>
    <w:link w:val="16"/>
    <w:qFormat/>
    <w:uiPriority w:val="0"/>
    <w:rPr>
      <w:rFonts w:eastAsia="仿宋_GB2312"/>
      <w:kern w:val="30"/>
      <w:sz w:val="18"/>
      <w:szCs w:val="18"/>
    </w:rPr>
  </w:style>
  <w:style w:type="paragraph" w:customStyle="1" w:styleId="57">
    <w:name w:val="样式 标题 2标题 2 CharH2Heading 2 HiddenHeading 2 CCBS2nd levelh..."/>
    <w:basedOn w:val="4"/>
    <w:next w:val="4"/>
    <w:qFormat/>
    <w:uiPriority w:val="0"/>
    <w:pPr>
      <w:keepNext w:val="0"/>
      <w:keepLines w:val="0"/>
      <w:widowControl/>
      <w:spacing w:before="120" w:after="120" w:line="560" w:lineRule="exact"/>
      <w:contextualSpacing w:val="0"/>
      <w:jc w:val="left"/>
      <w:textAlignment w:val="baseline"/>
    </w:pPr>
    <w:rPr>
      <w:rFonts w:ascii="Times New Roman" w:hAnsi="Times New Roman" w:cs="宋体"/>
      <w:b w:val="0"/>
      <w:bCs w:val="0"/>
      <w:color w:val="000000"/>
      <w:kern w:val="0"/>
      <w:szCs w:val="20"/>
      <w:u w:color="000000"/>
    </w:rPr>
  </w:style>
  <w:style w:type="character" w:customStyle="1" w:styleId="58">
    <w:name w:val="font112"/>
    <w:basedOn w:val="29"/>
    <w:qFormat/>
    <w:uiPriority w:val="0"/>
    <w:rPr>
      <w:rFonts w:hint="default" w:ascii="Times New Roman" w:hAnsi="Times New Roman" w:cs="Times New Roman"/>
      <w:color w:val="000000"/>
      <w:sz w:val="20"/>
      <w:szCs w:val="20"/>
      <w:u w:val="none"/>
    </w:rPr>
  </w:style>
  <w:style w:type="character" w:customStyle="1" w:styleId="59">
    <w:name w:val="font111"/>
    <w:basedOn w:val="29"/>
    <w:qFormat/>
    <w:uiPriority w:val="0"/>
    <w:rPr>
      <w:rFonts w:hint="default" w:ascii="Times New Roman" w:hAnsi="Times New Roman" w:cs="Times New Roman"/>
      <w:color w:val="000000"/>
      <w:sz w:val="20"/>
      <w:szCs w:val="20"/>
      <w:u w:val="none"/>
    </w:rPr>
  </w:style>
  <w:style w:type="paragraph" w:customStyle="1" w:styleId="60">
    <w:name w:val="列出段落1"/>
    <w:basedOn w:val="1"/>
    <w:qFormat/>
    <w:uiPriority w:val="34"/>
    <w:pPr>
      <w:ind w:firstLine="420"/>
    </w:pPr>
  </w:style>
  <w:style w:type="paragraph" w:customStyle="1" w:styleId="61">
    <w:name w:val="列出段落2"/>
    <w:basedOn w:val="1"/>
    <w:unhideWhenUsed/>
    <w:qFormat/>
    <w:uiPriority w:val="99"/>
    <w:pPr>
      <w:ind w:firstLine="420"/>
    </w:pPr>
  </w:style>
  <w:style w:type="paragraph" w:customStyle="1" w:styleId="62">
    <w:name w:val="WPSOffice手动目录 1"/>
    <w:qFormat/>
    <w:uiPriority w:val="0"/>
    <w:rPr>
      <w:rFonts w:asciiTheme="minorHAnsi" w:hAnsiTheme="minorHAnsi" w:eastAsiaTheme="minorEastAsia" w:cstheme="minorBidi"/>
      <w:lang w:val="en-US" w:eastAsia="zh-CN" w:bidi="ar-SA"/>
    </w:rPr>
  </w:style>
  <w:style w:type="paragraph" w:customStyle="1" w:styleId="63">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64">
    <w:name w:val="WPSOffice手动目录 3"/>
    <w:qFormat/>
    <w:uiPriority w:val="0"/>
    <w:pPr>
      <w:ind w:left="400" w:leftChars="400"/>
    </w:pPr>
    <w:rPr>
      <w:rFonts w:asciiTheme="minorHAnsi" w:hAnsiTheme="minorHAnsi" w:eastAsiaTheme="minorEastAsia" w:cstheme="minorBidi"/>
      <w:lang w:val="en-US" w:eastAsia="zh-CN" w:bidi="ar-SA"/>
    </w:rPr>
  </w:style>
  <w:style w:type="character" w:customStyle="1" w:styleId="65">
    <w:name w:val="未处理的提及1"/>
    <w:basedOn w:val="29"/>
    <w:unhideWhenUsed/>
    <w:qFormat/>
    <w:uiPriority w:val="99"/>
    <w:rPr>
      <w:color w:val="605E5C"/>
      <w:shd w:val="clear" w:color="auto" w:fill="E1DFDD"/>
    </w:rPr>
  </w:style>
  <w:style w:type="character" w:customStyle="1" w:styleId="66">
    <w:name w:val="NormalCharacter"/>
    <w:semiHidden/>
    <w:qFormat/>
    <w:uiPriority w:val="0"/>
    <w:rPr>
      <w:rFonts w:ascii="Times New Roman" w:hAnsi="Times New Roman" w:eastAsia="仿宋_GB2312" w:cs="Times New Roman"/>
      <w:kern w:val="30"/>
      <w:sz w:val="28"/>
      <w:szCs w:val="22"/>
      <w:lang w:val="en-US" w:eastAsia="zh-CN" w:bidi="ar-SA"/>
    </w:rPr>
  </w:style>
  <w:style w:type="character" w:customStyle="1" w:styleId="67">
    <w:name w:val="UserStyle_0"/>
    <w:semiHidden/>
    <w:qFormat/>
    <w:uiPriority w:val="0"/>
    <w:rPr>
      <w:rFonts w:ascii="Times New Roman" w:hAnsi="Times New Roman" w:eastAsia="仿宋_GB2312"/>
      <w:kern w:val="30"/>
      <w:sz w:val="28"/>
      <w:szCs w:val="22"/>
      <w:lang w:val="en-US" w:eastAsia="zh-CN" w:bidi="ar-SA"/>
    </w:rPr>
  </w:style>
  <w:style w:type="paragraph" w:customStyle="1" w:styleId="68">
    <w:name w:val="UserStyle_1"/>
    <w:basedOn w:val="1"/>
    <w:next w:val="1"/>
    <w:qFormat/>
    <w:uiPriority w:val="0"/>
    <w:pPr>
      <w:jc w:val="left"/>
      <w:textAlignment w:val="baseline"/>
    </w:pPr>
    <w:rPr>
      <w:rFonts w:ascii="Calibri" w:hAnsi="Calibri" w:eastAsia="仿宋"/>
      <w:bCs/>
      <w:kern w:val="2"/>
      <w:sz w:val="21"/>
      <w:szCs w:val="28"/>
    </w:rPr>
  </w:style>
  <w:style w:type="character" w:customStyle="1" w:styleId="69">
    <w:name w:val="页脚 Char"/>
    <w:basedOn w:val="29"/>
    <w:link w:val="17"/>
    <w:qFormat/>
    <w:uiPriority w:val="99"/>
    <w:rPr>
      <w:rFonts w:ascii="Times New Roman" w:hAnsi="Times New Roman" w:eastAsia="仿宋_GB2312" w:cs="Times New Roman"/>
      <w:kern w:val="30"/>
      <w:sz w:val="18"/>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jpeg"/><Relationship Id="rId17" Type="http://schemas.openxmlformats.org/officeDocument/2006/relationships/image" Target="media/image3.jpeg"/><Relationship Id="rId16" Type="http://schemas.openxmlformats.org/officeDocument/2006/relationships/image" Target="media/image2.jpe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header" Target="header4.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161</Pages>
  <Words>14200</Words>
  <Characters>80940</Characters>
  <Lines>674</Lines>
  <Paragraphs>189</Paragraphs>
  <TotalTime>5</TotalTime>
  <ScaleCrop>false</ScaleCrop>
  <LinksUpToDate>false</LinksUpToDate>
  <CharactersWithSpaces>94951</CharactersWithSpaces>
  <Application>WPS Office_11.8.2.9695_F1E327BC-269C-435d-A152-05C5408002CA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2021-04-23T19:24:00Z</dcterms:created>
  <dc:creator>②明华印务水利厅印刷厂</dc:creator>
  <cp:lastModifiedBy>guest</cp:lastModifiedBy>
  <cp:lastPrinted>2021-08-20T01:17:00Z</cp:lastPrinted>
  <dcterms:modified xsi:type="dcterms:W3CDTF">2024-06-17T11:41:15Z</dcterms:modified>
  <dc:title>奉节县国民经济和</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2052-11.8.2.9695</vt:lpwstr>
  </property>
</Properties>
</file>